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94F" w:rsidRDefault="0008794F" w:rsidP="0060487F">
      <w:pPr>
        <w:pStyle w:val="Styl1"/>
        <w:rPr>
          <w:rFonts w:cs="Arial"/>
          <w:b/>
          <w:sz w:val="20"/>
        </w:rPr>
      </w:pPr>
    </w:p>
    <w:p w:rsidR="0008794F" w:rsidRPr="004A6C74" w:rsidRDefault="0008794F" w:rsidP="0060487F">
      <w:pPr>
        <w:pStyle w:val="Styl1"/>
        <w:rPr>
          <w:rFonts w:cs="Arial"/>
          <w:b/>
          <w:sz w:val="20"/>
        </w:rPr>
      </w:pPr>
    </w:p>
    <w:p w:rsidR="0008794F" w:rsidRDefault="00321330">
      <w:pPr>
        <w:spacing w:line="240" w:lineRule="auto"/>
        <w:rPr>
          <w:rFonts w:cs="Arial"/>
          <w:lang w:eastAsia="ar-SA"/>
        </w:rPr>
      </w:pPr>
      <w:r w:rsidRPr="00321330">
        <w:rPr>
          <w:noProof/>
        </w:rPr>
        <w:pict>
          <v:shapetype id="_x0000_t202" coordsize="21600,21600" o:spt="202" path="m,l,21600r21600,l21600,xe">
            <v:stroke joinstyle="miter"/>
            <v:path gradientshapeok="t" o:connecttype="rect"/>
          </v:shapetype>
          <v:shape id="Textové pole 2" o:spid="_x0000_s1026" type="#_x0000_t202" style="position:absolute;margin-left:134.65pt;margin-top:759.8pt;width:403.95pt;height:14.15pt;z-index:9;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" filled="f" stroked="f">
            <v:textbox inset="0,0,0,0">
              <w:txbxContent>
                <w:p w:rsidR="00F80B71" w:rsidRPr="005251DD" w:rsidRDefault="00F80B71" w:rsidP="004F191F">
                  <w:r w:rsidRPr="005251DD">
                    <w:t xml:space="preserve">Český statistický úřad, </w:t>
                  </w:r>
                  <w:r>
                    <w:t>Praha, 201</w:t>
                  </w:r>
                  <w:r w:rsidR="0086454F">
                    <w:t>6</w:t>
                  </w:r>
                </w:p>
              </w:txbxContent>
            </v:textbox>
            <w10:wrap anchorx="page" anchory="page"/>
            <w10:anchorlock/>
          </v:shape>
        </w:pict>
      </w:r>
      <w:r w:rsidRPr="00321330">
        <w:rPr>
          <w:noProof/>
        </w:rPr>
        <w:pict>
          <v:shape id="_x0000_s1027" type="#_x0000_t202" style="position:absolute;margin-left:134.65pt;margin-top:590.25pt;width:394.65pt;height:134.65pt;z-index: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" filled="f" stroked="f">
            <v:textbox inset="0,0,0,0">
              <w:txbxContent>
                <w:p w:rsidR="00F80B71" w:rsidRDefault="00F80B71" w:rsidP="004F2A73">
                  <w:pPr>
                    <w:pStyle w:val="TL-Identifikace-dole"/>
                  </w:pPr>
                </w:p>
                <w:p w:rsidR="00F80B71" w:rsidRPr="006C5577" w:rsidRDefault="00F80B71" w:rsidP="004F2A73">
                  <w:pPr>
                    <w:pStyle w:val="TL-Identifikace-dole"/>
                  </w:pPr>
                  <w:r>
                    <w:t>Z</w:t>
                  </w:r>
                  <w:r w:rsidRPr="006C5577">
                    <w:t>pracoval: Odbor</w:t>
                  </w:r>
                  <w:r>
                    <w:t xml:space="preserve"> Kancelář předsedkyně, oddělení svodných analýz</w:t>
                  </w:r>
                  <w:r w:rsidRPr="006C5577">
                    <w:t xml:space="preserve"> </w:t>
                  </w:r>
                </w:p>
                <w:p w:rsidR="00F80B71" w:rsidRPr="006C5577" w:rsidRDefault="00F80B71" w:rsidP="004F191F">
                  <w:pPr>
                    <w:pStyle w:val="TL-Identifikace-dole"/>
                  </w:pPr>
                  <w:r w:rsidRPr="006C5577">
                    <w:t xml:space="preserve">Ředitel odboru: </w:t>
                  </w:r>
                  <w:proofErr w:type="spellStart"/>
                  <w:r>
                    <w:t>Egor</w:t>
                  </w:r>
                  <w:proofErr w:type="spellEnd"/>
                  <w:r>
                    <w:t xml:space="preserve"> </w:t>
                  </w:r>
                  <w:proofErr w:type="spellStart"/>
                  <w:r>
                    <w:t>Sidorov</w:t>
                  </w:r>
                  <w:proofErr w:type="spellEnd"/>
                  <w:r>
                    <w:t xml:space="preserve">, </w:t>
                  </w:r>
                  <w:proofErr w:type="spellStart"/>
                  <w:r>
                    <w:t>Ph.D</w:t>
                  </w:r>
                  <w:proofErr w:type="spellEnd"/>
                  <w:r>
                    <w:t>.</w:t>
                  </w:r>
                </w:p>
                <w:p w:rsidR="00F80B71" w:rsidRDefault="00F80B71" w:rsidP="004F191F">
                  <w:pPr>
                    <w:pStyle w:val="TL-Identifikace-dole"/>
                  </w:pPr>
                  <w:r>
                    <w:t>Autorka: Ing. Drahomíra Dubská, CSc.</w:t>
                  </w:r>
                </w:p>
                <w:p w:rsidR="00F80B71" w:rsidRDefault="00F80B71" w:rsidP="004F191F">
                  <w:pPr>
                    <w:pStyle w:val="TL-Identifikace-dole"/>
                  </w:pPr>
                  <w:r w:rsidRPr="006C5577">
                    <w:t xml:space="preserve">Kontaktní osoba: </w:t>
                  </w:r>
                  <w:r>
                    <w:t>Ing. Drahomíra Dubská, CSc., e-mail</w:t>
                  </w:r>
                  <w:r w:rsidRPr="006C5577">
                    <w:t xml:space="preserve">: </w:t>
                  </w:r>
                  <w:hyperlink r:id="rId8" w:history="1">
                    <w:r w:rsidRPr="00D6083C">
                      <w:rPr>
                        <w:rStyle w:val="Hypertextovodkaz"/>
                      </w:rPr>
                      <w:t>drahomira.dubska@czso.cz</w:t>
                    </w:r>
                  </w:hyperlink>
                </w:p>
                <w:p w:rsidR="00F80B71" w:rsidRDefault="00F80B71" w:rsidP="004F191F">
                  <w:pPr>
                    <w:pStyle w:val="TL-Identifikace-dole"/>
                  </w:pPr>
                  <w:r>
                    <w:t>Tel.:: 274 054 041</w:t>
                  </w:r>
                </w:p>
              </w:txbxContent>
            </v:textbox>
            <w10:wrap anchorx="page" anchory="page"/>
            <w10:anchorlock/>
          </v:shape>
        </w:pict>
      </w:r>
      <w:r w:rsidRPr="00321330">
        <w:rPr>
          <w:noProof/>
        </w:rPr>
        <w:pict>
          <v:shape id="Text Box 25" o:spid="_x0000_s1028" type="#_x0000_t202" style="position:absolute;margin-left:134.65pt;margin-top:383.25pt;width:394.6pt;height:155.55pt;z-index:7;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" filled="f" stroked="f">
            <v:textbox inset="0,0,0,0">
              <w:txbxContent>
                <w:p w:rsidR="00F80B71" w:rsidRPr="00D31445" w:rsidRDefault="00F80B71" w:rsidP="004F191F">
                  <w:pPr>
                    <w:pStyle w:val="TL-identifikace-sted"/>
                  </w:pPr>
                  <w:proofErr w:type="spellStart"/>
                  <w:r>
                    <w:t>Vícetematické</w:t>
                  </w:r>
                  <w:proofErr w:type="spellEnd"/>
                  <w:r>
                    <w:t xml:space="preserve"> informace</w:t>
                  </w:r>
                </w:p>
                <w:p w:rsidR="00F80B71" w:rsidRPr="00032210" w:rsidRDefault="00F80B71" w:rsidP="004F191F">
                  <w:pPr>
                    <w:pStyle w:val="TL-identifikace-sted"/>
                    <w:rPr>
                      <w:color w:val="000000"/>
                    </w:rPr>
                  </w:pPr>
                  <w:bookmarkStart w:id="0" w:name="_GoBack"/>
                  <w:r w:rsidRPr="00032210">
                    <w:rPr>
                      <w:color w:val="000000"/>
                    </w:rPr>
                    <w:t xml:space="preserve">Praha, </w:t>
                  </w:r>
                  <w:proofErr w:type="gramStart"/>
                  <w:r w:rsidR="0086454F" w:rsidRPr="00032210">
                    <w:rPr>
                      <w:color w:val="000000"/>
                    </w:rPr>
                    <w:t>28.1.2016</w:t>
                  </w:r>
                  <w:proofErr w:type="gramEnd"/>
                </w:p>
                <w:bookmarkEnd w:id="0"/>
                <w:p w:rsidR="00F80B71" w:rsidRPr="00C3252C" w:rsidRDefault="00F80B71" w:rsidP="004F191F">
                  <w:pPr>
                    <w:pStyle w:val="TL-identifikace-sted"/>
                  </w:pPr>
                  <w:r w:rsidRPr="00C3252C">
                    <w:t xml:space="preserve">Kód publikace: </w:t>
                  </w:r>
                  <w:r w:rsidRPr="00306F79">
                    <w:rPr>
                      <w:rStyle w:val="content"/>
                      <w:rFonts w:cs="Arial"/>
                      <w:szCs w:val="24"/>
                    </w:rPr>
                    <w:t>320290-16</w:t>
                  </w:r>
                </w:p>
                <w:p w:rsidR="00F80B71" w:rsidRPr="00032210" w:rsidRDefault="00F80B71" w:rsidP="004F191F">
                  <w:pPr>
                    <w:spacing w:after="200"/>
                    <w:rPr>
                      <w:color w:val="000000"/>
                      <w:sz w:val="24"/>
                    </w:rPr>
                  </w:pPr>
                  <w:r w:rsidRPr="00032210">
                    <w:rPr>
                      <w:color w:val="000000"/>
                      <w:sz w:val="24"/>
                    </w:rPr>
                    <w:t xml:space="preserve">Č. </w:t>
                  </w:r>
                  <w:proofErr w:type="spellStart"/>
                  <w:r w:rsidRPr="00032210">
                    <w:rPr>
                      <w:color w:val="000000"/>
                      <w:sz w:val="24"/>
                    </w:rPr>
                    <w:t>j</w:t>
                  </w:r>
                  <w:proofErr w:type="spellEnd"/>
                  <w:r w:rsidRPr="00032210">
                    <w:rPr>
                      <w:color w:val="000000"/>
                      <w:sz w:val="24"/>
                    </w:rPr>
                    <w:t xml:space="preserve">.: </w:t>
                  </w:r>
                  <w:r w:rsidR="0086454F" w:rsidRPr="00032210">
                    <w:rPr>
                      <w:color w:val="000000"/>
                      <w:sz w:val="24"/>
                    </w:rPr>
                    <w:t>166/</w:t>
                  </w:r>
                  <w:r w:rsidRPr="00032210">
                    <w:rPr>
                      <w:color w:val="000000"/>
                      <w:sz w:val="24"/>
                    </w:rPr>
                    <w:t>201</w:t>
                  </w:r>
                  <w:r w:rsidR="0086454F" w:rsidRPr="00032210">
                    <w:rPr>
                      <w:color w:val="000000"/>
                      <w:sz w:val="24"/>
                    </w:rPr>
                    <w:t>6</w:t>
                  </w:r>
                  <w:r w:rsidRPr="00032210">
                    <w:rPr>
                      <w:color w:val="000000"/>
                      <w:sz w:val="24"/>
                    </w:rPr>
                    <w:t xml:space="preserve"> - 01</w:t>
                  </w:r>
                </w:p>
                <w:p w:rsidR="00F80B71" w:rsidRPr="00F5435A" w:rsidRDefault="00F80B71" w:rsidP="004F191F">
                  <w:pPr>
                    <w:spacing w:after="200"/>
                    <w:rPr>
                      <w:color w:val="FF0000"/>
                      <w:sz w:val="24"/>
                    </w:rPr>
                  </w:pPr>
                </w:p>
              </w:txbxContent>
            </v:textbox>
            <w10:wrap anchorx="page" anchory="page"/>
            <w10:anchorlock/>
          </v:shape>
        </w:pict>
      </w:r>
      <w:r w:rsidRPr="00321330">
        <w:rPr>
          <w:noProof/>
        </w:rPr>
        <w:pict>
          <v:shape id="_x0000_s1029" type="#_x0000_t202" style="position:absolute;margin-left:134.65pt;margin-top:131.25pt;width:410.6pt;height:226.5pt;z-index: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Z4uwIAALcFAAAOAAAAZHJzL2Uyb0RvYy54bWysVNuOmzAQfa/Uf7D8znJZQgJ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" filled="f" stroked="f">
            <v:textbox inset="0,0,0,0">
              <w:txbxContent>
                <w:p w:rsidR="00F80B71" w:rsidRPr="00E41D90" w:rsidRDefault="00F80B71" w:rsidP="004F191F">
                  <w:pPr>
                    <w:pStyle w:val="Podtitul"/>
                    <w:rPr>
                      <w:sz w:val="66"/>
                      <w:szCs w:val="66"/>
                    </w:rPr>
                  </w:pPr>
                  <w:r>
                    <w:rPr>
                      <w:sz w:val="66"/>
                      <w:szCs w:val="66"/>
                    </w:rPr>
                    <w:t>SROVNÁVACÍ ANALÝZA VÝVOJE EKONOMIK ČESKÉ REPUBLIKY, SLOVENSKA A RAKOUSKA</w:t>
                  </w:r>
                </w:p>
              </w:txbxContent>
            </v:textbox>
            <w10:wrap anchorx="page" anchory="page"/>
            <w10:anchorlock/>
          </v:shape>
        </w:pict>
      </w:r>
      <w:r w:rsidRPr="00321330">
        <w:rPr>
          <w:noProof/>
        </w:rPr>
        <w:pict>
          <v:group id="Group 24" o:spid="_x0000_s1030" style="position:absolute;margin-left:45.1pt;margin-top:36.85pt;width:177.15pt;height:43.65pt;z-index:5;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">
            <o:lock v:ext="edit" aspectratio="t"/>
            <v:rect id="Rectangle 9" o:spid="_x0000_s1031" style="position:absolute;left:1215;top:901;width:676;height: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dfb4A&#10;AADaAAAADwAAAGRycy9kb3ducmV2LnhtbERPTYvCMBC9L/gfwgje1lQPrlTTIooguB62Cl7HZmyD&#10;zaQ00Xb/vTks7PHxvtf5YBvxos4bxwpm0wQEcem04UrB5bz/XILwAVlj45gU/JKHPBt9rDHVrucf&#10;ehWhEjGEfYoK6hDaVEpf1mTRT11LHLm76yyGCLtK6g77GG4bOU+ShbRoODbU2NK2pvJRPK0CI797&#10;W5yuO5c827O5ft2WPhyVmoyHzQpEoCH8i//cB60gbo1X4g2Q2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BHX2+AAAA2gAAAA8AAAAAAAAAAAAAAAAAmAIAAGRycy9kb3ducmV2&#10;LnhtbFBLBQYAAAAABAAEAPUAAACDAwAAAAA=&#10;" fillcolor="#0071bc" stroked="f">
              <o:lock v:ext="edit" aspectratio="t"/>
            </v:rect>
            <v:rect id="Rectangle 10" o:spid="_x0000_s1032" style="position:absolute;left:567;top:1131;width:1324;height: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45sIA&#10;AADaAAAADwAAAGRycy9kb3ducmV2LnhtbESPT4vCMBTE74LfITzBm6Z68E/XKIuysLB6sApen83b&#10;NmzzUppou9/eCILHYWZ+w6w2na3EnRpvHCuYjBMQxLnThgsF59PXaAHCB2SNlWNS8E8eNut+b4Wp&#10;di0f6Z6FQkQI+xQVlCHUqZQ+L8miH7uaOHq/rrEYomwKqRtsI9xWcpokM2nRcFwosaZtSflfdrMK&#10;jNy3Njtcdi651SdzmV8XPvwoNRx0nx8gAnXhHX61v7WCJTyvxBs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jbjmwgAAANoAAAAPAAAAAAAAAAAAAAAAAJgCAABkcnMvZG93&#10;bnJldi54bWxQSwUGAAAAAAQABAD1AAAAhwMAAAAA&#10;" fillcolor="#0071bc" stroked="f">
              <o:lock v:ext="edit" aspectratio="t"/>
            </v:rect>
            <v:rect id="Rectangle 11" o:spid="_x0000_s1033" style="position:absolute;left:1288;top:1361;width:603;height:1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CmR8QA&#10;AADbAAAADwAAAGRycy9kb3ducmV2LnhtbESPQWvCQBSE7wX/w/KE3pqNUtoQXUUshULbQxMh12f2&#10;mSxm34bsauK/dwuFHoeZ+YZZbyfbiSsN3jhWsEhSEMS104YbBYfy/SkD4QOyxs4xKbiRh+1m9rDG&#10;XLuRf+hahEZECPscFbQh9LmUvm7Jok9cTxy9kxsshiiHRuoBxwi3nVym6Yu0aDgutNjTvqX6XFys&#10;AiO/Rlt8V28uvfSlqV6PmQ+fSj3Op90KRKAp/If/2h9awfIZf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QpkfEAAAA2wAAAA8AAAAAAAAAAAAAAAAAmAIAAGRycy9k&#10;b3ducmV2LnhtbFBLBQYAAAAABAAEAPUAAACJAwAAAAA=&#10;" fillcolor="#0071bc" stroked="f">
              <o:lock v:ext="edit" aspectratio="t"/>
            </v:rect>
            <v:shape id="Freeform 12" o:spid="_x0000_s1034" style="position:absolute;left:1969;top:1311;width:600;height:207;visibility:visible;mso-wrap-style:square;v-text-anchor:top" coordsize="120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cN8EA&#10;AADbAAAADwAAAGRycy9kb3ducmV2LnhtbESPQYvCMBSE78L+h/AEb5paUJauUYqs7IqnrfX+aN42&#10;xealNFHrvzeC4HGYmW+Y1WawrbhS7xvHCuazBARx5XTDtYLyuJt+gvABWWPrmBTcycNm/TFaYabd&#10;jf/oWoRaRAj7DBWYELpMSl8ZsuhnriOO3r/rLYYo+1rqHm8RbluZJslSWmw4LhjsaGuoOhcXq+A7&#10;J0N52W0L3renn9P5kDb7g1KT8ZB/gQg0hHf41f7VCtIFPL/E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MHDfBAAAA2wAAAA8AAAAAAAAAAAAAAAAAmAIAAGRycy9kb3du&#10;cmV2LnhtbFBLBQYAAAAABAAEAPUAAACGAw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aspectratio="t" verticies="t"/>
            </v:shape>
            <v:shape id="Freeform 13" o:spid="_x0000_s1035" style="position:absolute;left:1962;top:1081;width:1319;height:208;visibility:visible;mso-wrap-style:square;v-text-anchor:top" coordsize="263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haAMYA&#10;AADbAAAADwAAAGRycy9kb3ducmV2LnhtbESPQWvCQBSE7wX/w/KEXqRuVBBJ3YSiFKQqqGkPvT2y&#10;r0lo9m3Y3Zr033cFocdhZr5h1vlgWnEl5xvLCmbTBARxaXXDlYL34vVpBcIHZI2tZVLwSx7ybPSw&#10;xlTbns90vYRKRAj7FBXUIXSplL6syaCf2o44el/WGQxRukpqh32Em1bOk2QpDTYcF2rsaFNT+X35&#10;MQo2RfvhFod+f3aT7e7t81jJ4nhS6nE8vDyDCDSE//C9vdMK5ku4fY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haAMYAAADbAAAADwAAAAAAAAAAAAAAAACYAgAAZHJz&#10;L2Rvd25yZXYueG1sUEsFBgAAAAAEAAQA9QAAAIsDA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aspectratio="t" verticies="t"/>
            </v:shape>
            <v:shape id="Freeform 14" o:spid="_x0000_s1036" style="position:absolute;left:1962;top:851;width:679;height:208;visibility:visible;mso-wrap-style:square;v-text-anchor:top" coordsize="135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zGsMA&#10;AADbAAAADwAAAGRycy9kb3ducmV2LnhtbESPQWvCQBSE74L/YXmCF6mbetCSukpVot5KVXp+zT6T&#10;0OzbdHc18d+7BcHjMPPNMPNlZ2pxJecrywpexwkI4tzqigsFp2P28gbCB2SNtWVScCMPy0W/N8dU&#10;25a/6HoIhYgl7FNUUIbQpFL6vCSDfmwb4uidrTMYonSF1A7bWG5qOUmSqTRYcVwosaF1Sfnv4WIU&#10;TKbfP7tsX6w+6+3fyOnzJhu1G6WGg+7jHUSgLjzDD3qvIzeD/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gzGsMAAADbAAAADwAAAAAAAAAAAAAAAACYAgAAZHJzL2Rv&#10;d25yZXYueG1sUEsFBgAAAAAEAAQA9QAAAIgDA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aspectratio="t" verticies="t"/>
            </v:shape>
            <w10:wrap type="square" anchorx="page" anchory="page"/>
          </v:group>
        </w:pict>
      </w:r>
    </w:p>
    <w:p w:rsidR="0008794F" w:rsidRDefault="0008794F" w:rsidP="0060487F">
      <w:pPr>
        <w:pStyle w:val="Styl1"/>
        <w:rPr>
          <w:rFonts w:cs="Arial"/>
          <w:sz w:val="20"/>
        </w:rPr>
      </w:pPr>
    </w:p>
    <w:p w:rsidR="0008794F" w:rsidRDefault="0008794F" w:rsidP="0060487F">
      <w:pPr>
        <w:pStyle w:val="Styl1"/>
        <w:rPr>
          <w:rFonts w:cs="Arial"/>
          <w:sz w:val="20"/>
        </w:rPr>
      </w:pPr>
    </w:p>
    <w:p w:rsidR="0008794F" w:rsidRDefault="0008794F" w:rsidP="0060487F">
      <w:pPr>
        <w:pStyle w:val="Styl1"/>
        <w:rPr>
          <w:rFonts w:cs="Arial"/>
          <w:sz w:val="20"/>
        </w:rPr>
      </w:pPr>
    </w:p>
    <w:p w:rsidR="0008794F" w:rsidRDefault="0008794F" w:rsidP="00D31932">
      <w:pPr>
        <w:autoSpaceDE w:val="0"/>
        <w:autoSpaceDN w:val="0"/>
        <w:adjustRightInd w:val="0"/>
        <w:spacing w:line="240" w:lineRule="auto"/>
        <w:jc w:val="both"/>
        <w:rPr>
          <w:rFonts w:cs="Arial"/>
        </w:rPr>
      </w:pPr>
    </w:p>
    <w:p w:rsidR="0008794F" w:rsidRDefault="00321330" w:rsidP="00D31932">
      <w:pPr>
        <w:autoSpaceDE w:val="0"/>
        <w:autoSpaceDN w:val="0"/>
        <w:adjustRightInd w:val="0"/>
        <w:spacing w:line="240" w:lineRule="auto"/>
        <w:jc w:val="both"/>
        <w:rPr>
          <w:rFonts w:cs="Arial"/>
          <w:lang w:eastAsia="ar-SA"/>
        </w:rPr>
      </w:pPr>
      <w:r w:rsidRPr="00321330">
        <w:rPr>
          <w:noProof/>
        </w:rPr>
        <w:pict>
          <v:line id="Přímá spojnice 33" o:spid="_x0000_s1037" style="position:absolute;left:0;text-align:left;z-index:4;visibility:visible;mso-wrap-distance-top:-3e-5mm;mso-wrap-distance-bottom:-3e-5mm;mso-position-horizontal-relative:page;mso-position-vertical-relative:page"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C/3IlB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w:r>
      <w:r w:rsidR="0008794F">
        <w:rPr>
          <w:rFonts w:cs="Arial"/>
        </w:rPr>
        <w:br w:type="page"/>
      </w:r>
    </w:p>
    <w:p w:rsidR="0008794F" w:rsidRDefault="0008794F" w:rsidP="0060487F">
      <w:pPr>
        <w:pStyle w:val="Styl1"/>
        <w:rPr>
          <w:rFonts w:cs="Arial"/>
          <w:sz w:val="20"/>
        </w:rPr>
      </w:pPr>
    </w:p>
    <w:p w:rsidR="0008794F" w:rsidRDefault="0008794F" w:rsidP="0060487F">
      <w:pPr>
        <w:pStyle w:val="Styl1"/>
        <w:rPr>
          <w:rFonts w:cs="Arial"/>
          <w:sz w:val="20"/>
        </w:rPr>
      </w:pPr>
    </w:p>
    <w:p w:rsidR="0008794F" w:rsidRDefault="0008794F">
      <w:pPr>
        <w:spacing w:line="240" w:lineRule="auto"/>
        <w:rPr>
          <w:rFonts w:cs="Arial"/>
          <w:lang w:eastAsia="ar-SA"/>
        </w:rPr>
      </w:pPr>
    </w:p>
    <w:p w:rsidR="0008794F" w:rsidRDefault="0008794F" w:rsidP="0060487F">
      <w:pPr>
        <w:pStyle w:val="Styl1"/>
        <w:rPr>
          <w:rFonts w:cs="Arial"/>
          <w:sz w:val="20"/>
        </w:rPr>
      </w:pPr>
    </w:p>
    <w:p w:rsidR="0008794F" w:rsidRPr="006404A7" w:rsidRDefault="00321330" w:rsidP="0060487F">
      <w:pPr>
        <w:pStyle w:val="Styl1"/>
        <w:rPr>
          <w:rFonts w:cs="Arial"/>
          <w:color w:val="7DB41E"/>
          <w:sz w:val="20"/>
          <w:szCs w:val="20"/>
        </w:rPr>
      </w:pPr>
      <w:r w:rsidRPr="00321330">
        <w:rPr>
          <w:noProof/>
          <w:lang w:eastAsia="cs-CZ"/>
        </w:rPr>
        <w:pict>
          <v:shape id="_x0000_s1038" type="#_x0000_t202" style="position:absolute;margin-left:56.7pt;margin-top:116.25pt;width:481.9pt;height:595.3pt;z-index:3;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" filled="f" stroked="f">
            <v:textbox inset="0,0,0,0">
              <w:txbxContent>
                <w:p w:rsidR="00F80B71" w:rsidRPr="00207730" w:rsidRDefault="00F80B71" w:rsidP="00437C76">
                  <w:pPr>
                    <w:pStyle w:val="TL-Kontakty"/>
                    <w:rPr>
                      <w:b w:val="0"/>
                    </w:rPr>
                  </w:pPr>
                  <w:r w:rsidRPr="00207730">
                    <w:rPr>
                      <w:rStyle w:val="TL-KontaktyChar"/>
                    </w:rPr>
                    <w:t>KONTAKTY V ÚSTŘEDÍ</w:t>
                  </w:r>
                </w:p>
                <w:p w:rsidR="00F80B71" w:rsidRPr="00EA4153" w:rsidRDefault="00F80B71" w:rsidP="00BD366B">
                  <w:pPr>
                    <w:spacing w:after="80" w:line="240" w:lineRule="auto"/>
                    <w:rPr>
                      <w:b/>
                      <w:color w:val="0071BC"/>
                    </w:rPr>
                  </w:pPr>
                  <w:r w:rsidRPr="00320214">
                    <w:rPr>
                      <w:b/>
                      <w:color w:val="0071BC"/>
                    </w:rPr>
                    <w:t>Český statistický úřad</w:t>
                  </w:r>
                  <w:r>
                    <w:rPr>
                      <w:b/>
                      <w:color w:val="0071BC"/>
                    </w:rPr>
                    <w:t xml:space="preserve"> | </w:t>
                  </w:r>
                  <w:r>
                    <w:t xml:space="preserve">Na padesátém 81, 100 82 Praha 10 | tel.: 274 051 111 | </w:t>
                  </w:r>
                  <w:r w:rsidRPr="00841D9F">
                    <w:rPr>
                      <w:b/>
                      <w:bCs/>
                    </w:rPr>
                    <w:t>www.czso.cz</w:t>
                  </w:r>
                </w:p>
                <w:p w:rsidR="00F80B71" w:rsidRPr="00B27293" w:rsidRDefault="00F80B71" w:rsidP="00BD366B">
                  <w:pPr>
                    <w:spacing w:after="80" w:line="240" w:lineRule="auto"/>
                  </w:pPr>
                  <w:r w:rsidRPr="00100014">
                    <w:rPr>
                      <w:b/>
                    </w:rPr>
                    <w:t>Oddělení informačních služeb</w:t>
                  </w:r>
                  <w:r w:rsidRPr="00EA4153">
                    <w:t xml:space="preserve"> |</w:t>
                  </w:r>
                  <w:r>
                    <w:rPr>
                      <w:b/>
                    </w:rPr>
                    <w:t xml:space="preserve"> </w:t>
                  </w:r>
                  <w:r>
                    <w:t>tel.: 274 052 648, 274 052 304, 274 052 451 | e-mail: infoservis@czso.cz</w:t>
                  </w:r>
                </w:p>
                <w:p w:rsidR="00F80B71" w:rsidRPr="00EA4153" w:rsidRDefault="00F80B71" w:rsidP="00BD366B">
                  <w:pPr>
                    <w:spacing w:after="80" w:line="240" w:lineRule="auto"/>
                    <w:rPr>
                      <w:b/>
                    </w:rPr>
                  </w:pPr>
                  <w:r w:rsidRPr="00100014">
                    <w:rPr>
                      <w:b/>
                    </w:rPr>
                    <w:t>Prodejna publikací ČSÚ</w:t>
                  </w:r>
                  <w:r>
                    <w:t xml:space="preserve"> | tel.: 274 052 361 | e-mail: prodejna@czso.cz</w:t>
                  </w:r>
                </w:p>
                <w:p w:rsidR="00F80B71" w:rsidRPr="00EA4153" w:rsidRDefault="00F80B71" w:rsidP="00BD366B">
                  <w:pPr>
                    <w:spacing w:after="80" w:line="240" w:lineRule="auto"/>
                    <w:rPr>
                      <w:b/>
                    </w:rPr>
                  </w:pPr>
                  <w:r>
                    <w:rPr>
                      <w:b/>
                    </w:rPr>
                    <w:t xml:space="preserve">Evropská data (ESDS), </w:t>
                  </w:r>
                  <w:r w:rsidRPr="00100014">
                    <w:rPr>
                      <w:b/>
                    </w:rPr>
                    <w:t>mezinárodní srovnání</w:t>
                  </w:r>
                  <w:r>
                    <w:t xml:space="preserve"> | tel.: 274 052 347, 274 052 757 | e-mail: esds@czso.cz</w:t>
                  </w:r>
                </w:p>
                <w:p w:rsidR="00F80B71" w:rsidRPr="00EA4153" w:rsidRDefault="00F80B71" w:rsidP="00BD366B">
                  <w:pPr>
                    <w:spacing w:after="80" w:line="240" w:lineRule="auto"/>
                    <w:rPr>
                      <w:b/>
                    </w:rPr>
                  </w:pPr>
                  <w:r w:rsidRPr="00100014">
                    <w:rPr>
                      <w:b/>
                    </w:rPr>
                    <w:t>Ústřední statistická knihovna</w:t>
                  </w:r>
                  <w:r>
                    <w:t xml:space="preserve"> | tel.: 274 052 361 | e-mail: knihovna@czso.cz</w:t>
                  </w:r>
                </w:p>
                <w:p w:rsidR="00F80B71" w:rsidRDefault="00F80B71" w:rsidP="00BD366B">
                  <w:pPr>
                    <w:spacing w:line="240" w:lineRule="auto"/>
                  </w:pPr>
                </w:p>
                <w:p w:rsidR="00F80B71" w:rsidRPr="0071229A" w:rsidRDefault="00F80B71" w:rsidP="004F06F5">
                  <w:pPr>
                    <w:pStyle w:val="TL-Kontakty"/>
                  </w:pPr>
                  <w:r w:rsidRPr="0071229A">
                    <w:t>INFORMAČNÍ SLUŽBY V REGIONECH</w:t>
                  </w:r>
                </w:p>
                <w:p w:rsidR="00F80B71" w:rsidRDefault="00F80B71" w:rsidP="00BD366B">
                  <w:pPr>
                    <w:spacing w:line="240" w:lineRule="auto"/>
                  </w:pPr>
                  <w:r w:rsidRPr="00100014">
                    <w:rPr>
                      <w:b/>
                      <w:color w:val="0071BC"/>
                    </w:rPr>
                    <w:t>Hl. m. Praha</w:t>
                  </w:r>
                  <w:r>
                    <w:t xml:space="preserve"> | Na padesátém 81, 100 82 Praha 10 | tel.: 274 052 673, 274 054 223</w:t>
                  </w:r>
                </w:p>
                <w:p w:rsidR="00F80B71" w:rsidRPr="00100014" w:rsidRDefault="00F80B71" w:rsidP="00BD366B">
                  <w:pPr>
                    <w:spacing w:line="240" w:lineRule="auto"/>
                    <w:rPr>
                      <w:b/>
                    </w:rPr>
                  </w:pPr>
                  <w:r>
                    <w:t xml:space="preserve">e-mail: infoservispraha@czso.cz | </w:t>
                  </w:r>
                  <w:r w:rsidRPr="00100014">
                    <w:rPr>
                      <w:b/>
                    </w:rPr>
                    <w:t>www.praha.czso.cz</w:t>
                  </w:r>
                </w:p>
                <w:p w:rsidR="00F80B71" w:rsidRDefault="00F80B71" w:rsidP="00BD366B">
                  <w:pPr>
                    <w:spacing w:line="240" w:lineRule="auto"/>
                  </w:pPr>
                </w:p>
                <w:p w:rsidR="00F80B71" w:rsidRPr="00B27293" w:rsidRDefault="00F80B71" w:rsidP="00BD366B">
                  <w:pPr>
                    <w:spacing w:line="240" w:lineRule="auto"/>
                    <w:rPr>
                      <w:b/>
                      <w:color w:val="0071BC"/>
                    </w:rPr>
                  </w:pPr>
                  <w:r w:rsidRPr="00100014">
                    <w:rPr>
                      <w:b/>
                      <w:color w:val="0071BC"/>
                    </w:rPr>
                    <w:t>Středočeský kraj</w:t>
                  </w:r>
                  <w:r>
                    <w:t xml:space="preserve"> | Na padesátém 81, 100 82 Praha 10</w:t>
                  </w:r>
                  <w:r w:rsidRPr="00B27293">
                    <w:t xml:space="preserve"> |</w:t>
                  </w:r>
                  <w:r w:rsidRPr="00B27293">
                    <w:rPr>
                      <w:b/>
                    </w:rPr>
                    <w:t xml:space="preserve"> </w:t>
                  </w:r>
                  <w:r>
                    <w:t>tel.: 274 054 175</w:t>
                  </w:r>
                </w:p>
                <w:p w:rsidR="00F80B71" w:rsidRPr="00B27293" w:rsidRDefault="00F80B71" w:rsidP="00BD366B">
                  <w:pPr>
                    <w:spacing w:line="240" w:lineRule="auto"/>
                  </w:pPr>
                  <w:r>
                    <w:t xml:space="preserve">e-mail: infoservisstc@czso.cz | </w:t>
                  </w:r>
                  <w:r w:rsidRPr="00100014">
                    <w:rPr>
                      <w:b/>
                    </w:rPr>
                    <w:t>www.stredocesky.czso.cz</w:t>
                  </w:r>
                </w:p>
                <w:p w:rsidR="00F80B71" w:rsidRDefault="00F80B71" w:rsidP="00BD366B">
                  <w:pPr>
                    <w:spacing w:line="240" w:lineRule="auto"/>
                  </w:pPr>
                </w:p>
                <w:p w:rsidR="00F80B71" w:rsidRPr="00B27293" w:rsidRDefault="00F80B71" w:rsidP="00BD366B">
                  <w:pPr>
                    <w:spacing w:line="240" w:lineRule="auto"/>
                    <w:rPr>
                      <w:b/>
                      <w:color w:val="0071BC"/>
                    </w:rPr>
                  </w:pPr>
                  <w:r w:rsidRPr="00100014">
                    <w:rPr>
                      <w:b/>
                      <w:color w:val="0071BC"/>
                    </w:rPr>
                    <w:t>České Budějovice</w:t>
                  </w:r>
                  <w:r>
                    <w:t xml:space="preserve"> | Žižkova 1, 370 77 České Budějovice | tel.: 386 718 440</w:t>
                  </w:r>
                </w:p>
                <w:p w:rsidR="00F80B71" w:rsidRPr="00B27293" w:rsidRDefault="00F80B71" w:rsidP="00BD366B">
                  <w:pPr>
                    <w:spacing w:line="240" w:lineRule="auto"/>
                  </w:pPr>
                  <w:r>
                    <w:t xml:space="preserve">e-mail: infoserviscb@czso.cz | </w:t>
                  </w:r>
                  <w:r w:rsidRPr="00100014">
                    <w:rPr>
                      <w:b/>
                    </w:rPr>
                    <w:t>www.cbudejovice.czso.cz</w:t>
                  </w:r>
                </w:p>
                <w:p w:rsidR="00F80B71" w:rsidRDefault="00F80B71" w:rsidP="00BD366B">
                  <w:pPr>
                    <w:spacing w:line="240" w:lineRule="auto"/>
                  </w:pPr>
                </w:p>
                <w:p w:rsidR="00F80B71" w:rsidRPr="00B27293" w:rsidRDefault="00F80B71" w:rsidP="00BD366B">
                  <w:pPr>
                    <w:spacing w:line="240" w:lineRule="auto"/>
                    <w:rPr>
                      <w:b/>
                      <w:color w:val="0071BC"/>
                    </w:rPr>
                  </w:pPr>
                  <w:r w:rsidRPr="0071229A">
                    <w:rPr>
                      <w:b/>
                      <w:color w:val="0071BC"/>
                    </w:rPr>
                    <w:t>Plzeň</w:t>
                  </w:r>
                  <w:r>
                    <w:t xml:space="preserve"> | Slovanská alej 36, 326 64 Plzeň | tel.: 377 612 108, 377 612 249</w:t>
                  </w:r>
                </w:p>
                <w:p w:rsidR="00F80B71" w:rsidRPr="00B27293" w:rsidRDefault="00F80B71" w:rsidP="00BD366B">
                  <w:pPr>
                    <w:spacing w:line="240" w:lineRule="auto"/>
                  </w:pPr>
                  <w:r>
                    <w:t xml:space="preserve">e-mail: infoservisplzen@czso.cz | </w:t>
                  </w:r>
                  <w:r w:rsidRPr="0071229A">
                    <w:rPr>
                      <w:b/>
                    </w:rPr>
                    <w:t>www.plzen.czso.cz</w:t>
                  </w:r>
                </w:p>
                <w:p w:rsidR="00F80B71" w:rsidRDefault="00F80B71" w:rsidP="00BD366B">
                  <w:pPr>
                    <w:spacing w:line="240" w:lineRule="auto"/>
                  </w:pPr>
                </w:p>
                <w:p w:rsidR="00F80B71" w:rsidRPr="00B27293" w:rsidRDefault="00F80B71" w:rsidP="00BD366B">
                  <w:pPr>
                    <w:spacing w:line="240" w:lineRule="auto"/>
                    <w:rPr>
                      <w:b/>
                      <w:color w:val="0071BC"/>
                    </w:rPr>
                  </w:pPr>
                  <w:r w:rsidRPr="0071229A">
                    <w:rPr>
                      <w:b/>
                      <w:color w:val="0071BC"/>
                    </w:rPr>
                    <w:t>Karlovy Vary</w:t>
                  </w:r>
                  <w:r>
                    <w:t xml:space="preserve"> | Sportovní 28, 360 01 Karlovy Vary | tel.: 353 114 529, 353 114 525</w:t>
                  </w:r>
                </w:p>
                <w:p w:rsidR="00F80B71" w:rsidRDefault="00F80B71" w:rsidP="00BD366B">
                  <w:pPr>
                    <w:spacing w:line="240" w:lineRule="auto"/>
                    <w:rPr>
                      <w:b/>
                    </w:rPr>
                  </w:pPr>
                  <w:r>
                    <w:t xml:space="preserve">e-mail: infoserviskv@czso.cz | </w:t>
                  </w:r>
                  <w:r>
                    <w:rPr>
                      <w:b/>
                    </w:rPr>
                    <w:t>www.kvary.czso.cz</w:t>
                  </w:r>
                </w:p>
                <w:p w:rsidR="00F80B71" w:rsidRDefault="00F80B71" w:rsidP="00BD366B">
                  <w:pPr>
                    <w:spacing w:line="240" w:lineRule="auto"/>
                  </w:pPr>
                </w:p>
                <w:p w:rsidR="00F80B71" w:rsidRPr="00B27293" w:rsidRDefault="00F80B71" w:rsidP="00BD366B">
                  <w:pPr>
                    <w:spacing w:line="240" w:lineRule="auto"/>
                    <w:rPr>
                      <w:b/>
                      <w:bCs/>
                      <w:color w:val="0071BC"/>
                    </w:rPr>
                  </w:pPr>
                  <w:r w:rsidRPr="0071229A">
                    <w:rPr>
                      <w:b/>
                      <w:bCs/>
                      <w:color w:val="0071BC"/>
                    </w:rPr>
                    <w:t>Ústí nad Labem</w:t>
                  </w:r>
                  <w:r>
                    <w:t xml:space="preserve"> | </w:t>
                  </w:r>
                  <w:proofErr w:type="spellStart"/>
                  <w:r w:rsidRPr="0071229A">
                    <w:rPr>
                      <w:bCs/>
                    </w:rPr>
                    <w:t>Špálova</w:t>
                  </w:r>
                  <w:proofErr w:type="spellEnd"/>
                  <w:r w:rsidRPr="0071229A">
                    <w:rPr>
                      <w:bCs/>
                    </w:rPr>
                    <w:t xml:space="preserve"> 2684, 400 11 Ústí nad Labem</w:t>
                  </w:r>
                  <w:r>
                    <w:t xml:space="preserve"> | </w:t>
                  </w:r>
                  <w:r w:rsidRPr="0071229A">
                    <w:rPr>
                      <w:bCs/>
                    </w:rPr>
                    <w:t>tel.: 472 706 176, 472 706 121</w:t>
                  </w:r>
                </w:p>
                <w:p w:rsidR="00F80B71" w:rsidRPr="00B27293" w:rsidRDefault="00F80B71" w:rsidP="00BD366B">
                  <w:pPr>
                    <w:spacing w:line="240" w:lineRule="auto"/>
                    <w:rPr>
                      <w:bCs/>
                    </w:rPr>
                  </w:pPr>
                  <w:r w:rsidRPr="0071229A">
                    <w:rPr>
                      <w:bCs/>
                    </w:rPr>
                    <w:t>e-mail: infoservisul@czso.cz</w:t>
                  </w:r>
                  <w:r>
                    <w:t xml:space="preserve"> | </w:t>
                  </w:r>
                  <w:r w:rsidRPr="0071229A">
                    <w:rPr>
                      <w:b/>
                      <w:bCs/>
                    </w:rPr>
                    <w:t>www.ustinadlabem.czso.cz</w:t>
                  </w:r>
                </w:p>
                <w:p w:rsidR="00F80B71" w:rsidRPr="0071229A" w:rsidRDefault="00F80B71" w:rsidP="00BD366B">
                  <w:pPr>
                    <w:spacing w:line="240" w:lineRule="auto"/>
                    <w:rPr>
                      <w:bCs/>
                    </w:rPr>
                  </w:pPr>
                </w:p>
                <w:p w:rsidR="00F80B71" w:rsidRPr="00B27293" w:rsidRDefault="00F80B71" w:rsidP="00BD366B">
                  <w:pPr>
                    <w:spacing w:line="240" w:lineRule="auto"/>
                    <w:rPr>
                      <w:b/>
                      <w:bCs/>
                      <w:color w:val="0071BC"/>
                    </w:rPr>
                  </w:pPr>
                  <w:r w:rsidRPr="0071229A">
                    <w:rPr>
                      <w:b/>
                      <w:bCs/>
                      <w:color w:val="0071BC"/>
                    </w:rPr>
                    <w:t>Liberec</w:t>
                  </w:r>
                  <w:r>
                    <w:t xml:space="preserve"> | </w:t>
                  </w:r>
                  <w:r w:rsidRPr="0071229A">
                    <w:rPr>
                      <w:bCs/>
                    </w:rPr>
                    <w:t>Nám. Dr. Edvarda Beneše 585/26, 460 01 Liberec 1</w:t>
                  </w:r>
                  <w:r>
                    <w:t xml:space="preserve"> | </w:t>
                  </w:r>
                  <w:r w:rsidRPr="0071229A">
                    <w:rPr>
                      <w:bCs/>
                    </w:rPr>
                    <w:t>tel.: 485 238 811</w:t>
                  </w:r>
                </w:p>
                <w:p w:rsidR="00F80B71" w:rsidRPr="00B27293" w:rsidRDefault="00F80B71" w:rsidP="00BD366B">
                  <w:pPr>
                    <w:spacing w:line="240" w:lineRule="auto"/>
                    <w:rPr>
                      <w:bCs/>
                    </w:rPr>
                  </w:pPr>
                  <w:r w:rsidRPr="0071229A">
                    <w:rPr>
                      <w:bCs/>
                    </w:rPr>
                    <w:t>e-mail: infoservislbc@czso.cz</w:t>
                  </w:r>
                  <w:r>
                    <w:t xml:space="preserve"> | </w:t>
                  </w:r>
                  <w:r w:rsidRPr="0071229A">
                    <w:rPr>
                      <w:b/>
                      <w:bCs/>
                    </w:rPr>
                    <w:t>www.liberec.czso.cz</w:t>
                  </w:r>
                </w:p>
                <w:p w:rsidR="00F80B71" w:rsidRPr="0071229A" w:rsidRDefault="00F80B71" w:rsidP="00BD366B">
                  <w:pPr>
                    <w:spacing w:line="240" w:lineRule="auto"/>
                    <w:rPr>
                      <w:bCs/>
                    </w:rPr>
                  </w:pPr>
                </w:p>
                <w:p w:rsidR="00F80B71" w:rsidRPr="00B27293" w:rsidRDefault="00F80B71" w:rsidP="00BD366B">
                  <w:pPr>
                    <w:spacing w:line="240" w:lineRule="auto"/>
                    <w:rPr>
                      <w:b/>
                      <w:bCs/>
                      <w:color w:val="0071BC"/>
                    </w:rPr>
                  </w:pPr>
                  <w:r w:rsidRPr="0071229A">
                    <w:rPr>
                      <w:b/>
                      <w:bCs/>
                      <w:color w:val="0071BC"/>
                    </w:rPr>
                    <w:t>Hradec Králové</w:t>
                  </w:r>
                  <w:r>
                    <w:t xml:space="preserve"> | </w:t>
                  </w:r>
                  <w:r>
                    <w:rPr>
                      <w:bCs/>
                    </w:rPr>
                    <w:t xml:space="preserve">Myslivečkova 914, </w:t>
                  </w:r>
                  <w:r w:rsidRPr="0071229A">
                    <w:rPr>
                      <w:bCs/>
                    </w:rPr>
                    <w:t>500 03 Hradec Králové 3</w:t>
                  </w:r>
                  <w:r>
                    <w:t xml:space="preserve"> | t</w:t>
                  </w:r>
                  <w:r w:rsidRPr="0071229A">
                    <w:rPr>
                      <w:bCs/>
                    </w:rPr>
                    <w:t>el.: 495 762 322, 495 762 317</w:t>
                  </w:r>
                </w:p>
                <w:p w:rsidR="00F80B71" w:rsidRPr="00B27293" w:rsidRDefault="00F80B71" w:rsidP="00BD366B">
                  <w:pPr>
                    <w:spacing w:line="240" w:lineRule="auto"/>
                    <w:rPr>
                      <w:bCs/>
                    </w:rPr>
                  </w:pPr>
                  <w:r w:rsidRPr="0071229A">
                    <w:rPr>
                      <w:bCs/>
                    </w:rPr>
                    <w:t>e-mail: infoservishk@czso.cz</w:t>
                  </w:r>
                  <w:r>
                    <w:t xml:space="preserve"> | </w:t>
                  </w:r>
                  <w:r w:rsidRPr="0071229A">
                    <w:rPr>
                      <w:b/>
                      <w:bCs/>
                    </w:rPr>
                    <w:t>www.hradeckralove.czso.cz</w:t>
                  </w:r>
                </w:p>
                <w:p w:rsidR="00F80B71" w:rsidRPr="0071229A" w:rsidRDefault="00F80B71" w:rsidP="00BD366B">
                  <w:pPr>
                    <w:spacing w:line="240" w:lineRule="auto"/>
                    <w:rPr>
                      <w:bCs/>
                    </w:rPr>
                  </w:pPr>
                </w:p>
                <w:p w:rsidR="00F80B71" w:rsidRPr="00B27293" w:rsidRDefault="00F80B71" w:rsidP="00BD366B">
                  <w:pPr>
                    <w:spacing w:line="240" w:lineRule="auto"/>
                    <w:rPr>
                      <w:b/>
                      <w:bCs/>
                      <w:color w:val="0071BC"/>
                    </w:rPr>
                  </w:pPr>
                  <w:r w:rsidRPr="0071229A">
                    <w:rPr>
                      <w:b/>
                      <w:bCs/>
                      <w:color w:val="0071BC"/>
                    </w:rPr>
                    <w:t>Pardubice</w:t>
                  </w:r>
                  <w:r>
                    <w:t xml:space="preserve"> | </w:t>
                  </w:r>
                  <w:r w:rsidRPr="0071229A">
                    <w:rPr>
                      <w:bCs/>
                    </w:rPr>
                    <w:t>V Ráji 872, 531 53 Pardubice</w:t>
                  </w:r>
                  <w:r>
                    <w:t xml:space="preserve"> | </w:t>
                  </w:r>
                  <w:r w:rsidRPr="0071229A">
                    <w:rPr>
                      <w:bCs/>
                    </w:rPr>
                    <w:t>tel.: 466 743 480, 466 743 418</w:t>
                  </w:r>
                </w:p>
                <w:p w:rsidR="00F80B71" w:rsidRPr="00B27293" w:rsidRDefault="00F80B71" w:rsidP="00BD366B">
                  <w:pPr>
                    <w:spacing w:line="240" w:lineRule="auto"/>
                    <w:rPr>
                      <w:bCs/>
                    </w:rPr>
                  </w:pPr>
                  <w:r w:rsidRPr="0071229A">
                    <w:rPr>
                      <w:bCs/>
                    </w:rPr>
                    <w:t>e-mail: infoservispa@czso.cz</w:t>
                  </w:r>
                  <w:r>
                    <w:t xml:space="preserve"> | </w:t>
                  </w:r>
                  <w:r w:rsidRPr="0071229A">
                    <w:rPr>
                      <w:b/>
                      <w:bCs/>
                    </w:rPr>
                    <w:t>www.pardubice.czso.cz</w:t>
                  </w:r>
                </w:p>
                <w:p w:rsidR="00F80B71" w:rsidRPr="0071229A" w:rsidRDefault="00F80B71" w:rsidP="00BD366B">
                  <w:pPr>
                    <w:spacing w:line="240" w:lineRule="auto"/>
                    <w:rPr>
                      <w:bCs/>
                    </w:rPr>
                  </w:pPr>
                </w:p>
                <w:p w:rsidR="00F80B71" w:rsidRPr="00B27293" w:rsidRDefault="00F80B71" w:rsidP="00BD366B">
                  <w:pPr>
                    <w:spacing w:line="240" w:lineRule="auto"/>
                    <w:rPr>
                      <w:b/>
                      <w:bCs/>
                      <w:color w:val="0071BC"/>
                    </w:rPr>
                  </w:pPr>
                  <w:r w:rsidRPr="0071229A">
                    <w:rPr>
                      <w:b/>
                      <w:bCs/>
                      <w:color w:val="0071BC"/>
                    </w:rPr>
                    <w:t>Jihlava</w:t>
                  </w:r>
                  <w:r>
                    <w:t xml:space="preserve"> | </w:t>
                  </w:r>
                  <w:r w:rsidRPr="0071229A">
                    <w:rPr>
                      <w:bCs/>
                    </w:rPr>
                    <w:t>Ke Skalce 30, 586 01 Jihlava</w:t>
                  </w:r>
                  <w:r>
                    <w:t xml:space="preserve"> | t</w:t>
                  </w:r>
                  <w:r w:rsidRPr="0071229A">
                    <w:rPr>
                      <w:bCs/>
                    </w:rPr>
                    <w:t>el.: 567 109 062, 567 109 080</w:t>
                  </w:r>
                </w:p>
                <w:p w:rsidR="00F80B71" w:rsidRPr="00B27293" w:rsidRDefault="00F80B71" w:rsidP="00BD366B">
                  <w:pPr>
                    <w:spacing w:line="240" w:lineRule="auto"/>
                    <w:rPr>
                      <w:bCs/>
                    </w:rPr>
                  </w:pPr>
                  <w:r w:rsidRPr="0071229A">
                    <w:rPr>
                      <w:bCs/>
                    </w:rPr>
                    <w:t>e-mail: infoservisvys@czso.cz</w:t>
                  </w:r>
                  <w:r>
                    <w:t xml:space="preserve"> | </w:t>
                  </w:r>
                  <w:r w:rsidRPr="0071229A">
                    <w:rPr>
                      <w:b/>
                      <w:bCs/>
                    </w:rPr>
                    <w:t>www.jihlava.czso.cz</w:t>
                  </w:r>
                </w:p>
                <w:p w:rsidR="00F80B71" w:rsidRPr="0071229A" w:rsidRDefault="00F80B71" w:rsidP="00BD366B">
                  <w:pPr>
                    <w:spacing w:line="240" w:lineRule="auto"/>
                    <w:rPr>
                      <w:bCs/>
                    </w:rPr>
                  </w:pPr>
                </w:p>
                <w:p w:rsidR="00F80B71" w:rsidRPr="00B27293" w:rsidRDefault="00F80B71" w:rsidP="00BD366B">
                  <w:pPr>
                    <w:spacing w:line="240" w:lineRule="auto"/>
                    <w:rPr>
                      <w:b/>
                      <w:bCs/>
                    </w:rPr>
                  </w:pPr>
                  <w:r w:rsidRPr="0071229A">
                    <w:rPr>
                      <w:b/>
                      <w:bCs/>
                      <w:color w:val="0071BC"/>
                    </w:rPr>
                    <w:t>Brno</w:t>
                  </w:r>
                  <w:r>
                    <w:t xml:space="preserve"> | </w:t>
                  </w:r>
                  <w:r w:rsidRPr="0071229A">
                    <w:rPr>
                      <w:bCs/>
                    </w:rPr>
                    <w:t>Jezuitská 2, 601 59 Brno</w:t>
                  </w:r>
                  <w:r>
                    <w:t xml:space="preserve"> | t</w:t>
                  </w:r>
                  <w:r w:rsidRPr="0071229A">
                    <w:rPr>
                      <w:bCs/>
                    </w:rPr>
                    <w:t>el.: 542 528 115, 542 528 105</w:t>
                  </w:r>
                </w:p>
                <w:p w:rsidR="00F80B71" w:rsidRPr="00B27293" w:rsidRDefault="00F80B71" w:rsidP="00BD366B">
                  <w:pPr>
                    <w:spacing w:line="240" w:lineRule="auto"/>
                    <w:rPr>
                      <w:bCs/>
                    </w:rPr>
                  </w:pPr>
                  <w:r w:rsidRPr="0071229A">
                    <w:rPr>
                      <w:bCs/>
                    </w:rPr>
                    <w:t>e-mail: infoservisbrno@czso.cz</w:t>
                  </w:r>
                  <w:r>
                    <w:t xml:space="preserve"> | </w:t>
                  </w:r>
                  <w:r w:rsidRPr="0071229A">
                    <w:rPr>
                      <w:b/>
                      <w:bCs/>
                    </w:rPr>
                    <w:t>www.brno.czso.cz</w:t>
                  </w:r>
                </w:p>
                <w:p w:rsidR="00F80B71" w:rsidRPr="0071229A" w:rsidRDefault="00F80B71" w:rsidP="00BD366B">
                  <w:pPr>
                    <w:spacing w:line="240" w:lineRule="auto"/>
                    <w:rPr>
                      <w:bCs/>
                    </w:rPr>
                  </w:pPr>
                </w:p>
                <w:p w:rsidR="00F80B71" w:rsidRPr="00B27293" w:rsidRDefault="00F80B71" w:rsidP="00BD366B">
                  <w:pPr>
                    <w:spacing w:line="240" w:lineRule="auto"/>
                    <w:rPr>
                      <w:b/>
                      <w:bCs/>
                    </w:rPr>
                  </w:pPr>
                  <w:r w:rsidRPr="0071229A">
                    <w:rPr>
                      <w:b/>
                      <w:bCs/>
                      <w:color w:val="0071BC"/>
                    </w:rPr>
                    <w:t>Olomouc</w:t>
                  </w:r>
                  <w:r>
                    <w:t xml:space="preserve"> | </w:t>
                  </w:r>
                  <w:proofErr w:type="spellStart"/>
                  <w:r w:rsidRPr="0071229A">
                    <w:rPr>
                      <w:bCs/>
                    </w:rPr>
                    <w:t>Jeremenkova</w:t>
                  </w:r>
                  <w:proofErr w:type="spellEnd"/>
                  <w:r w:rsidRPr="0071229A">
                    <w:rPr>
                      <w:bCs/>
                    </w:rPr>
                    <w:t xml:space="preserve"> 1142/42, 772 11 Olomouc</w:t>
                  </w:r>
                  <w:r>
                    <w:t xml:space="preserve"> | </w:t>
                  </w:r>
                  <w:r w:rsidRPr="0071229A">
                    <w:rPr>
                      <w:bCs/>
                    </w:rPr>
                    <w:t>tel.: 585 731 516, 585 731 509</w:t>
                  </w:r>
                </w:p>
                <w:p w:rsidR="00F80B71" w:rsidRPr="00B27293" w:rsidRDefault="00F80B71" w:rsidP="00BD366B">
                  <w:pPr>
                    <w:spacing w:line="240" w:lineRule="auto"/>
                    <w:rPr>
                      <w:bCs/>
                    </w:rPr>
                  </w:pPr>
                  <w:r w:rsidRPr="0071229A">
                    <w:rPr>
                      <w:bCs/>
                    </w:rPr>
                    <w:t>e-mail: infoservisolom@czso.cz</w:t>
                  </w:r>
                  <w:r>
                    <w:t xml:space="preserve"> | </w:t>
                  </w:r>
                  <w:r w:rsidRPr="0071229A">
                    <w:rPr>
                      <w:b/>
                      <w:bCs/>
                    </w:rPr>
                    <w:t>www.olomouc.czso.cz</w:t>
                  </w:r>
                </w:p>
                <w:p w:rsidR="00F80B71" w:rsidRPr="0071229A" w:rsidRDefault="00F80B71" w:rsidP="00BD366B">
                  <w:pPr>
                    <w:spacing w:line="240" w:lineRule="auto"/>
                    <w:rPr>
                      <w:bCs/>
                    </w:rPr>
                  </w:pPr>
                </w:p>
                <w:p w:rsidR="00F80B71" w:rsidRPr="00B27293" w:rsidRDefault="00F80B71" w:rsidP="00BD366B">
                  <w:pPr>
                    <w:spacing w:line="240" w:lineRule="auto"/>
                    <w:rPr>
                      <w:b/>
                      <w:bCs/>
                    </w:rPr>
                  </w:pPr>
                  <w:r w:rsidRPr="0071229A">
                    <w:rPr>
                      <w:b/>
                      <w:bCs/>
                      <w:color w:val="0071BC"/>
                    </w:rPr>
                    <w:t>Ostrava</w:t>
                  </w:r>
                  <w:r>
                    <w:t xml:space="preserve"> | </w:t>
                  </w:r>
                  <w:proofErr w:type="spellStart"/>
                  <w:r w:rsidRPr="0071229A">
                    <w:rPr>
                      <w:bCs/>
                    </w:rPr>
                    <w:t>Repinova</w:t>
                  </w:r>
                  <w:proofErr w:type="spellEnd"/>
                  <w:r w:rsidRPr="0071229A">
                    <w:rPr>
                      <w:bCs/>
                    </w:rPr>
                    <w:t xml:space="preserve"> 17, 702 03 Ostrava</w:t>
                  </w:r>
                  <w:r>
                    <w:t xml:space="preserve"> | </w:t>
                  </w:r>
                  <w:r w:rsidRPr="0071229A">
                    <w:rPr>
                      <w:bCs/>
                    </w:rPr>
                    <w:t>tel.: 595 131 230, 595 131 232</w:t>
                  </w:r>
                </w:p>
                <w:p w:rsidR="00F80B71" w:rsidRPr="00B27293" w:rsidRDefault="00F80B71" w:rsidP="00BD366B">
                  <w:pPr>
                    <w:spacing w:line="240" w:lineRule="auto"/>
                    <w:rPr>
                      <w:bCs/>
                    </w:rPr>
                  </w:pPr>
                  <w:r w:rsidRPr="0071229A">
                    <w:rPr>
                      <w:bCs/>
                    </w:rPr>
                    <w:t>e-mail: infoservis_ov@czso.cz</w:t>
                  </w:r>
                  <w:r>
                    <w:t xml:space="preserve"> | </w:t>
                  </w:r>
                  <w:r w:rsidRPr="0071229A">
                    <w:rPr>
                      <w:b/>
                      <w:bCs/>
                    </w:rPr>
                    <w:t>www.ostrava.czso.cz</w:t>
                  </w:r>
                </w:p>
                <w:p w:rsidR="00F80B71" w:rsidRPr="0071229A" w:rsidRDefault="00F80B71" w:rsidP="00BD366B">
                  <w:pPr>
                    <w:spacing w:line="240" w:lineRule="auto"/>
                    <w:rPr>
                      <w:bCs/>
                    </w:rPr>
                  </w:pPr>
                </w:p>
                <w:p w:rsidR="00F80B71" w:rsidRPr="0071229A" w:rsidRDefault="00F80B71" w:rsidP="00BD366B">
                  <w:pPr>
                    <w:spacing w:line="240" w:lineRule="auto"/>
                    <w:rPr>
                      <w:bCs/>
                    </w:rPr>
                  </w:pPr>
                  <w:r w:rsidRPr="0071229A">
                    <w:rPr>
                      <w:b/>
                      <w:bCs/>
                      <w:color w:val="0071BC"/>
                    </w:rPr>
                    <w:t>Zlín</w:t>
                  </w:r>
                  <w:r>
                    <w:t xml:space="preserve"> | </w:t>
                  </w:r>
                  <w:r w:rsidRPr="0071229A">
                    <w:rPr>
                      <w:bCs/>
                    </w:rPr>
                    <w:t>tř. Tomáše Bati 1565, 761 76 Zlín</w:t>
                  </w:r>
                  <w:r>
                    <w:t xml:space="preserve"> | </w:t>
                  </w:r>
                  <w:r w:rsidRPr="0071229A">
                    <w:rPr>
                      <w:bCs/>
                    </w:rPr>
                    <w:t>tel.: 577 004 931, 577 004 935</w:t>
                  </w:r>
                </w:p>
                <w:p w:rsidR="00F80B71" w:rsidRPr="00B27293" w:rsidRDefault="00F80B71" w:rsidP="00BD366B">
                  <w:pPr>
                    <w:spacing w:line="240" w:lineRule="auto"/>
                    <w:rPr>
                      <w:bCs/>
                    </w:rPr>
                  </w:pPr>
                  <w:r w:rsidRPr="0071229A">
                    <w:rPr>
                      <w:bCs/>
                    </w:rPr>
                    <w:t>e-mail: infoservis-zl@czso.cz</w:t>
                  </w:r>
                  <w:r>
                    <w:t xml:space="preserve"> | </w:t>
                  </w:r>
                  <w:r w:rsidRPr="0071229A">
                    <w:rPr>
                      <w:b/>
                      <w:bCs/>
                    </w:rPr>
                    <w:t>www.zlin.czso.cz</w:t>
                  </w:r>
                </w:p>
                <w:p w:rsidR="00F80B71" w:rsidRPr="00B27293" w:rsidRDefault="00F80B71" w:rsidP="00BD366B">
                  <w:pPr>
                    <w:spacing w:line="240" w:lineRule="auto"/>
                  </w:pPr>
                </w:p>
              </w:txbxContent>
            </v:textbox>
            <w10:wrap anchorx="page" anchory="page"/>
            <w10:anchorlock/>
          </v:shape>
        </w:pict>
      </w:r>
      <w:r w:rsidRPr="00321330">
        <w:rPr>
          <w:noProof/>
          <w:lang w:eastAsia="cs-CZ"/>
        </w:rPr>
        <w:pict>
          <v:shape id="_x0000_s1039" type="#_x0000_t202" style="position:absolute;margin-left:56.7pt;margin-top:56.7pt;width:481.85pt;height:33.1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" filled="f" stroked="f">
            <v:textbox style="mso-fit-shape-to-text:t" inset="0,0,0,0">
              <w:txbxContent>
                <w:p w:rsidR="00F80B71" w:rsidRPr="00B95F50" w:rsidRDefault="00F80B71" w:rsidP="0060487F">
                  <w:pPr>
                    <w:rPr>
                      <w:b/>
                      <w:bCs/>
                      <w:sz w:val="24"/>
                    </w:rPr>
                  </w:pPr>
                  <w:r w:rsidRPr="009362AF">
                    <w:rPr>
                      <w:b/>
                      <w:color w:val="0071BC"/>
                    </w:rPr>
                    <w:t>Zajímají Vás nejnovější údaje o inflaci, HDP, obyvatelstvu, průměrných mzdách</w:t>
                  </w:r>
                  <w:r w:rsidRPr="00B95F50">
                    <w:rPr>
                      <w:b/>
                      <w:color w:val="0071BC"/>
                    </w:rPr>
                    <w:t xml:space="preserve"> </w:t>
                  </w:r>
                  <w:r>
                    <w:rPr>
                      <w:b/>
                      <w:color w:val="0071BC"/>
                      <w:sz w:val="24"/>
                    </w:rPr>
                    <w:br/>
                  </w:r>
                  <w:r w:rsidRPr="00B95F50">
                    <w:rPr>
                      <w:b/>
                      <w:color w:val="0071BC"/>
                      <w:sz w:val="24"/>
                    </w:rPr>
                    <w:t xml:space="preserve">a mnohé další? Najdete je na stránkách ČSÚ na internetu: </w:t>
                  </w:r>
                  <w:r w:rsidRPr="00B95F50">
                    <w:rPr>
                      <w:b/>
                      <w:bCs/>
                      <w:sz w:val="24"/>
                    </w:rPr>
                    <w:t>www.czso.cz</w:t>
                  </w:r>
                </w:p>
              </w:txbxContent>
            </v:textbox>
            <w10:wrap anchorx="page" anchory="page"/>
            <w10:anchorlock/>
          </v:shape>
        </w:pict>
      </w:r>
      <w:r w:rsidRPr="00321330">
        <w:rPr>
          <w:noProof/>
          <w:lang w:eastAsia="cs-CZ"/>
        </w:rPr>
        <w:pict>
          <v:shape id="_x0000_s1040" type="#_x0000_t202" style="position:absolute;margin-left:56.35pt;margin-top:734.25pt;width:481.9pt;height:41.1pt;z-index: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EUugIAALYFAAAOAAAAZHJzL2Uyb0RvYy54bWysVNuOmzAQfa/Uf7D8znIJYQN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" filled="f" stroked="f">
            <v:textbox inset="0,0,0,0">
              <w:txbxContent>
                <w:p w:rsidR="00F80B71" w:rsidRPr="00306F79" w:rsidRDefault="00F80B71" w:rsidP="00306F79">
                  <w:pPr>
                    <w:rPr>
                      <w:rFonts w:ascii="Tahoma" w:eastAsia="Times New Roman" w:hAnsi="Tahoma" w:cs="Tahoma"/>
                      <w:szCs w:val="20"/>
                    </w:rPr>
                  </w:pPr>
                  <w:r>
                    <w:t xml:space="preserve">ISBN </w:t>
                  </w:r>
                  <w:r w:rsidRPr="00306F79">
                    <w:rPr>
                      <w:rFonts w:ascii="Tahoma" w:eastAsia="Times New Roman" w:hAnsi="Tahoma" w:cs="Tahoma"/>
                      <w:szCs w:val="20"/>
                    </w:rPr>
                    <w:t>978-80-250-2686-1</w:t>
                  </w:r>
                </w:p>
                <w:p w:rsidR="00F80B71" w:rsidRPr="00306F79" w:rsidRDefault="00F80B71" w:rsidP="004F06F5">
                  <w:pPr>
                    <w:rPr>
                      <w:sz w:val="8"/>
                      <w:szCs w:val="8"/>
                    </w:rPr>
                  </w:pPr>
                </w:p>
                <w:p w:rsidR="00F80B71" w:rsidRPr="00AF2852" w:rsidRDefault="00F80B71" w:rsidP="004F06F5">
                  <w:r w:rsidRPr="00841D9F">
                    <w:t>© Český sta</w:t>
                  </w:r>
                  <w:r>
                    <w:t>tistický úřad, Praha, 201</w:t>
                  </w:r>
                  <w:r w:rsidR="0086454F">
                    <w:t>6</w:t>
                  </w:r>
                </w:p>
              </w:txbxContent>
            </v:textbox>
            <w10:wrap anchorx="page" anchory="page"/>
            <w10:anchorlock/>
          </v:shape>
        </w:pict>
      </w:r>
    </w:p>
    <w:p w:rsidR="0008794F" w:rsidRDefault="0008794F" w:rsidP="00F04811">
      <w:pPr>
        <w:pStyle w:val="Zkladnodstavec"/>
        <w:spacing w:after="240"/>
        <w:rPr>
          <w:rFonts w:ascii="Arial" w:hAnsi="Arial" w:cs="Arial"/>
          <w:b/>
          <w:color w:val="A5007B"/>
          <w:sz w:val="32"/>
          <w:szCs w:val="32"/>
        </w:rPr>
      </w:pPr>
    </w:p>
    <w:p w:rsidR="00306F79" w:rsidRDefault="00306F79" w:rsidP="00F04811">
      <w:pPr>
        <w:pStyle w:val="Zkladnodstavec"/>
        <w:spacing w:after="240"/>
        <w:rPr>
          <w:rFonts w:ascii="Arial" w:hAnsi="Arial" w:cs="Arial"/>
          <w:b/>
          <w:color w:val="A5007B"/>
          <w:sz w:val="32"/>
          <w:szCs w:val="32"/>
        </w:rPr>
      </w:pPr>
    </w:p>
    <w:p w:rsidR="0008794F" w:rsidRPr="0060487F" w:rsidRDefault="0008794F">
      <w:pPr>
        <w:rPr>
          <w:rFonts w:cs="Arial"/>
          <w:b/>
          <w:color w:val="A5007B"/>
          <w:sz w:val="32"/>
          <w:szCs w:val="32"/>
        </w:rPr>
        <w:sectPr w:rsidR="0008794F" w:rsidRPr="0060487F" w:rsidSect="00F46FD1">
          <w:pgSz w:w="11906" w:h="16838" w:code="9"/>
          <w:pgMar w:top="1134" w:right="1134" w:bottom="1418" w:left="1134" w:header="709" w:footer="709" w:gutter="0"/>
          <w:cols w:space="708"/>
          <w:titlePg/>
          <w:docGrid w:linePitch="360"/>
        </w:sectPr>
      </w:pPr>
    </w:p>
    <w:p w:rsidR="0008794F" w:rsidRDefault="0008794F" w:rsidP="008B0C8B">
      <w:pPr>
        <w:pStyle w:val="Nadpis1"/>
        <w:spacing w:after="120" w:line="240" w:lineRule="auto"/>
      </w:pPr>
      <w:bookmarkStart w:id="1" w:name="_Toc412459447"/>
      <w:bookmarkStart w:id="2" w:name="_Toc424828109"/>
      <w:bookmarkStart w:id="3" w:name="_Toc425752380"/>
      <w:r w:rsidRPr="001C357A">
        <w:lastRenderedPageBreak/>
        <w:t>Obsah</w:t>
      </w:r>
      <w:bookmarkEnd w:id="1"/>
      <w:bookmarkEnd w:id="2"/>
      <w:bookmarkEnd w:id="3"/>
    </w:p>
    <w:p w:rsidR="0008794F" w:rsidRDefault="0008794F" w:rsidP="00366F12"/>
    <w:p w:rsidR="0008794F" w:rsidRDefault="0008794F" w:rsidP="00366F12">
      <w:pPr>
        <w:tabs>
          <w:tab w:val="left" w:pos="8505"/>
        </w:tabs>
      </w:pPr>
      <w:r>
        <w:t>Obsah</w:t>
      </w:r>
      <w:r>
        <w:tab/>
      </w:r>
      <w:r>
        <w:tab/>
        <w:t>3</w:t>
      </w:r>
    </w:p>
    <w:p w:rsidR="0008794F" w:rsidRPr="00751BFF" w:rsidRDefault="0008794F" w:rsidP="00366F12">
      <w:pPr>
        <w:tabs>
          <w:tab w:val="left" w:pos="8505"/>
        </w:tabs>
        <w:rPr>
          <w:sz w:val="12"/>
          <w:szCs w:val="12"/>
        </w:rPr>
      </w:pPr>
    </w:p>
    <w:p w:rsidR="0008794F" w:rsidRDefault="0008794F" w:rsidP="00366F12">
      <w:pPr>
        <w:tabs>
          <w:tab w:val="left" w:pos="8505"/>
        </w:tabs>
      </w:pPr>
      <w:r>
        <w:t>Úvod</w:t>
      </w:r>
      <w:r>
        <w:tab/>
      </w:r>
      <w:r>
        <w:tab/>
        <w:t>4</w:t>
      </w:r>
    </w:p>
    <w:p w:rsidR="0008794F" w:rsidRDefault="0008794F" w:rsidP="00366F12">
      <w:pPr>
        <w:tabs>
          <w:tab w:val="left" w:pos="8505"/>
        </w:tabs>
      </w:pPr>
      <w:r>
        <w:tab/>
      </w:r>
    </w:p>
    <w:p w:rsidR="0008794F" w:rsidRDefault="0008794F" w:rsidP="00366F12">
      <w:pPr>
        <w:numPr>
          <w:ilvl w:val="0"/>
          <w:numId w:val="23"/>
        </w:numPr>
      </w:pPr>
      <w:r>
        <w:t>Shrnutí</w:t>
      </w:r>
      <w:r>
        <w:tab/>
        <w:t xml:space="preserve">             </w:t>
      </w:r>
      <w:r>
        <w:tab/>
      </w:r>
      <w:r>
        <w:tab/>
      </w:r>
      <w:r>
        <w:tab/>
      </w:r>
      <w:r>
        <w:tab/>
      </w:r>
      <w:r>
        <w:tab/>
      </w:r>
      <w:r>
        <w:tab/>
      </w:r>
      <w:r>
        <w:tab/>
      </w:r>
      <w:r>
        <w:tab/>
      </w:r>
      <w:r>
        <w:tab/>
      </w:r>
      <w:r>
        <w:tab/>
        <w:t>5</w:t>
      </w:r>
    </w:p>
    <w:p w:rsidR="0008794F" w:rsidRDefault="0008794F" w:rsidP="009F4F77">
      <w:pPr>
        <w:ind w:left="720"/>
      </w:pPr>
    </w:p>
    <w:p w:rsidR="0008794F" w:rsidRDefault="0008794F" w:rsidP="00366F12">
      <w:pPr>
        <w:numPr>
          <w:ilvl w:val="0"/>
          <w:numId w:val="23"/>
        </w:numPr>
      </w:pPr>
      <w:r>
        <w:t>Výchozí pozice v ekonomické vyspělosti</w:t>
      </w:r>
      <w:r>
        <w:tab/>
      </w:r>
      <w:r>
        <w:tab/>
      </w:r>
      <w:r>
        <w:tab/>
      </w:r>
      <w:r>
        <w:tab/>
      </w:r>
      <w:r>
        <w:tab/>
      </w:r>
      <w:r>
        <w:tab/>
      </w:r>
      <w:r>
        <w:tab/>
        <w:t>8</w:t>
      </w:r>
    </w:p>
    <w:p w:rsidR="0008794F" w:rsidRDefault="0008794F" w:rsidP="00366F12">
      <w:pPr>
        <w:ind w:left="720"/>
      </w:pPr>
      <w:r>
        <w:t>2.1. Odlišnost ve výchozí pozici</w:t>
      </w:r>
      <w:r>
        <w:tab/>
      </w:r>
      <w:r>
        <w:tab/>
      </w:r>
      <w:r>
        <w:tab/>
      </w:r>
      <w:r>
        <w:tab/>
      </w:r>
      <w:r>
        <w:tab/>
      </w:r>
      <w:r>
        <w:tab/>
      </w:r>
      <w:r>
        <w:tab/>
      </w:r>
      <w:r>
        <w:tab/>
      </w:r>
      <w:r>
        <w:tab/>
        <w:t>8</w:t>
      </w:r>
    </w:p>
    <w:p w:rsidR="0008794F" w:rsidRDefault="0008794F" w:rsidP="00366F12">
      <w:pPr>
        <w:ind w:left="720"/>
      </w:pPr>
      <w:r>
        <w:tab/>
        <w:t>2.1.1. Váha ČR, SR a Rakouska v ekonomice EU</w:t>
      </w:r>
      <w:r>
        <w:tab/>
      </w:r>
      <w:r>
        <w:tab/>
      </w:r>
      <w:r>
        <w:tab/>
      </w:r>
      <w:r>
        <w:tab/>
      </w:r>
      <w:r>
        <w:tab/>
        <w:t>8</w:t>
      </w:r>
    </w:p>
    <w:p w:rsidR="0008794F" w:rsidRDefault="0060616C" w:rsidP="00366F12">
      <w:pPr>
        <w:ind w:left="720"/>
      </w:pPr>
      <w:r>
        <w:tab/>
      </w:r>
      <w:r>
        <w:tab/>
        <w:t>2.1.1.1. Podíly</w:t>
      </w:r>
      <w:r w:rsidR="000D3F80">
        <w:t xml:space="preserve"> </w:t>
      </w:r>
      <w:r w:rsidR="0008794F">
        <w:t>na HDP EU 28 v paritě kupní síly</w:t>
      </w:r>
      <w:r w:rsidR="0008794F">
        <w:tab/>
      </w:r>
      <w:r w:rsidR="0008794F">
        <w:tab/>
      </w:r>
      <w:r w:rsidR="0008794F">
        <w:tab/>
      </w:r>
      <w:r w:rsidR="0008794F">
        <w:tab/>
        <w:t>8</w:t>
      </w:r>
    </w:p>
    <w:p w:rsidR="0008794F" w:rsidRDefault="0008794F" w:rsidP="00366F12">
      <w:pPr>
        <w:ind w:left="720"/>
      </w:pPr>
      <w:r>
        <w:tab/>
      </w:r>
      <w:r>
        <w:tab/>
        <w:t>2.1.1.2. Podíly na populaci a ekonomická výkonnost</w:t>
      </w:r>
      <w:r>
        <w:tab/>
      </w:r>
      <w:r>
        <w:tab/>
      </w:r>
      <w:r>
        <w:tab/>
      </w:r>
      <w:r>
        <w:tab/>
        <w:t>9</w:t>
      </w:r>
    </w:p>
    <w:p w:rsidR="0008794F" w:rsidRDefault="0008794F" w:rsidP="00366F12">
      <w:pPr>
        <w:ind w:left="720"/>
      </w:pPr>
      <w:r>
        <w:t>2.2. Hrubý domácí produkt na obyvatele v paritě kupní síly (PPS)</w:t>
      </w:r>
      <w:r>
        <w:tab/>
      </w:r>
      <w:r>
        <w:tab/>
      </w:r>
      <w:r>
        <w:tab/>
      </w:r>
      <w:r>
        <w:tab/>
        <w:t>10</w:t>
      </w:r>
    </w:p>
    <w:p w:rsidR="0008794F" w:rsidRDefault="0008794F" w:rsidP="00366F12">
      <w:pPr>
        <w:ind w:left="720"/>
      </w:pPr>
      <w:r>
        <w:tab/>
        <w:t>2.2.1. Odstup Rakouska od Slovenska a České republiky během let 1995-2014</w:t>
      </w:r>
      <w:r>
        <w:tab/>
      </w:r>
      <w:r>
        <w:tab/>
        <w:t>11</w:t>
      </w:r>
      <w:r>
        <w:tab/>
        <w:t>2.2.2. Relace ke „starým“ unijním zemím skupiny EU 15</w:t>
      </w:r>
      <w:r>
        <w:tab/>
      </w:r>
      <w:r>
        <w:tab/>
      </w:r>
      <w:r>
        <w:tab/>
      </w:r>
      <w:r>
        <w:tab/>
      </w:r>
      <w:r>
        <w:tab/>
        <w:t>12</w:t>
      </w:r>
    </w:p>
    <w:p w:rsidR="0008794F" w:rsidRDefault="0008794F" w:rsidP="00366F12">
      <w:pPr>
        <w:ind w:left="720"/>
      </w:pPr>
      <w:r>
        <w:tab/>
        <w:t>2.2.3. Další technické parametry působící na ukazatel HDP na obyvatele v PPS</w:t>
      </w:r>
      <w:r>
        <w:tab/>
      </w:r>
      <w:r>
        <w:tab/>
        <w:t>14</w:t>
      </w:r>
    </w:p>
    <w:p w:rsidR="0008794F" w:rsidRDefault="0008794F" w:rsidP="00366F12">
      <w:pPr>
        <w:ind w:left="720"/>
      </w:pPr>
      <w:r>
        <w:t>2.3. Relace ve výdajích domácností na konečnou spotřebu</w:t>
      </w:r>
      <w:r>
        <w:tab/>
      </w:r>
      <w:r>
        <w:tab/>
      </w:r>
      <w:r>
        <w:tab/>
      </w:r>
      <w:r>
        <w:tab/>
      </w:r>
      <w:r>
        <w:tab/>
        <w:t>15</w:t>
      </w:r>
    </w:p>
    <w:p w:rsidR="0008794F" w:rsidRDefault="0008794F" w:rsidP="00366F12">
      <w:pPr>
        <w:ind w:left="720"/>
      </w:pPr>
      <w:r>
        <w:t xml:space="preserve"> </w:t>
      </w:r>
    </w:p>
    <w:p w:rsidR="0008794F" w:rsidRDefault="0008794F" w:rsidP="009F4F77">
      <w:pPr>
        <w:numPr>
          <w:ilvl w:val="0"/>
          <w:numId w:val="23"/>
        </w:numPr>
      </w:pPr>
      <w:r>
        <w:t>Ekonomická výkonnost ČR, SR a Rakouska podle vývoje HDP</w:t>
      </w:r>
      <w:r>
        <w:tab/>
      </w:r>
      <w:r>
        <w:tab/>
      </w:r>
      <w:r>
        <w:tab/>
      </w:r>
      <w:r>
        <w:tab/>
        <w:t xml:space="preserve">             18</w:t>
      </w:r>
    </w:p>
    <w:p w:rsidR="0008794F" w:rsidRDefault="0008794F" w:rsidP="009F4F77">
      <w:pPr>
        <w:ind w:left="720"/>
      </w:pPr>
      <w:r>
        <w:t>3.1. Období federace ČR a SR a první roky samostatných států</w:t>
      </w:r>
      <w:r>
        <w:tab/>
      </w:r>
      <w:r>
        <w:tab/>
      </w:r>
      <w:r>
        <w:tab/>
      </w:r>
      <w:r>
        <w:tab/>
      </w:r>
      <w:r>
        <w:tab/>
        <w:t>18</w:t>
      </w:r>
    </w:p>
    <w:p w:rsidR="0008794F" w:rsidRDefault="0008794F" w:rsidP="009F4F77">
      <w:pPr>
        <w:ind w:left="720"/>
      </w:pPr>
      <w:r>
        <w:t>3.2. Srovnání vývoje ČR a SR po vzniku samostatných států do roku 1997</w:t>
      </w:r>
      <w:r>
        <w:tab/>
      </w:r>
      <w:r>
        <w:tab/>
      </w:r>
      <w:r>
        <w:tab/>
        <w:t>20</w:t>
      </w:r>
    </w:p>
    <w:p w:rsidR="0008794F" w:rsidRDefault="000D3F80" w:rsidP="009F4F77">
      <w:pPr>
        <w:ind w:left="720"/>
      </w:pPr>
      <w:r>
        <w:tab/>
        <w:t xml:space="preserve">3.2.1. Inflační vliv působící </w:t>
      </w:r>
      <w:r w:rsidR="0008794F">
        <w:t>na spotřebu domácností</w:t>
      </w:r>
      <w:r w:rsidR="0008794F">
        <w:tab/>
      </w:r>
      <w:r w:rsidR="0008794F">
        <w:tab/>
      </w:r>
      <w:r w:rsidR="0008794F">
        <w:tab/>
      </w:r>
      <w:r w:rsidR="0008794F">
        <w:tab/>
      </w:r>
      <w:r w:rsidR="0008794F">
        <w:tab/>
        <w:t>21</w:t>
      </w:r>
    </w:p>
    <w:p w:rsidR="0008794F" w:rsidRDefault="0008794F" w:rsidP="009F4F77">
      <w:pPr>
        <w:ind w:left="720"/>
      </w:pPr>
      <w:r>
        <w:t>3.3. Ekonomický vývoj ČR a SR s Rakouska po roce 1997</w:t>
      </w:r>
      <w:r>
        <w:tab/>
      </w:r>
      <w:r>
        <w:tab/>
      </w:r>
      <w:r>
        <w:tab/>
      </w:r>
      <w:r>
        <w:tab/>
      </w:r>
      <w:r>
        <w:tab/>
        <w:t>23</w:t>
      </w:r>
    </w:p>
    <w:p w:rsidR="0008794F" w:rsidRDefault="000D3F80" w:rsidP="009F4F77">
      <w:pPr>
        <w:ind w:left="720"/>
      </w:pPr>
      <w:r>
        <w:tab/>
        <w:t xml:space="preserve">3.3.1. Vývoj </w:t>
      </w:r>
      <w:r w:rsidR="0008794F">
        <w:t>ve fázích 1998-</w:t>
      </w:r>
      <w:smartTag w:uri="urn:schemas-microsoft-com:office:smarttags" w:element="metricconverter">
        <w:smartTagPr>
          <w:attr w:name="ProductID" w:val="2004 a"/>
        </w:smartTagPr>
        <w:r w:rsidR="0008794F">
          <w:t>2004 a</w:t>
        </w:r>
      </w:smartTag>
      <w:r w:rsidR="0008794F">
        <w:t xml:space="preserve"> 2004-2014</w:t>
      </w:r>
      <w:r w:rsidR="0008794F">
        <w:tab/>
      </w:r>
      <w:r w:rsidR="0008794F">
        <w:tab/>
      </w:r>
      <w:r w:rsidR="0008794F">
        <w:tab/>
      </w:r>
      <w:r w:rsidR="0008794F">
        <w:tab/>
      </w:r>
      <w:r w:rsidR="0008794F">
        <w:tab/>
      </w:r>
      <w:r w:rsidR="0008794F">
        <w:tab/>
        <w:t>23</w:t>
      </w:r>
    </w:p>
    <w:p w:rsidR="0008794F" w:rsidRDefault="0008794F" w:rsidP="009F4F77">
      <w:pPr>
        <w:ind w:left="720"/>
      </w:pPr>
      <w:r>
        <w:tab/>
      </w:r>
      <w:r>
        <w:tab/>
        <w:t>3.3.1.1. Průměrné meziroční růsty v letech 1998-2004</w:t>
      </w:r>
      <w:r>
        <w:tab/>
      </w:r>
      <w:r>
        <w:tab/>
      </w:r>
      <w:r>
        <w:tab/>
      </w:r>
      <w:r>
        <w:tab/>
        <w:t>23</w:t>
      </w:r>
    </w:p>
    <w:p w:rsidR="0008794F" w:rsidRDefault="0008794F" w:rsidP="009F4F77">
      <w:pPr>
        <w:ind w:left="720"/>
      </w:pPr>
      <w:r>
        <w:tab/>
      </w:r>
      <w:r>
        <w:tab/>
        <w:t>3.3.1.2. Průměrné meziroční růsty v letech 2004-2014</w:t>
      </w:r>
      <w:r>
        <w:tab/>
      </w:r>
      <w:r>
        <w:tab/>
      </w:r>
      <w:r>
        <w:tab/>
      </w:r>
      <w:r>
        <w:tab/>
        <w:t>24</w:t>
      </w:r>
    </w:p>
    <w:p w:rsidR="0008794F" w:rsidRDefault="0008794F" w:rsidP="009F4F77">
      <w:pPr>
        <w:ind w:left="720"/>
      </w:pPr>
      <w:r>
        <w:tab/>
        <w:t>3.3.2. Vývoj růstu ekonomik ČR, SR a Rakouska v letech 1998-2014</w:t>
      </w:r>
      <w:r>
        <w:tab/>
      </w:r>
      <w:r>
        <w:tab/>
      </w:r>
      <w:r>
        <w:tab/>
        <w:t>26</w:t>
      </w:r>
    </w:p>
    <w:p w:rsidR="0008794F" w:rsidRDefault="0008794F" w:rsidP="00714815">
      <w:pPr>
        <w:ind w:left="720"/>
      </w:pPr>
      <w:r>
        <w:tab/>
        <w:t xml:space="preserve">3.3.3. Výkonnost ekonomik ČR, SR a Rakouska k bázím let </w:t>
      </w:r>
      <w:smartTag w:uri="urn:schemas-microsoft-com:office:smarttags" w:element="metricconverter">
        <w:smartTagPr>
          <w:attr w:name="ProductID" w:val="1998 a"/>
        </w:smartTagPr>
        <w:r>
          <w:t>1998 a</w:t>
        </w:r>
      </w:smartTag>
      <w:r>
        <w:t xml:space="preserve"> 2004</w:t>
      </w:r>
      <w:r>
        <w:tab/>
      </w:r>
      <w:r>
        <w:tab/>
        <w:t>27</w:t>
      </w:r>
    </w:p>
    <w:p w:rsidR="0008794F" w:rsidRDefault="0008794F" w:rsidP="00714815">
      <w:pPr>
        <w:ind w:left="720"/>
      </w:pPr>
    </w:p>
    <w:p w:rsidR="0008794F" w:rsidRDefault="0008794F" w:rsidP="00714815">
      <w:pPr>
        <w:numPr>
          <w:ilvl w:val="0"/>
          <w:numId w:val="23"/>
        </w:numPr>
      </w:pPr>
      <w:r>
        <w:t>Příčiny růstu ekonomik ČR, SR a Rakouska podle struktury výdajů na HDP a jejich vývoje</w:t>
      </w:r>
      <w:r>
        <w:tab/>
        <w:t>30</w:t>
      </w:r>
    </w:p>
    <w:p w:rsidR="0008794F" w:rsidRDefault="0008794F" w:rsidP="00714815">
      <w:pPr>
        <w:ind w:left="708"/>
      </w:pPr>
      <w:r>
        <w:t>4.1. Základní slož</w:t>
      </w:r>
      <w:r w:rsidR="0021492B">
        <w:t>ky</w:t>
      </w:r>
      <w:r>
        <w:t xml:space="preserve"> výdajové strany HDP v ekonomikách ČR, SR a Rakouska</w:t>
      </w:r>
      <w:r>
        <w:tab/>
        <w:t xml:space="preserve">             </w:t>
      </w:r>
      <w:r>
        <w:tab/>
        <w:t>30</w:t>
      </w:r>
    </w:p>
    <w:p w:rsidR="0008794F" w:rsidRDefault="0008794F" w:rsidP="00714815">
      <w:pPr>
        <w:ind w:left="708"/>
      </w:pPr>
      <w:r>
        <w:tab/>
        <w:t>4.1.1. Porovnání zemí</w:t>
      </w:r>
      <w:r>
        <w:tab/>
      </w:r>
      <w:r>
        <w:tab/>
      </w:r>
      <w:r>
        <w:tab/>
      </w:r>
      <w:r>
        <w:tab/>
      </w:r>
      <w:r>
        <w:tab/>
      </w:r>
      <w:r>
        <w:tab/>
      </w:r>
      <w:r>
        <w:tab/>
      </w:r>
      <w:r>
        <w:tab/>
      </w:r>
      <w:r>
        <w:tab/>
        <w:t>30</w:t>
      </w:r>
    </w:p>
    <w:p w:rsidR="0008794F" w:rsidRDefault="0008794F" w:rsidP="00714815">
      <w:pPr>
        <w:ind w:left="708"/>
      </w:pPr>
      <w:r>
        <w:tab/>
        <w:t>4.1.2. Vývoj struktury výdajové strany v každé ze sledovaných zemí</w:t>
      </w:r>
      <w:r>
        <w:tab/>
      </w:r>
      <w:r>
        <w:tab/>
      </w:r>
      <w:r>
        <w:tab/>
        <w:t>33</w:t>
      </w:r>
    </w:p>
    <w:p w:rsidR="0008794F" w:rsidRDefault="0008794F" w:rsidP="00714815">
      <w:pPr>
        <w:ind w:left="708"/>
      </w:pPr>
      <w:r>
        <w:tab/>
      </w:r>
      <w:r>
        <w:tab/>
        <w:t>4.1.2.1. Vybrané aspekty vývoje ekonomik ČR a SR počínaje rokem 1990</w:t>
      </w:r>
      <w:r>
        <w:tab/>
        <w:t>37</w:t>
      </w:r>
    </w:p>
    <w:p w:rsidR="0008794F" w:rsidRDefault="0008794F" w:rsidP="00714815">
      <w:pPr>
        <w:ind w:left="708"/>
      </w:pPr>
    </w:p>
    <w:p w:rsidR="0008794F" w:rsidRDefault="0008794F" w:rsidP="00714815">
      <w:pPr>
        <w:numPr>
          <w:ilvl w:val="0"/>
          <w:numId w:val="23"/>
        </w:numPr>
      </w:pPr>
      <w:r>
        <w:t xml:space="preserve">Váhy jednotlivých odvětví v ekonomikách ČR, SR a Rakouska podle vytvořené hrubé přidané </w:t>
      </w:r>
    </w:p>
    <w:p w:rsidR="0008794F" w:rsidRDefault="0008794F" w:rsidP="00982718">
      <w:pPr>
        <w:ind w:left="720"/>
      </w:pPr>
      <w:r>
        <w:t>hodnoty</w:t>
      </w:r>
      <w:r>
        <w:tab/>
      </w:r>
      <w:r>
        <w:tab/>
      </w:r>
      <w:r>
        <w:tab/>
      </w:r>
      <w:r>
        <w:tab/>
      </w:r>
      <w:r>
        <w:tab/>
      </w:r>
      <w:r>
        <w:tab/>
      </w:r>
      <w:r>
        <w:tab/>
      </w:r>
      <w:r>
        <w:tab/>
      </w:r>
      <w:r>
        <w:tab/>
      </w:r>
      <w:r>
        <w:tab/>
      </w:r>
      <w:r>
        <w:tab/>
        <w:t xml:space="preserve">40 </w:t>
      </w:r>
    </w:p>
    <w:p w:rsidR="0008794F" w:rsidRDefault="0008794F" w:rsidP="009F4F77">
      <w:pPr>
        <w:ind w:left="720"/>
      </w:pPr>
      <w:r>
        <w:tab/>
      </w:r>
    </w:p>
    <w:p w:rsidR="0008794F" w:rsidRDefault="0008794F" w:rsidP="00366F12">
      <w:pPr>
        <w:ind w:left="720"/>
      </w:pPr>
    </w:p>
    <w:p w:rsidR="0008794F" w:rsidRDefault="0008794F" w:rsidP="00366F12">
      <w:pPr>
        <w:ind w:left="720"/>
      </w:pPr>
    </w:p>
    <w:p w:rsidR="0008794F" w:rsidRDefault="0008794F" w:rsidP="00366F12"/>
    <w:p w:rsidR="0008794F" w:rsidRDefault="0008794F" w:rsidP="00366F12"/>
    <w:p w:rsidR="0008794F" w:rsidRDefault="0008794F" w:rsidP="00366F12"/>
    <w:p w:rsidR="0008794F" w:rsidRDefault="0008794F" w:rsidP="00366F12">
      <w:pPr>
        <w:tabs>
          <w:tab w:val="left" w:pos="8505"/>
        </w:tabs>
      </w:pPr>
    </w:p>
    <w:p w:rsidR="0008794F" w:rsidRDefault="0008794F" w:rsidP="00623800">
      <w:pPr>
        <w:tabs>
          <w:tab w:val="left" w:pos="8505"/>
        </w:tabs>
        <w:sectPr w:rsidR="0008794F" w:rsidSect="00357449">
          <w:headerReference w:type="even" r:id="rId9"/>
          <w:headerReference w:type="default" r:id="rId10"/>
          <w:footerReference w:type="even" r:id="rId11"/>
          <w:footerReference w:type="default" r:id="rId12"/>
          <w:pgSz w:w="11906" w:h="16838" w:code="9"/>
          <w:pgMar w:top="1134" w:right="1134" w:bottom="1418" w:left="1134" w:header="680" w:footer="680" w:gutter="0"/>
          <w:cols w:space="708"/>
          <w:docGrid w:linePitch="360"/>
        </w:sectPr>
      </w:pPr>
      <w:r>
        <w:tab/>
      </w:r>
      <w:r>
        <w:tab/>
      </w:r>
      <w:r>
        <w:tab/>
      </w:r>
      <w:r>
        <w:tab/>
      </w:r>
      <w:r>
        <w:tab/>
      </w:r>
      <w:r>
        <w:tab/>
      </w:r>
      <w:r>
        <w:tab/>
      </w:r>
      <w:r>
        <w:tab/>
      </w:r>
      <w:r>
        <w:tab/>
      </w:r>
      <w:r>
        <w:tab/>
      </w:r>
      <w:r>
        <w:tab/>
      </w:r>
      <w:r>
        <w:tab/>
        <w:t xml:space="preserve">                </w:t>
      </w:r>
    </w:p>
    <w:p w:rsidR="0008794F" w:rsidRDefault="0008794F" w:rsidP="00174FFB">
      <w:pPr>
        <w:pStyle w:val="Nadpis1"/>
      </w:pPr>
      <w:bookmarkStart w:id="4" w:name="_Toc425752381"/>
      <w:r>
        <w:lastRenderedPageBreak/>
        <w:t>Úvod</w:t>
      </w:r>
      <w:bookmarkEnd w:id="4"/>
    </w:p>
    <w:p w:rsidR="0008794F" w:rsidRDefault="0008794F" w:rsidP="00623800">
      <w:pPr>
        <w:pStyle w:val="Textpoznpodarou"/>
        <w:jc w:val="both"/>
      </w:pPr>
      <w:r>
        <w:t xml:space="preserve">Tři středoevropské země, tj. Českou republiku, Slovenskou republiku a Rakousko, spojuje nejen geografická těsnost a mentální podobnost, ale i několik dalších rysů převážené ekonomické povahy: v současné době velmi silná vazba na německou ekonomiku, co do velikosti ekonomik místo v prostřední třetině žebříčku evropských zemí, </w:t>
      </w:r>
      <w:r w:rsidR="0026335E">
        <w:t>znatelná</w:t>
      </w:r>
      <w:r>
        <w:t xml:space="preserve"> </w:t>
      </w:r>
      <w:proofErr w:type="spellStart"/>
      <w:r>
        <w:t>socio</w:t>
      </w:r>
      <w:proofErr w:type="spellEnd"/>
      <w:r>
        <w:t xml:space="preserve">-kulturní podobnost, aj. Evidentní jsou však i rozdíly, zejména v úrovni ekonomické vyspělosti měřené obvyklými ukazateli, a to v případě Rakouska na jedné straně a ČR a Slovenska na straně druhé. Volba analyzovat právě tyto tři země vyplynula ze zájmu zjistit, proč se Česká republika a Slovensko v některých obdobích let 1993-2014 začaly relativně značně rozcházet v dynamice růstu svých ekonomik </w:t>
      </w:r>
      <w:r w:rsidR="0060616C">
        <w:t>(</w:t>
      </w:r>
      <w:r>
        <w:t xml:space="preserve">obě země prošly obdobím přechodu z řízené ekonomiky k ekonomice </w:t>
      </w:r>
      <w:r w:rsidR="0060616C">
        <w:t xml:space="preserve">založené </w:t>
      </w:r>
      <w:r>
        <w:t>na tržních principech</w:t>
      </w:r>
      <w:r w:rsidR="0060616C">
        <w:t>)</w:t>
      </w:r>
      <w:r>
        <w:t>. Dále pak</w:t>
      </w:r>
      <w:r w:rsidRPr="00F24D2C">
        <w:t xml:space="preserve"> </w:t>
      </w:r>
      <w:r>
        <w:t xml:space="preserve">bylo možné chápat jako zajímavý kontrast jejich porovnání s vývojem v zemi v mnoha ohledech blízkou, která </w:t>
      </w:r>
      <w:r w:rsidR="0021492B">
        <w:t xml:space="preserve">ale </w:t>
      </w:r>
      <w:r>
        <w:t>byla už v roce 1993 pevně usazenou ekonomikou tržní a co do obvyklých měřítek ekonomické vyspělosti zemí velmi bohatou. Studie však nehodnotí např. skutečnosti související s pozitivními a negativní efekty, které má na ekonomiky Slovenska a Rakouska jejich fungování v podmínkách společné evropské měny.</w:t>
      </w:r>
      <w:r w:rsidR="0026335E">
        <w:t xml:space="preserve"> Nezabývá se ani jistě zajímavými tématy vývoje pracovních trhů těchto tří zemí, detailním rozborem jejich fiskálních politik aj. </w:t>
      </w:r>
      <w:r>
        <w:t xml:space="preserve">  </w:t>
      </w:r>
    </w:p>
    <w:p w:rsidR="0008794F" w:rsidRDefault="0008794F" w:rsidP="00623800">
      <w:pPr>
        <w:pStyle w:val="Textpoznpodarou"/>
        <w:jc w:val="both"/>
      </w:pPr>
    </w:p>
    <w:p w:rsidR="0008794F" w:rsidRDefault="0008794F" w:rsidP="00623800">
      <w:pPr>
        <w:pStyle w:val="Textpoznpodarou"/>
        <w:jc w:val="both"/>
      </w:pPr>
      <w:r>
        <w:t>Sledujme tedy, jak tyto tři ekonomiky reagovaly na vnější i vnitřní ekonomické prostředí 90. let, resp. pak i vývoj v </w:t>
      </w:r>
      <w:r w:rsidR="0021492B">
        <w:t>další</w:t>
      </w:r>
      <w:r>
        <w:t xml:space="preserve"> dekádě. Zejména v tom jejím období, kdy se Evropská unie rozšířila: co to znamenalo pro nové členské země jako ČR a Slovensko, resp. co tyto změny přinesly typické tržní ekonomice, jako bylo Rakousko. Srovnejme i dopady krizového roku 2009 na ekonomiky těchto tří zvolených zemí a pozdější vývoj až do současnosti především z pohledu reálné ekonomiky. Pokusme se identifikovat, co mohlo stát za silným růstem ekonomiky Slovenska, proč se ekonomice ČR méně dařilo využít potenciál, který se jí jako velmi otevřené ekonomice </w:t>
      </w:r>
      <w:r w:rsidR="0021492B">
        <w:t>-</w:t>
      </w:r>
      <w:r>
        <w:t xml:space="preserve"> podobně jako slovenské - nabízel v souvislosti s uvolněním evropského trhu. Identifikujme hlavní rozdíly a pokusme se odpovědět na otázku, do jaké míry leží příčiny odlišností i v oblasti hospodářských politik a jak reálná je možnost výrazného přiblížení České republiky a Slovenska ekonomické úrovni v Rakousku.     </w:t>
      </w:r>
    </w:p>
    <w:p w:rsidR="0008794F" w:rsidRDefault="0008794F" w:rsidP="00623800">
      <w:pPr>
        <w:pStyle w:val="Textpoznpodarou"/>
        <w:jc w:val="both"/>
      </w:pPr>
    </w:p>
    <w:p w:rsidR="0008794F" w:rsidRDefault="0008794F" w:rsidP="00174FFB"/>
    <w:p w:rsidR="0008794F" w:rsidRDefault="0008794F" w:rsidP="00174FFB"/>
    <w:p w:rsidR="0008794F" w:rsidRDefault="0008794F" w:rsidP="00174FFB"/>
    <w:p w:rsidR="0008794F" w:rsidRDefault="0008794F" w:rsidP="00174FFB"/>
    <w:p w:rsidR="0008794F" w:rsidRDefault="0008794F" w:rsidP="00174FFB"/>
    <w:p w:rsidR="0008794F" w:rsidRDefault="0008794F" w:rsidP="00174FFB"/>
    <w:p w:rsidR="0008794F" w:rsidRDefault="0008794F" w:rsidP="00174FFB"/>
    <w:p w:rsidR="0008794F" w:rsidRDefault="0008794F" w:rsidP="00174FFB"/>
    <w:p w:rsidR="0008794F" w:rsidRDefault="0008794F" w:rsidP="00174FFB"/>
    <w:p w:rsidR="0008794F" w:rsidRDefault="0008794F" w:rsidP="00174FFB"/>
    <w:p w:rsidR="0008794F" w:rsidRDefault="0008794F" w:rsidP="00174FFB"/>
    <w:p w:rsidR="00DD1BD3" w:rsidRDefault="00DD1BD3" w:rsidP="00174FFB"/>
    <w:p w:rsidR="00DD1BD3" w:rsidRDefault="00DD1BD3" w:rsidP="00174FFB"/>
    <w:p w:rsidR="0008794F" w:rsidRDefault="0008794F" w:rsidP="00174FFB"/>
    <w:p w:rsidR="0008794F" w:rsidRDefault="0008794F" w:rsidP="00174FFB"/>
    <w:p w:rsidR="0008794F" w:rsidRDefault="0008794F" w:rsidP="00174FFB"/>
    <w:p w:rsidR="0008794F" w:rsidRDefault="0008794F" w:rsidP="00174FFB"/>
    <w:p w:rsidR="0008794F" w:rsidRDefault="0008794F" w:rsidP="00174FFB"/>
    <w:p w:rsidR="0008794F" w:rsidRDefault="0008794F" w:rsidP="00174FFB"/>
    <w:p w:rsidR="0008794F" w:rsidRDefault="0008794F" w:rsidP="00174FFB"/>
    <w:p w:rsidR="0008794F" w:rsidRDefault="0008794F" w:rsidP="00174FFB"/>
    <w:p w:rsidR="0008794F" w:rsidRDefault="0008794F" w:rsidP="00174FFB"/>
    <w:p w:rsidR="0008794F" w:rsidRDefault="0008794F" w:rsidP="00174FFB"/>
    <w:p w:rsidR="0008794F" w:rsidRDefault="0008794F" w:rsidP="00174FFB"/>
    <w:p w:rsidR="0008794F" w:rsidRDefault="0008794F" w:rsidP="00174FFB"/>
    <w:p w:rsidR="0008794F" w:rsidRDefault="0008794F" w:rsidP="00174FFB"/>
    <w:p w:rsidR="0008794F" w:rsidRDefault="0008794F" w:rsidP="00174FFB"/>
    <w:p w:rsidR="0008794F" w:rsidRPr="004444CA" w:rsidRDefault="0008794F" w:rsidP="00AC6A22">
      <w:pPr>
        <w:numPr>
          <w:ilvl w:val="0"/>
          <w:numId w:val="26"/>
        </w:numPr>
        <w:spacing w:line="240" w:lineRule="auto"/>
        <w:jc w:val="both"/>
        <w:rPr>
          <w:rFonts w:cs="Arial"/>
          <w:b/>
          <w:sz w:val="32"/>
          <w:szCs w:val="32"/>
        </w:rPr>
      </w:pPr>
      <w:r w:rsidRPr="004444CA">
        <w:rPr>
          <w:rFonts w:cs="Arial"/>
          <w:b/>
          <w:sz w:val="32"/>
          <w:szCs w:val="32"/>
        </w:rPr>
        <w:lastRenderedPageBreak/>
        <w:t>Shrnutí</w:t>
      </w:r>
    </w:p>
    <w:p w:rsidR="0008794F" w:rsidRDefault="0008794F" w:rsidP="00AC6A22">
      <w:pPr>
        <w:spacing w:line="240" w:lineRule="auto"/>
        <w:ind w:left="720"/>
        <w:jc w:val="both"/>
        <w:rPr>
          <w:rFonts w:cs="Arial"/>
          <w:szCs w:val="20"/>
        </w:rPr>
      </w:pPr>
    </w:p>
    <w:p w:rsidR="0008794F" w:rsidRPr="00FC35B9" w:rsidRDefault="0008794F" w:rsidP="00AC6A22">
      <w:pPr>
        <w:numPr>
          <w:ilvl w:val="0"/>
          <w:numId w:val="25"/>
        </w:numPr>
        <w:tabs>
          <w:tab w:val="clear" w:pos="720"/>
          <w:tab w:val="num" w:pos="284"/>
        </w:tabs>
        <w:spacing w:line="240" w:lineRule="auto"/>
        <w:ind w:left="284" w:hanging="357"/>
        <w:jc w:val="both"/>
        <w:rPr>
          <w:rFonts w:cs="Arial"/>
          <w:spacing w:val="-2"/>
          <w:szCs w:val="20"/>
        </w:rPr>
      </w:pPr>
      <w:r w:rsidRPr="00FC35B9">
        <w:rPr>
          <w:rFonts w:cs="Arial"/>
          <w:spacing w:val="-2"/>
          <w:szCs w:val="20"/>
        </w:rPr>
        <w:t>Kromě společných rysů</w:t>
      </w:r>
      <w:r w:rsidR="005F03D8">
        <w:rPr>
          <w:rFonts w:cs="Arial"/>
          <w:spacing w:val="-2"/>
          <w:szCs w:val="20"/>
        </w:rPr>
        <w:t>,</w:t>
      </w:r>
      <w:r w:rsidRPr="00FC35B9">
        <w:rPr>
          <w:rFonts w:cs="Arial"/>
          <w:spacing w:val="-2"/>
          <w:szCs w:val="20"/>
        </w:rPr>
        <w:t xml:space="preserve"> jako je silná obchodní a kapitálová vazba na ekonomiku Německa, mentální a </w:t>
      </w:r>
      <w:proofErr w:type="spellStart"/>
      <w:r w:rsidRPr="00FC35B9">
        <w:rPr>
          <w:rFonts w:cs="Arial"/>
          <w:spacing w:val="-2"/>
          <w:szCs w:val="20"/>
        </w:rPr>
        <w:t>socio</w:t>
      </w:r>
      <w:proofErr w:type="spellEnd"/>
      <w:r w:rsidRPr="00FC35B9">
        <w:rPr>
          <w:rFonts w:cs="Arial"/>
          <w:spacing w:val="-2"/>
          <w:szCs w:val="20"/>
        </w:rPr>
        <w:t xml:space="preserve">-ekonomická příbuznost, teritoriální blízkost a nepříliš velký rozdíl ve velikosti ekonomik a jejich růstových struktur, charakterizují Českou republiku, Slovensko a Rakousko přirozeně i vzájemné rozdíly. Tím zřejmě největším je historicky vzniklá disproporce </w:t>
      </w:r>
      <w:r w:rsidR="005F03D8">
        <w:rPr>
          <w:rFonts w:cs="Arial"/>
          <w:spacing w:val="-2"/>
          <w:szCs w:val="20"/>
        </w:rPr>
        <w:t>(</w:t>
      </w:r>
      <w:r w:rsidRPr="00FC35B9">
        <w:rPr>
          <w:rFonts w:cs="Arial"/>
          <w:spacing w:val="-2"/>
          <w:szCs w:val="20"/>
        </w:rPr>
        <w:t>ČR a SR oproti Rakousku</w:t>
      </w:r>
      <w:r w:rsidR="005F03D8">
        <w:rPr>
          <w:rFonts w:cs="Arial"/>
          <w:spacing w:val="-2"/>
          <w:szCs w:val="20"/>
        </w:rPr>
        <w:t>)</w:t>
      </w:r>
      <w:r w:rsidRPr="00FC35B9">
        <w:rPr>
          <w:rFonts w:cs="Arial"/>
          <w:spacing w:val="-2"/>
          <w:szCs w:val="20"/>
        </w:rPr>
        <w:t xml:space="preserve"> ve stupni ekonomické vyspělosti měřen</w:t>
      </w:r>
      <w:r w:rsidR="0021492B">
        <w:rPr>
          <w:rFonts w:cs="Arial"/>
          <w:spacing w:val="-2"/>
          <w:szCs w:val="20"/>
        </w:rPr>
        <w:t>é</w:t>
      </w:r>
      <w:r w:rsidRPr="00FC35B9">
        <w:rPr>
          <w:rFonts w:cs="Arial"/>
          <w:spacing w:val="-2"/>
          <w:szCs w:val="20"/>
        </w:rPr>
        <w:t xml:space="preserve"> obvykle ukazatelem </w:t>
      </w:r>
      <w:r w:rsidR="005F03D8">
        <w:rPr>
          <w:rFonts w:cs="Arial"/>
          <w:spacing w:val="-2"/>
          <w:szCs w:val="20"/>
        </w:rPr>
        <w:t>ekonomické vyspělosti</w:t>
      </w:r>
      <w:r w:rsidRPr="00FC35B9">
        <w:rPr>
          <w:rFonts w:cs="Arial"/>
          <w:spacing w:val="-2"/>
          <w:szCs w:val="20"/>
        </w:rPr>
        <w:t xml:space="preserve">, tj. pomocí HDP na obyvatele v paritě kupní síly a ukazateli materiální kvality života. I když ekonomiky ČR a zejména Slovenska učinily v posledních dvou dekádách významný pokrok směrem k redukci tohoto rozdílu oproti Rakousku i celé EU, bylo to za pomoci mimořádných vlivů a nižší výchozí báze, která tento progres uspíšila. Je otázka, do jaké míry jsou tyto růstové potenciály již využity a s jakou invencí, silou a možnostmi financování se objeví potenciál nový. </w:t>
      </w:r>
    </w:p>
    <w:p w:rsidR="0008794F" w:rsidRPr="00902C13" w:rsidRDefault="0008794F" w:rsidP="00AC6A22">
      <w:pPr>
        <w:tabs>
          <w:tab w:val="num" w:pos="284"/>
        </w:tabs>
        <w:spacing w:line="240" w:lineRule="auto"/>
        <w:ind w:left="284"/>
        <w:jc w:val="both"/>
        <w:rPr>
          <w:rFonts w:cs="Arial"/>
          <w:sz w:val="12"/>
          <w:szCs w:val="12"/>
        </w:rPr>
      </w:pPr>
      <w:r>
        <w:rPr>
          <w:rFonts w:cs="Arial"/>
          <w:szCs w:val="20"/>
        </w:rPr>
        <w:t xml:space="preserve">  </w:t>
      </w:r>
    </w:p>
    <w:p w:rsidR="0008794F" w:rsidRPr="00B71161" w:rsidRDefault="0008794F" w:rsidP="00AC6A22">
      <w:pPr>
        <w:numPr>
          <w:ilvl w:val="0"/>
          <w:numId w:val="25"/>
        </w:numPr>
        <w:tabs>
          <w:tab w:val="clear" w:pos="720"/>
          <w:tab w:val="num" w:pos="284"/>
        </w:tabs>
        <w:spacing w:line="240" w:lineRule="auto"/>
        <w:ind w:left="284" w:hanging="357"/>
        <w:jc w:val="both"/>
        <w:rPr>
          <w:rFonts w:cs="Arial"/>
          <w:spacing w:val="-6"/>
          <w:szCs w:val="20"/>
        </w:rPr>
      </w:pPr>
      <w:r w:rsidRPr="00B71161">
        <w:rPr>
          <w:rFonts w:cs="Arial"/>
          <w:spacing w:val="-6"/>
          <w:szCs w:val="20"/>
        </w:rPr>
        <w:t xml:space="preserve">Ekonomiky ČR, SR a Rakouska jsou z evropského pohledu “malé“. V roce 2014 představovaly v úhrnu jen 4,6 % HDP EU 28 vyjádřeného v paritě kupní síly (PPS) - ČR 1,7 %, SR 0,8 % a Rakousko 2,1 %. I tak jim patří místo ve druhé třetině žebříčku zemí Unie, což je dáno vahou největších ekonomik (pětinový podíl Německa a dalších čtyř velkých zemí daly v roce 2014 v úhrnu přes dvě třetiny unijního HDP). Podíly Rakouska a ČR se příliš nemění, </w:t>
      </w:r>
      <w:r w:rsidR="00AA534F">
        <w:rPr>
          <w:rFonts w:cs="Arial"/>
          <w:spacing w:val="-6"/>
          <w:szCs w:val="20"/>
        </w:rPr>
        <w:t>podíl</w:t>
      </w:r>
      <w:r w:rsidRPr="00B71161">
        <w:rPr>
          <w:rFonts w:cs="Arial"/>
          <w:spacing w:val="-6"/>
          <w:szCs w:val="20"/>
        </w:rPr>
        <w:t xml:space="preserve"> SR stoupl od roku 2005 o čtvrtinu.</w:t>
      </w:r>
    </w:p>
    <w:p w:rsidR="0008794F" w:rsidRPr="001C44D4" w:rsidRDefault="0008794F" w:rsidP="00AC6A22">
      <w:pPr>
        <w:tabs>
          <w:tab w:val="num" w:pos="284"/>
        </w:tabs>
        <w:spacing w:line="240" w:lineRule="auto"/>
        <w:ind w:left="284"/>
        <w:jc w:val="both"/>
        <w:rPr>
          <w:rFonts w:cs="Arial"/>
          <w:sz w:val="12"/>
          <w:szCs w:val="12"/>
        </w:rPr>
      </w:pPr>
    </w:p>
    <w:p w:rsidR="0008794F" w:rsidRDefault="0008794F" w:rsidP="00AC6A22">
      <w:pPr>
        <w:numPr>
          <w:ilvl w:val="0"/>
          <w:numId w:val="25"/>
        </w:numPr>
        <w:tabs>
          <w:tab w:val="clear" w:pos="720"/>
          <w:tab w:val="num" w:pos="284"/>
        </w:tabs>
        <w:spacing w:line="240" w:lineRule="auto"/>
        <w:ind w:left="284" w:hanging="357"/>
        <w:jc w:val="both"/>
        <w:rPr>
          <w:rFonts w:cs="Arial"/>
          <w:szCs w:val="20"/>
        </w:rPr>
      </w:pPr>
      <w:r w:rsidRPr="00A305BD">
        <w:rPr>
          <w:rFonts w:cs="Arial"/>
          <w:szCs w:val="20"/>
        </w:rPr>
        <w:t xml:space="preserve">Vyšší výkonnost ekonomiky Rakouska dokládá i fakt, že její podíl na unijním HDP v PPS je vyšší </w:t>
      </w:r>
      <w:r>
        <w:rPr>
          <w:rFonts w:cs="Arial"/>
          <w:szCs w:val="20"/>
        </w:rPr>
        <w:t>ve</w:t>
      </w:r>
      <w:r w:rsidR="005F03D8">
        <w:rPr>
          <w:rFonts w:cs="Arial"/>
          <w:szCs w:val="20"/>
        </w:rPr>
        <w:t xml:space="preserve"> </w:t>
      </w:r>
      <w:r>
        <w:rPr>
          <w:rFonts w:cs="Arial"/>
          <w:szCs w:val="20"/>
        </w:rPr>
        <w:t>srovnání</w:t>
      </w:r>
      <w:r w:rsidRPr="00A305BD">
        <w:rPr>
          <w:rFonts w:cs="Arial"/>
          <w:szCs w:val="20"/>
        </w:rPr>
        <w:t xml:space="preserve"> podílu rakouského obyvatelstva na počtu obyvatel EU 28. Pro ČR a SR platí opak.</w:t>
      </w:r>
    </w:p>
    <w:p w:rsidR="0008794F" w:rsidRPr="001C44D4" w:rsidRDefault="0008794F" w:rsidP="00AC6A22">
      <w:pPr>
        <w:tabs>
          <w:tab w:val="num" w:pos="284"/>
        </w:tabs>
        <w:spacing w:line="240" w:lineRule="auto"/>
        <w:ind w:left="284"/>
        <w:jc w:val="both"/>
        <w:rPr>
          <w:rFonts w:cs="Arial"/>
          <w:sz w:val="12"/>
          <w:szCs w:val="12"/>
        </w:rPr>
      </w:pPr>
    </w:p>
    <w:p w:rsidR="0008794F" w:rsidRDefault="0008794F" w:rsidP="00AC6A22">
      <w:pPr>
        <w:numPr>
          <w:ilvl w:val="0"/>
          <w:numId w:val="25"/>
        </w:numPr>
        <w:tabs>
          <w:tab w:val="clear" w:pos="720"/>
          <w:tab w:val="num" w:pos="284"/>
        </w:tabs>
        <w:spacing w:line="240" w:lineRule="auto"/>
        <w:ind w:left="284" w:hanging="357"/>
        <w:jc w:val="both"/>
        <w:rPr>
          <w:rFonts w:cs="Arial"/>
          <w:szCs w:val="20"/>
        </w:rPr>
      </w:pPr>
      <w:r w:rsidRPr="00A305BD">
        <w:rPr>
          <w:rFonts w:cs="Arial"/>
          <w:szCs w:val="20"/>
        </w:rPr>
        <w:t xml:space="preserve">Rakousko bylo v první polovině 90. let podle HDP na obyvatele v paritě kupní síly </w:t>
      </w:r>
      <w:r>
        <w:rPr>
          <w:rFonts w:cs="Arial"/>
          <w:szCs w:val="20"/>
        </w:rPr>
        <w:t>(PPS) nej</w:t>
      </w:r>
      <w:r w:rsidR="005F03D8">
        <w:rPr>
          <w:rFonts w:cs="Arial"/>
          <w:szCs w:val="20"/>
        </w:rPr>
        <w:t>vyspělejší</w:t>
      </w:r>
      <w:r>
        <w:rPr>
          <w:rFonts w:cs="Arial"/>
          <w:szCs w:val="20"/>
        </w:rPr>
        <w:t xml:space="preserve"> zemí EU. </w:t>
      </w:r>
      <w:r w:rsidRPr="00A305BD">
        <w:rPr>
          <w:rFonts w:cs="Arial"/>
          <w:szCs w:val="20"/>
        </w:rPr>
        <w:t>Č</w:t>
      </w:r>
      <w:r>
        <w:rPr>
          <w:rFonts w:cs="Arial"/>
          <w:szCs w:val="20"/>
        </w:rPr>
        <w:t>R</w:t>
      </w:r>
      <w:r w:rsidRPr="00A305BD">
        <w:rPr>
          <w:rFonts w:cs="Arial"/>
          <w:szCs w:val="20"/>
        </w:rPr>
        <w:t xml:space="preserve"> a Slovensko, nejprve jako součást federace a od roku 1993 jako dva samostatné státy, procházely naopak v té době zatěžkávací zkouškou přechodu k tržnímu charakteru svých ekonomik. </w:t>
      </w:r>
      <w:r>
        <w:rPr>
          <w:rFonts w:cs="Arial"/>
          <w:szCs w:val="20"/>
        </w:rPr>
        <w:t>Ta byla tehdy p</w:t>
      </w:r>
      <w:r w:rsidRPr="00A305BD">
        <w:rPr>
          <w:rFonts w:cs="Arial"/>
          <w:szCs w:val="20"/>
        </w:rPr>
        <w:t xml:space="preserve">odstatně </w:t>
      </w:r>
      <w:r>
        <w:rPr>
          <w:rFonts w:cs="Arial"/>
          <w:szCs w:val="20"/>
        </w:rPr>
        <w:t xml:space="preserve">tvrdší pro </w:t>
      </w:r>
      <w:r w:rsidRPr="00A305BD">
        <w:rPr>
          <w:rFonts w:cs="Arial"/>
          <w:szCs w:val="20"/>
        </w:rPr>
        <w:t>ekonomik</w:t>
      </w:r>
      <w:r>
        <w:rPr>
          <w:rFonts w:cs="Arial"/>
          <w:szCs w:val="20"/>
        </w:rPr>
        <w:t>u</w:t>
      </w:r>
      <w:r w:rsidRPr="00A305BD">
        <w:rPr>
          <w:rFonts w:cs="Arial"/>
          <w:szCs w:val="20"/>
        </w:rPr>
        <w:t xml:space="preserve"> Slovenské republiky</w:t>
      </w:r>
      <w:r>
        <w:rPr>
          <w:rFonts w:cs="Arial"/>
          <w:szCs w:val="20"/>
        </w:rPr>
        <w:t>.</w:t>
      </w:r>
    </w:p>
    <w:p w:rsidR="0008794F" w:rsidRPr="001C44D4" w:rsidRDefault="0008794F" w:rsidP="00AC6A22">
      <w:pPr>
        <w:tabs>
          <w:tab w:val="num" w:pos="284"/>
        </w:tabs>
        <w:spacing w:line="240" w:lineRule="auto"/>
        <w:ind w:left="284"/>
        <w:jc w:val="both"/>
        <w:rPr>
          <w:rFonts w:cs="Arial"/>
          <w:sz w:val="12"/>
          <w:szCs w:val="12"/>
        </w:rPr>
      </w:pPr>
    </w:p>
    <w:p w:rsidR="0008794F" w:rsidRPr="00AE1E4A" w:rsidRDefault="0008794F" w:rsidP="00AC6A22">
      <w:pPr>
        <w:numPr>
          <w:ilvl w:val="0"/>
          <w:numId w:val="25"/>
        </w:numPr>
        <w:tabs>
          <w:tab w:val="clear" w:pos="720"/>
          <w:tab w:val="num" w:pos="284"/>
        </w:tabs>
        <w:spacing w:line="240" w:lineRule="auto"/>
        <w:ind w:left="284" w:hanging="357"/>
        <w:jc w:val="both"/>
        <w:rPr>
          <w:rFonts w:cs="Arial"/>
          <w:spacing w:val="-6"/>
          <w:szCs w:val="20"/>
        </w:rPr>
      </w:pPr>
      <w:r w:rsidRPr="00AE1E4A">
        <w:rPr>
          <w:rFonts w:cs="Arial"/>
          <w:spacing w:val="-6"/>
          <w:szCs w:val="20"/>
        </w:rPr>
        <w:t>Transformační pokles byl v letech existence společného státu (1990-1992) významně hlubší na Slovensku než v ČR s meziroční</w:t>
      </w:r>
      <w:r>
        <w:rPr>
          <w:rFonts w:cs="Arial"/>
          <w:spacing w:val="-6"/>
          <w:szCs w:val="20"/>
        </w:rPr>
        <w:t>m</w:t>
      </w:r>
      <w:r w:rsidRPr="00AE1E4A">
        <w:rPr>
          <w:rFonts w:cs="Arial"/>
          <w:spacing w:val="-6"/>
          <w:szCs w:val="20"/>
        </w:rPr>
        <w:t xml:space="preserve"> propadem HDP v reálném vyjádření o 17,5 % v roce 1991. Za oba roky </w:t>
      </w:r>
      <w:smartTag w:uri="urn:schemas-microsoft-com:office:smarttags" w:element="metricconverter">
        <w:smartTagPr>
          <w:attr w:name="ProductID" w:val="1991 a"/>
        </w:smartTagPr>
        <w:r w:rsidRPr="00AE1E4A">
          <w:rPr>
            <w:rFonts w:cs="Arial"/>
            <w:spacing w:val="-6"/>
            <w:szCs w:val="20"/>
          </w:rPr>
          <w:t>1991 a</w:t>
        </w:r>
      </w:smartTag>
      <w:r w:rsidRPr="00AE1E4A">
        <w:rPr>
          <w:rFonts w:cs="Arial"/>
          <w:spacing w:val="-6"/>
          <w:szCs w:val="20"/>
        </w:rPr>
        <w:t xml:space="preserve"> 1992 se výkonnost ekonomiky SR snížila o téměř čtvrtinu (-22,3 %). </w:t>
      </w:r>
      <w:r w:rsidRPr="00AE1E4A">
        <w:rPr>
          <w:rFonts w:cs="Arial"/>
          <w:color w:val="000000"/>
          <w:spacing w:val="-6"/>
          <w:szCs w:val="20"/>
        </w:rPr>
        <w:t xml:space="preserve">V České republice klesl HDP v roce 1991 o desetinu, v roce 1992 o další 2 %, ale obnovil se již meziroční růst většiny výdajových položek. Pokračovalo jen snižování dovozů a zásob indikující zatím velmi křehkou </w:t>
      </w:r>
      <w:r>
        <w:rPr>
          <w:rFonts w:cs="Arial"/>
          <w:color w:val="000000"/>
          <w:spacing w:val="-6"/>
          <w:szCs w:val="20"/>
        </w:rPr>
        <w:t xml:space="preserve">domácí </w:t>
      </w:r>
      <w:r w:rsidRPr="00AE1E4A">
        <w:rPr>
          <w:rFonts w:cs="Arial"/>
          <w:color w:val="000000"/>
          <w:spacing w:val="-6"/>
          <w:szCs w:val="20"/>
        </w:rPr>
        <w:t xml:space="preserve">poptávku. </w:t>
      </w:r>
    </w:p>
    <w:p w:rsidR="0008794F" w:rsidRPr="00B71161" w:rsidRDefault="0008794F" w:rsidP="00AC6A22">
      <w:pPr>
        <w:tabs>
          <w:tab w:val="num" w:pos="284"/>
        </w:tabs>
        <w:spacing w:line="240" w:lineRule="auto"/>
        <w:ind w:left="284"/>
        <w:jc w:val="both"/>
        <w:rPr>
          <w:rFonts w:cs="Arial"/>
          <w:color w:val="000000"/>
          <w:spacing w:val="-6"/>
          <w:sz w:val="12"/>
          <w:szCs w:val="12"/>
        </w:rPr>
      </w:pPr>
    </w:p>
    <w:p w:rsidR="0008794F" w:rsidRPr="00A305BD" w:rsidRDefault="0008794F" w:rsidP="00AC6A22">
      <w:pPr>
        <w:numPr>
          <w:ilvl w:val="0"/>
          <w:numId w:val="25"/>
        </w:numPr>
        <w:tabs>
          <w:tab w:val="clear" w:pos="720"/>
          <w:tab w:val="num" w:pos="284"/>
        </w:tabs>
        <w:spacing w:line="240" w:lineRule="auto"/>
        <w:ind w:left="284" w:hanging="357"/>
        <w:jc w:val="both"/>
        <w:rPr>
          <w:rFonts w:cs="Arial"/>
          <w:szCs w:val="20"/>
        </w:rPr>
      </w:pPr>
      <w:r w:rsidRPr="00A305BD">
        <w:rPr>
          <w:rFonts w:cs="Arial"/>
          <w:color w:val="000000"/>
          <w:spacing w:val="-6"/>
          <w:szCs w:val="20"/>
        </w:rPr>
        <w:t>„</w:t>
      </w:r>
      <w:r w:rsidR="00723F20">
        <w:rPr>
          <w:rFonts w:cs="Arial"/>
          <w:color w:val="000000"/>
          <w:spacing w:val="-6"/>
          <w:szCs w:val="20"/>
        </w:rPr>
        <w:t>Š</w:t>
      </w:r>
      <w:r w:rsidRPr="00A305BD">
        <w:rPr>
          <w:rFonts w:cs="Arial"/>
          <w:color w:val="000000"/>
          <w:spacing w:val="-6"/>
          <w:szCs w:val="20"/>
        </w:rPr>
        <w:t>oková terapie“ přechodu k tržní ekonomice tak byla v ČR účinnější než na Slovensku</w:t>
      </w:r>
      <w:r>
        <w:rPr>
          <w:rFonts w:cs="Arial"/>
          <w:color w:val="000000"/>
          <w:spacing w:val="-6"/>
          <w:szCs w:val="20"/>
        </w:rPr>
        <w:t xml:space="preserve">, </w:t>
      </w:r>
      <w:r w:rsidRPr="00A305BD">
        <w:rPr>
          <w:rFonts w:cs="Arial"/>
          <w:color w:val="000000"/>
          <w:spacing w:val="-6"/>
          <w:szCs w:val="20"/>
        </w:rPr>
        <w:t xml:space="preserve">kde za roky </w:t>
      </w:r>
      <w:smartTag w:uri="urn:schemas-microsoft-com:office:smarttags" w:element="metricconverter">
        <w:smartTagPr>
          <w:attr w:name="ProductID" w:val="1991 a"/>
        </w:smartTagPr>
        <w:r w:rsidRPr="00A305BD">
          <w:rPr>
            <w:rFonts w:cs="Arial"/>
            <w:color w:val="000000"/>
            <w:spacing w:val="-6"/>
            <w:szCs w:val="20"/>
          </w:rPr>
          <w:t>1991 a</w:t>
        </w:r>
      </w:smartTag>
      <w:r w:rsidRPr="00A305BD">
        <w:rPr>
          <w:rFonts w:cs="Arial"/>
          <w:color w:val="000000"/>
          <w:spacing w:val="-6"/>
          <w:szCs w:val="20"/>
        </w:rPr>
        <w:t xml:space="preserve"> 1992</w:t>
      </w:r>
      <w:r>
        <w:rPr>
          <w:rFonts w:cs="Arial"/>
          <w:color w:val="000000"/>
          <w:spacing w:val="-6"/>
          <w:szCs w:val="20"/>
        </w:rPr>
        <w:t xml:space="preserve"> klesl </w:t>
      </w:r>
      <w:r w:rsidRPr="00A305BD">
        <w:rPr>
          <w:rFonts w:cs="Arial"/>
          <w:color w:val="000000"/>
          <w:spacing w:val="-6"/>
          <w:szCs w:val="20"/>
        </w:rPr>
        <w:t xml:space="preserve">proti roku 1990 </w:t>
      </w:r>
      <w:r>
        <w:rPr>
          <w:rFonts w:cs="Arial"/>
          <w:color w:val="000000"/>
          <w:spacing w:val="-6"/>
          <w:szCs w:val="20"/>
        </w:rPr>
        <w:t xml:space="preserve">podstatně hlouběji nejen HDP, ale např. </w:t>
      </w:r>
      <w:r w:rsidRPr="00A305BD">
        <w:rPr>
          <w:rFonts w:cs="Arial"/>
          <w:color w:val="000000"/>
          <w:spacing w:val="-6"/>
          <w:szCs w:val="20"/>
        </w:rPr>
        <w:t xml:space="preserve">fixní investice i spotřeba domácností o pětinu a import dokonce </w:t>
      </w:r>
      <w:r>
        <w:rPr>
          <w:rFonts w:cs="Arial"/>
          <w:color w:val="000000"/>
          <w:spacing w:val="-6"/>
          <w:szCs w:val="20"/>
        </w:rPr>
        <w:t>na</w:t>
      </w:r>
      <w:r w:rsidRPr="00A305BD">
        <w:rPr>
          <w:rFonts w:cs="Arial"/>
          <w:color w:val="000000"/>
          <w:spacing w:val="-6"/>
          <w:szCs w:val="20"/>
        </w:rPr>
        <w:t xml:space="preserve"> polovinu</w:t>
      </w:r>
      <w:r>
        <w:rPr>
          <w:rFonts w:cs="Arial"/>
          <w:color w:val="000000"/>
          <w:spacing w:val="-6"/>
          <w:szCs w:val="20"/>
        </w:rPr>
        <w:t>.</w:t>
      </w:r>
    </w:p>
    <w:p w:rsidR="0008794F" w:rsidRPr="001C44D4" w:rsidRDefault="0008794F" w:rsidP="00AC6A22">
      <w:pPr>
        <w:tabs>
          <w:tab w:val="num" w:pos="284"/>
        </w:tabs>
        <w:spacing w:line="240" w:lineRule="auto"/>
        <w:ind w:left="284"/>
        <w:jc w:val="both"/>
        <w:rPr>
          <w:rFonts w:cs="Arial"/>
          <w:sz w:val="12"/>
          <w:szCs w:val="12"/>
        </w:rPr>
      </w:pPr>
    </w:p>
    <w:p w:rsidR="0008794F" w:rsidRDefault="0008794F" w:rsidP="00AC6A22">
      <w:pPr>
        <w:numPr>
          <w:ilvl w:val="0"/>
          <w:numId w:val="25"/>
        </w:numPr>
        <w:tabs>
          <w:tab w:val="clear" w:pos="720"/>
          <w:tab w:val="num" w:pos="284"/>
        </w:tabs>
        <w:spacing w:line="240" w:lineRule="auto"/>
        <w:ind w:left="284" w:hanging="357"/>
        <w:jc w:val="both"/>
        <w:rPr>
          <w:rFonts w:cs="Arial"/>
          <w:szCs w:val="20"/>
        </w:rPr>
      </w:pPr>
      <w:r w:rsidRPr="00A305BD">
        <w:rPr>
          <w:rFonts w:cs="Arial"/>
          <w:szCs w:val="20"/>
        </w:rPr>
        <w:t>Nejen hloubka, ale i délka transformačního propadu byla nepříznivější pro Slovensko, kde HDP převýšil úroveň roku 1990 až v roce 1998, zatímco v ČR v roce 1996. Výdaje na konečnou spotřebu domácností přesáhly na Slovensku</w:t>
      </w:r>
      <w:r>
        <w:rPr>
          <w:rFonts w:cs="Arial"/>
          <w:szCs w:val="20"/>
        </w:rPr>
        <w:t xml:space="preserve"> dokonce</w:t>
      </w:r>
      <w:r w:rsidRPr="00A305BD">
        <w:rPr>
          <w:rFonts w:cs="Arial"/>
          <w:szCs w:val="20"/>
        </w:rPr>
        <w:t xml:space="preserve"> až po dvanácti letech úroveň roku 1990, v ČR po šesti letech</w:t>
      </w:r>
      <w:r>
        <w:rPr>
          <w:rFonts w:cs="Arial"/>
          <w:szCs w:val="20"/>
        </w:rPr>
        <w:t>. S</w:t>
      </w:r>
      <w:r w:rsidRPr="00A305BD">
        <w:rPr>
          <w:rFonts w:cs="Arial"/>
          <w:color w:val="000000"/>
          <w:spacing w:val="-6"/>
          <w:szCs w:val="20"/>
        </w:rPr>
        <w:t>lovenské domácnosti tak nesly na svých bedrech významnou část transformačních nákladů své země na cestě k tržní ekonomice</w:t>
      </w:r>
      <w:r>
        <w:rPr>
          <w:rFonts w:cs="Arial"/>
          <w:color w:val="000000"/>
          <w:spacing w:val="-6"/>
          <w:szCs w:val="20"/>
        </w:rPr>
        <w:t>. J</w:t>
      </w:r>
      <w:r w:rsidRPr="00A305BD">
        <w:rPr>
          <w:rFonts w:cs="Arial"/>
          <w:color w:val="000000"/>
          <w:spacing w:val="-6"/>
          <w:szCs w:val="20"/>
        </w:rPr>
        <w:t>ejich spotřebu v reálném vyjádření ovlivňovala i vysoká inflace.</w:t>
      </w:r>
      <w:r w:rsidRPr="00A305BD">
        <w:rPr>
          <w:rFonts w:cs="Arial"/>
          <w:szCs w:val="20"/>
        </w:rPr>
        <w:t xml:space="preserve"> Rychleji překon</w:t>
      </w:r>
      <w:r>
        <w:rPr>
          <w:rFonts w:cs="Arial"/>
          <w:szCs w:val="20"/>
        </w:rPr>
        <w:t xml:space="preserve">aly </w:t>
      </w:r>
      <w:r w:rsidRPr="00A305BD">
        <w:rPr>
          <w:rFonts w:cs="Arial"/>
          <w:szCs w:val="20"/>
        </w:rPr>
        <w:t xml:space="preserve">v ČR </w:t>
      </w:r>
      <w:r>
        <w:rPr>
          <w:rFonts w:cs="Arial"/>
          <w:szCs w:val="20"/>
        </w:rPr>
        <w:t>úroveň</w:t>
      </w:r>
      <w:r w:rsidRPr="00A305BD">
        <w:rPr>
          <w:rFonts w:cs="Arial"/>
          <w:szCs w:val="20"/>
        </w:rPr>
        <w:t xml:space="preserve"> roku 1990 </w:t>
      </w:r>
      <w:r>
        <w:rPr>
          <w:rFonts w:cs="Arial"/>
          <w:szCs w:val="20"/>
        </w:rPr>
        <w:t>i</w:t>
      </w:r>
      <w:r w:rsidRPr="00A305BD">
        <w:rPr>
          <w:rFonts w:cs="Arial"/>
          <w:szCs w:val="20"/>
        </w:rPr>
        <w:t xml:space="preserve"> výdaje vládních institucí</w:t>
      </w:r>
      <w:r>
        <w:rPr>
          <w:rFonts w:cs="Arial"/>
          <w:szCs w:val="20"/>
        </w:rPr>
        <w:t xml:space="preserve"> na konečnou spotřebu</w:t>
      </w:r>
      <w:r w:rsidRPr="00A305BD">
        <w:rPr>
          <w:rFonts w:cs="Arial"/>
          <w:szCs w:val="20"/>
        </w:rPr>
        <w:t xml:space="preserve">, </w:t>
      </w:r>
      <w:r>
        <w:rPr>
          <w:rFonts w:cs="Arial"/>
          <w:szCs w:val="20"/>
        </w:rPr>
        <w:t xml:space="preserve">a to </w:t>
      </w:r>
      <w:r w:rsidRPr="00A305BD">
        <w:rPr>
          <w:rFonts w:cs="Arial"/>
          <w:szCs w:val="20"/>
        </w:rPr>
        <w:t>již v roce 1993, zatímco na Slovensku až v roce 1996.</w:t>
      </w:r>
    </w:p>
    <w:p w:rsidR="0008794F" w:rsidRPr="001C44D4" w:rsidRDefault="0008794F" w:rsidP="00AC6A22">
      <w:pPr>
        <w:tabs>
          <w:tab w:val="num" w:pos="284"/>
        </w:tabs>
        <w:spacing w:line="240" w:lineRule="auto"/>
        <w:ind w:left="284"/>
        <w:jc w:val="both"/>
        <w:rPr>
          <w:rFonts w:cs="Arial"/>
          <w:sz w:val="12"/>
          <w:szCs w:val="12"/>
        </w:rPr>
      </w:pPr>
    </w:p>
    <w:p w:rsidR="0008794F" w:rsidRPr="00A305BD" w:rsidRDefault="0008794F" w:rsidP="00AC6A22">
      <w:pPr>
        <w:numPr>
          <w:ilvl w:val="0"/>
          <w:numId w:val="25"/>
        </w:numPr>
        <w:tabs>
          <w:tab w:val="clear" w:pos="720"/>
          <w:tab w:val="num" w:pos="284"/>
        </w:tabs>
        <w:spacing w:line="240" w:lineRule="auto"/>
        <w:ind w:left="284" w:hanging="357"/>
        <w:jc w:val="both"/>
        <w:rPr>
          <w:rFonts w:cs="Arial"/>
          <w:szCs w:val="20"/>
        </w:rPr>
      </w:pPr>
      <w:r w:rsidRPr="00A305BD">
        <w:rPr>
          <w:rFonts w:cs="Arial"/>
          <w:szCs w:val="20"/>
        </w:rPr>
        <w:t xml:space="preserve">Slovensko bylo </w:t>
      </w:r>
      <w:r w:rsidR="00723F20">
        <w:rPr>
          <w:rFonts w:cs="Arial"/>
          <w:szCs w:val="20"/>
        </w:rPr>
        <w:t>zasaženo</w:t>
      </w:r>
      <w:r w:rsidRPr="00A305BD">
        <w:rPr>
          <w:rFonts w:cs="Arial"/>
          <w:szCs w:val="20"/>
        </w:rPr>
        <w:t xml:space="preserve"> transformací své ekonomiky k tržnímu prostředí tvrd</w:t>
      </w:r>
      <w:r>
        <w:rPr>
          <w:rFonts w:cs="Arial"/>
          <w:szCs w:val="20"/>
        </w:rPr>
        <w:t>ším způsobem</w:t>
      </w:r>
      <w:r w:rsidRPr="00A305BD">
        <w:rPr>
          <w:rFonts w:cs="Arial"/>
          <w:szCs w:val="20"/>
        </w:rPr>
        <w:t xml:space="preserve"> než Č</w:t>
      </w:r>
      <w:r>
        <w:rPr>
          <w:rFonts w:cs="Arial"/>
          <w:szCs w:val="20"/>
        </w:rPr>
        <w:t>R</w:t>
      </w:r>
      <w:r w:rsidRPr="00A305BD">
        <w:rPr>
          <w:rFonts w:cs="Arial"/>
          <w:szCs w:val="20"/>
        </w:rPr>
        <w:t xml:space="preserve"> </w:t>
      </w:r>
      <w:r>
        <w:rPr>
          <w:rFonts w:cs="Arial"/>
          <w:szCs w:val="20"/>
        </w:rPr>
        <w:t>i</w:t>
      </w:r>
      <w:r w:rsidRPr="00A305BD">
        <w:rPr>
          <w:rFonts w:cs="Arial"/>
          <w:szCs w:val="20"/>
        </w:rPr>
        <w:t xml:space="preserve"> vlivem pomalejšího oživení investic </w:t>
      </w:r>
      <w:r>
        <w:rPr>
          <w:rFonts w:cs="Arial"/>
          <w:szCs w:val="20"/>
        </w:rPr>
        <w:t xml:space="preserve">a </w:t>
      </w:r>
      <w:r w:rsidRPr="00A305BD">
        <w:rPr>
          <w:rFonts w:cs="Arial"/>
          <w:szCs w:val="20"/>
        </w:rPr>
        <w:t>tak</w:t>
      </w:r>
      <w:r>
        <w:rPr>
          <w:rFonts w:cs="Arial"/>
          <w:szCs w:val="20"/>
        </w:rPr>
        <w:t>é</w:t>
      </w:r>
      <w:r w:rsidRPr="00A305BD">
        <w:rPr>
          <w:rFonts w:cs="Arial"/>
          <w:szCs w:val="20"/>
        </w:rPr>
        <w:t xml:space="preserve"> zahraničního obchodu se zbožím a službami, jehož dynamiku v ČR nezpomalila ani recese po měnové krizi v letech </w:t>
      </w:r>
      <w:smartTag w:uri="urn:schemas-microsoft-com:office:smarttags" w:element="metricconverter">
        <w:smartTagPr>
          <w:attr w:name="ProductID" w:val="1997 a"/>
        </w:smartTagPr>
        <w:r w:rsidRPr="00A305BD">
          <w:rPr>
            <w:rFonts w:cs="Arial"/>
            <w:szCs w:val="20"/>
          </w:rPr>
          <w:t>1997 a</w:t>
        </w:r>
      </w:smartTag>
      <w:r w:rsidRPr="00A305BD">
        <w:rPr>
          <w:rFonts w:cs="Arial"/>
          <w:szCs w:val="20"/>
        </w:rPr>
        <w:t xml:space="preserve"> 1998.</w:t>
      </w:r>
    </w:p>
    <w:p w:rsidR="0008794F" w:rsidRPr="001C44D4" w:rsidRDefault="0008794F" w:rsidP="00AC6A22">
      <w:pPr>
        <w:tabs>
          <w:tab w:val="num" w:pos="284"/>
        </w:tabs>
        <w:spacing w:line="240" w:lineRule="auto"/>
        <w:ind w:left="284"/>
        <w:jc w:val="both"/>
        <w:rPr>
          <w:rFonts w:cs="Arial"/>
          <w:sz w:val="12"/>
          <w:szCs w:val="12"/>
        </w:rPr>
      </w:pPr>
    </w:p>
    <w:p w:rsidR="0008794F" w:rsidRPr="00A305BD" w:rsidRDefault="0008794F" w:rsidP="00AC6A22">
      <w:pPr>
        <w:numPr>
          <w:ilvl w:val="0"/>
          <w:numId w:val="25"/>
        </w:numPr>
        <w:tabs>
          <w:tab w:val="clear" w:pos="720"/>
          <w:tab w:val="num" w:pos="284"/>
        </w:tabs>
        <w:spacing w:line="240" w:lineRule="auto"/>
        <w:ind w:left="284" w:hanging="357"/>
        <w:jc w:val="both"/>
        <w:rPr>
          <w:rFonts w:cs="Arial"/>
          <w:szCs w:val="20"/>
        </w:rPr>
      </w:pPr>
      <w:r w:rsidRPr="00A305BD">
        <w:rPr>
          <w:rFonts w:cs="Arial"/>
          <w:szCs w:val="20"/>
        </w:rPr>
        <w:t>Zatímco eko</w:t>
      </w:r>
      <w:r>
        <w:rPr>
          <w:rFonts w:cs="Arial"/>
          <w:szCs w:val="20"/>
        </w:rPr>
        <w:t xml:space="preserve">nomika ČR procházela v letech </w:t>
      </w:r>
      <w:smartTag w:uri="urn:schemas-microsoft-com:office:smarttags" w:element="metricconverter">
        <w:smartTagPr>
          <w:attr w:name="ProductID" w:val="1997 a"/>
        </w:smartTagPr>
        <w:r>
          <w:rPr>
            <w:rFonts w:cs="Arial"/>
            <w:szCs w:val="20"/>
          </w:rPr>
          <w:t xml:space="preserve">1997 </w:t>
        </w:r>
        <w:r w:rsidRPr="00A305BD">
          <w:rPr>
            <w:rFonts w:cs="Arial"/>
            <w:szCs w:val="20"/>
          </w:rPr>
          <w:t>a</w:t>
        </w:r>
      </w:smartTag>
      <w:r w:rsidRPr="00A305BD">
        <w:rPr>
          <w:rFonts w:cs="Arial"/>
          <w:szCs w:val="20"/>
        </w:rPr>
        <w:t xml:space="preserve"> 1998 recesí s meziročními poklesy výkonnosti </w:t>
      </w:r>
      <w:r w:rsidR="0021492B" w:rsidRPr="00A305BD">
        <w:rPr>
          <w:rFonts w:cs="Arial"/>
          <w:szCs w:val="20"/>
        </w:rPr>
        <w:t xml:space="preserve">v reálném vyjádření </w:t>
      </w:r>
      <w:r w:rsidRPr="00A305BD">
        <w:rPr>
          <w:rFonts w:cs="Arial"/>
          <w:szCs w:val="20"/>
        </w:rPr>
        <w:t>o 0,7 %, resp. o 0,3 %, HDP Rakouska se vyvíjel pozitivně (+2,2</w:t>
      </w:r>
      <w:r>
        <w:rPr>
          <w:rFonts w:cs="Arial"/>
          <w:szCs w:val="20"/>
        </w:rPr>
        <w:t> </w:t>
      </w:r>
      <w:r w:rsidRPr="00A305BD">
        <w:rPr>
          <w:rFonts w:cs="Arial"/>
          <w:szCs w:val="20"/>
        </w:rPr>
        <w:t xml:space="preserve">%, resp. +3,6 % meziročně). V období 1998-2000 se rakouská ekonomika nacházela na vrcholu </w:t>
      </w:r>
      <w:r>
        <w:rPr>
          <w:rFonts w:cs="Arial"/>
          <w:szCs w:val="20"/>
        </w:rPr>
        <w:t xml:space="preserve">svého </w:t>
      </w:r>
      <w:r w:rsidRPr="00A305BD">
        <w:rPr>
          <w:rFonts w:cs="Arial"/>
          <w:szCs w:val="20"/>
        </w:rPr>
        <w:t xml:space="preserve">hospodářského cyklu s  meziročním růstem HDP </w:t>
      </w:r>
      <w:r>
        <w:rPr>
          <w:rFonts w:cs="Arial"/>
          <w:szCs w:val="20"/>
        </w:rPr>
        <w:t>v </w:t>
      </w:r>
      <w:r w:rsidRPr="00A305BD">
        <w:rPr>
          <w:rFonts w:cs="Arial"/>
          <w:szCs w:val="20"/>
        </w:rPr>
        <w:t>průměr</w:t>
      </w:r>
      <w:r>
        <w:rPr>
          <w:rFonts w:cs="Arial"/>
          <w:szCs w:val="20"/>
        </w:rPr>
        <w:t xml:space="preserve">u o </w:t>
      </w:r>
      <w:r w:rsidRPr="00A305BD">
        <w:rPr>
          <w:rFonts w:cs="Arial"/>
          <w:szCs w:val="20"/>
        </w:rPr>
        <w:t>3,5 %, vyšším než v EU 28 (+3,3%). S</w:t>
      </w:r>
      <w:r w:rsidRPr="00A305BD">
        <w:rPr>
          <w:rFonts w:cs="Arial"/>
          <w:color w:val="000000"/>
          <w:spacing w:val="-6"/>
          <w:szCs w:val="20"/>
        </w:rPr>
        <w:t xml:space="preserve">lovenská ekonomika </w:t>
      </w:r>
      <w:r>
        <w:rPr>
          <w:rFonts w:cs="Arial"/>
          <w:color w:val="000000"/>
          <w:spacing w:val="-6"/>
          <w:szCs w:val="20"/>
        </w:rPr>
        <w:t>stoupala</w:t>
      </w:r>
      <w:r w:rsidRPr="00A305BD">
        <w:rPr>
          <w:rFonts w:cs="Arial"/>
          <w:color w:val="000000"/>
          <w:spacing w:val="-6"/>
          <w:szCs w:val="20"/>
        </w:rPr>
        <w:t xml:space="preserve"> v</w:t>
      </w:r>
      <w:r>
        <w:rPr>
          <w:rFonts w:cs="Arial"/>
          <w:color w:val="000000"/>
          <w:spacing w:val="-6"/>
          <w:szCs w:val="20"/>
        </w:rPr>
        <w:t xml:space="preserve"> letech 1998-2000 </w:t>
      </w:r>
      <w:r w:rsidRPr="00A305BD">
        <w:rPr>
          <w:rFonts w:cs="Arial"/>
          <w:color w:val="000000"/>
          <w:spacing w:val="-6"/>
          <w:szCs w:val="20"/>
        </w:rPr>
        <w:t>oproti Rakousk</w:t>
      </w:r>
      <w:r>
        <w:rPr>
          <w:rFonts w:cs="Arial"/>
          <w:color w:val="000000"/>
          <w:spacing w:val="-6"/>
          <w:szCs w:val="20"/>
        </w:rPr>
        <w:t>u</w:t>
      </w:r>
      <w:r w:rsidRPr="00A305BD">
        <w:rPr>
          <w:rFonts w:cs="Arial"/>
          <w:color w:val="000000"/>
          <w:spacing w:val="-6"/>
          <w:szCs w:val="20"/>
        </w:rPr>
        <w:t xml:space="preserve"> relativně málo, ročně v průměru o 1,7 %</w:t>
      </w:r>
      <w:r>
        <w:rPr>
          <w:rFonts w:cs="Arial"/>
          <w:color w:val="000000"/>
          <w:spacing w:val="-6"/>
          <w:szCs w:val="20"/>
        </w:rPr>
        <w:t xml:space="preserve">. Způsobil to její </w:t>
      </w:r>
      <w:r w:rsidRPr="00A305BD">
        <w:rPr>
          <w:rFonts w:cs="Arial"/>
          <w:color w:val="000000"/>
          <w:spacing w:val="-6"/>
          <w:szCs w:val="20"/>
        </w:rPr>
        <w:t xml:space="preserve">meziroční pokles o 0,2 % v roce 1999. </w:t>
      </w:r>
      <w:r>
        <w:rPr>
          <w:rFonts w:cs="Arial"/>
          <w:color w:val="000000"/>
          <w:spacing w:val="-6"/>
          <w:szCs w:val="20"/>
        </w:rPr>
        <w:t>I proto rostlo Slovensko</w:t>
      </w:r>
      <w:r w:rsidRPr="00A305BD">
        <w:rPr>
          <w:rFonts w:cs="Arial"/>
          <w:color w:val="000000"/>
          <w:spacing w:val="-6"/>
          <w:szCs w:val="20"/>
        </w:rPr>
        <w:t xml:space="preserve"> v té době </w:t>
      </w:r>
      <w:r>
        <w:rPr>
          <w:rFonts w:cs="Arial"/>
          <w:color w:val="000000"/>
          <w:spacing w:val="-6"/>
          <w:szCs w:val="20"/>
        </w:rPr>
        <w:t>mírně pomaleji</w:t>
      </w:r>
      <w:r w:rsidRPr="00A305BD">
        <w:rPr>
          <w:rFonts w:cs="Arial"/>
          <w:color w:val="000000"/>
          <w:spacing w:val="-6"/>
          <w:szCs w:val="20"/>
        </w:rPr>
        <w:t xml:space="preserve"> než Č</w:t>
      </w:r>
      <w:r>
        <w:rPr>
          <w:rFonts w:cs="Arial"/>
          <w:color w:val="000000"/>
          <w:spacing w:val="-6"/>
          <w:szCs w:val="20"/>
        </w:rPr>
        <w:t>R</w:t>
      </w:r>
      <w:r w:rsidRPr="00A305BD">
        <w:rPr>
          <w:rFonts w:cs="Arial"/>
          <w:color w:val="000000"/>
          <w:spacing w:val="-6"/>
          <w:szCs w:val="20"/>
        </w:rPr>
        <w:t xml:space="preserve"> (+1,8 %). Ekonomické cykly Rakouska, ČR a Slovenska tedy byly </w:t>
      </w:r>
      <w:r>
        <w:rPr>
          <w:rFonts w:cs="Arial"/>
          <w:color w:val="000000"/>
          <w:spacing w:val="-6"/>
          <w:szCs w:val="20"/>
        </w:rPr>
        <w:t>tehdy</w:t>
      </w:r>
      <w:r w:rsidRPr="00A305BD">
        <w:rPr>
          <w:rFonts w:cs="Arial"/>
          <w:color w:val="000000"/>
          <w:spacing w:val="-6"/>
          <w:szCs w:val="20"/>
        </w:rPr>
        <w:t xml:space="preserve"> značně </w:t>
      </w:r>
      <w:r w:rsidR="0021492B">
        <w:rPr>
          <w:rFonts w:cs="Arial"/>
          <w:color w:val="000000"/>
          <w:spacing w:val="-6"/>
          <w:szCs w:val="20"/>
        </w:rPr>
        <w:t>nesynchronizované.</w:t>
      </w:r>
    </w:p>
    <w:p w:rsidR="0008794F" w:rsidRPr="001C44D4" w:rsidRDefault="0008794F" w:rsidP="00AC6A22">
      <w:pPr>
        <w:tabs>
          <w:tab w:val="num" w:pos="284"/>
        </w:tabs>
        <w:spacing w:line="240" w:lineRule="auto"/>
        <w:ind w:left="284"/>
        <w:jc w:val="both"/>
        <w:rPr>
          <w:rFonts w:cs="Arial"/>
          <w:sz w:val="12"/>
          <w:szCs w:val="12"/>
        </w:rPr>
      </w:pPr>
    </w:p>
    <w:p w:rsidR="0008794F" w:rsidRPr="00D373D9" w:rsidRDefault="0008794F" w:rsidP="00AC6A22">
      <w:pPr>
        <w:numPr>
          <w:ilvl w:val="0"/>
          <w:numId w:val="25"/>
        </w:numPr>
        <w:tabs>
          <w:tab w:val="clear" w:pos="720"/>
          <w:tab w:val="num" w:pos="284"/>
        </w:tabs>
        <w:spacing w:line="240" w:lineRule="auto"/>
        <w:ind w:left="284" w:hanging="357"/>
        <w:jc w:val="both"/>
        <w:rPr>
          <w:rFonts w:cs="Arial"/>
          <w:szCs w:val="20"/>
        </w:rPr>
      </w:pPr>
      <w:r>
        <w:rPr>
          <w:rFonts w:cs="Arial"/>
          <w:szCs w:val="20"/>
        </w:rPr>
        <w:t>Nijak závratné růsty svých ekonomik nezaznamenávaly tři sledované země ani v o</w:t>
      </w:r>
      <w:r w:rsidRPr="00A305BD">
        <w:rPr>
          <w:rFonts w:cs="Arial"/>
          <w:szCs w:val="20"/>
        </w:rPr>
        <w:t xml:space="preserve">bdobí 1998-2004, </w:t>
      </w:r>
      <w:r>
        <w:rPr>
          <w:rFonts w:cs="Arial"/>
          <w:szCs w:val="20"/>
        </w:rPr>
        <w:t xml:space="preserve">vnímaném z pohledu členství ČR a SR v EU </w:t>
      </w:r>
      <w:r w:rsidRPr="00A305BD">
        <w:rPr>
          <w:rFonts w:cs="Arial"/>
          <w:szCs w:val="20"/>
        </w:rPr>
        <w:t>v kontextu této analýzy</w:t>
      </w:r>
      <w:r>
        <w:rPr>
          <w:rFonts w:cs="Arial"/>
          <w:szCs w:val="20"/>
        </w:rPr>
        <w:t xml:space="preserve"> </w:t>
      </w:r>
      <w:r w:rsidRPr="00A305BD">
        <w:rPr>
          <w:rFonts w:cs="Arial"/>
          <w:szCs w:val="20"/>
        </w:rPr>
        <w:t>jako období „</w:t>
      </w:r>
      <w:proofErr w:type="spellStart"/>
      <w:r w:rsidRPr="00A305BD">
        <w:rPr>
          <w:rFonts w:cs="Arial"/>
          <w:szCs w:val="20"/>
        </w:rPr>
        <w:t>předvstupní</w:t>
      </w:r>
      <w:proofErr w:type="spellEnd"/>
      <w:r w:rsidRPr="00A305BD">
        <w:rPr>
          <w:rFonts w:cs="Arial"/>
          <w:szCs w:val="20"/>
        </w:rPr>
        <w:t>“</w:t>
      </w:r>
      <w:r>
        <w:rPr>
          <w:rFonts w:cs="Arial"/>
          <w:szCs w:val="20"/>
        </w:rPr>
        <w:t>.</w:t>
      </w:r>
      <w:r w:rsidRPr="00A305BD">
        <w:rPr>
          <w:rFonts w:cs="Arial"/>
          <w:szCs w:val="20"/>
        </w:rPr>
        <w:t xml:space="preserve"> Od roku 1998 - odkdy jsou k dispozici </w:t>
      </w:r>
      <w:proofErr w:type="spellStart"/>
      <w:r w:rsidRPr="00A305BD">
        <w:rPr>
          <w:rFonts w:cs="Arial"/>
          <w:szCs w:val="20"/>
        </w:rPr>
        <w:t>makrodata</w:t>
      </w:r>
      <w:proofErr w:type="spellEnd"/>
      <w:r w:rsidRPr="00A305BD">
        <w:rPr>
          <w:rFonts w:cs="Arial"/>
          <w:szCs w:val="20"/>
        </w:rPr>
        <w:t xml:space="preserve"> v potřebné struktuře za všechny tři porovnávané země </w:t>
      </w:r>
      <w:r>
        <w:rPr>
          <w:rFonts w:cs="Arial"/>
          <w:szCs w:val="20"/>
        </w:rPr>
        <w:t>-</w:t>
      </w:r>
      <w:r w:rsidRPr="00A305BD">
        <w:rPr>
          <w:rFonts w:cs="Arial"/>
          <w:szCs w:val="20"/>
        </w:rPr>
        <w:t xml:space="preserve"> do roku 2004 rostla ekonomika SR v p</w:t>
      </w:r>
      <w:r>
        <w:rPr>
          <w:rFonts w:cs="Arial"/>
          <w:szCs w:val="20"/>
        </w:rPr>
        <w:t>rů</w:t>
      </w:r>
      <w:r w:rsidRPr="00A305BD">
        <w:rPr>
          <w:rFonts w:cs="Arial"/>
          <w:szCs w:val="20"/>
        </w:rPr>
        <w:t>měru ročně o 3,4</w:t>
      </w:r>
      <w:r>
        <w:rPr>
          <w:rFonts w:cs="Arial"/>
          <w:szCs w:val="20"/>
        </w:rPr>
        <w:t xml:space="preserve"> %, </w:t>
      </w:r>
      <w:r w:rsidRPr="00A305BD">
        <w:rPr>
          <w:rFonts w:cs="Arial"/>
          <w:szCs w:val="20"/>
        </w:rPr>
        <w:t>ČR o 2,7 % a Rakousk</w:t>
      </w:r>
      <w:r>
        <w:rPr>
          <w:rFonts w:cs="Arial"/>
          <w:szCs w:val="20"/>
        </w:rPr>
        <w:t>a</w:t>
      </w:r>
      <w:r w:rsidRPr="00A305BD">
        <w:rPr>
          <w:rFonts w:cs="Arial"/>
          <w:szCs w:val="20"/>
        </w:rPr>
        <w:t xml:space="preserve"> o 2,5 %. </w:t>
      </w:r>
      <w:r>
        <w:rPr>
          <w:rFonts w:cs="Arial"/>
          <w:szCs w:val="20"/>
        </w:rPr>
        <w:t>P</w:t>
      </w:r>
      <w:r w:rsidRPr="00A305BD">
        <w:rPr>
          <w:rFonts w:cs="Arial"/>
          <w:szCs w:val="20"/>
        </w:rPr>
        <w:t>růměr Unie činil +2,5 % a mohl být v</w:t>
      </w:r>
      <w:r>
        <w:rPr>
          <w:rFonts w:cs="Arial"/>
          <w:szCs w:val="20"/>
        </w:rPr>
        <w:t>yšší</w:t>
      </w:r>
      <w:r w:rsidRPr="00A305BD">
        <w:rPr>
          <w:rFonts w:cs="Arial"/>
          <w:szCs w:val="20"/>
        </w:rPr>
        <w:t xml:space="preserve"> nebýt německé stagnace 2002-2004 (+0,2 %). Průměrný výkon ekonomiky CR opět ovlivnil recesivní rok 1998, neboť za období 1999-2004 rostl český HDP v průměru </w:t>
      </w:r>
      <w:r w:rsidR="00C839D7">
        <w:rPr>
          <w:rFonts w:cs="Arial"/>
          <w:szCs w:val="20"/>
        </w:rPr>
        <w:t xml:space="preserve">ročně </w:t>
      </w:r>
      <w:r w:rsidRPr="00A305BD">
        <w:rPr>
          <w:rFonts w:cs="Arial"/>
          <w:szCs w:val="20"/>
        </w:rPr>
        <w:t xml:space="preserve">o 3,2 %, tj. prakticky stejně, </w:t>
      </w:r>
      <w:r>
        <w:rPr>
          <w:rFonts w:cs="Arial"/>
          <w:szCs w:val="20"/>
        </w:rPr>
        <w:t xml:space="preserve">o kolik </w:t>
      </w:r>
      <w:r w:rsidRPr="00A305BD">
        <w:rPr>
          <w:rFonts w:cs="Arial"/>
          <w:szCs w:val="20"/>
        </w:rPr>
        <w:t xml:space="preserve">za tu dobu </w:t>
      </w:r>
      <w:r w:rsidR="00FA5FB4">
        <w:rPr>
          <w:rFonts w:cs="Arial"/>
          <w:szCs w:val="20"/>
        </w:rPr>
        <w:t xml:space="preserve">stoupla </w:t>
      </w:r>
      <w:r>
        <w:rPr>
          <w:rFonts w:cs="Arial"/>
          <w:szCs w:val="20"/>
        </w:rPr>
        <w:t>ekonomika</w:t>
      </w:r>
      <w:r w:rsidRPr="00A305BD">
        <w:rPr>
          <w:rFonts w:cs="Arial"/>
          <w:szCs w:val="20"/>
        </w:rPr>
        <w:t xml:space="preserve"> Slovenska (+3,3 %).</w:t>
      </w:r>
      <w:r w:rsidRPr="00E9545D">
        <w:rPr>
          <w:rFonts w:cs="Arial"/>
          <w:szCs w:val="20"/>
        </w:rPr>
        <w:t xml:space="preserve"> </w:t>
      </w:r>
      <w:r w:rsidRPr="00A305BD">
        <w:rPr>
          <w:rFonts w:cs="Arial"/>
          <w:szCs w:val="20"/>
        </w:rPr>
        <w:t>Celé období 1998-2004</w:t>
      </w:r>
      <w:r w:rsidRPr="00E9545D">
        <w:rPr>
          <w:rFonts w:cs="Arial"/>
          <w:szCs w:val="20"/>
        </w:rPr>
        <w:t xml:space="preserve"> </w:t>
      </w:r>
      <w:r w:rsidRPr="00A305BD">
        <w:rPr>
          <w:rFonts w:cs="Arial"/>
          <w:szCs w:val="20"/>
        </w:rPr>
        <w:t xml:space="preserve">charakterizovala značná růstová rozmanitost evropských zemí - i když růst slovenského HDP </w:t>
      </w:r>
      <w:r>
        <w:rPr>
          <w:rFonts w:cs="Arial"/>
          <w:szCs w:val="20"/>
        </w:rPr>
        <w:t>v </w:t>
      </w:r>
      <w:r w:rsidRPr="00A305BD">
        <w:rPr>
          <w:rFonts w:cs="Arial"/>
          <w:szCs w:val="20"/>
        </w:rPr>
        <w:t>průměr</w:t>
      </w:r>
      <w:r>
        <w:rPr>
          <w:rFonts w:cs="Arial"/>
          <w:szCs w:val="20"/>
        </w:rPr>
        <w:t xml:space="preserve">u </w:t>
      </w:r>
      <w:r>
        <w:rPr>
          <w:rFonts w:cs="Arial"/>
          <w:szCs w:val="20"/>
        </w:rPr>
        <w:lastRenderedPageBreak/>
        <w:t xml:space="preserve">o </w:t>
      </w:r>
      <w:r w:rsidRPr="00A305BD">
        <w:rPr>
          <w:rFonts w:cs="Arial"/>
          <w:szCs w:val="20"/>
        </w:rPr>
        <w:t>3,4 % ročně byl ve srovnání s ČR a Rakouskem nejrychlejší, znamenal umístění až v</w:t>
      </w:r>
      <w:r>
        <w:rPr>
          <w:rFonts w:cs="Arial"/>
          <w:szCs w:val="20"/>
        </w:rPr>
        <w:t>e druhé</w:t>
      </w:r>
      <w:r w:rsidRPr="00A305BD">
        <w:rPr>
          <w:rFonts w:cs="Arial"/>
          <w:szCs w:val="20"/>
        </w:rPr>
        <w:t xml:space="preserve"> p</w:t>
      </w:r>
      <w:r>
        <w:rPr>
          <w:rFonts w:cs="Arial"/>
          <w:szCs w:val="20"/>
        </w:rPr>
        <w:t>ůli</w:t>
      </w:r>
      <w:r w:rsidRPr="00A305BD">
        <w:rPr>
          <w:rFonts w:cs="Arial"/>
          <w:szCs w:val="20"/>
        </w:rPr>
        <w:t xml:space="preserve"> žebříčku zemí EU.</w:t>
      </w:r>
    </w:p>
    <w:p w:rsidR="0008794F" w:rsidRPr="00183760" w:rsidRDefault="0008794F" w:rsidP="00AC6A22">
      <w:pPr>
        <w:spacing w:line="240" w:lineRule="auto"/>
        <w:jc w:val="both"/>
        <w:rPr>
          <w:rFonts w:cs="Arial"/>
          <w:sz w:val="12"/>
          <w:szCs w:val="12"/>
        </w:rPr>
      </w:pPr>
    </w:p>
    <w:p w:rsidR="0008794F" w:rsidRPr="009F10EF" w:rsidRDefault="0008794F" w:rsidP="00AC6A22">
      <w:pPr>
        <w:numPr>
          <w:ilvl w:val="0"/>
          <w:numId w:val="25"/>
        </w:numPr>
        <w:tabs>
          <w:tab w:val="clear" w:pos="720"/>
          <w:tab w:val="num" w:pos="284"/>
        </w:tabs>
        <w:spacing w:line="240" w:lineRule="auto"/>
        <w:ind w:left="284" w:hanging="284"/>
        <w:jc w:val="both"/>
        <w:rPr>
          <w:rFonts w:cs="Arial"/>
          <w:i/>
          <w:color w:val="000000"/>
          <w:spacing w:val="-6"/>
          <w:szCs w:val="20"/>
        </w:rPr>
      </w:pPr>
      <w:r w:rsidRPr="009F10EF">
        <w:rPr>
          <w:rFonts w:cs="Arial"/>
          <w:spacing w:val="-6"/>
          <w:szCs w:val="20"/>
        </w:rPr>
        <w:t>Slo</w:t>
      </w:r>
      <w:r w:rsidR="00FA5FB4">
        <w:rPr>
          <w:rFonts w:cs="Arial"/>
          <w:spacing w:val="-6"/>
          <w:szCs w:val="20"/>
        </w:rPr>
        <w:t xml:space="preserve">vensku </w:t>
      </w:r>
      <w:r w:rsidRPr="009F10EF">
        <w:rPr>
          <w:rFonts w:cs="Arial"/>
          <w:spacing w:val="-6"/>
          <w:szCs w:val="20"/>
        </w:rPr>
        <w:t xml:space="preserve">patřilo až období 2004-2014. Stalo se nejrychleji rostoucí ekonomikou EU s průměrným ročním přírůstkem HDP </w:t>
      </w:r>
      <w:r>
        <w:rPr>
          <w:rFonts w:cs="Arial"/>
          <w:spacing w:val="-6"/>
          <w:szCs w:val="20"/>
        </w:rPr>
        <w:t>+</w:t>
      </w:r>
      <w:r w:rsidRPr="009F10EF">
        <w:rPr>
          <w:rFonts w:cs="Arial"/>
          <w:spacing w:val="-6"/>
          <w:szCs w:val="20"/>
        </w:rPr>
        <w:t xml:space="preserve"> 4 %. Průměrný růst EU (+1,1 % oproti +2,5 % v letech 1998-2004) ovlivnila u všech </w:t>
      </w:r>
      <w:r w:rsidR="00FA5FB4">
        <w:rPr>
          <w:rFonts w:cs="Arial"/>
          <w:spacing w:val="-6"/>
          <w:szCs w:val="20"/>
        </w:rPr>
        <w:t xml:space="preserve">členských </w:t>
      </w:r>
      <w:proofErr w:type="spellStart"/>
      <w:r w:rsidRPr="009F10EF">
        <w:rPr>
          <w:rFonts w:cs="Arial"/>
          <w:spacing w:val="-6"/>
          <w:szCs w:val="20"/>
        </w:rPr>
        <w:t>ejích</w:t>
      </w:r>
      <w:proofErr w:type="spellEnd"/>
      <w:r w:rsidRPr="009F10EF">
        <w:rPr>
          <w:rFonts w:cs="Arial"/>
          <w:spacing w:val="-6"/>
          <w:szCs w:val="20"/>
        </w:rPr>
        <w:t xml:space="preserve"> zemí kromě Polska krize roku 2009 (EU 28 -4,4 %, ČR -4,8 %, SR -5,5 %, Rakousko -3,8 %). </w:t>
      </w:r>
    </w:p>
    <w:p w:rsidR="0008794F" w:rsidRPr="00183760" w:rsidRDefault="0008794F" w:rsidP="00AC6A22">
      <w:pPr>
        <w:tabs>
          <w:tab w:val="num" w:pos="284"/>
        </w:tabs>
        <w:spacing w:line="240" w:lineRule="auto"/>
        <w:ind w:left="284" w:hanging="284"/>
        <w:jc w:val="both"/>
        <w:rPr>
          <w:rFonts w:cs="Arial"/>
          <w:sz w:val="12"/>
          <w:szCs w:val="12"/>
        </w:rPr>
      </w:pPr>
    </w:p>
    <w:p w:rsidR="0008794F" w:rsidRDefault="0008794F" w:rsidP="00AC6A22">
      <w:pPr>
        <w:numPr>
          <w:ilvl w:val="0"/>
          <w:numId w:val="25"/>
        </w:numPr>
        <w:tabs>
          <w:tab w:val="clear" w:pos="720"/>
          <w:tab w:val="num" w:pos="284"/>
        </w:tabs>
        <w:spacing w:line="240" w:lineRule="auto"/>
        <w:ind w:left="284" w:hanging="284"/>
        <w:jc w:val="both"/>
        <w:rPr>
          <w:rFonts w:cs="Arial"/>
          <w:color w:val="000000"/>
          <w:spacing w:val="-6"/>
          <w:szCs w:val="20"/>
        </w:rPr>
      </w:pPr>
      <w:r>
        <w:rPr>
          <w:rFonts w:cs="Arial"/>
          <w:szCs w:val="20"/>
        </w:rPr>
        <w:t>Přestože</w:t>
      </w:r>
      <w:r w:rsidRPr="00241B34">
        <w:rPr>
          <w:rFonts w:cs="Arial"/>
          <w:szCs w:val="20"/>
        </w:rPr>
        <w:t xml:space="preserve"> Slovensko „zářilo“ během prakticky celého období po vstupu do EU, faktor nového členství, z něhož mohly těžit i další země vstupní vlny, nebyl zřejmě faktorem </w:t>
      </w:r>
      <w:r>
        <w:rPr>
          <w:rFonts w:cs="Arial"/>
          <w:szCs w:val="20"/>
        </w:rPr>
        <w:t xml:space="preserve">s vlivem stoprocentním – i když od roku 2007 byl již slovenský HDP tažen především čistým exportem. </w:t>
      </w:r>
      <w:r w:rsidRPr="00241B34">
        <w:rPr>
          <w:rFonts w:cs="Arial"/>
          <w:szCs w:val="20"/>
        </w:rPr>
        <w:t xml:space="preserve">SR </w:t>
      </w:r>
      <w:r>
        <w:rPr>
          <w:rFonts w:cs="Arial"/>
          <w:szCs w:val="20"/>
        </w:rPr>
        <w:t>ale také už několik</w:t>
      </w:r>
      <w:r w:rsidRPr="00241B34">
        <w:rPr>
          <w:rFonts w:cs="Arial"/>
          <w:szCs w:val="20"/>
        </w:rPr>
        <w:t xml:space="preserve"> let </w:t>
      </w:r>
      <w:r>
        <w:rPr>
          <w:rFonts w:cs="Arial"/>
          <w:szCs w:val="20"/>
        </w:rPr>
        <w:t>předtím začala měnit svůj</w:t>
      </w:r>
      <w:r w:rsidRPr="00241B34">
        <w:rPr>
          <w:rFonts w:cs="Arial"/>
          <w:szCs w:val="20"/>
        </w:rPr>
        <w:t xml:space="preserve"> socioekonomický model refor</w:t>
      </w:r>
      <w:r>
        <w:rPr>
          <w:rFonts w:cs="Arial"/>
          <w:szCs w:val="20"/>
        </w:rPr>
        <w:t xml:space="preserve">mami </w:t>
      </w:r>
      <w:r w:rsidRPr="00241B34">
        <w:rPr>
          <w:rFonts w:cs="Arial"/>
          <w:color w:val="000000"/>
          <w:spacing w:val="-6"/>
          <w:szCs w:val="20"/>
        </w:rPr>
        <w:t>sociálního systému, trhu práce, zdravotní a penzijní oblasti, financování školství a řad</w:t>
      </w:r>
      <w:r>
        <w:rPr>
          <w:rFonts w:cs="Arial"/>
          <w:color w:val="000000"/>
          <w:spacing w:val="-6"/>
          <w:szCs w:val="20"/>
        </w:rPr>
        <w:t>ou</w:t>
      </w:r>
      <w:r w:rsidRPr="00241B34">
        <w:rPr>
          <w:rFonts w:cs="Arial"/>
          <w:color w:val="000000"/>
          <w:spacing w:val="-6"/>
          <w:szCs w:val="20"/>
        </w:rPr>
        <w:t xml:space="preserve"> dalších změn, především daňových či s daněmi spojených (později např. zavedení kontroly odvádění DPH z tržeb přes tzv. registrační pokladny).</w:t>
      </w:r>
    </w:p>
    <w:p w:rsidR="0008794F" w:rsidRPr="00241B34" w:rsidRDefault="0008794F" w:rsidP="00AC6A22">
      <w:pPr>
        <w:spacing w:line="240" w:lineRule="auto"/>
        <w:jc w:val="both"/>
        <w:rPr>
          <w:rFonts w:cs="Arial"/>
          <w:color w:val="000000"/>
          <w:spacing w:val="-6"/>
          <w:sz w:val="12"/>
          <w:szCs w:val="12"/>
        </w:rPr>
      </w:pPr>
    </w:p>
    <w:p w:rsidR="0008794F" w:rsidRPr="00241B34" w:rsidRDefault="0008794F" w:rsidP="00AC6A22">
      <w:pPr>
        <w:numPr>
          <w:ilvl w:val="0"/>
          <w:numId w:val="25"/>
        </w:numPr>
        <w:tabs>
          <w:tab w:val="clear" w:pos="720"/>
          <w:tab w:val="num" w:pos="284"/>
        </w:tabs>
        <w:spacing w:line="240" w:lineRule="auto"/>
        <w:ind w:left="284" w:hanging="284"/>
        <w:jc w:val="both"/>
        <w:rPr>
          <w:rFonts w:cs="Arial"/>
          <w:color w:val="000000"/>
          <w:spacing w:val="-6"/>
          <w:szCs w:val="20"/>
        </w:rPr>
      </w:pPr>
      <w:r w:rsidRPr="00241B34">
        <w:rPr>
          <w:rFonts w:cs="Arial"/>
          <w:color w:val="000000"/>
          <w:spacing w:val="-6"/>
          <w:szCs w:val="20"/>
        </w:rPr>
        <w:t xml:space="preserve">Česká republika si během let 2004-2014 </w:t>
      </w:r>
      <w:r w:rsidR="00C839D7">
        <w:rPr>
          <w:rFonts w:cs="Arial"/>
          <w:color w:val="000000"/>
          <w:spacing w:val="-6"/>
          <w:szCs w:val="20"/>
        </w:rPr>
        <w:t xml:space="preserve">v tempech růstu </w:t>
      </w:r>
      <w:r w:rsidRPr="00241B34">
        <w:rPr>
          <w:rFonts w:cs="Arial"/>
          <w:color w:val="000000"/>
          <w:spacing w:val="-6"/>
          <w:szCs w:val="20"/>
        </w:rPr>
        <w:t>rovněž polepšila z 20. místa v žebříčku zemí EU za roky 1998-2004 na 11. místo. Výkon ekonomiky Rakouska je pozoruhodný v tom, že jak po rozšíření EU o nové země v roce 2004 (</w:t>
      </w:r>
      <w:r>
        <w:rPr>
          <w:rFonts w:cs="Arial"/>
          <w:color w:val="000000"/>
          <w:spacing w:val="-6"/>
          <w:szCs w:val="20"/>
        </w:rPr>
        <w:t xml:space="preserve">ale </w:t>
      </w:r>
      <w:r w:rsidRPr="00241B34">
        <w:rPr>
          <w:rFonts w:cs="Arial"/>
          <w:color w:val="000000"/>
          <w:spacing w:val="-6"/>
          <w:szCs w:val="20"/>
        </w:rPr>
        <w:t xml:space="preserve">i za celé období 1998-2014), rostla rychleji než průměr „starých“ zemí </w:t>
      </w:r>
      <w:r w:rsidR="00FA5FB4">
        <w:rPr>
          <w:rFonts w:cs="Arial"/>
          <w:color w:val="000000"/>
          <w:spacing w:val="-6"/>
          <w:szCs w:val="20"/>
        </w:rPr>
        <w:t>U</w:t>
      </w:r>
      <w:r w:rsidRPr="00241B34">
        <w:rPr>
          <w:rFonts w:cs="Arial"/>
          <w:color w:val="000000"/>
          <w:spacing w:val="-6"/>
          <w:szCs w:val="20"/>
        </w:rPr>
        <w:t xml:space="preserve">nie (EU 15) či EU 28, i když právě </w:t>
      </w:r>
      <w:proofErr w:type="spellStart"/>
      <w:r w:rsidRPr="00241B34">
        <w:rPr>
          <w:rFonts w:cs="Arial"/>
          <w:color w:val="000000"/>
          <w:spacing w:val="-6"/>
          <w:szCs w:val="20"/>
        </w:rPr>
        <w:t>celounijní</w:t>
      </w:r>
      <w:proofErr w:type="spellEnd"/>
      <w:r w:rsidRPr="00241B34">
        <w:rPr>
          <w:rFonts w:cs="Arial"/>
          <w:color w:val="000000"/>
          <w:spacing w:val="-6"/>
          <w:szCs w:val="20"/>
        </w:rPr>
        <w:t xml:space="preserve"> tempo růstu „podporovala“ rychlá dynamika ekonomik nových zemí. </w:t>
      </w:r>
      <w:r>
        <w:rPr>
          <w:rFonts w:cs="Arial"/>
          <w:color w:val="000000"/>
          <w:spacing w:val="-6"/>
          <w:szCs w:val="20"/>
        </w:rPr>
        <w:t>Po rozšíření o nové členy p</w:t>
      </w:r>
      <w:r w:rsidRPr="00241B34">
        <w:rPr>
          <w:rFonts w:cs="Arial"/>
          <w:color w:val="000000"/>
          <w:spacing w:val="-6"/>
          <w:szCs w:val="20"/>
        </w:rPr>
        <w:t xml:space="preserve">atřilo </w:t>
      </w:r>
      <w:r>
        <w:rPr>
          <w:rFonts w:cs="Arial"/>
          <w:color w:val="000000"/>
          <w:spacing w:val="-6"/>
          <w:szCs w:val="20"/>
        </w:rPr>
        <w:t>Rakousko s</w:t>
      </w:r>
      <w:r w:rsidRPr="00241B34">
        <w:rPr>
          <w:rFonts w:cs="Arial"/>
          <w:color w:val="000000"/>
          <w:spacing w:val="-6"/>
          <w:szCs w:val="20"/>
        </w:rPr>
        <w:t>po</w:t>
      </w:r>
      <w:r>
        <w:rPr>
          <w:rFonts w:cs="Arial"/>
          <w:color w:val="000000"/>
          <w:spacing w:val="-6"/>
          <w:szCs w:val="20"/>
        </w:rPr>
        <w:t>lu s Německem k několika zemím U</w:t>
      </w:r>
      <w:r w:rsidRPr="00241B34">
        <w:rPr>
          <w:rFonts w:cs="Arial"/>
          <w:color w:val="000000"/>
          <w:spacing w:val="-6"/>
          <w:szCs w:val="20"/>
        </w:rPr>
        <w:t xml:space="preserve">nie, kde </w:t>
      </w:r>
      <w:r>
        <w:rPr>
          <w:rFonts w:cs="Arial"/>
          <w:color w:val="000000"/>
          <w:spacing w:val="-6"/>
          <w:szCs w:val="20"/>
        </w:rPr>
        <w:t xml:space="preserve">se významně zrychlil </w:t>
      </w:r>
      <w:r w:rsidRPr="00241B34">
        <w:rPr>
          <w:rFonts w:cs="Arial"/>
          <w:color w:val="000000"/>
          <w:spacing w:val="-6"/>
          <w:szCs w:val="20"/>
        </w:rPr>
        <w:t>hospodářský růst v letech 2006 a 2007</w:t>
      </w:r>
      <w:r>
        <w:rPr>
          <w:rFonts w:cs="Arial"/>
          <w:color w:val="000000"/>
          <w:spacing w:val="-6"/>
          <w:szCs w:val="20"/>
        </w:rPr>
        <w:t>. L</w:t>
      </w:r>
      <w:r w:rsidRPr="00241B34">
        <w:rPr>
          <w:rFonts w:cs="Arial"/>
          <w:color w:val="000000"/>
          <w:spacing w:val="-6"/>
          <w:szCs w:val="20"/>
        </w:rPr>
        <w:t>ze soudit, že tomu tak bylo i díky sousedství s novými členskými zeměm</w:t>
      </w:r>
      <w:r>
        <w:rPr>
          <w:rFonts w:cs="Arial"/>
          <w:color w:val="000000"/>
          <w:spacing w:val="-6"/>
          <w:szCs w:val="20"/>
        </w:rPr>
        <w:t>i</w:t>
      </w:r>
      <w:r w:rsidRPr="00241B34">
        <w:rPr>
          <w:rFonts w:cs="Arial"/>
          <w:color w:val="000000"/>
          <w:spacing w:val="-6"/>
          <w:szCs w:val="20"/>
        </w:rPr>
        <w:t xml:space="preserve"> </w:t>
      </w:r>
      <w:r>
        <w:rPr>
          <w:rFonts w:cs="Arial"/>
          <w:color w:val="000000"/>
          <w:spacing w:val="-6"/>
          <w:szCs w:val="20"/>
        </w:rPr>
        <w:t xml:space="preserve">a </w:t>
      </w:r>
      <w:r w:rsidRPr="00241B34">
        <w:rPr>
          <w:rFonts w:cs="Arial"/>
          <w:color w:val="000000"/>
          <w:spacing w:val="-6"/>
          <w:szCs w:val="20"/>
        </w:rPr>
        <w:t> jejich zesílenou poptávkou po zboží z Německa a Rakouska</w:t>
      </w:r>
      <w:r>
        <w:rPr>
          <w:rFonts w:cs="Arial"/>
          <w:color w:val="000000"/>
          <w:spacing w:val="-6"/>
          <w:szCs w:val="20"/>
        </w:rPr>
        <w:t xml:space="preserve"> nebo i atraktivitou pracovních trhů těchto dvou zemí. </w:t>
      </w:r>
      <w:r w:rsidRPr="00241B34">
        <w:rPr>
          <w:rFonts w:cs="Arial"/>
          <w:color w:val="000000"/>
          <w:spacing w:val="-6"/>
          <w:szCs w:val="20"/>
        </w:rPr>
        <w:t xml:space="preserve"> </w:t>
      </w:r>
    </w:p>
    <w:p w:rsidR="0008794F" w:rsidRPr="00241B34" w:rsidRDefault="0008794F" w:rsidP="00AC6A22">
      <w:pPr>
        <w:pStyle w:val="Odstavecseseznamem"/>
        <w:spacing w:line="240" w:lineRule="auto"/>
        <w:rPr>
          <w:rFonts w:cs="Arial"/>
          <w:color w:val="000000"/>
          <w:spacing w:val="-6"/>
          <w:sz w:val="12"/>
          <w:szCs w:val="12"/>
        </w:rPr>
      </w:pPr>
    </w:p>
    <w:p w:rsidR="0008794F" w:rsidRPr="0010520A" w:rsidRDefault="0008794F" w:rsidP="00AC6A22">
      <w:pPr>
        <w:numPr>
          <w:ilvl w:val="0"/>
          <w:numId w:val="25"/>
        </w:numPr>
        <w:tabs>
          <w:tab w:val="clear" w:pos="720"/>
          <w:tab w:val="num" w:pos="284"/>
        </w:tabs>
        <w:spacing w:line="240" w:lineRule="auto"/>
        <w:ind w:left="284" w:hanging="284"/>
        <w:jc w:val="both"/>
        <w:rPr>
          <w:rFonts w:cs="Arial"/>
          <w:color w:val="000000"/>
          <w:spacing w:val="-6"/>
          <w:szCs w:val="20"/>
        </w:rPr>
      </w:pPr>
      <w:r w:rsidRPr="00241B34">
        <w:rPr>
          <w:rFonts w:cs="Arial"/>
          <w:color w:val="000000"/>
          <w:spacing w:val="-6"/>
          <w:szCs w:val="20"/>
        </w:rPr>
        <w:t>Co se týká hodnocení celého období 1998-2014, ekonomiku ČR „diskvalifikovaly“ dvě recese, kterými ekonomiky Rakouska ani Slovenska neprošly.  Přesto ji průměrný růst HDP (+2,4 %, stejný jako v letech 2004-2014) zajistil 13. místo mezi zeměmi EU. Rakousko jako jedna z nejstabilnějších zemí EU v letech 1998-2014 s mírně nadprůměrným růstem (+1,8 % oproti +1,6 %</w:t>
      </w:r>
      <w:r>
        <w:rPr>
          <w:rFonts w:cs="Arial"/>
          <w:color w:val="000000"/>
          <w:spacing w:val="-6"/>
          <w:szCs w:val="20"/>
        </w:rPr>
        <w:t xml:space="preserve"> v EU 28</w:t>
      </w:r>
      <w:r w:rsidRPr="00241B34">
        <w:rPr>
          <w:rFonts w:cs="Arial"/>
          <w:color w:val="000000"/>
          <w:spacing w:val="-6"/>
          <w:szCs w:val="20"/>
        </w:rPr>
        <w:t xml:space="preserve">) začalo více zpomalovat až v roce 2013 </w:t>
      </w:r>
      <w:r w:rsidRPr="0010520A">
        <w:rPr>
          <w:rFonts w:cs="Arial"/>
          <w:color w:val="000000"/>
          <w:spacing w:val="-6"/>
          <w:szCs w:val="20"/>
        </w:rPr>
        <w:t xml:space="preserve">a o rok později bylo s růstem HDP +0,3  % šestou nejméně ekonomicky úspěšnou zemí EU. </w:t>
      </w:r>
    </w:p>
    <w:p w:rsidR="0008794F" w:rsidRPr="003B5E1D" w:rsidRDefault="0008794F" w:rsidP="00AC6A22">
      <w:pPr>
        <w:pStyle w:val="Odstavecseseznamem"/>
        <w:spacing w:line="240" w:lineRule="auto"/>
        <w:rPr>
          <w:rFonts w:cs="Arial"/>
          <w:color w:val="000000"/>
          <w:sz w:val="12"/>
          <w:szCs w:val="12"/>
        </w:rPr>
      </w:pPr>
    </w:p>
    <w:p w:rsidR="0008794F" w:rsidRPr="0010520A" w:rsidRDefault="0008794F" w:rsidP="00AC6A22">
      <w:pPr>
        <w:numPr>
          <w:ilvl w:val="0"/>
          <w:numId w:val="25"/>
        </w:numPr>
        <w:tabs>
          <w:tab w:val="clear" w:pos="720"/>
          <w:tab w:val="num" w:pos="284"/>
        </w:tabs>
        <w:spacing w:line="240" w:lineRule="auto"/>
        <w:ind w:left="284" w:hanging="284"/>
        <w:jc w:val="both"/>
        <w:rPr>
          <w:rFonts w:cs="Arial"/>
          <w:color w:val="000000"/>
          <w:spacing w:val="-6"/>
          <w:szCs w:val="20"/>
        </w:rPr>
      </w:pPr>
      <w:r w:rsidRPr="003C2D85">
        <w:rPr>
          <w:rFonts w:cs="Arial"/>
          <w:color w:val="000000"/>
          <w:spacing w:val="-2"/>
          <w:szCs w:val="20"/>
        </w:rPr>
        <w:t>Úspěch Slovenska neovlivnila jen slabá výchozí báze</w:t>
      </w:r>
      <w:r w:rsidR="007D7DD8">
        <w:rPr>
          <w:rFonts w:cs="Arial"/>
          <w:color w:val="000000"/>
          <w:spacing w:val="-2"/>
          <w:szCs w:val="20"/>
        </w:rPr>
        <w:t xml:space="preserve">, </w:t>
      </w:r>
      <w:r w:rsidRPr="003C2D85">
        <w:rPr>
          <w:rFonts w:cs="Arial"/>
          <w:color w:val="000000"/>
          <w:spacing w:val="-2"/>
          <w:szCs w:val="20"/>
        </w:rPr>
        <w:t>jak nabízí prvotní úvaha</w:t>
      </w:r>
      <w:r>
        <w:rPr>
          <w:rFonts w:cs="Arial"/>
          <w:color w:val="000000"/>
          <w:spacing w:val="-2"/>
          <w:szCs w:val="20"/>
        </w:rPr>
        <w:t xml:space="preserve"> platící</w:t>
      </w:r>
      <w:r w:rsidRPr="003C2D85">
        <w:rPr>
          <w:rFonts w:cs="Arial"/>
          <w:color w:val="000000"/>
          <w:spacing w:val="-2"/>
          <w:szCs w:val="20"/>
        </w:rPr>
        <w:t xml:space="preserve"> ale zejména pro </w:t>
      </w:r>
      <w:r>
        <w:rPr>
          <w:rFonts w:cs="Arial"/>
          <w:color w:val="000000"/>
          <w:spacing w:val="-2"/>
          <w:szCs w:val="20"/>
        </w:rPr>
        <w:t>P</w:t>
      </w:r>
      <w:r w:rsidRPr="003C2D85">
        <w:rPr>
          <w:rFonts w:cs="Arial"/>
          <w:color w:val="000000"/>
          <w:spacing w:val="-2"/>
          <w:szCs w:val="20"/>
        </w:rPr>
        <w:t>obalt</w:t>
      </w:r>
      <w:r w:rsidR="007D7DD8">
        <w:rPr>
          <w:rFonts w:cs="Arial"/>
          <w:color w:val="000000"/>
          <w:spacing w:val="-2"/>
          <w:szCs w:val="20"/>
        </w:rPr>
        <w:t xml:space="preserve">í. Byl to i </w:t>
      </w:r>
      <w:r w:rsidRPr="003C2D85">
        <w:rPr>
          <w:rFonts w:cs="Arial"/>
          <w:color w:val="000000"/>
          <w:spacing w:val="-2"/>
          <w:szCs w:val="20"/>
        </w:rPr>
        <w:t>příliv zahraničního kapitálu do konjunkturních odvětví, expanze export</w:t>
      </w:r>
      <w:r>
        <w:rPr>
          <w:rFonts w:cs="Arial"/>
          <w:color w:val="000000"/>
          <w:spacing w:val="-2"/>
          <w:szCs w:val="20"/>
        </w:rPr>
        <w:t xml:space="preserve">u z let </w:t>
      </w:r>
      <w:r w:rsidRPr="003C2D85">
        <w:rPr>
          <w:rFonts w:cs="Arial"/>
          <w:color w:val="000000"/>
          <w:spacing w:val="-2"/>
          <w:szCs w:val="20"/>
        </w:rPr>
        <w:t xml:space="preserve">2006-2008 a </w:t>
      </w:r>
      <w:r>
        <w:rPr>
          <w:rFonts w:cs="Arial"/>
          <w:color w:val="000000"/>
          <w:spacing w:val="-2"/>
          <w:szCs w:val="20"/>
        </w:rPr>
        <w:t>zejména</w:t>
      </w:r>
      <w:r w:rsidRPr="003C2D85">
        <w:rPr>
          <w:rFonts w:cs="Arial"/>
          <w:color w:val="000000"/>
          <w:spacing w:val="-2"/>
          <w:szCs w:val="20"/>
        </w:rPr>
        <w:t xml:space="preserve"> po roce 2010, klíčové reformy a prováděná fiskální politika. Jde o zvláštní kombinaci </w:t>
      </w:r>
      <w:r>
        <w:rPr>
          <w:rFonts w:cs="Arial"/>
          <w:color w:val="000000"/>
          <w:spacing w:val="-2"/>
          <w:szCs w:val="20"/>
        </w:rPr>
        <w:t xml:space="preserve">liberálních reforem, ale </w:t>
      </w:r>
      <w:r w:rsidRPr="003C2D85">
        <w:rPr>
          <w:rFonts w:cs="Arial"/>
          <w:color w:val="000000"/>
          <w:spacing w:val="-2"/>
          <w:szCs w:val="20"/>
        </w:rPr>
        <w:t>i keynesiánského modelu hospodářské politiky v některých obdobích. Relativně uvolněná fiskální politika umožňovala penězi „pumpovanými“ státem do slovenské ekonomiky dynamizovat její růst</w:t>
      </w:r>
      <w:r w:rsidRPr="0010520A">
        <w:rPr>
          <w:rFonts w:cs="Arial"/>
          <w:color w:val="000000"/>
          <w:spacing w:val="-6"/>
          <w:szCs w:val="20"/>
        </w:rPr>
        <w:t>.</w:t>
      </w:r>
    </w:p>
    <w:p w:rsidR="0008794F" w:rsidRPr="003B5E1D" w:rsidRDefault="0008794F" w:rsidP="00AC6A22">
      <w:pPr>
        <w:pStyle w:val="Odstavecseseznamem"/>
        <w:spacing w:line="240" w:lineRule="auto"/>
        <w:rPr>
          <w:rFonts w:cs="Arial"/>
          <w:color w:val="000000"/>
          <w:spacing w:val="-6"/>
          <w:sz w:val="12"/>
          <w:szCs w:val="12"/>
        </w:rPr>
      </w:pPr>
    </w:p>
    <w:p w:rsidR="0008794F" w:rsidRPr="0010520A" w:rsidRDefault="0008794F" w:rsidP="00AC6A22">
      <w:pPr>
        <w:numPr>
          <w:ilvl w:val="0"/>
          <w:numId w:val="25"/>
        </w:numPr>
        <w:tabs>
          <w:tab w:val="clear" w:pos="720"/>
          <w:tab w:val="num" w:pos="284"/>
        </w:tabs>
        <w:spacing w:line="240" w:lineRule="auto"/>
        <w:ind w:left="284" w:hanging="284"/>
        <w:jc w:val="both"/>
        <w:rPr>
          <w:rFonts w:cs="Arial"/>
          <w:color w:val="000000"/>
          <w:spacing w:val="-6"/>
          <w:szCs w:val="20"/>
        </w:rPr>
      </w:pPr>
      <w:r w:rsidRPr="0010520A">
        <w:rPr>
          <w:rFonts w:cs="Arial"/>
          <w:szCs w:val="20"/>
        </w:rPr>
        <w:t xml:space="preserve">Právě kumulace deficitů </w:t>
      </w:r>
      <w:r>
        <w:rPr>
          <w:rFonts w:cs="Arial"/>
          <w:szCs w:val="20"/>
        </w:rPr>
        <w:t xml:space="preserve">vládních institucí </w:t>
      </w:r>
      <w:r w:rsidRPr="0010520A">
        <w:rPr>
          <w:rFonts w:cs="Arial"/>
          <w:szCs w:val="20"/>
        </w:rPr>
        <w:t xml:space="preserve">do </w:t>
      </w:r>
      <w:r>
        <w:rPr>
          <w:rFonts w:cs="Arial"/>
          <w:szCs w:val="20"/>
        </w:rPr>
        <w:t xml:space="preserve">jejich </w:t>
      </w:r>
      <w:r w:rsidRPr="0010520A">
        <w:rPr>
          <w:rFonts w:cs="Arial"/>
          <w:szCs w:val="20"/>
        </w:rPr>
        <w:t xml:space="preserve">hrubého konsolidovaného dluhu vedla za léta 1995-2014 k jeho absolutnímu zvětšení (v eurech) v ČR 10,7krát a v SR 12,2krát (vyjádřeno v národní měně stoupl dluh 8,5krát, resp. 9,4krát). </w:t>
      </w:r>
      <w:r w:rsidRPr="0010520A">
        <w:rPr>
          <w:rFonts w:cs="Arial"/>
          <w:color w:val="000000"/>
          <w:spacing w:val="-6"/>
          <w:szCs w:val="20"/>
        </w:rPr>
        <w:t xml:space="preserve">S jistým zjednodušením lze tedy říci, že slovenský růst byl tažen </w:t>
      </w:r>
      <w:r>
        <w:rPr>
          <w:rFonts w:cs="Arial"/>
          <w:color w:val="000000"/>
          <w:spacing w:val="-6"/>
          <w:szCs w:val="20"/>
        </w:rPr>
        <w:t xml:space="preserve">v tomto období </w:t>
      </w:r>
      <w:r w:rsidRPr="0010520A">
        <w:rPr>
          <w:rFonts w:cs="Arial"/>
          <w:color w:val="000000"/>
          <w:spacing w:val="-6"/>
          <w:szCs w:val="20"/>
        </w:rPr>
        <w:t>hospodářskou politikou využívající ve velké míře dluh, tj. rychle rostoucí výdaje vládníc</w:t>
      </w:r>
      <w:r>
        <w:rPr>
          <w:rFonts w:cs="Arial"/>
          <w:color w:val="000000"/>
          <w:spacing w:val="-6"/>
          <w:szCs w:val="20"/>
        </w:rPr>
        <w:t xml:space="preserve">h institucí, a že tato politika </w:t>
      </w:r>
      <w:r w:rsidRPr="0010520A">
        <w:rPr>
          <w:rFonts w:cs="Arial"/>
          <w:color w:val="000000"/>
          <w:spacing w:val="-6"/>
          <w:szCs w:val="20"/>
        </w:rPr>
        <w:t>vedla k podpoře ekonomického růstu Slovenska</w:t>
      </w:r>
    </w:p>
    <w:p w:rsidR="0008794F" w:rsidRPr="00241B34" w:rsidRDefault="0008794F" w:rsidP="00AC6A22">
      <w:pPr>
        <w:pStyle w:val="Odstavecseseznamem"/>
        <w:spacing w:line="240" w:lineRule="auto"/>
        <w:rPr>
          <w:rFonts w:cs="Arial"/>
          <w:color w:val="000000"/>
          <w:spacing w:val="-6"/>
          <w:sz w:val="12"/>
          <w:szCs w:val="12"/>
        </w:rPr>
      </w:pPr>
    </w:p>
    <w:p w:rsidR="0008794F" w:rsidRPr="006625BA" w:rsidRDefault="0008794F" w:rsidP="00AC6A22">
      <w:pPr>
        <w:numPr>
          <w:ilvl w:val="0"/>
          <w:numId w:val="25"/>
        </w:numPr>
        <w:tabs>
          <w:tab w:val="clear" w:pos="720"/>
          <w:tab w:val="num" w:pos="284"/>
        </w:tabs>
        <w:spacing w:line="240" w:lineRule="auto"/>
        <w:ind w:left="284" w:hanging="284"/>
        <w:jc w:val="both"/>
        <w:rPr>
          <w:rFonts w:cs="Arial"/>
          <w:color w:val="000000"/>
          <w:spacing w:val="-6"/>
          <w:szCs w:val="20"/>
        </w:rPr>
      </w:pPr>
      <w:r w:rsidRPr="006625BA">
        <w:rPr>
          <w:rFonts w:cs="Arial"/>
          <w:color w:val="000000"/>
          <w:spacing w:val="-6"/>
          <w:szCs w:val="20"/>
        </w:rPr>
        <w:t xml:space="preserve">Celkové vzepětí </w:t>
      </w:r>
      <w:r>
        <w:rPr>
          <w:rFonts w:cs="Arial"/>
          <w:color w:val="000000"/>
          <w:spacing w:val="-6"/>
          <w:szCs w:val="20"/>
        </w:rPr>
        <w:t>všech tří</w:t>
      </w:r>
      <w:r w:rsidRPr="006625BA">
        <w:rPr>
          <w:rFonts w:cs="Arial"/>
          <w:color w:val="000000"/>
          <w:spacing w:val="-6"/>
          <w:szCs w:val="20"/>
        </w:rPr>
        <w:t xml:space="preserve"> ekonomik </w:t>
      </w:r>
      <w:r>
        <w:rPr>
          <w:rFonts w:cs="Arial"/>
          <w:color w:val="000000"/>
          <w:spacing w:val="-6"/>
          <w:szCs w:val="20"/>
        </w:rPr>
        <w:t xml:space="preserve">bylo za posledních sedmnáct let </w:t>
      </w:r>
      <w:r w:rsidRPr="006625BA">
        <w:rPr>
          <w:rFonts w:cs="Arial"/>
          <w:color w:val="000000"/>
          <w:spacing w:val="-6"/>
          <w:szCs w:val="20"/>
        </w:rPr>
        <w:t>silnější než za EU jako celek. Jestliže výkon hospodářství EU 28 byl v roce 2014 proti výkonu v roce 1998 vyšší o více než čtvrtinu (+26,3 %), pak všechny tři země sledované v této analýze tento procentní přírůstek překonaly. Nejvíce Slovensko, jehož HDP byl v roce 2014 vyšší proti roku 1998 o plné tři čtvrtiny (+76,3 %). Tempo celé</w:t>
      </w:r>
      <w:r w:rsidR="00FA5FB4">
        <w:rPr>
          <w:rFonts w:cs="Arial"/>
          <w:color w:val="000000"/>
          <w:spacing w:val="-6"/>
          <w:szCs w:val="20"/>
        </w:rPr>
        <w:t xml:space="preserve"> U</w:t>
      </w:r>
      <w:r w:rsidRPr="006625BA">
        <w:rPr>
          <w:rFonts w:cs="Arial"/>
          <w:color w:val="000000"/>
          <w:spacing w:val="-6"/>
          <w:szCs w:val="20"/>
        </w:rPr>
        <w:t xml:space="preserve">nie tedy slovenský HDP svou dynamikou překonal třikrát. </w:t>
      </w:r>
    </w:p>
    <w:p w:rsidR="0008794F" w:rsidRPr="00241B34" w:rsidRDefault="0008794F" w:rsidP="00AC6A22">
      <w:pPr>
        <w:pStyle w:val="Odstavecseseznamem"/>
        <w:spacing w:line="240" w:lineRule="auto"/>
        <w:rPr>
          <w:rFonts w:cs="Arial"/>
          <w:color w:val="000000"/>
          <w:spacing w:val="-6"/>
          <w:sz w:val="12"/>
          <w:szCs w:val="12"/>
        </w:rPr>
      </w:pPr>
    </w:p>
    <w:p w:rsidR="0008794F" w:rsidRPr="004138DE" w:rsidRDefault="0008794F" w:rsidP="00AC6A22">
      <w:pPr>
        <w:numPr>
          <w:ilvl w:val="0"/>
          <w:numId w:val="25"/>
        </w:numPr>
        <w:tabs>
          <w:tab w:val="clear" w:pos="720"/>
          <w:tab w:val="num" w:pos="284"/>
        </w:tabs>
        <w:spacing w:line="240" w:lineRule="auto"/>
        <w:ind w:left="284" w:hanging="284"/>
        <w:jc w:val="both"/>
        <w:rPr>
          <w:rFonts w:cs="Arial"/>
          <w:color w:val="000000"/>
          <w:spacing w:val="-6"/>
          <w:szCs w:val="20"/>
        </w:rPr>
      </w:pPr>
      <w:r w:rsidRPr="004138DE">
        <w:rPr>
          <w:rFonts w:cs="Arial"/>
          <w:color w:val="000000"/>
          <w:spacing w:val="-6"/>
          <w:szCs w:val="20"/>
        </w:rPr>
        <w:t xml:space="preserve">Výkonnost České republiky stoupla během let 1998-2014 také velmi výrazně, i když ne s takovou intenzitou jako v případě Slovenska. Její HDP byl v koncovém roce 2014 o téměř polovinu vyšší (+48,3 %) než v roce 1998 a ve srovnání s přírůstkem za EU 28 byl vyšší dvakrát. </w:t>
      </w:r>
    </w:p>
    <w:p w:rsidR="0008794F" w:rsidRPr="00241B34" w:rsidRDefault="0008794F" w:rsidP="00AC6A22">
      <w:pPr>
        <w:pStyle w:val="Odstavecseseznamem"/>
        <w:spacing w:line="240" w:lineRule="auto"/>
        <w:rPr>
          <w:rFonts w:cs="Arial"/>
          <w:color w:val="000000"/>
          <w:spacing w:val="-6"/>
          <w:sz w:val="12"/>
          <w:szCs w:val="12"/>
        </w:rPr>
      </w:pPr>
    </w:p>
    <w:p w:rsidR="0008794F" w:rsidRPr="004138DE" w:rsidRDefault="0008794F" w:rsidP="00AC6A22">
      <w:pPr>
        <w:numPr>
          <w:ilvl w:val="0"/>
          <w:numId w:val="25"/>
        </w:numPr>
        <w:tabs>
          <w:tab w:val="clear" w:pos="720"/>
          <w:tab w:val="num" w:pos="284"/>
        </w:tabs>
        <w:spacing w:line="240" w:lineRule="auto"/>
        <w:ind w:left="284" w:hanging="284"/>
        <w:jc w:val="both"/>
        <w:rPr>
          <w:rFonts w:cs="Arial"/>
          <w:color w:val="000000"/>
          <w:spacing w:val="-6"/>
          <w:szCs w:val="20"/>
        </w:rPr>
      </w:pPr>
      <w:r w:rsidRPr="004138DE">
        <w:rPr>
          <w:rFonts w:cs="Arial"/>
          <w:color w:val="000000"/>
          <w:spacing w:val="-6"/>
          <w:szCs w:val="20"/>
        </w:rPr>
        <w:t xml:space="preserve">Nárůst rakouského HDP v roce 2014 ve srovnání s rokem 1998 </w:t>
      </w:r>
      <w:r>
        <w:rPr>
          <w:rFonts w:cs="Arial"/>
          <w:color w:val="000000"/>
          <w:spacing w:val="-6"/>
          <w:szCs w:val="20"/>
        </w:rPr>
        <w:t>činil</w:t>
      </w:r>
      <w:r w:rsidRPr="004138DE">
        <w:rPr>
          <w:rFonts w:cs="Arial"/>
          <w:color w:val="000000"/>
          <w:spacing w:val="-6"/>
          <w:szCs w:val="20"/>
        </w:rPr>
        <w:t xml:space="preserve"> téměř třetinu (+29,3 %)</w:t>
      </w:r>
      <w:r>
        <w:rPr>
          <w:rFonts w:cs="Arial"/>
          <w:color w:val="000000"/>
          <w:spacing w:val="-6"/>
          <w:szCs w:val="20"/>
        </w:rPr>
        <w:t>.</w:t>
      </w:r>
      <w:r w:rsidRPr="004138DE">
        <w:rPr>
          <w:rFonts w:cs="Arial"/>
          <w:color w:val="000000"/>
          <w:spacing w:val="-6"/>
          <w:szCs w:val="20"/>
        </w:rPr>
        <w:t xml:space="preserve"> I když se zdá, že proti nárůstu za celou EU 28 (+26,3 %) </w:t>
      </w:r>
      <w:r w:rsidRPr="00FC35B9">
        <w:rPr>
          <w:rFonts w:cs="Arial"/>
          <w:color w:val="000000"/>
          <w:spacing w:val="-4"/>
          <w:szCs w:val="20"/>
        </w:rPr>
        <w:t>nejde</w:t>
      </w:r>
      <w:r w:rsidRPr="004138DE">
        <w:rPr>
          <w:rFonts w:cs="Arial"/>
          <w:color w:val="000000"/>
          <w:spacing w:val="-6"/>
          <w:szCs w:val="20"/>
        </w:rPr>
        <w:t xml:space="preserve"> o významný rozdíl v nárůstu, </w:t>
      </w:r>
      <w:r>
        <w:rPr>
          <w:rFonts w:cs="Arial"/>
          <w:color w:val="000000"/>
          <w:spacing w:val="-6"/>
          <w:szCs w:val="20"/>
        </w:rPr>
        <w:t>ukazuje</w:t>
      </w:r>
      <w:r w:rsidRPr="004138DE">
        <w:rPr>
          <w:rFonts w:cs="Arial"/>
          <w:color w:val="000000"/>
          <w:spacing w:val="-6"/>
          <w:szCs w:val="20"/>
        </w:rPr>
        <w:t xml:space="preserve"> unijní žebříček zřetelně, že Rakousko zvýšilo svůj HDP více než dalších sedm nejvyspělejších zemí skupiny EU 15, jako je např. Německo, Francie, Nizozemí, Dánsko (naopak ale </w:t>
      </w:r>
      <w:r>
        <w:rPr>
          <w:rFonts w:cs="Arial"/>
          <w:color w:val="000000"/>
          <w:spacing w:val="-6"/>
          <w:szCs w:val="20"/>
        </w:rPr>
        <w:t xml:space="preserve">méně než např. Irsko s +80 %, </w:t>
      </w:r>
      <w:r w:rsidRPr="004138DE">
        <w:rPr>
          <w:rFonts w:cs="Arial"/>
          <w:color w:val="000000"/>
          <w:spacing w:val="-6"/>
          <w:szCs w:val="20"/>
        </w:rPr>
        <w:t xml:space="preserve">Švédsko s +42,9 % anebo Spojené království s +36,1 %). Z tohoto pohledu je zlepšení ekonomické výkonnosti Rakouska za roky 1998-2014 významné. </w:t>
      </w:r>
    </w:p>
    <w:p w:rsidR="0008794F" w:rsidRPr="00241B34" w:rsidRDefault="0008794F" w:rsidP="00AC6A22">
      <w:pPr>
        <w:pStyle w:val="Odstavecseseznamem"/>
        <w:spacing w:line="240" w:lineRule="auto"/>
        <w:rPr>
          <w:rFonts w:cs="Arial"/>
          <w:color w:val="000000"/>
          <w:spacing w:val="-6"/>
          <w:sz w:val="12"/>
          <w:szCs w:val="12"/>
        </w:rPr>
      </w:pPr>
    </w:p>
    <w:p w:rsidR="0008794F" w:rsidRDefault="00FA5FB4" w:rsidP="00AC6A22">
      <w:pPr>
        <w:numPr>
          <w:ilvl w:val="0"/>
          <w:numId w:val="25"/>
        </w:numPr>
        <w:tabs>
          <w:tab w:val="clear" w:pos="720"/>
          <w:tab w:val="num" w:pos="284"/>
        </w:tabs>
        <w:spacing w:line="240" w:lineRule="auto"/>
        <w:ind w:left="284" w:hanging="284"/>
        <w:jc w:val="both"/>
        <w:rPr>
          <w:rFonts w:cs="Arial"/>
          <w:color w:val="000000"/>
          <w:spacing w:val="-6"/>
          <w:szCs w:val="20"/>
        </w:rPr>
      </w:pPr>
      <w:r>
        <w:rPr>
          <w:rFonts w:cs="Arial"/>
          <w:color w:val="000000"/>
          <w:spacing w:val="-6"/>
          <w:szCs w:val="20"/>
        </w:rPr>
        <w:t>V</w:t>
      </w:r>
      <w:r w:rsidR="0008794F" w:rsidRPr="004138DE">
        <w:rPr>
          <w:rFonts w:cs="Arial"/>
          <w:color w:val="000000"/>
          <w:spacing w:val="-6"/>
          <w:szCs w:val="20"/>
        </w:rPr>
        <w:t xml:space="preserve"> nejsilnější konjunktuře na přelomu minulé dekády rostl HDP Slovenska reálně v průměru let 2005-2008 každ</w:t>
      </w:r>
      <w:r w:rsidR="0008794F">
        <w:rPr>
          <w:rFonts w:cs="Arial"/>
          <w:color w:val="000000"/>
          <w:spacing w:val="-6"/>
          <w:szCs w:val="20"/>
        </w:rPr>
        <w:t>oročně</w:t>
      </w:r>
      <w:r w:rsidR="0008794F" w:rsidRPr="004138DE">
        <w:rPr>
          <w:rFonts w:cs="Arial"/>
          <w:color w:val="000000"/>
          <w:spacing w:val="-6"/>
          <w:szCs w:val="20"/>
        </w:rPr>
        <w:t xml:space="preserve"> o 7,9 %, ČR o 5,4 % a Rakouska o 2,7 %</w:t>
      </w:r>
      <w:r>
        <w:rPr>
          <w:rFonts w:cs="Arial"/>
          <w:color w:val="000000"/>
          <w:spacing w:val="-6"/>
          <w:szCs w:val="20"/>
        </w:rPr>
        <w:t xml:space="preserve">. Jak plyne z již uvedených silných temp růstu slovenské ekonomiky, </w:t>
      </w:r>
      <w:r w:rsidR="0008794F" w:rsidRPr="004138DE">
        <w:rPr>
          <w:rFonts w:cs="Arial"/>
          <w:color w:val="000000"/>
          <w:spacing w:val="-6"/>
          <w:szCs w:val="20"/>
        </w:rPr>
        <w:t>SR velmi úspěšná i pokud jde nárůst výkonnosti vztažené k roku 2004. Její HDP byl v roce 2014 vyšší o téměř polovinu (+4</w:t>
      </w:r>
      <w:r w:rsidR="0008794F">
        <w:rPr>
          <w:rFonts w:cs="Arial"/>
          <w:color w:val="000000"/>
          <w:spacing w:val="-6"/>
          <w:szCs w:val="20"/>
        </w:rPr>
        <w:t>5,8</w:t>
      </w:r>
      <w:r w:rsidR="0008794F" w:rsidRPr="004138DE">
        <w:rPr>
          <w:rFonts w:cs="Arial"/>
          <w:color w:val="000000"/>
          <w:spacing w:val="-6"/>
          <w:szCs w:val="20"/>
        </w:rPr>
        <w:t xml:space="preserve"> %), což byl ne</w:t>
      </w:r>
      <w:r w:rsidR="0008794F">
        <w:rPr>
          <w:rFonts w:cs="Arial"/>
          <w:color w:val="000000"/>
          <w:spacing w:val="-6"/>
          <w:szCs w:val="20"/>
        </w:rPr>
        <w:t>j</w:t>
      </w:r>
      <w:r w:rsidR="0008794F" w:rsidRPr="004138DE">
        <w:rPr>
          <w:rFonts w:cs="Arial"/>
          <w:color w:val="000000"/>
          <w:spacing w:val="-6"/>
          <w:szCs w:val="20"/>
        </w:rPr>
        <w:t xml:space="preserve">větší nárůst ze všech evropských zemí. Výkonnost české ekonomiky stoupla od vstupu do Unie o </w:t>
      </w:r>
      <w:r w:rsidR="0008794F">
        <w:rPr>
          <w:rFonts w:cs="Arial"/>
          <w:color w:val="000000"/>
          <w:spacing w:val="-6"/>
          <w:szCs w:val="20"/>
        </w:rPr>
        <w:t xml:space="preserve">23 %, Rakouska o 13,6 %. Všechny tři země tak výrazně překonaly výkonnost EU (+9,7 % proti roku 2004). Ta byla ovlivněna krizemi veřejných rozpočtů periferních zemí Unie patrnými zejména od roku 2009 anebo nároky na rozpočty těch členů EU, které těmto zemím poskytovaly finanční pomoc. </w:t>
      </w:r>
    </w:p>
    <w:p w:rsidR="0008794F" w:rsidRPr="00FF35E3" w:rsidRDefault="0008794F" w:rsidP="00AC6A22">
      <w:pPr>
        <w:pStyle w:val="Odstavecseseznamem"/>
        <w:spacing w:line="240" w:lineRule="auto"/>
        <w:rPr>
          <w:rFonts w:cs="Arial"/>
          <w:color w:val="000000"/>
          <w:spacing w:val="-6"/>
          <w:sz w:val="12"/>
          <w:szCs w:val="12"/>
        </w:rPr>
      </w:pPr>
    </w:p>
    <w:p w:rsidR="0008794F" w:rsidRPr="00743AE1" w:rsidRDefault="0008794F" w:rsidP="00AC6A22">
      <w:pPr>
        <w:numPr>
          <w:ilvl w:val="0"/>
          <w:numId w:val="25"/>
        </w:numPr>
        <w:tabs>
          <w:tab w:val="clear" w:pos="720"/>
          <w:tab w:val="num" w:pos="284"/>
        </w:tabs>
        <w:spacing w:line="240" w:lineRule="auto"/>
        <w:ind w:left="284" w:hanging="284"/>
        <w:jc w:val="both"/>
        <w:rPr>
          <w:rFonts w:cs="Arial"/>
          <w:szCs w:val="20"/>
        </w:rPr>
      </w:pPr>
      <w:r w:rsidRPr="00743AE1">
        <w:rPr>
          <w:rFonts w:cs="Arial"/>
          <w:color w:val="000000"/>
          <w:spacing w:val="-6"/>
          <w:szCs w:val="20"/>
        </w:rPr>
        <w:t xml:space="preserve">Od roku 2010 je patrná značná diverzifikace temp růstu ekonomik ČR, SR a Rakouska. Příčina velmi slabého přírůstku HDP ČR v roce 2014 proti roku 2010 (+2,5 %) spočívá ve dvouleté recesi. Znatelná ztráta dynamiky HDP Rakouska v letech 2013 a 2014 přesto ukázala čtyřletý přírůstek o 4,3 % a slovenská ekonomika si i v tomto období vedla oproti dvěma sledovaným zemím nejlépe (+8,6 %). </w:t>
      </w:r>
    </w:p>
    <w:p w:rsidR="0008794F" w:rsidRPr="0089783D" w:rsidRDefault="0008794F" w:rsidP="00AC6A22">
      <w:pPr>
        <w:pStyle w:val="Odstavecseseznamem"/>
        <w:spacing w:line="240" w:lineRule="auto"/>
        <w:rPr>
          <w:rFonts w:cs="Arial"/>
          <w:color w:val="000000"/>
          <w:sz w:val="12"/>
          <w:szCs w:val="12"/>
        </w:rPr>
      </w:pPr>
    </w:p>
    <w:p w:rsidR="0008794F" w:rsidRPr="00BD0D8B" w:rsidRDefault="0008794F" w:rsidP="00AC6A22">
      <w:pPr>
        <w:numPr>
          <w:ilvl w:val="0"/>
          <w:numId w:val="25"/>
        </w:numPr>
        <w:tabs>
          <w:tab w:val="clear" w:pos="720"/>
          <w:tab w:val="num" w:pos="284"/>
        </w:tabs>
        <w:spacing w:line="240" w:lineRule="auto"/>
        <w:ind w:left="284" w:hanging="284"/>
        <w:jc w:val="both"/>
        <w:rPr>
          <w:rFonts w:cs="Arial"/>
          <w:szCs w:val="20"/>
        </w:rPr>
      </w:pPr>
      <w:r w:rsidRPr="00826C6A">
        <w:rPr>
          <w:rFonts w:cs="Arial"/>
          <w:spacing w:val="-2"/>
          <w:szCs w:val="20"/>
        </w:rPr>
        <w:t xml:space="preserve">Důvody a hlavní faktory ovlivňující ekonomický vývoj ČR, SR a Rakouska jsou detailně graficky zobrazeny a podrobně komentovány v kapitole 4 </w:t>
      </w:r>
      <w:proofErr w:type="gramStart"/>
      <w:r w:rsidRPr="00826C6A">
        <w:rPr>
          <w:rFonts w:cs="Arial"/>
          <w:spacing w:val="-2"/>
          <w:szCs w:val="20"/>
        </w:rPr>
        <w:t>této</w:t>
      </w:r>
      <w:proofErr w:type="gramEnd"/>
      <w:r w:rsidRPr="00826C6A">
        <w:rPr>
          <w:rFonts w:cs="Arial"/>
          <w:spacing w:val="-2"/>
          <w:szCs w:val="20"/>
        </w:rPr>
        <w:t xml:space="preserve"> studie. Plyne z nich silná role (nárůst) fixních investic v ekonomice ČR proti SR, Rakousku i EU. Nedostatečný multiplikační efekt těchto investic v ČR lze zřejmě zčásti přičíst vyšší váze investic „neproduktivního“ typu. Výdaje na konečnou spotřebu se zvýšily nejv</w:t>
      </w:r>
      <w:r>
        <w:rPr>
          <w:rFonts w:cs="Arial"/>
          <w:spacing w:val="-2"/>
          <w:szCs w:val="20"/>
        </w:rPr>
        <w:t>ýrazněji</w:t>
      </w:r>
      <w:r w:rsidRPr="00826C6A">
        <w:rPr>
          <w:rFonts w:cs="Arial"/>
          <w:spacing w:val="-2"/>
          <w:szCs w:val="20"/>
        </w:rPr>
        <w:t xml:space="preserve"> na Slovensku (zejména u vládních institucí), stejně jako export zboží a služeb. Nejvíce ze všech tří zemí i EU narostl import zboží a služeb do České republiky, což indikuje její významný </w:t>
      </w:r>
      <w:proofErr w:type="spellStart"/>
      <w:r w:rsidRPr="00826C6A">
        <w:rPr>
          <w:rFonts w:cs="Arial"/>
          <w:spacing w:val="-2"/>
          <w:szCs w:val="20"/>
        </w:rPr>
        <w:t>přepracovatelský</w:t>
      </w:r>
      <w:proofErr w:type="spellEnd"/>
      <w:r w:rsidRPr="00826C6A">
        <w:rPr>
          <w:rFonts w:cs="Arial"/>
          <w:spacing w:val="-2"/>
          <w:szCs w:val="20"/>
        </w:rPr>
        <w:t xml:space="preserve"> charakter. Ve vývozu samotných služeb dominuje nad přírůstky v ČR a SR jeho nárůst v Rakousku, což může souviset s tamější intenzitou cestovního ruchu a inkasem těchto příjmů</w:t>
      </w:r>
      <w:r w:rsidRPr="00BD0D8B">
        <w:rPr>
          <w:rFonts w:cs="Arial"/>
          <w:szCs w:val="20"/>
        </w:rPr>
        <w:t>.</w:t>
      </w:r>
    </w:p>
    <w:p w:rsidR="0008794F" w:rsidRPr="0089783D" w:rsidRDefault="0008794F" w:rsidP="00AC6A22">
      <w:pPr>
        <w:pStyle w:val="Odstavecseseznamem"/>
        <w:spacing w:line="240" w:lineRule="auto"/>
        <w:rPr>
          <w:rFonts w:cs="Arial"/>
          <w:sz w:val="12"/>
          <w:szCs w:val="12"/>
        </w:rPr>
      </w:pPr>
    </w:p>
    <w:p w:rsidR="0008794F" w:rsidRPr="00826C6A" w:rsidRDefault="0008794F" w:rsidP="00AC6A22">
      <w:pPr>
        <w:numPr>
          <w:ilvl w:val="0"/>
          <w:numId w:val="25"/>
        </w:numPr>
        <w:tabs>
          <w:tab w:val="clear" w:pos="720"/>
          <w:tab w:val="num" w:pos="284"/>
        </w:tabs>
        <w:spacing w:line="240" w:lineRule="auto"/>
        <w:ind w:left="284" w:hanging="284"/>
        <w:jc w:val="both"/>
        <w:rPr>
          <w:rFonts w:cs="Arial"/>
          <w:spacing w:val="-2"/>
          <w:szCs w:val="20"/>
        </w:rPr>
      </w:pPr>
      <w:r w:rsidRPr="00826C6A">
        <w:rPr>
          <w:rFonts w:cs="Arial"/>
          <w:spacing w:val="-2"/>
          <w:szCs w:val="20"/>
        </w:rPr>
        <w:t>ČR ani SR oproti Rakousku „ekonomikami služeb“ nejsou. Plyne to jak ze zahraničního obchodu s nimi, tak i ze struktury (vah) produkčních odvětví na celkově vytvořené přidané hodnotě (podrobněji rozebrané v kapitole 5).</w:t>
      </w:r>
      <w:r w:rsidRPr="00826C6A">
        <w:rPr>
          <w:rFonts w:cs="Arial"/>
          <w:color w:val="000000"/>
          <w:spacing w:val="-2"/>
          <w:szCs w:val="20"/>
        </w:rPr>
        <w:t xml:space="preserve"> Ekonomiky ČR a SR jsou, pokud jde o export, orientovány především „zbožově“. Největší nárůst dovozu zboží a služeb v případě České republiky opět indikuje oproti Slovensku vyšší dovozně-vývozní orientaci ČR spojenou zřejmě i s vyšším podílem firem pod zahraniční kontrolou.  Lze na to soudit z větší intenzity vztahů s nerezidenty v případě České republiky projevující se </w:t>
      </w:r>
      <w:r>
        <w:rPr>
          <w:rFonts w:cs="Arial"/>
          <w:color w:val="000000"/>
          <w:spacing w:val="-2"/>
          <w:szCs w:val="20"/>
        </w:rPr>
        <w:t xml:space="preserve">během uvedeného období </w:t>
      </w:r>
      <w:r w:rsidRPr="00826C6A">
        <w:rPr>
          <w:rFonts w:cs="Arial"/>
          <w:color w:val="000000"/>
          <w:spacing w:val="-2"/>
          <w:szCs w:val="20"/>
        </w:rPr>
        <w:t>v přelévání (odlivu) prvotních dů</w:t>
      </w:r>
      <w:r>
        <w:rPr>
          <w:rFonts w:cs="Arial"/>
          <w:color w:val="000000"/>
          <w:spacing w:val="-2"/>
          <w:szCs w:val="20"/>
        </w:rPr>
        <w:t>ch</w:t>
      </w:r>
      <w:r w:rsidRPr="00826C6A">
        <w:rPr>
          <w:rFonts w:cs="Arial"/>
          <w:color w:val="000000"/>
          <w:spacing w:val="-2"/>
          <w:szCs w:val="20"/>
        </w:rPr>
        <w:t>odů (dividendy</w:t>
      </w:r>
      <w:r w:rsidR="00DD1BD3">
        <w:rPr>
          <w:rFonts w:cs="Arial"/>
          <w:color w:val="000000"/>
          <w:spacing w:val="-2"/>
          <w:szCs w:val="20"/>
        </w:rPr>
        <w:t xml:space="preserve">, ale </w:t>
      </w:r>
      <w:r w:rsidRPr="00826C6A">
        <w:rPr>
          <w:rFonts w:cs="Arial"/>
          <w:color w:val="000000"/>
          <w:spacing w:val="-2"/>
          <w:szCs w:val="20"/>
        </w:rPr>
        <w:t>i „mzdové“ saldo mezi náhradami zaměstnanců-rezidentů v zahraničí a zahraničních pracovníků-nerezidentů v ČR).</w:t>
      </w:r>
    </w:p>
    <w:p w:rsidR="0008794F" w:rsidRPr="0089783D" w:rsidRDefault="0008794F" w:rsidP="00AC6A22">
      <w:pPr>
        <w:pStyle w:val="Odstavecseseznamem"/>
        <w:spacing w:line="240" w:lineRule="auto"/>
        <w:rPr>
          <w:rFonts w:cs="Arial"/>
          <w:color w:val="000000"/>
          <w:spacing w:val="-6"/>
          <w:sz w:val="12"/>
          <w:szCs w:val="12"/>
        </w:rPr>
      </w:pPr>
    </w:p>
    <w:p w:rsidR="0008794F" w:rsidRPr="009F10EF" w:rsidRDefault="0008794F" w:rsidP="00AC6A22">
      <w:pPr>
        <w:numPr>
          <w:ilvl w:val="0"/>
          <w:numId w:val="25"/>
        </w:numPr>
        <w:tabs>
          <w:tab w:val="clear" w:pos="720"/>
          <w:tab w:val="num" w:pos="284"/>
        </w:tabs>
        <w:spacing w:line="240" w:lineRule="auto"/>
        <w:ind w:left="284" w:hanging="284"/>
        <w:jc w:val="both"/>
        <w:rPr>
          <w:rFonts w:cs="Arial"/>
          <w:spacing w:val="-6"/>
          <w:szCs w:val="20"/>
        </w:rPr>
      </w:pPr>
      <w:r w:rsidRPr="009F10EF">
        <w:rPr>
          <w:rFonts w:cs="Arial"/>
          <w:color w:val="000000"/>
          <w:spacing w:val="-6"/>
          <w:szCs w:val="20"/>
        </w:rPr>
        <w:t>Saldo s nerezidenty má totiž ČR již dlouhou dobu podstatně vyšší než SR jak absolutně (což by bylo možné zdůvodnit větší velikostí ekonomiky), tak i relativně. V roce 2014 bylo v  ČR saldo s </w:t>
      </w:r>
      <w:r>
        <w:rPr>
          <w:rFonts w:cs="Arial"/>
          <w:color w:val="000000"/>
          <w:spacing w:val="-6"/>
          <w:szCs w:val="20"/>
        </w:rPr>
        <w:t>nerezidenty záporné ve výši 10,5</w:t>
      </w:r>
      <w:r w:rsidRPr="009F10EF">
        <w:rPr>
          <w:rFonts w:cs="Arial"/>
          <w:color w:val="000000"/>
          <w:spacing w:val="-6"/>
          <w:szCs w:val="20"/>
        </w:rPr>
        <w:t xml:space="preserve"> mld. eur, na Slovensku ve výši 2,</w:t>
      </w:r>
      <w:r>
        <w:rPr>
          <w:rFonts w:cs="Arial"/>
          <w:color w:val="000000"/>
          <w:spacing w:val="-6"/>
          <w:szCs w:val="20"/>
        </w:rPr>
        <w:t>4</w:t>
      </w:r>
      <w:r w:rsidRPr="009F10EF">
        <w:rPr>
          <w:rFonts w:cs="Arial"/>
          <w:color w:val="000000"/>
          <w:spacing w:val="-6"/>
          <w:szCs w:val="20"/>
        </w:rPr>
        <w:t xml:space="preserve"> mld. eur. Česká ekonomika je tedy v daleko větší míře ekonomikou exportně-dovozního typu než S</w:t>
      </w:r>
      <w:r>
        <w:rPr>
          <w:rFonts w:cs="Arial"/>
          <w:color w:val="000000"/>
          <w:spacing w:val="-6"/>
          <w:szCs w:val="20"/>
        </w:rPr>
        <w:t>R</w:t>
      </w:r>
      <w:r w:rsidRPr="009F10EF">
        <w:rPr>
          <w:rFonts w:cs="Arial"/>
          <w:color w:val="000000"/>
          <w:spacing w:val="-6"/>
          <w:szCs w:val="20"/>
        </w:rPr>
        <w:t xml:space="preserve"> nebo Rakousko a její </w:t>
      </w:r>
      <w:proofErr w:type="spellStart"/>
      <w:r w:rsidRPr="009F10EF">
        <w:rPr>
          <w:rFonts w:cs="Arial"/>
          <w:color w:val="000000"/>
          <w:spacing w:val="-6"/>
          <w:szCs w:val="20"/>
        </w:rPr>
        <w:t>přepracovatelský</w:t>
      </w:r>
      <w:proofErr w:type="spellEnd"/>
      <w:r w:rsidRPr="009F10EF">
        <w:rPr>
          <w:rFonts w:cs="Arial"/>
          <w:color w:val="000000"/>
          <w:spacing w:val="-6"/>
          <w:szCs w:val="20"/>
        </w:rPr>
        <w:t xml:space="preserve"> charakter v kombinaci s významnou vahou firem zahraničních investorů v ekonomice ČR je tím také zřetelnější.</w:t>
      </w:r>
    </w:p>
    <w:p w:rsidR="0008794F" w:rsidRPr="009F10EF" w:rsidRDefault="0008794F" w:rsidP="00AC6A22">
      <w:pPr>
        <w:pStyle w:val="Odstavecseseznamem"/>
        <w:spacing w:line="240" w:lineRule="auto"/>
        <w:rPr>
          <w:rFonts w:cs="Arial"/>
          <w:sz w:val="12"/>
          <w:szCs w:val="12"/>
        </w:rPr>
      </w:pPr>
    </w:p>
    <w:p w:rsidR="0008794F" w:rsidRPr="009F10EF" w:rsidRDefault="0008794F" w:rsidP="00AC6A22">
      <w:pPr>
        <w:numPr>
          <w:ilvl w:val="0"/>
          <w:numId w:val="25"/>
        </w:numPr>
        <w:tabs>
          <w:tab w:val="clear" w:pos="720"/>
          <w:tab w:val="num" w:pos="284"/>
        </w:tabs>
        <w:spacing w:line="240" w:lineRule="auto"/>
        <w:ind w:left="284" w:hanging="284"/>
        <w:jc w:val="both"/>
        <w:rPr>
          <w:rFonts w:cs="Arial"/>
          <w:szCs w:val="20"/>
        </w:rPr>
      </w:pPr>
      <w:r w:rsidRPr="009F10EF">
        <w:rPr>
          <w:rFonts w:cs="Arial"/>
          <w:szCs w:val="20"/>
        </w:rPr>
        <w:t xml:space="preserve">Ekonomiku ČR charakterizuje významně vyšší podíl průmyslu na </w:t>
      </w:r>
      <w:r>
        <w:rPr>
          <w:rFonts w:cs="Arial"/>
          <w:szCs w:val="20"/>
        </w:rPr>
        <w:t xml:space="preserve">celkově </w:t>
      </w:r>
      <w:r w:rsidRPr="009F10EF">
        <w:rPr>
          <w:rFonts w:cs="Arial"/>
          <w:szCs w:val="20"/>
        </w:rPr>
        <w:t xml:space="preserve">vytvářené hrubé přidané hodnotě, a to nejen ve srovnání s Rakouskem, ale už i se Slovenskou republikou. Byl však vyšší již v roce 1998. Ze struktur </w:t>
      </w:r>
      <w:r>
        <w:rPr>
          <w:rFonts w:cs="Arial"/>
          <w:szCs w:val="20"/>
        </w:rPr>
        <w:t xml:space="preserve">např. </w:t>
      </w:r>
      <w:r w:rsidRPr="009F10EF">
        <w:rPr>
          <w:rFonts w:cs="Arial"/>
          <w:szCs w:val="20"/>
        </w:rPr>
        <w:t>plyne i překvapivě nízká vá</w:t>
      </w:r>
      <w:r w:rsidR="007D7DD8">
        <w:rPr>
          <w:rFonts w:cs="Arial"/>
          <w:szCs w:val="20"/>
        </w:rPr>
        <w:t>h</w:t>
      </w:r>
      <w:r w:rsidRPr="009F10EF">
        <w:rPr>
          <w:rFonts w:cs="Arial"/>
          <w:szCs w:val="20"/>
        </w:rPr>
        <w:t>a odvětví ICT v rakouské ekonomice ve srovnání zejména s ČR, sílící podíl stavebnictví v ekonomice SR</w:t>
      </w:r>
      <w:r>
        <w:rPr>
          <w:rFonts w:cs="Arial"/>
          <w:szCs w:val="20"/>
        </w:rPr>
        <w:t xml:space="preserve"> aj.</w:t>
      </w:r>
    </w:p>
    <w:p w:rsidR="0008794F" w:rsidRPr="009F10EF" w:rsidRDefault="0008794F" w:rsidP="00AC6A22">
      <w:pPr>
        <w:pStyle w:val="Odstavecseseznamem"/>
        <w:spacing w:line="240" w:lineRule="auto"/>
        <w:rPr>
          <w:rFonts w:cs="Arial"/>
          <w:sz w:val="12"/>
          <w:szCs w:val="12"/>
        </w:rPr>
      </w:pPr>
    </w:p>
    <w:p w:rsidR="0008794F" w:rsidRPr="009F10EF" w:rsidRDefault="0008794F" w:rsidP="00AC6A22">
      <w:pPr>
        <w:numPr>
          <w:ilvl w:val="0"/>
          <w:numId w:val="25"/>
        </w:numPr>
        <w:tabs>
          <w:tab w:val="clear" w:pos="720"/>
          <w:tab w:val="num" w:pos="284"/>
        </w:tabs>
        <w:spacing w:line="240" w:lineRule="auto"/>
        <w:ind w:left="284" w:hanging="284"/>
        <w:jc w:val="both"/>
        <w:rPr>
          <w:rFonts w:cs="Arial"/>
          <w:spacing w:val="-6"/>
          <w:szCs w:val="20"/>
        </w:rPr>
      </w:pPr>
      <w:r w:rsidRPr="009F10EF">
        <w:rPr>
          <w:rFonts w:cs="Arial"/>
          <w:spacing w:val="-6"/>
          <w:szCs w:val="20"/>
        </w:rPr>
        <w:t>Nelze jednoznačně tvrdit, že vyspělejší ekonomická struktura, měřeno podílem služeb, je vždy jednoznačnou výhodou. Naopak, v době výstupu z krize roku 2009 byly nejúspěšnější země s nejvyšším podílem průmyslu v ekonomické struktuře (v EU šlo o Německo, ČR a Slovensko). Produkce a export průmyslového zboží přispěly v té době rozhodující měrou k obnově jejich ekonomického růstu. Ačkoli tedy ČR ani SR nejsou „ekonomikami služeb“ v rozsahu, jaký má Rakousko, umožňuje výroba zboží v daném rozsahu udržovat vysokou úroveň exportu zboží v obou zemích.</w:t>
      </w:r>
    </w:p>
    <w:p w:rsidR="0008794F" w:rsidRPr="003B5E1D" w:rsidRDefault="0008794F" w:rsidP="00AC6A22">
      <w:pPr>
        <w:spacing w:line="240" w:lineRule="auto"/>
        <w:ind w:left="284"/>
        <w:jc w:val="both"/>
        <w:rPr>
          <w:rFonts w:cs="Arial"/>
          <w:sz w:val="12"/>
          <w:szCs w:val="12"/>
        </w:rPr>
      </w:pPr>
    </w:p>
    <w:p w:rsidR="0008794F" w:rsidRPr="00D429AE" w:rsidRDefault="0008794F" w:rsidP="00AC6A22">
      <w:pPr>
        <w:numPr>
          <w:ilvl w:val="0"/>
          <w:numId w:val="25"/>
        </w:numPr>
        <w:tabs>
          <w:tab w:val="clear" w:pos="720"/>
          <w:tab w:val="num" w:pos="284"/>
        </w:tabs>
        <w:spacing w:line="240" w:lineRule="auto"/>
        <w:ind w:left="284" w:hanging="284"/>
        <w:jc w:val="both"/>
        <w:rPr>
          <w:rFonts w:cs="Arial"/>
          <w:color w:val="000000"/>
          <w:spacing w:val="-6"/>
          <w:szCs w:val="20"/>
        </w:rPr>
      </w:pPr>
      <w:r>
        <w:rPr>
          <w:rFonts w:cs="Arial"/>
          <w:szCs w:val="20"/>
        </w:rPr>
        <w:t xml:space="preserve">Rozdíl v ekonomické vyspělosti České republiky, ale zejména Slovenska, oproti Rakousku je stále veliký, i když se za dvacet let díky specifickým vlivům, generujícím růst ČR a SR, zmenšil významně. V roce 1995 Slovensko jako jedna z nejchudších zemí EU s HDP na obyvatele v PPS na 47 % průměru EU 28 kontrastovalo se 131,8 % v případě Rakouska, které bylo v té době naopak vůbec </w:t>
      </w:r>
      <w:r w:rsidR="005E04A2">
        <w:rPr>
          <w:rFonts w:cs="Arial"/>
          <w:szCs w:val="20"/>
        </w:rPr>
        <w:t>nejvyspělejší</w:t>
      </w:r>
      <w:r>
        <w:rPr>
          <w:rFonts w:cs="Arial"/>
          <w:szCs w:val="20"/>
        </w:rPr>
        <w:t xml:space="preserve"> zemí EU. ČR na zhruba třech čtvrtinách úrovně EU (76,2 %) stála mezi těmito extrémy, tj. na tu dobu v pozici relativně dobré. Od té doby však ČR v materiální kvalitě života - měřené výdaji domácností na konečnou spotřebu v jejich relaci k EU 28 - podle posledních dat za rok 2014 předstihlo Slovensko, když ještě v roce 2005 byl její odstup od SR zcela zřetelný.</w:t>
      </w:r>
    </w:p>
    <w:p w:rsidR="0008794F" w:rsidRPr="00C3462A" w:rsidRDefault="0008794F" w:rsidP="00AC6A22">
      <w:pPr>
        <w:spacing w:line="240" w:lineRule="auto"/>
        <w:ind w:left="284"/>
        <w:jc w:val="both"/>
        <w:rPr>
          <w:rFonts w:cs="Arial"/>
          <w:color w:val="000000"/>
          <w:spacing w:val="-6"/>
          <w:szCs w:val="20"/>
        </w:rPr>
      </w:pPr>
      <w:r>
        <w:rPr>
          <w:rFonts w:cs="Arial"/>
          <w:szCs w:val="20"/>
        </w:rPr>
        <w:t xml:space="preserve">    </w:t>
      </w:r>
    </w:p>
    <w:p w:rsidR="0008794F" w:rsidRPr="00AC6A22" w:rsidRDefault="0008794F" w:rsidP="002457A5">
      <w:pPr>
        <w:numPr>
          <w:ilvl w:val="0"/>
          <w:numId w:val="25"/>
        </w:numPr>
        <w:tabs>
          <w:tab w:val="clear" w:pos="720"/>
          <w:tab w:val="num" w:pos="284"/>
        </w:tabs>
        <w:spacing w:line="240" w:lineRule="auto"/>
        <w:ind w:left="284" w:hanging="284"/>
        <w:jc w:val="both"/>
        <w:rPr>
          <w:rFonts w:cs="Arial"/>
          <w:color w:val="000000"/>
          <w:spacing w:val="-6"/>
          <w:szCs w:val="20"/>
        </w:rPr>
      </w:pPr>
      <w:r>
        <w:rPr>
          <w:rFonts w:cs="Arial"/>
          <w:szCs w:val="20"/>
        </w:rPr>
        <w:t xml:space="preserve">Zlepšení </w:t>
      </w:r>
      <w:r w:rsidR="00325ED2">
        <w:rPr>
          <w:rFonts w:cs="Arial"/>
          <w:szCs w:val="20"/>
        </w:rPr>
        <w:t xml:space="preserve">od roku 1995 do roku 2014 </w:t>
      </w:r>
      <w:r>
        <w:rPr>
          <w:rFonts w:cs="Arial"/>
          <w:szCs w:val="20"/>
        </w:rPr>
        <w:t xml:space="preserve">v HDP na obyvatele v PPS v relaci k EU 28 u ČR o 7,7 </w:t>
      </w:r>
      <w:proofErr w:type="spellStart"/>
      <w:r>
        <w:rPr>
          <w:rFonts w:cs="Arial"/>
          <w:szCs w:val="20"/>
        </w:rPr>
        <w:t>pb</w:t>
      </w:r>
      <w:proofErr w:type="spellEnd"/>
      <w:r>
        <w:rPr>
          <w:rFonts w:cs="Arial"/>
          <w:szCs w:val="20"/>
        </w:rPr>
        <w:t xml:space="preserve">. a u SR o 29,2 </w:t>
      </w:r>
      <w:proofErr w:type="spellStart"/>
      <w:r>
        <w:rPr>
          <w:rFonts w:cs="Arial"/>
          <w:szCs w:val="20"/>
        </w:rPr>
        <w:t>pb</w:t>
      </w:r>
      <w:proofErr w:type="spellEnd"/>
      <w:r>
        <w:rPr>
          <w:rFonts w:cs="Arial"/>
          <w:szCs w:val="20"/>
        </w:rPr>
        <w:t xml:space="preserve">. však z pohledu </w:t>
      </w:r>
      <w:r w:rsidR="005E04A2">
        <w:rPr>
          <w:rFonts w:cs="Arial"/>
          <w:szCs w:val="20"/>
        </w:rPr>
        <w:t xml:space="preserve">přibližování úrovni </w:t>
      </w:r>
      <w:r>
        <w:rPr>
          <w:rFonts w:cs="Arial"/>
          <w:szCs w:val="20"/>
        </w:rPr>
        <w:t xml:space="preserve">Rakouska zakaluje zjištění, že jeho ekonomika si za tu dobu pohoršila jen nepatrně (o 4,4 </w:t>
      </w:r>
      <w:proofErr w:type="spellStart"/>
      <w:r>
        <w:rPr>
          <w:rFonts w:cs="Arial"/>
          <w:szCs w:val="20"/>
        </w:rPr>
        <w:t>pb</w:t>
      </w:r>
      <w:proofErr w:type="spellEnd"/>
      <w:r>
        <w:rPr>
          <w:rFonts w:cs="Arial"/>
          <w:szCs w:val="20"/>
        </w:rPr>
        <w:t xml:space="preserve">. na 127,4 % průměru EU 28). Je čtvrtou nejbohatší zemí Unie a zahrneme-li i Norsko a Švýcarsko, pak šestou nejbohatší zemí Evropy. Rakousko si tedy ve dvou posledních dekádách vedlo podstatně lépe, než „staré“ země Unie (EU 15), kde se relace k EU 28 zhoršila o 7,1 </w:t>
      </w:r>
      <w:proofErr w:type="spellStart"/>
      <w:r>
        <w:rPr>
          <w:rFonts w:cs="Arial"/>
          <w:szCs w:val="20"/>
        </w:rPr>
        <w:t>pb</w:t>
      </w:r>
      <w:proofErr w:type="spellEnd"/>
      <w:r>
        <w:rPr>
          <w:rFonts w:cs="Arial"/>
          <w:szCs w:val="20"/>
        </w:rPr>
        <w:t xml:space="preserve">. Dosažení rakouské úrovně tak zřejmě nebude pro Českou ani Slovenskou republiku otázkou jedné generace. </w:t>
      </w:r>
    </w:p>
    <w:p w:rsidR="0008794F" w:rsidRDefault="0008794F" w:rsidP="002457A5">
      <w:pPr>
        <w:pStyle w:val="Textpoznpodarou"/>
        <w:jc w:val="both"/>
        <w:rPr>
          <w:lang w:eastAsia="ar-SA"/>
        </w:rPr>
      </w:pPr>
    </w:p>
    <w:p w:rsidR="0008794F" w:rsidRDefault="0008794F" w:rsidP="002457A5">
      <w:pPr>
        <w:pStyle w:val="Textpoznpodarou"/>
        <w:jc w:val="both"/>
        <w:rPr>
          <w:lang w:eastAsia="ar-SA"/>
        </w:rPr>
      </w:pPr>
    </w:p>
    <w:p w:rsidR="0008794F" w:rsidRDefault="0008794F" w:rsidP="002457A5">
      <w:pPr>
        <w:pStyle w:val="Textpoznpodarou"/>
        <w:jc w:val="both"/>
        <w:rPr>
          <w:lang w:eastAsia="ar-SA"/>
        </w:rPr>
      </w:pPr>
    </w:p>
    <w:p w:rsidR="0008794F" w:rsidRDefault="0008794F" w:rsidP="002457A5">
      <w:pPr>
        <w:pStyle w:val="Textpoznpodarou"/>
        <w:jc w:val="both"/>
        <w:rPr>
          <w:lang w:eastAsia="ar-SA"/>
        </w:rPr>
      </w:pPr>
    </w:p>
    <w:p w:rsidR="0008794F" w:rsidRDefault="0008794F" w:rsidP="002457A5">
      <w:pPr>
        <w:pStyle w:val="Textpoznpodarou"/>
        <w:jc w:val="both"/>
        <w:rPr>
          <w:lang w:eastAsia="ar-SA"/>
        </w:rPr>
      </w:pPr>
    </w:p>
    <w:p w:rsidR="0008794F" w:rsidRDefault="0008794F" w:rsidP="002457A5">
      <w:pPr>
        <w:pStyle w:val="Textpoznpodarou"/>
        <w:jc w:val="both"/>
        <w:rPr>
          <w:lang w:eastAsia="ar-SA"/>
        </w:rPr>
      </w:pPr>
    </w:p>
    <w:p w:rsidR="0008794F" w:rsidRDefault="0008794F" w:rsidP="002457A5">
      <w:pPr>
        <w:pStyle w:val="Textpoznpodarou"/>
        <w:jc w:val="both"/>
        <w:rPr>
          <w:lang w:eastAsia="ar-SA"/>
        </w:rPr>
      </w:pPr>
    </w:p>
    <w:p w:rsidR="0008794F" w:rsidRPr="00DA43AC" w:rsidRDefault="0008794F" w:rsidP="00435D30">
      <w:pPr>
        <w:pStyle w:val="Nadpis1"/>
        <w:numPr>
          <w:ilvl w:val="0"/>
          <w:numId w:val="1"/>
        </w:numPr>
        <w:jc w:val="both"/>
        <w:rPr>
          <w:color w:val="000000"/>
        </w:rPr>
      </w:pPr>
      <w:bookmarkStart w:id="5" w:name="_Toc425752383"/>
      <w:r w:rsidRPr="00DA43AC">
        <w:rPr>
          <w:color w:val="000000"/>
        </w:rPr>
        <w:t>Výchozí pozice v ekonomické vyspělosti</w:t>
      </w:r>
      <w:bookmarkEnd w:id="5"/>
    </w:p>
    <w:tbl>
      <w:tblPr>
        <w:tblW w:w="5000" w:type="pct"/>
        <w:tblLayout w:type="fixed"/>
        <w:tblLook w:val="00A0"/>
      </w:tblPr>
      <w:tblGrid>
        <w:gridCol w:w="9854"/>
      </w:tblGrid>
      <w:tr w:rsidR="0008794F" w:rsidRPr="00CD6F99" w:rsidTr="008C41F7">
        <w:tc>
          <w:tcPr>
            <w:tcW w:w="5000" w:type="pct"/>
          </w:tcPr>
          <w:p w:rsidR="0008794F" w:rsidRDefault="0008794F" w:rsidP="00031AEE">
            <w:pPr>
              <w:pStyle w:val="Textpoznpodarou"/>
              <w:jc w:val="both"/>
            </w:pPr>
            <w:r w:rsidRPr="00751BFF">
              <w:t xml:space="preserve">Rakousko v roce 1995 </w:t>
            </w:r>
            <w:r>
              <w:t xml:space="preserve">- za který jsou nejdále do minulosti k dispozici data </w:t>
            </w:r>
            <w:proofErr w:type="spellStart"/>
            <w:r>
              <w:t>Eurostatu</w:t>
            </w:r>
            <w:proofErr w:type="spellEnd"/>
            <w:r>
              <w:t xml:space="preserve"> -, </w:t>
            </w:r>
            <w:r w:rsidRPr="00751BFF">
              <w:t>bylo podle HDP na obyvatele v paritě kupní síly nejvyspělejší evropskou ekonomikou.</w:t>
            </w:r>
            <w:r>
              <w:t xml:space="preserve"> Česká republika a Slovensko fungovaly v té době teprve třetí rok jako samostatné státy po rozdělení z původního federativního státoprávního uspořádání. Jejich ekonomiky prošly relativně tvrdým obdobím počátečních - a značných - problémů vyvolaných společenskou změnou z listopadu 1989. Od počátku roku 1993 pak musely jako samostatné státy začít fungovat s oddělenými měnami a jejich odlišným výchozím směnným kurzem k hlavním měnám</w:t>
            </w:r>
            <w:r w:rsidR="005E04A2">
              <w:t>. O</w:t>
            </w:r>
            <w:r>
              <w:t xml:space="preserve">čekávaly je významné změny ve struktuře ekonomik, oproti minulosti zcela jiné podmínky na trhu práce, bylo nutné konstituovat funkční a regulatorně ošetřený bankovní systém - čas ukázal, jak obtížná to byla výzva -  a další nutné podmínky pro fungování obou ekonomik v tržním prostředí. </w:t>
            </w:r>
          </w:p>
          <w:p w:rsidR="0008794F" w:rsidRDefault="0008794F" w:rsidP="00031AEE">
            <w:pPr>
              <w:pStyle w:val="Textpoznpodarou"/>
              <w:jc w:val="both"/>
            </w:pPr>
          </w:p>
          <w:p w:rsidR="0008794F" w:rsidRDefault="0008794F" w:rsidP="00031AEE">
            <w:pPr>
              <w:pStyle w:val="Textpoznpodarou"/>
              <w:jc w:val="both"/>
            </w:pPr>
            <w:r>
              <w:t xml:space="preserve">Je tak zřejmé, že odlišnost ve výchozí pozici Rakouska oproti ČR a SR byla počátkem 90. let minulého století patrná nejen co do kvantifikovatelných charakteristik ekonomické úrovně, ale především v prostředí (podmínkách), za nichž trojice sledovaných zemí v té době fungovala.  </w:t>
            </w:r>
          </w:p>
          <w:p w:rsidR="0008794F" w:rsidRPr="00A34BBF" w:rsidRDefault="0008794F" w:rsidP="00031AEE">
            <w:pPr>
              <w:pStyle w:val="Textpoznpodarou"/>
              <w:jc w:val="both"/>
              <w:rPr>
                <w:sz w:val="24"/>
                <w:szCs w:val="24"/>
              </w:rPr>
            </w:pPr>
          </w:p>
        </w:tc>
      </w:tr>
    </w:tbl>
    <w:p w:rsidR="0008794F" w:rsidRPr="00747567" w:rsidRDefault="0008794F" w:rsidP="00031AEE">
      <w:pPr>
        <w:pStyle w:val="Nadpis2"/>
        <w:numPr>
          <w:ilvl w:val="1"/>
          <w:numId w:val="3"/>
        </w:numPr>
        <w:rPr>
          <w:color w:val="000000"/>
          <w:szCs w:val="28"/>
        </w:rPr>
      </w:pPr>
      <w:bookmarkStart w:id="6" w:name="_Toc425752384"/>
      <w:r w:rsidRPr="00747567">
        <w:rPr>
          <w:color w:val="000000"/>
          <w:szCs w:val="28"/>
        </w:rPr>
        <w:t xml:space="preserve">Odlišnost ve výchozí pozici </w:t>
      </w:r>
      <w:bookmarkEnd w:id="6"/>
    </w:p>
    <w:p w:rsidR="0008794F" w:rsidRDefault="0008794F" w:rsidP="00031AEE"/>
    <w:tbl>
      <w:tblPr>
        <w:tblW w:w="5000" w:type="pct"/>
        <w:tblLayout w:type="fixed"/>
        <w:tblLook w:val="00A0"/>
      </w:tblPr>
      <w:tblGrid>
        <w:gridCol w:w="2077"/>
        <w:gridCol w:w="282"/>
        <w:gridCol w:w="7495"/>
      </w:tblGrid>
      <w:tr w:rsidR="0008794F" w:rsidRPr="00877329" w:rsidTr="00494583">
        <w:trPr>
          <w:trHeight w:val="1635"/>
        </w:trPr>
        <w:tc>
          <w:tcPr>
            <w:tcW w:w="1054" w:type="pct"/>
          </w:tcPr>
          <w:p w:rsidR="0008794F" w:rsidRDefault="0008794F" w:rsidP="003D717B">
            <w:pPr>
              <w:spacing w:line="240" w:lineRule="auto"/>
              <w:rPr>
                <w:sz w:val="16"/>
                <w:szCs w:val="16"/>
              </w:rPr>
            </w:pPr>
            <w:r>
              <w:rPr>
                <w:sz w:val="16"/>
                <w:szCs w:val="16"/>
              </w:rPr>
              <w:t>Během přechodu České republiky a Slovenska k tržní ekonomice byl hospodářský pokles SR výraznější</w:t>
            </w:r>
            <w:r w:rsidR="00DC4CBF">
              <w:rPr>
                <w:sz w:val="16"/>
                <w:szCs w:val="16"/>
              </w:rPr>
              <w:t>;</w:t>
            </w:r>
            <w:r>
              <w:rPr>
                <w:sz w:val="16"/>
                <w:szCs w:val="16"/>
              </w:rPr>
              <w:t xml:space="preserve"> rychlejší dynamika </w:t>
            </w:r>
            <w:r w:rsidR="00DC4CBF">
              <w:rPr>
                <w:sz w:val="16"/>
                <w:szCs w:val="16"/>
              </w:rPr>
              <w:t xml:space="preserve">HDP </w:t>
            </w:r>
            <w:r>
              <w:rPr>
                <w:sz w:val="16"/>
                <w:szCs w:val="16"/>
              </w:rPr>
              <w:t xml:space="preserve">SR oproti </w:t>
            </w:r>
            <w:r w:rsidR="00DC4CBF">
              <w:rPr>
                <w:sz w:val="16"/>
                <w:szCs w:val="16"/>
              </w:rPr>
              <w:t xml:space="preserve">HDP </w:t>
            </w:r>
            <w:r>
              <w:rPr>
                <w:sz w:val="16"/>
                <w:szCs w:val="16"/>
              </w:rPr>
              <w:t>ČR patrná až v letech po vstupu obou zemí do EU</w:t>
            </w:r>
          </w:p>
          <w:p w:rsidR="0008794F" w:rsidRPr="00A557BF" w:rsidRDefault="0008794F" w:rsidP="00067835">
            <w:pPr>
              <w:spacing w:line="240" w:lineRule="auto"/>
              <w:rPr>
                <w:sz w:val="16"/>
                <w:szCs w:val="16"/>
              </w:rPr>
            </w:pPr>
          </w:p>
        </w:tc>
        <w:tc>
          <w:tcPr>
            <w:tcW w:w="143" w:type="pct"/>
          </w:tcPr>
          <w:p w:rsidR="0008794F" w:rsidRPr="00A557BF" w:rsidRDefault="0008794F" w:rsidP="00B05DF2">
            <w:pPr>
              <w:pStyle w:val="Textpoznpodarou"/>
              <w:jc w:val="both"/>
            </w:pPr>
          </w:p>
        </w:tc>
        <w:tc>
          <w:tcPr>
            <w:tcW w:w="3803" w:type="pct"/>
          </w:tcPr>
          <w:p w:rsidR="0008794F" w:rsidRDefault="0008794F" w:rsidP="002E518B">
            <w:pPr>
              <w:pStyle w:val="Textpoznpodarou"/>
              <w:jc w:val="both"/>
            </w:pPr>
            <w:r>
              <w:t xml:space="preserve">Ekonomiky České republiky a Slovenska přešly k tržní ekonomice z formátu státem řízené ekonomiky začátkem 90. let minulého století, do roku 1992 ještě jako federace. Přechod k tržní ekonomice byl pro obě země „zatěžkávací zkouškou“, podstatně hlubší pokles ekonomiky utrpěla Slovenská republika. </w:t>
            </w:r>
          </w:p>
          <w:p w:rsidR="0008794F" w:rsidRPr="004B4B15" w:rsidRDefault="0008794F" w:rsidP="002E518B">
            <w:pPr>
              <w:pStyle w:val="Textpoznpodarou"/>
              <w:jc w:val="both"/>
              <w:rPr>
                <w:sz w:val="12"/>
                <w:szCs w:val="12"/>
              </w:rPr>
            </w:pPr>
          </w:p>
          <w:p w:rsidR="0008794F" w:rsidRDefault="0008794F" w:rsidP="002E518B">
            <w:pPr>
              <w:pStyle w:val="Textpoznpodarou"/>
              <w:jc w:val="both"/>
            </w:pPr>
            <w:r w:rsidRPr="009A2AB3">
              <w:t>D</w:t>
            </w:r>
            <w:r>
              <w:t>osahovaná dynamika ekonomického růstu obou zemí se však začala navzájem výrazněji odchylovat zejména po roce 2004, v němž obě země vstoupily - spolu s dalšími osmi státy od 1. května  - do E</w:t>
            </w:r>
            <w:r w:rsidR="00056451">
              <w:t>U</w:t>
            </w:r>
            <w:r>
              <w:t xml:space="preserve">. </w:t>
            </w:r>
          </w:p>
          <w:p w:rsidR="0008794F" w:rsidRPr="003D717B" w:rsidRDefault="0008794F" w:rsidP="002E518B">
            <w:pPr>
              <w:pStyle w:val="Textpoznpodarou"/>
              <w:jc w:val="both"/>
            </w:pPr>
          </w:p>
        </w:tc>
      </w:tr>
      <w:tr w:rsidR="0008794F" w:rsidRPr="00877329" w:rsidTr="00494583">
        <w:trPr>
          <w:trHeight w:val="1635"/>
        </w:trPr>
        <w:tc>
          <w:tcPr>
            <w:tcW w:w="1054" w:type="pct"/>
          </w:tcPr>
          <w:p w:rsidR="0008794F" w:rsidRDefault="0008794F" w:rsidP="00DC4CBF">
            <w:pPr>
              <w:spacing w:line="240" w:lineRule="auto"/>
              <w:rPr>
                <w:sz w:val="16"/>
                <w:szCs w:val="16"/>
              </w:rPr>
            </w:pPr>
            <w:r>
              <w:rPr>
                <w:sz w:val="16"/>
                <w:szCs w:val="16"/>
              </w:rPr>
              <w:t>Rakousko bylo v roce 1995 podle HDP na obyvatele v paritě kupní síly nejvyspělejší (</w:t>
            </w:r>
            <w:proofErr w:type="gramStart"/>
            <w:r>
              <w:rPr>
                <w:sz w:val="16"/>
                <w:szCs w:val="16"/>
              </w:rPr>
              <w:t>nejbohatší)  ekonomikou</w:t>
            </w:r>
            <w:proofErr w:type="gramEnd"/>
            <w:r w:rsidR="00DC4CBF">
              <w:rPr>
                <w:sz w:val="16"/>
                <w:szCs w:val="16"/>
              </w:rPr>
              <w:t xml:space="preserve"> v EU</w:t>
            </w:r>
            <w:r>
              <w:rPr>
                <w:sz w:val="16"/>
                <w:szCs w:val="16"/>
              </w:rPr>
              <w:t xml:space="preserve">  </w:t>
            </w:r>
          </w:p>
        </w:tc>
        <w:tc>
          <w:tcPr>
            <w:tcW w:w="143" w:type="pct"/>
          </w:tcPr>
          <w:p w:rsidR="0008794F" w:rsidRPr="00A557BF" w:rsidRDefault="0008794F" w:rsidP="00B05DF2">
            <w:pPr>
              <w:pStyle w:val="Textpoznpodarou"/>
              <w:jc w:val="both"/>
            </w:pPr>
          </w:p>
        </w:tc>
        <w:tc>
          <w:tcPr>
            <w:tcW w:w="3803" w:type="pct"/>
          </w:tcPr>
          <w:p w:rsidR="0008794F" w:rsidRDefault="0008794F" w:rsidP="003D717B">
            <w:pPr>
              <w:pStyle w:val="Textpoznpodarou"/>
              <w:jc w:val="both"/>
            </w:pPr>
            <w:r>
              <w:t xml:space="preserve">Naopak rakouská ekonomika byla již na počátku 90. let vyspělou tržní ekonomikou. V HDP na obyvatele v paritě kupní síly, který bývá označován jako komplexní ukazatel ekonomické vyspělosti, byla podle dat </w:t>
            </w:r>
            <w:proofErr w:type="spellStart"/>
            <w:r>
              <w:t>Eurostatu</w:t>
            </w:r>
            <w:proofErr w:type="spellEnd"/>
            <w:r>
              <w:t xml:space="preserve"> s nejzazšími údaji za rok 1995, dokonce třetí nejvyspělejší evropskou ekonomikou s úrovní o třetinu vyšší než byl průměr EU 28 (více v</w:t>
            </w:r>
            <w:r w:rsidR="005E04A2">
              <w:t> </w:t>
            </w:r>
            <w:proofErr w:type="spellStart"/>
            <w:r w:rsidR="005E04A2">
              <w:t>podkap</w:t>
            </w:r>
            <w:proofErr w:type="spellEnd"/>
            <w:r w:rsidR="005E04A2">
              <w:t>.</w:t>
            </w:r>
            <w:r>
              <w:t xml:space="preserve"> 2.2.). </w:t>
            </w:r>
          </w:p>
          <w:p w:rsidR="0008794F" w:rsidRPr="004B4B15" w:rsidRDefault="0008794F" w:rsidP="003D717B">
            <w:pPr>
              <w:pStyle w:val="Textpoznpodarou"/>
              <w:jc w:val="both"/>
              <w:rPr>
                <w:sz w:val="12"/>
                <w:szCs w:val="12"/>
              </w:rPr>
            </w:pPr>
          </w:p>
          <w:p w:rsidR="0008794F" w:rsidRDefault="0008794F" w:rsidP="003D717B">
            <w:pPr>
              <w:pStyle w:val="Textpoznpodarou"/>
              <w:jc w:val="both"/>
            </w:pPr>
            <w:r>
              <w:t xml:space="preserve">Vzhledem k tomu že </w:t>
            </w:r>
            <w:r w:rsidR="00056451">
              <w:t>vyspělejší</w:t>
            </w:r>
            <w:r>
              <w:t xml:space="preserve"> byly v uvedeném roce podle tohoto kritéria jen Švýcarsko a Norsko, které ale nebyly a nejsou součástí EU, zaujímalo Rakousko v roce 1995 pozici </w:t>
            </w:r>
            <w:r w:rsidR="00056451">
              <w:t xml:space="preserve">ekonomicky </w:t>
            </w:r>
            <w:r>
              <w:t xml:space="preserve">nejvyspělejší země Evropské unie. </w:t>
            </w:r>
          </w:p>
          <w:p w:rsidR="0008794F" w:rsidRDefault="0008794F" w:rsidP="002E518B">
            <w:pPr>
              <w:pStyle w:val="Textpoznpodarou"/>
              <w:jc w:val="both"/>
            </w:pPr>
          </w:p>
        </w:tc>
      </w:tr>
    </w:tbl>
    <w:p w:rsidR="0008794F" w:rsidRPr="00747567" w:rsidRDefault="0008794F" w:rsidP="00E021AF">
      <w:pPr>
        <w:numPr>
          <w:ilvl w:val="2"/>
          <w:numId w:val="3"/>
        </w:numPr>
        <w:rPr>
          <w:b/>
          <w:color w:val="000000"/>
          <w:sz w:val="24"/>
        </w:rPr>
      </w:pPr>
      <w:r w:rsidRPr="00E12567">
        <w:rPr>
          <w:b/>
          <w:color w:val="808080"/>
          <w:sz w:val="28"/>
          <w:szCs w:val="28"/>
        </w:rPr>
        <w:t xml:space="preserve"> </w:t>
      </w:r>
      <w:r w:rsidRPr="00747567">
        <w:rPr>
          <w:b/>
          <w:color w:val="000000"/>
          <w:sz w:val="24"/>
        </w:rPr>
        <w:t>Váha ČR, SR a Rakouska v ekonomice EU</w:t>
      </w:r>
    </w:p>
    <w:p w:rsidR="0008794F" w:rsidRPr="00A34BBF" w:rsidRDefault="0008794F" w:rsidP="002A216F">
      <w:pPr>
        <w:ind w:left="720"/>
        <w:rPr>
          <w:b/>
          <w:color w:val="808080"/>
          <w:szCs w:val="20"/>
        </w:rPr>
      </w:pPr>
    </w:p>
    <w:tbl>
      <w:tblPr>
        <w:tblW w:w="5000" w:type="pct"/>
        <w:tblLook w:val="00A0"/>
      </w:tblPr>
      <w:tblGrid>
        <w:gridCol w:w="2081"/>
        <w:gridCol w:w="298"/>
        <w:gridCol w:w="7475"/>
      </w:tblGrid>
      <w:tr w:rsidR="0008794F" w:rsidRPr="00A557BF" w:rsidTr="00B05DF2">
        <w:tc>
          <w:tcPr>
            <w:tcW w:w="1056" w:type="pct"/>
          </w:tcPr>
          <w:p w:rsidR="0008794F" w:rsidRPr="00A557BF" w:rsidRDefault="0008794F" w:rsidP="00B05DF2">
            <w:pPr>
              <w:spacing w:line="240" w:lineRule="auto"/>
              <w:rPr>
                <w:sz w:val="16"/>
                <w:szCs w:val="16"/>
              </w:rPr>
            </w:pPr>
            <w:r>
              <w:rPr>
                <w:sz w:val="16"/>
                <w:szCs w:val="16"/>
              </w:rPr>
              <w:t>Podíl výkonu ekonomik na výkonnosti ekonomiky EU</w:t>
            </w:r>
            <w:r w:rsidRPr="00A557BF">
              <w:rPr>
                <w:sz w:val="16"/>
                <w:szCs w:val="16"/>
              </w:rPr>
              <w:t xml:space="preserve"> </w:t>
            </w:r>
          </w:p>
        </w:tc>
        <w:tc>
          <w:tcPr>
            <w:tcW w:w="151" w:type="pct"/>
          </w:tcPr>
          <w:p w:rsidR="0008794F" w:rsidRPr="00A557BF" w:rsidRDefault="0008794F" w:rsidP="00B05DF2">
            <w:pPr>
              <w:pStyle w:val="Textpoznpodarou"/>
              <w:jc w:val="both"/>
            </w:pPr>
          </w:p>
        </w:tc>
        <w:tc>
          <w:tcPr>
            <w:tcW w:w="3793" w:type="pct"/>
          </w:tcPr>
          <w:p w:rsidR="0008794F" w:rsidRPr="002A216F" w:rsidRDefault="0008794F" w:rsidP="002A216F">
            <w:pPr>
              <w:pStyle w:val="Textpoznpodarou"/>
              <w:jc w:val="both"/>
            </w:pPr>
            <w:r>
              <w:t xml:space="preserve">Váhu ekonomik ČR, Slovenska a Rakouska na ekonomické výkonnosti EU jako celku lze určit podle podílů HDP v paritě kupní síly těchto zemí na stejně vyjádřené veličině za celou EU 28.  Lze ji však vyjádřit i v eurech.  </w:t>
            </w:r>
          </w:p>
        </w:tc>
      </w:tr>
    </w:tbl>
    <w:p w:rsidR="0008794F" w:rsidRPr="00747567" w:rsidRDefault="0008794F" w:rsidP="002A216F">
      <w:pPr>
        <w:ind w:left="720"/>
        <w:rPr>
          <w:b/>
          <w:color w:val="808080"/>
          <w:sz w:val="24"/>
        </w:rPr>
      </w:pPr>
    </w:p>
    <w:p w:rsidR="0008794F" w:rsidRPr="00F24D2C" w:rsidRDefault="0008794F" w:rsidP="002A216F">
      <w:pPr>
        <w:numPr>
          <w:ilvl w:val="3"/>
          <w:numId w:val="3"/>
        </w:numPr>
        <w:rPr>
          <w:b/>
          <w:color w:val="000000"/>
          <w:sz w:val="24"/>
        </w:rPr>
      </w:pPr>
      <w:r w:rsidRPr="00F24D2C">
        <w:rPr>
          <w:b/>
          <w:noProof/>
          <w:color w:val="000000"/>
          <w:sz w:val="24"/>
        </w:rPr>
        <w:t>Podíly na HDP EU 28 v paritě kupní síly</w:t>
      </w:r>
    </w:p>
    <w:p w:rsidR="0008794F" w:rsidRPr="00A34BBF" w:rsidRDefault="0008794F" w:rsidP="00747567">
      <w:pPr>
        <w:rPr>
          <w:b/>
          <w:color w:val="000000"/>
          <w:szCs w:val="20"/>
        </w:rPr>
      </w:pPr>
    </w:p>
    <w:tbl>
      <w:tblPr>
        <w:tblW w:w="5000" w:type="pct"/>
        <w:tblLayout w:type="fixed"/>
        <w:tblLook w:val="00A0"/>
      </w:tblPr>
      <w:tblGrid>
        <w:gridCol w:w="2077"/>
        <w:gridCol w:w="282"/>
        <w:gridCol w:w="7495"/>
      </w:tblGrid>
      <w:tr w:rsidR="0008794F" w:rsidTr="00A34BBF">
        <w:trPr>
          <w:trHeight w:val="425"/>
        </w:trPr>
        <w:tc>
          <w:tcPr>
            <w:tcW w:w="1054" w:type="pct"/>
          </w:tcPr>
          <w:p w:rsidR="0008794F" w:rsidRPr="00A557BF" w:rsidRDefault="0008794F" w:rsidP="007A28DB">
            <w:pPr>
              <w:spacing w:line="240" w:lineRule="auto"/>
              <w:rPr>
                <w:sz w:val="16"/>
                <w:szCs w:val="16"/>
              </w:rPr>
            </w:pPr>
            <w:r>
              <w:rPr>
                <w:sz w:val="16"/>
                <w:szCs w:val="16"/>
              </w:rPr>
              <w:t xml:space="preserve">Váhová struktura ekonomiky Evropské unie řadí Českou republiku, Slovensko a Rakousko do prostřední třetiny žebříčku zemí EU přesto, že dohromady tvořil v roce 2014 HDP v PPS těchto zemí jen 4,6 % HDP celé EU 28 </w:t>
            </w:r>
          </w:p>
        </w:tc>
        <w:tc>
          <w:tcPr>
            <w:tcW w:w="143" w:type="pct"/>
          </w:tcPr>
          <w:p w:rsidR="0008794F" w:rsidRPr="00A557BF" w:rsidRDefault="0008794F" w:rsidP="006F38C7">
            <w:pPr>
              <w:pStyle w:val="Textpoznpodarou"/>
              <w:jc w:val="both"/>
            </w:pPr>
          </w:p>
        </w:tc>
        <w:tc>
          <w:tcPr>
            <w:tcW w:w="3803" w:type="pct"/>
          </w:tcPr>
          <w:p w:rsidR="0008794F" w:rsidRDefault="0008794F" w:rsidP="006F38C7">
            <w:pPr>
              <w:pStyle w:val="Textpoznpodarou"/>
              <w:jc w:val="both"/>
            </w:pPr>
            <w:r>
              <w:t>Přestože je podíl ekonomik České republiky, Slovenska a Rakouska na ekonomické výkonnosti Evropské unie jako celku podle HDP v paritě kupní síly (PPS) velmi malý, znamená pro ně umístění ve střední části žebříčku evropských zemí (graf 1). V roce 2014 předs</w:t>
            </w:r>
            <w:r w:rsidR="006125CA">
              <w:t xml:space="preserve">tavoval HDP vytvořený v ČR a </w:t>
            </w:r>
            <w:r>
              <w:t xml:space="preserve">vyjádřený v paritě kupní síly jen 1,7 % HDP EU 28, v případě Slovenska 0,8 % a Rakousko participovalo na unijní HDP v paritě kupní síly z 2,1 %. </w:t>
            </w:r>
          </w:p>
          <w:p w:rsidR="0008794F" w:rsidRPr="0079033C" w:rsidRDefault="0008794F" w:rsidP="006F38C7">
            <w:pPr>
              <w:pStyle w:val="Textpoznpodarou"/>
              <w:jc w:val="both"/>
              <w:rPr>
                <w:sz w:val="12"/>
                <w:szCs w:val="12"/>
              </w:rPr>
            </w:pPr>
          </w:p>
          <w:p w:rsidR="0008794F" w:rsidRDefault="0008794F" w:rsidP="006F38C7">
            <w:pPr>
              <w:pStyle w:val="Textpoznpodarou"/>
              <w:jc w:val="both"/>
            </w:pPr>
            <w:r>
              <w:t xml:space="preserve">Příčinou tohoto relativně příznivého umístění ve střední části žebříčku EU 28, i přes takto malé podíly, jsou proporce zemí uvnitř Unie. Čtyři největší evropské ekonomiky totiž participují na HDP EU 28, vyjádřeného v paritě kupní síly, ze tří pětin (59,7 % podle dat za rok 2014). Přidáme-li k Německu, Velké Británii, Francii a Itálii ještě Španělsko, jehož podíl sice není dvojciferný jako u čtyř vyjmenovaných zemí, ale jedné desetině se již blíží, je podíl těchto pěti největších </w:t>
            </w:r>
            <w:r>
              <w:lastRenderedPageBreak/>
              <w:t>evropských ekonomik na vytvořeném HDP EU 28 v paritě kupní síly více než dvoutřetinový (67,7 % v roce 2014). Samotné Německo se na ekonomické výkonnosti Unie podílí pětinou (20,1 % HDP EU 28 v paritě kupní síly).</w:t>
            </w:r>
          </w:p>
          <w:p w:rsidR="0008794F" w:rsidRPr="00A34BBF" w:rsidRDefault="0008794F" w:rsidP="006F38C7">
            <w:pPr>
              <w:pStyle w:val="Textpoznpodarou"/>
              <w:jc w:val="both"/>
              <w:rPr>
                <w:sz w:val="16"/>
                <w:szCs w:val="16"/>
              </w:rPr>
            </w:pPr>
            <w:r>
              <w:t xml:space="preserve"> </w:t>
            </w:r>
          </w:p>
        </w:tc>
      </w:tr>
      <w:tr w:rsidR="0008794F" w:rsidTr="00B12998">
        <w:trPr>
          <w:trHeight w:val="1417"/>
        </w:trPr>
        <w:tc>
          <w:tcPr>
            <w:tcW w:w="1054" w:type="pct"/>
          </w:tcPr>
          <w:p w:rsidR="0008794F" w:rsidRPr="00A557BF" w:rsidRDefault="0008794F" w:rsidP="00A34BBF">
            <w:pPr>
              <w:spacing w:line="240" w:lineRule="auto"/>
              <w:rPr>
                <w:sz w:val="16"/>
                <w:szCs w:val="16"/>
              </w:rPr>
            </w:pPr>
            <w:r>
              <w:rPr>
                <w:sz w:val="16"/>
                <w:szCs w:val="16"/>
              </w:rPr>
              <w:lastRenderedPageBreak/>
              <w:t>I přes pouhé 1,7 % podílu ČR a unijním HDP v roce 2014 byl tento podíl stejný, jako výkonnost dalších sedmi zemí EU dohromady</w:t>
            </w:r>
          </w:p>
        </w:tc>
        <w:tc>
          <w:tcPr>
            <w:tcW w:w="143" w:type="pct"/>
          </w:tcPr>
          <w:p w:rsidR="0008794F" w:rsidRPr="00A557BF" w:rsidRDefault="0008794F" w:rsidP="00A34BBF">
            <w:pPr>
              <w:pStyle w:val="Textpoznpodarou"/>
              <w:jc w:val="both"/>
            </w:pPr>
          </w:p>
        </w:tc>
        <w:tc>
          <w:tcPr>
            <w:tcW w:w="3803" w:type="pct"/>
          </w:tcPr>
          <w:p w:rsidR="0008794F" w:rsidRDefault="00DC4CBF" w:rsidP="005E04A2">
            <w:pPr>
              <w:pStyle w:val="Textpoznpodarou"/>
              <w:jc w:val="both"/>
            </w:pPr>
            <w:r>
              <w:t>Vztahy</w:t>
            </w:r>
            <w:r w:rsidR="0008794F">
              <w:t xml:space="preserve"> určené velikostí největších ekonomik v Evropě pak ovlivňují i vykázanou relativní výkonnost </w:t>
            </w:r>
            <w:r w:rsidR="005E04A2">
              <w:t>zbývajících zemí</w:t>
            </w:r>
            <w:r w:rsidR="0008794F">
              <w:t xml:space="preserve"> E</w:t>
            </w:r>
            <w:r>
              <w:t>U</w:t>
            </w:r>
            <w:r w:rsidR="0008794F">
              <w:t xml:space="preserve"> (graf 1, především v pravé části). Vyplývá z ní například, že podíl HDP České republiky v paritě kupní síly na jeho úhrnu za EU 28 byl v roce 2014 (již zmíněných 1,7 %) stejný, jako výkonnost (součet podílů) Litvy, Lotyšska, Lucemburska, Slovinska, Estonska, Kypru a Malty dohromady.</w:t>
            </w:r>
          </w:p>
        </w:tc>
      </w:tr>
    </w:tbl>
    <w:p w:rsidR="0008794F" w:rsidRDefault="0008794F" w:rsidP="00E2562A">
      <w:pPr>
        <w:spacing w:before="120" w:line="240" w:lineRule="auto"/>
      </w:pPr>
      <w:r w:rsidRPr="009D4F8A">
        <w:rPr>
          <w:b/>
        </w:rPr>
        <w:t xml:space="preserve">Graf 1: </w:t>
      </w:r>
      <w:r>
        <w:rPr>
          <w:b/>
        </w:rPr>
        <w:t>„</w:t>
      </w:r>
      <w:r w:rsidRPr="009D4F8A">
        <w:rPr>
          <w:b/>
        </w:rPr>
        <w:t>Rozsah</w:t>
      </w:r>
      <w:r>
        <w:rPr>
          <w:b/>
        </w:rPr>
        <w:t>“</w:t>
      </w:r>
      <w:r w:rsidRPr="009D4F8A">
        <w:rPr>
          <w:b/>
        </w:rPr>
        <w:t xml:space="preserve"> ekonomik evropských zemí </w:t>
      </w:r>
      <w:r>
        <w:t>(2014, v % HDP EU 28 jako celku, v paritě kupní síly)</w:t>
      </w:r>
    </w:p>
    <w:p w:rsidR="0008794F" w:rsidRPr="00313320" w:rsidRDefault="0008794F" w:rsidP="00E2562A">
      <w:pPr>
        <w:spacing w:before="120" w:line="240" w:lineRule="auto"/>
        <w:rPr>
          <w:sz w:val="4"/>
          <w:szCs w:val="4"/>
        </w:rPr>
      </w:pPr>
    </w:p>
    <w:p w:rsidR="0008794F" w:rsidRDefault="00306F79" w:rsidP="00313320">
      <w:pPr>
        <w:spacing w:line="240" w:lineRule="auto"/>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150.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">
            <v:imagedata r:id="rId13" o:title=""/>
            <o:lock v:ext="edit" aspectratio="f"/>
          </v:shape>
        </w:pict>
      </w:r>
    </w:p>
    <w:p w:rsidR="0008794F" w:rsidRDefault="0008794F" w:rsidP="00313320">
      <w:pPr>
        <w:spacing w:line="240" w:lineRule="auto"/>
        <w:jc w:val="right"/>
        <w:rPr>
          <w:noProof/>
        </w:rPr>
      </w:pPr>
      <w:r>
        <w:rPr>
          <w:noProof/>
        </w:rPr>
        <w:t>Pramen: Eurostat, vlastní propočty</w:t>
      </w:r>
    </w:p>
    <w:p w:rsidR="0008794F" w:rsidRDefault="0008794F" w:rsidP="00E07309">
      <w:pPr>
        <w:jc w:val="right"/>
        <w:rPr>
          <w:noProof/>
        </w:rPr>
      </w:pPr>
    </w:p>
    <w:p w:rsidR="0008794F" w:rsidRPr="00F24D2C" w:rsidRDefault="0008794F" w:rsidP="00F24D2C">
      <w:pPr>
        <w:jc w:val="both"/>
        <w:rPr>
          <w:b/>
          <w:color w:val="000000"/>
          <w:sz w:val="12"/>
          <w:szCs w:val="12"/>
        </w:rPr>
      </w:pPr>
    </w:p>
    <w:p w:rsidR="0008794F" w:rsidRDefault="0008794F" w:rsidP="00F24D2C">
      <w:pPr>
        <w:jc w:val="both"/>
        <w:rPr>
          <w:b/>
          <w:color w:val="000000"/>
          <w:sz w:val="24"/>
        </w:rPr>
      </w:pPr>
      <w:r>
        <w:rPr>
          <w:b/>
          <w:color w:val="000000"/>
          <w:sz w:val="24"/>
        </w:rPr>
        <w:t xml:space="preserve">2.1.1.2. </w:t>
      </w:r>
      <w:r w:rsidRPr="006F38C7">
        <w:rPr>
          <w:b/>
          <w:color w:val="000000"/>
          <w:sz w:val="24"/>
        </w:rPr>
        <w:t>Podíly na populaci a ekonomická výkonnost</w:t>
      </w:r>
    </w:p>
    <w:p w:rsidR="0008794F" w:rsidRPr="00A34BBF" w:rsidRDefault="0008794F" w:rsidP="00A34BBF">
      <w:pPr>
        <w:ind w:left="1080"/>
        <w:jc w:val="both"/>
        <w:rPr>
          <w:b/>
          <w:color w:val="000000"/>
          <w:szCs w:val="20"/>
        </w:rPr>
      </w:pPr>
    </w:p>
    <w:tbl>
      <w:tblPr>
        <w:tblW w:w="5000" w:type="pct"/>
        <w:tblLayout w:type="fixed"/>
        <w:tblLook w:val="00A0"/>
      </w:tblPr>
      <w:tblGrid>
        <w:gridCol w:w="2077"/>
        <w:gridCol w:w="282"/>
        <w:gridCol w:w="7495"/>
      </w:tblGrid>
      <w:tr w:rsidR="0008794F" w:rsidRPr="003D717B" w:rsidTr="00B12998">
        <w:trPr>
          <w:trHeight w:val="1445"/>
        </w:trPr>
        <w:tc>
          <w:tcPr>
            <w:tcW w:w="1054" w:type="pct"/>
          </w:tcPr>
          <w:p w:rsidR="0008794F" w:rsidRDefault="0008794F" w:rsidP="003701F7">
            <w:pPr>
              <w:spacing w:line="240" w:lineRule="auto"/>
              <w:rPr>
                <w:sz w:val="16"/>
                <w:szCs w:val="16"/>
              </w:rPr>
            </w:pPr>
            <w:r>
              <w:rPr>
                <w:sz w:val="16"/>
                <w:szCs w:val="16"/>
              </w:rPr>
              <w:t xml:space="preserve">Podíl na populaci a podíl na HDP v paritě kupní síly </w:t>
            </w:r>
          </w:p>
        </w:tc>
        <w:tc>
          <w:tcPr>
            <w:tcW w:w="143" w:type="pct"/>
          </w:tcPr>
          <w:p w:rsidR="0008794F" w:rsidRPr="00A557BF" w:rsidRDefault="0008794F" w:rsidP="003701F7">
            <w:pPr>
              <w:pStyle w:val="Textpoznpodarou"/>
              <w:jc w:val="both"/>
            </w:pPr>
          </w:p>
        </w:tc>
        <w:tc>
          <w:tcPr>
            <w:tcW w:w="3803" w:type="pct"/>
          </w:tcPr>
          <w:p w:rsidR="0008794F" w:rsidRDefault="0008794F" w:rsidP="003701F7">
            <w:pPr>
              <w:pStyle w:val="Textpoznpodarou"/>
              <w:jc w:val="both"/>
            </w:pPr>
            <w:r>
              <w:t xml:space="preserve">Mezi trojicí analyzovaných zemí existují rozdíly ve výkonnosti nejen podle relace k průměru EU, tj. podílu na unijním HDP. Je tu diference také mezi tím, srovnáme-li proporci, jakou má populace dané země na celkové evropské populaci na jedné straně a jaký je její (již výše zmíněný) podíl ve vyprodukovaném HDP v paritě kupní síly ve vztahu k EU 28 na straně druhé. Je zde patná vyšší výkonnost Rakouska. </w:t>
            </w:r>
          </w:p>
          <w:p w:rsidR="0008794F" w:rsidRPr="00B12998" w:rsidRDefault="0008794F" w:rsidP="003701F7">
            <w:pPr>
              <w:pStyle w:val="Textpoznpodarou"/>
              <w:jc w:val="both"/>
              <w:rPr>
                <w:sz w:val="16"/>
                <w:szCs w:val="16"/>
              </w:rPr>
            </w:pPr>
          </w:p>
        </w:tc>
      </w:tr>
      <w:tr w:rsidR="0008794F" w:rsidRPr="003D717B" w:rsidTr="00B12998">
        <w:trPr>
          <w:trHeight w:val="1566"/>
        </w:trPr>
        <w:tc>
          <w:tcPr>
            <w:tcW w:w="1054" w:type="pct"/>
          </w:tcPr>
          <w:p w:rsidR="00DC4CBF" w:rsidRDefault="0008794F" w:rsidP="00DC4CBF">
            <w:pPr>
              <w:spacing w:line="240" w:lineRule="auto"/>
              <w:rPr>
                <w:sz w:val="16"/>
                <w:szCs w:val="16"/>
              </w:rPr>
            </w:pPr>
            <w:r>
              <w:rPr>
                <w:sz w:val="16"/>
                <w:szCs w:val="16"/>
              </w:rPr>
              <w:t xml:space="preserve">Horší výsledek za ČR a Slovensko – jejich podíl na populaci EU je vyšší </w:t>
            </w:r>
            <w:proofErr w:type="gramStart"/>
            <w:r>
              <w:rPr>
                <w:sz w:val="16"/>
                <w:szCs w:val="16"/>
              </w:rPr>
              <w:t>než  podíl</w:t>
            </w:r>
            <w:proofErr w:type="gramEnd"/>
            <w:r>
              <w:rPr>
                <w:sz w:val="16"/>
                <w:szCs w:val="16"/>
              </w:rPr>
              <w:t xml:space="preserve">  </w:t>
            </w:r>
            <w:r w:rsidR="00DC4CBF">
              <w:rPr>
                <w:sz w:val="16"/>
                <w:szCs w:val="16"/>
              </w:rPr>
              <w:t>jejich</w:t>
            </w:r>
            <w:r>
              <w:rPr>
                <w:sz w:val="16"/>
                <w:szCs w:val="16"/>
              </w:rPr>
              <w:t xml:space="preserve">  HDP v PPS na unijním HDP</w:t>
            </w:r>
            <w:r w:rsidR="00DC4CBF">
              <w:rPr>
                <w:sz w:val="16"/>
                <w:szCs w:val="16"/>
              </w:rPr>
              <w:t>;</w:t>
            </w:r>
          </w:p>
          <w:p w:rsidR="0008794F" w:rsidRDefault="0008794F" w:rsidP="00DC4CBF">
            <w:pPr>
              <w:spacing w:line="240" w:lineRule="auto"/>
              <w:rPr>
                <w:sz w:val="16"/>
                <w:szCs w:val="16"/>
              </w:rPr>
            </w:pPr>
            <w:r>
              <w:rPr>
                <w:sz w:val="16"/>
                <w:szCs w:val="16"/>
              </w:rPr>
              <w:t xml:space="preserve"> u Rakouska je tomu naopak…</w:t>
            </w:r>
          </w:p>
        </w:tc>
        <w:tc>
          <w:tcPr>
            <w:tcW w:w="143" w:type="pct"/>
          </w:tcPr>
          <w:p w:rsidR="0008794F" w:rsidRPr="00A557BF" w:rsidRDefault="0008794F" w:rsidP="003701F7">
            <w:pPr>
              <w:pStyle w:val="Textpoznpodarou"/>
              <w:jc w:val="both"/>
            </w:pPr>
          </w:p>
        </w:tc>
        <w:tc>
          <w:tcPr>
            <w:tcW w:w="3803" w:type="pct"/>
          </w:tcPr>
          <w:p w:rsidR="0008794F" w:rsidRDefault="0008794F" w:rsidP="003701F7">
            <w:pPr>
              <w:pStyle w:val="Textpoznpodarou"/>
              <w:jc w:val="both"/>
            </w:pPr>
            <w:r>
              <w:t xml:space="preserve">Jestliže totiž Česká republika participovala v roce 2014 na celkovém počtu obyvatel EU 28 z 2,1 %, pak na unijním HDP v paritě kupní síly méně, </w:t>
            </w:r>
            <w:proofErr w:type="gramStart"/>
            <w:r>
              <w:t>jen</w:t>
            </w:r>
            <w:r w:rsidR="00DC4CBF">
              <w:t xml:space="preserve"> </w:t>
            </w:r>
            <w:r>
              <w:t>z</w:t>
            </w:r>
            <w:r w:rsidR="00DC4CBF">
              <w:t> </w:t>
            </w:r>
            <w:r>
              <w:t>1</w:t>
            </w:r>
            <w:r w:rsidR="00DC4CBF">
              <w:t>,</w:t>
            </w:r>
            <w:r>
              <w:t>7</w:t>
            </w:r>
            <w:proofErr w:type="gramEnd"/>
            <w:r>
              <w:t> %. Podobně Slovensko, jehož populace tvoří 1,1 % populace Unie, ale jeho podíl na unijním HDP byl v roce 2014 pouze 0,8 %. Naopak obyvatelstvo Rakouska představuje 1,7 % všech obyvatel v EU 28, ale HDP této země tvoří 2,1</w:t>
            </w:r>
            <w:r w:rsidR="00DC4CBF">
              <w:t> </w:t>
            </w:r>
            <w:r>
              <w:t>% celkové HDP EU 28 v paritě kupní síly.</w:t>
            </w:r>
          </w:p>
          <w:p w:rsidR="0008794F" w:rsidRPr="00B12998" w:rsidRDefault="0008794F" w:rsidP="003701F7">
            <w:pPr>
              <w:pStyle w:val="Textpoznpodarou"/>
              <w:jc w:val="both"/>
              <w:rPr>
                <w:sz w:val="16"/>
                <w:szCs w:val="16"/>
              </w:rPr>
            </w:pPr>
          </w:p>
        </w:tc>
      </w:tr>
      <w:tr w:rsidR="0008794F" w:rsidRPr="003D717B" w:rsidTr="00B12998">
        <w:trPr>
          <w:trHeight w:val="979"/>
        </w:trPr>
        <w:tc>
          <w:tcPr>
            <w:tcW w:w="1054" w:type="pct"/>
          </w:tcPr>
          <w:p w:rsidR="0008794F" w:rsidRDefault="0008794F" w:rsidP="003701F7">
            <w:pPr>
              <w:spacing w:before="100" w:beforeAutospacing="1" w:line="240" w:lineRule="auto"/>
              <w:rPr>
                <w:sz w:val="16"/>
                <w:szCs w:val="16"/>
              </w:rPr>
            </w:pPr>
            <w:r>
              <w:rPr>
                <w:sz w:val="16"/>
                <w:szCs w:val="16"/>
              </w:rPr>
              <w:t>…a také v úhrnu za tři země je podíl na populaci proti podílu na HDP mírně vyšší</w:t>
            </w:r>
          </w:p>
        </w:tc>
        <w:tc>
          <w:tcPr>
            <w:tcW w:w="143" w:type="pct"/>
          </w:tcPr>
          <w:p w:rsidR="0008794F" w:rsidRPr="00A557BF" w:rsidRDefault="0008794F" w:rsidP="003701F7">
            <w:pPr>
              <w:pStyle w:val="Textpoznpodarou"/>
              <w:spacing w:before="100" w:beforeAutospacing="1"/>
              <w:jc w:val="both"/>
            </w:pPr>
          </w:p>
        </w:tc>
        <w:tc>
          <w:tcPr>
            <w:tcW w:w="3803" w:type="pct"/>
          </w:tcPr>
          <w:p w:rsidR="0008794F" w:rsidRDefault="0008794F" w:rsidP="00B12998">
            <w:pPr>
              <w:pStyle w:val="Textpoznpodarou"/>
              <w:jc w:val="both"/>
            </w:pPr>
            <w:r>
              <w:t>V úhrnu se obyvatelstvo České republiky, Slovenské republiky a Rakouska v roce 2014 podílelo na celkové populac</w:t>
            </w:r>
            <w:r w:rsidR="007D7DD8">
              <w:t>i</w:t>
            </w:r>
            <w:r>
              <w:t xml:space="preserve"> Evropské unie ze 4,8 %, ovšem na jejím HDP v paritě kupní síly participovaly tyto tři země dohromady podílem mírně nižším, a to ve výši 4,6 %.</w:t>
            </w:r>
          </w:p>
          <w:p w:rsidR="0008794F" w:rsidRPr="00B12998" w:rsidRDefault="0008794F" w:rsidP="00B12998">
            <w:pPr>
              <w:pStyle w:val="Textpoznpodarou"/>
              <w:jc w:val="both"/>
              <w:rPr>
                <w:sz w:val="16"/>
                <w:szCs w:val="16"/>
              </w:rPr>
            </w:pPr>
          </w:p>
        </w:tc>
      </w:tr>
      <w:tr w:rsidR="0008794F" w:rsidRPr="003D717B" w:rsidTr="00B12998">
        <w:trPr>
          <w:trHeight w:val="1635"/>
        </w:trPr>
        <w:tc>
          <w:tcPr>
            <w:tcW w:w="1054" w:type="pct"/>
          </w:tcPr>
          <w:p w:rsidR="0008794F" w:rsidRDefault="0008794F" w:rsidP="00734D71">
            <w:pPr>
              <w:spacing w:before="100" w:beforeAutospacing="1" w:line="240" w:lineRule="auto"/>
              <w:rPr>
                <w:sz w:val="16"/>
                <w:szCs w:val="16"/>
              </w:rPr>
            </w:pPr>
            <w:r>
              <w:rPr>
                <w:sz w:val="16"/>
                <w:szCs w:val="16"/>
              </w:rPr>
              <w:t>Z globálního pohledu je EU výkonná – ačkoli v ní žije jen 7,1 % světové populace, participuje na světovém HDP téměř čtvrtinou</w:t>
            </w:r>
          </w:p>
        </w:tc>
        <w:tc>
          <w:tcPr>
            <w:tcW w:w="143" w:type="pct"/>
          </w:tcPr>
          <w:p w:rsidR="0008794F" w:rsidRPr="00A557BF" w:rsidRDefault="0008794F" w:rsidP="003701F7">
            <w:pPr>
              <w:pStyle w:val="Textpoznpodarou"/>
              <w:spacing w:before="100" w:beforeAutospacing="1"/>
              <w:jc w:val="both"/>
            </w:pPr>
          </w:p>
        </w:tc>
        <w:tc>
          <w:tcPr>
            <w:tcW w:w="3803" w:type="pct"/>
          </w:tcPr>
          <w:p w:rsidR="0008794F" w:rsidRDefault="0008794F" w:rsidP="003701F7">
            <w:pPr>
              <w:pStyle w:val="Textpoznpodarou"/>
              <w:spacing w:before="100" w:beforeAutospacing="1"/>
              <w:jc w:val="both"/>
            </w:pPr>
            <w:r>
              <w:t xml:space="preserve">Zajímavá jsou však i globální porovnání ukazující výkonností rozdíly. V roce 2014 připadala na Evropskou unii 7,1 % světové populace, její podíl na světovém HDP v paritě kupní síly však činil silných 23,7 %, tedy skoro čtvrtinu. Ještě příznivější proporce ve výkonnosti však dosáhly Spojené státy. I když jejich podíl na světovém HDP byl </w:t>
            </w:r>
            <w:r w:rsidR="00DC4CBF">
              <w:t xml:space="preserve">mírně </w:t>
            </w:r>
            <w:r>
              <w:t>nižší než v případě EU 28, tj. činil 22,2 %, byl vyprodukován počtem obyvatel představujícím jen 4,4 % světové populace.</w:t>
            </w:r>
          </w:p>
          <w:p w:rsidR="0008794F" w:rsidRPr="00B12998" w:rsidRDefault="0008794F" w:rsidP="00B12998">
            <w:pPr>
              <w:pStyle w:val="Textpoznpodarou"/>
              <w:jc w:val="both"/>
              <w:rPr>
                <w:sz w:val="16"/>
                <w:szCs w:val="16"/>
              </w:rPr>
            </w:pPr>
          </w:p>
        </w:tc>
      </w:tr>
      <w:tr w:rsidR="0008794F" w:rsidRPr="003D717B" w:rsidTr="00B12998">
        <w:trPr>
          <w:trHeight w:val="1635"/>
        </w:trPr>
        <w:tc>
          <w:tcPr>
            <w:tcW w:w="1054" w:type="pct"/>
          </w:tcPr>
          <w:p w:rsidR="0008794F" w:rsidRDefault="0008794F" w:rsidP="003701F7">
            <w:pPr>
              <w:spacing w:line="240" w:lineRule="auto"/>
              <w:rPr>
                <w:sz w:val="16"/>
                <w:szCs w:val="16"/>
              </w:rPr>
            </w:pPr>
            <w:r>
              <w:rPr>
                <w:sz w:val="16"/>
                <w:szCs w:val="16"/>
              </w:rPr>
              <w:lastRenderedPageBreak/>
              <w:t>Podíly ekonomik ČR a Rakouska na unijním HDP se za desetiletí 2005-2014</w:t>
            </w:r>
            <w:r w:rsidR="00446EE5">
              <w:rPr>
                <w:sz w:val="16"/>
                <w:szCs w:val="16"/>
              </w:rPr>
              <w:t xml:space="preserve"> vůbec</w:t>
            </w:r>
            <w:r>
              <w:rPr>
                <w:sz w:val="16"/>
                <w:szCs w:val="16"/>
              </w:rPr>
              <w:t xml:space="preserve"> nezměnily, podíl Slovenska narostl o čtvrtinu…</w:t>
            </w:r>
          </w:p>
          <w:p w:rsidR="0008794F" w:rsidRPr="00A557BF" w:rsidRDefault="0008794F" w:rsidP="003701F7">
            <w:pPr>
              <w:spacing w:line="240" w:lineRule="auto"/>
              <w:rPr>
                <w:sz w:val="16"/>
                <w:szCs w:val="16"/>
              </w:rPr>
            </w:pPr>
          </w:p>
        </w:tc>
        <w:tc>
          <w:tcPr>
            <w:tcW w:w="143" w:type="pct"/>
          </w:tcPr>
          <w:p w:rsidR="0008794F" w:rsidRPr="00A557BF" w:rsidRDefault="0008794F" w:rsidP="003701F7">
            <w:pPr>
              <w:pStyle w:val="Textpoznpodarou"/>
              <w:jc w:val="both"/>
            </w:pPr>
          </w:p>
        </w:tc>
        <w:tc>
          <w:tcPr>
            <w:tcW w:w="3803" w:type="pct"/>
          </w:tcPr>
          <w:p w:rsidR="0008794F" w:rsidRPr="00877329" w:rsidRDefault="0008794F" w:rsidP="00446EE5">
            <w:pPr>
              <w:pStyle w:val="Textpoznpodarou"/>
              <w:jc w:val="both"/>
            </w:pPr>
            <w:r>
              <w:t>Výše zmíněné podíly tří sledovaných zemí na ekonomické výkonnosti Evropské unie měřené HDP v </w:t>
            </w:r>
            <w:r w:rsidR="00446EE5">
              <w:t>PPS</w:t>
            </w:r>
            <w:r>
              <w:t xml:space="preserve"> se v čase příliš nemění. Vzrostl jen podíl Slovenska, sledujeme-li vývoj za období 2005-2014. HDP ČR zůstává na 1,7 % HDP EU 28 již do roku 2005, obdobně Rakousko s 2,1 % (s nepatrnou odchylkou v roce 2007, kdy podíl klesl na 2 %). Vzestup Slovenska je však znatelnější – jestliže v roce 2005 produkovalo 0,6 % unijního HDP v paritě kupní síly, v roce 2014 už 0,8 %. Jeho podíl vzrostl o čtvrtinu. </w:t>
            </w:r>
          </w:p>
        </w:tc>
      </w:tr>
    </w:tbl>
    <w:p w:rsidR="0008794F" w:rsidRPr="00A34BBF" w:rsidRDefault="0008794F" w:rsidP="00B12998">
      <w:pPr>
        <w:jc w:val="both"/>
        <w:rPr>
          <w:color w:val="808080"/>
          <w:sz w:val="10"/>
          <w:szCs w:val="10"/>
        </w:rPr>
      </w:pPr>
    </w:p>
    <w:tbl>
      <w:tblPr>
        <w:tblW w:w="5043" w:type="pct"/>
        <w:tblInd w:w="-42" w:type="dxa"/>
        <w:tblLayout w:type="fixed"/>
        <w:tblCellMar>
          <w:left w:w="28" w:type="dxa"/>
          <w:right w:w="28" w:type="dxa"/>
        </w:tblCellMar>
        <w:tblLook w:val="00A0"/>
      </w:tblPr>
      <w:tblGrid>
        <w:gridCol w:w="919"/>
        <w:gridCol w:w="4012"/>
        <w:gridCol w:w="839"/>
        <w:gridCol w:w="4007"/>
      </w:tblGrid>
      <w:tr w:rsidR="0008794F" w:rsidRPr="00817C98" w:rsidTr="00B12998">
        <w:tc>
          <w:tcPr>
            <w:tcW w:w="470" w:type="pct"/>
          </w:tcPr>
          <w:p w:rsidR="0008794F" w:rsidRDefault="0008794F" w:rsidP="00C926BE">
            <w:pPr>
              <w:spacing w:line="240" w:lineRule="auto"/>
            </w:pPr>
            <w:r>
              <w:t>Graf 2</w:t>
            </w:r>
          </w:p>
        </w:tc>
        <w:tc>
          <w:tcPr>
            <w:tcW w:w="2052" w:type="pct"/>
          </w:tcPr>
          <w:p w:rsidR="0008794F" w:rsidRDefault="0008794F" w:rsidP="00C926BE">
            <w:pPr>
              <w:pStyle w:val="Textpoznpodarou"/>
              <w:rPr>
                <w:rFonts w:cs="Arial"/>
                <w:szCs w:val="24"/>
              </w:rPr>
            </w:pPr>
            <w:r>
              <w:rPr>
                <w:rFonts w:cs="Arial"/>
                <w:b/>
                <w:bCs/>
              </w:rPr>
              <w:t>Podíl ČR, SR a Rakouska na HDP EU 28 v paritě kupní síly (</w:t>
            </w:r>
            <w:proofErr w:type="gramStart"/>
            <w:r>
              <w:rPr>
                <w:rFonts w:cs="Arial"/>
                <w:b/>
                <w:bCs/>
              </w:rPr>
              <w:t xml:space="preserve">PPS) </w:t>
            </w:r>
            <w:r w:rsidRPr="00BE1C59">
              <w:rPr>
                <w:rFonts w:cs="Arial"/>
                <w:bCs/>
              </w:rPr>
              <w:t>(</w:t>
            </w:r>
            <w:r>
              <w:rPr>
                <w:rFonts w:cs="Arial"/>
                <w:bCs/>
              </w:rPr>
              <w:t>v %, 2005</w:t>
            </w:r>
            <w:proofErr w:type="gramEnd"/>
            <w:r>
              <w:rPr>
                <w:rFonts w:cs="Arial"/>
                <w:bCs/>
              </w:rPr>
              <w:t>-2014)</w:t>
            </w:r>
          </w:p>
        </w:tc>
        <w:tc>
          <w:tcPr>
            <w:tcW w:w="429" w:type="pct"/>
          </w:tcPr>
          <w:p w:rsidR="0008794F" w:rsidRDefault="0008794F" w:rsidP="00B05DF2">
            <w:pPr>
              <w:spacing w:line="240" w:lineRule="auto"/>
            </w:pPr>
            <w:r>
              <w:t>Graf 3</w:t>
            </w:r>
          </w:p>
        </w:tc>
        <w:tc>
          <w:tcPr>
            <w:tcW w:w="2049" w:type="pct"/>
          </w:tcPr>
          <w:p w:rsidR="0008794F" w:rsidRPr="00817C98" w:rsidRDefault="0008794F" w:rsidP="00B05DF2">
            <w:pPr>
              <w:spacing w:line="240" w:lineRule="auto"/>
              <w:rPr>
                <w:rFonts w:cs="Arial"/>
                <w:b/>
                <w:bCs/>
              </w:rPr>
            </w:pPr>
            <w:r>
              <w:rPr>
                <w:rFonts w:cs="Arial"/>
                <w:b/>
                <w:bCs/>
              </w:rPr>
              <w:t xml:space="preserve">Podíl ČR, SR a Rakouska na HDP EU 28 vyjádřeném v eurech </w:t>
            </w:r>
            <w:r w:rsidRPr="00BE1C59">
              <w:rPr>
                <w:rFonts w:cs="Arial"/>
                <w:bCs/>
              </w:rPr>
              <w:t>(</w:t>
            </w:r>
            <w:r>
              <w:rPr>
                <w:rFonts w:cs="Arial"/>
                <w:bCs/>
              </w:rPr>
              <w:t xml:space="preserve">v %, 2005-2014) </w:t>
            </w:r>
          </w:p>
        </w:tc>
      </w:tr>
      <w:tr w:rsidR="0008794F" w:rsidTr="00B12998">
        <w:tc>
          <w:tcPr>
            <w:tcW w:w="2522" w:type="pct"/>
            <w:gridSpan w:val="2"/>
          </w:tcPr>
          <w:p w:rsidR="0008794F" w:rsidRDefault="00306F79" w:rsidP="00B05DF2">
            <w:pPr>
              <w:pStyle w:val="Textpoznpodarou"/>
              <w:jc w:val="both"/>
            </w:pPr>
            <w:r>
              <w:rPr>
                <w:noProof/>
              </w:rPr>
              <w:pict>
                <v:shape id="_x0000_i1026" type="#_x0000_t75" style="width:239.25pt;height:199.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">
                  <v:imagedata r:id="rId14" o:title=""/>
                  <o:lock v:ext="edit" aspectratio="f"/>
                </v:shape>
              </w:pict>
            </w:r>
          </w:p>
        </w:tc>
        <w:tc>
          <w:tcPr>
            <w:tcW w:w="2478" w:type="pct"/>
            <w:gridSpan w:val="2"/>
          </w:tcPr>
          <w:p w:rsidR="0008794F" w:rsidRDefault="00306F79" w:rsidP="00B05DF2">
            <w:pPr>
              <w:pStyle w:val="Textpoznpodarou"/>
              <w:jc w:val="both"/>
            </w:pPr>
            <w:r>
              <w:rPr>
                <w:noProof/>
              </w:rPr>
              <w:pict>
                <v:shape id="_x0000_i1027" type="#_x0000_t75" style="width:234.75pt;height:199.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">
                  <v:imagedata r:id="rId15" o:title=""/>
                  <o:lock v:ext="edit" aspectratio="f"/>
                </v:shape>
              </w:pict>
            </w:r>
          </w:p>
        </w:tc>
      </w:tr>
    </w:tbl>
    <w:p w:rsidR="0008794F" w:rsidRDefault="0008794F" w:rsidP="002A216F">
      <w:pPr>
        <w:jc w:val="right"/>
      </w:pPr>
      <w:r>
        <w:t xml:space="preserve">¨Pramen: </w:t>
      </w:r>
      <w:proofErr w:type="spellStart"/>
      <w:r>
        <w:t>Eurostat</w:t>
      </w:r>
      <w:proofErr w:type="spellEnd"/>
      <w:r>
        <w:t>, vlastní propočty</w:t>
      </w:r>
    </w:p>
    <w:p w:rsidR="0008794F" w:rsidRDefault="0008794F" w:rsidP="00031AEE"/>
    <w:tbl>
      <w:tblPr>
        <w:tblW w:w="5000" w:type="pct"/>
        <w:tblLayout w:type="fixed"/>
        <w:tblLook w:val="00A0"/>
      </w:tblPr>
      <w:tblGrid>
        <w:gridCol w:w="2077"/>
        <w:gridCol w:w="282"/>
        <w:gridCol w:w="7495"/>
      </w:tblGrid>
      <w:tr w:rsidR="0008794F" w:rsidRPr="00877329" w:rsidTr="00E07309">
        <w:trPr>
          <w:trHeight w:val="1635"/>
        </w:trPr>
        <w:tc>
          <w:tcPr>
            <w:tcW w:w="1054" w:type="pct"/>
          </w:tcPr>
          <w:p w:rsidR="0008794F" w:rsidRDefault="0008794F" w:rsidP="00E07309">
            <w:pPr>
              <w:spacing w:line="240" w:lineRule="auto"/>
              <w:rPr>
                <w:sz w:val="16"/>
                <w:szCs w:val="16"/>
              </w:rPr>
            </w:pPr>
            <w:r>
              <w:rPr>
                <w:sz w:val="16"/>
                <w:szCs w:val="16"/>
              </w:rPr>
              <w:t>… ale největší skok v podílu na unijním HDP byl patrný v případě Polska, a to o více než třetinu na 5,1 % v roce 2014</w:t>
            </w:r>
          </w:p>
        </w:tc>
        <w:tc>
          <w:tcPr>
            <w:tcW w:w="143" w:type="pct"/>
          </w:tcPr>
          <w:p w:rsidR="0008794F" w:rsidRPr="00A557BF" w:rsidRDefault="0008794F" w:rsidP="00E07309">
            <w:pPr>
              <w:pStyle w:val="Textpoznpodarou"/>
              <w:jc w:val="both"/>
            </w:pPr>
          </w:p>
        </w:tc>
        <w:tc>
          <w:tcPr>
            <w:tcW w:w="3803" w:type="pct"/>
          </w:tcPr>
          <w:p w:rsidR="0008794F" w:rsidRDefault="0008794F" w:rsidP="00395B68">
            <w:pPr>
              <w:pStyle w:val="Textpoznpodarou"/>
              <w:jc w:val="both"/>
            </w:pPr>
            <w:r>
              <w:t xml:space="preserve">Největší skok z evropských zemí však za uvedené období uskutečnilo Polsko. To v roce 2005 participovalo na unijním HDP v PPS z 3,8 %, ale v roce 2014 již z 5,1 % (jeho podíl tedy stoupl o více než třetinu). Svou roli sehrála i skutečnost, že polská ekonomika neprošla v roce 2009 krizí a jako jediné zemi v EU její HDP meziročně neklesl. </w:t>
            </w:r>
          </w:p>
          <w:p w:rsidR="0008794F" w:rsidRDefault="0008794F" w:rsidP="001964BC">
            <w:pPr>
              <w:pStyle w:val="Textpoznpodarou"/>
              <w:jc w:val="both"/>
            </w:pPr>
          </w:p>
        </w:tc>
      </w:tr>
    </w:tbl>
    <w:p w:rsidR="0008794F" w:rsidRPr="00DA43AC" w:rsidRDefault="0008794F" w:rsidP="000D7537">
      <w:pPr>
        <w:pStyle w:val="Nadpis2"/>
        <w:rPr>
          <w:color w:val="000000"/>
        </w:rPr>
      </w:pPr>
      <w:bookmarkStart w:id="7" w:name="_Toc425752385"/>
      <w:r>
        <w:rPr>
          <w:color w:val="000000"/>
        </w:rPr>
        <w:t>2.2. H</w:t>
      </w:r>
      <w:r w:rsidRPr="00DA43AC">
        <w:rPr>
          <w:color w:val="000000"/>
        </w:rPr>
        <w:t>rubý domácí produkt na obyvatele v paritě kupní síly (PPS)</w:t>
      </w:r>
    </w:p>
    <w:p w:rsidR="0008794F" w:rsidRPr="001E7969" w:rsidRDefault="0008794F" w:rsidP="00AF5FC0">
      <w:pPr>
        <w:pStyle w:val="Nadpis2"/>
        <w:rPr>
          <w:sz w:val="20"/>
          <w:szCs w:val="20"/>
        </w:rPr>
      </w:pPr>
    </w:p>
    <w:tbl>
      <w:tblPr>
        <w:tblW w:w="5000" w:type="pct"/>
        <w:tblLook w:val="00A0"/>
      </w:tblPr>
      <w:tblGrid>
        <w:gridCol w:w="2079"/>
        <w:gridCol w:w="286"/>
        <w:gridCol w:w="7489"/>
      </w:tblGrid>
      <w:tr w:rsidR="0008794F" w:rsidRPr="00A557BF" w:rsidTr="00181C9A">
        <w:tc>
          <w:tcPr>
            <w:tcW w:w="1055" w:type="pct"/>
          </w:tcPr>
          <w:p w:rsidR="0008794F" w:rsidRDefault="0008794F" w:rsidP="00BD7413">
            <w:pPr>
              <w:spacing w:line="240" w:lineRule="auto"/>
              <w:rPr>
                <w:sz w:val="16"/>
                <w:szCs w:val="16"/>
              </w:rPr>
            </w:pPr>
            <w:r>
              <w:rPr>
                <w:sz w:val="16"/>
                <w:szCs w:val="16"/>
              </w:rPr>
              <w:t>Velký odstup podle HDP na obyvatele v PPS ekonomik ČR a Slovenska od rakouské ekonomiky, kde v roce 2014 dosahoval tento indikátor 127</w:t>
            </w:r>
            <w:r w:rsidR="00446EE5">
              <w:rPr>
                <w:sz w:val="16"/>
                <w:szCs w:val="16"/>
              </w:rPr>
              <w:t>,4</w:t>
            </w:r>
            <w:r>
              <w:rPr>
                <w:sz w:val="16"/>
                <w:szCs w:val="16"/>
              </w:rPr>
              <w:t xml:space="preserve"> % průměru EU 28</w:t>
            </w:r>
          </w:p>
          <w:p w:rsidR="0008794F" w:rsidRDefault="0008794F" w:rsidP="00BD7413">
            <w:pPr>
              <w:spacing w:line="240" w:lineRule="auto"/>
              <w:rPr>
                <w:sz w:val="16"/>
                <w:szCs w:val="16"/>
              </w:rPr>
            </w:pPr>
          </w:p>
          <w:p w:rsidR="0008794F" w:rsidRDefault="0008794F" w:rsidP="00BD7413">
            <w:pPr>
              <w:spacing w:line="240" w:lineRule="auto"/>
              <w:rPr>
                <w:sz w:val="16"/>
                <w:szCs w:val="16"/>
              </w:rPr>
            </w:pPr>
          </w:p>
          <w:p w:rsidR="0008794F" w:rsidRPr="00A557BF" w:rsidRDefault="0008794F" w:rsidP="00BD7413">
            <w:pPr>
              <w:spacing w:line="240" w:lineRule="auto"/>
              <w:rPr>
                <w:sz w:val="16"/>
                <w:szCs w:val="16"/>
              </w:rPr>
            </w:pPr>
          </w:p>
        </w:tc>
        <w:tc>
          <w:tcPr>
            <w:tcW w:w="145" w:type="pct"/>
          </w:tcPr>
          <w:p w:rsidR="0008794F" w:rsidRPr="00A557BF" w:rsidRDefault="0008794F" w:rsidP="00181C9A">
            <w:pPr>
              <w:pStyle w:val="Textpoznpodarou"/>
              <w:jc w:val="both"/>
            </w:pPr>
          </w:p>
        </w:tc>
        <w:tc>
          <w:tcPr>
            <w:tcW w:w="3800" w:type="pct"/>
          </w:tcPr>
          <w:p w:rsidR="0008794F" w:rsidRDefault="0008794F" w:rsidP="009B6CCD">
            <w:pPr>
              <w:pStyle w:val="Textpoznpodarou"/>
              <w:jc w:val="both"/>
            </w:pPr>
            <w:r>
              <w:t>HDP na obyvatele v paritě kupní síly jako měřítko ekonomické vyspělosti zemí - v relaci k evropskému průměru, tj. EU či jiného uskupení, pak i měřítko reálné konvergence - ukazuje podle posledních dat za rok 2014 relativně značný odstup Rakouska od ekonomik České republiky a Slovenska (graf 4). Není to překvapivé, neboť Rakousko je jednou z</w:t>
            </w:r>
            <w:r w:rsidR="00056451">
              <w:t> ekonomicky nejvyspělejších</w:t>
            </w:r>
            <w:r>
              <w:t xml:space="preserve"> evropských zemí, v roce 2014 se čtvrtým nejvyšším HDP na obyvatele v paritě kupní síly na úrovni 127,</w:t>
            </w:r>
            <w:r w:rsidR="00446EE5">
              <w:t>4</w:t>
            </w:r>
            <w:r w:rsidR="00056451">
              <w:t> </w:t>
            </w:r>
            <w:r>
              <w:t xml:space="preserve">% průměru EU 28. Ze zemí stojících mimo Unii však měly ještě vyšší ekonomickou úroveň než Rakousko ekonomiky Norska (179,5 %) a Švýcarska (161,7 % podle údaje za rok 2013). </w:t>
            </w:r>
          </w:p>
          <w:p w:rsidR="0008794F" w:rsidRPr="00A557BF" w:rsidRDefault="0008794F" w:rsidP="009B6CCD">
            <w:pPr>
              <w:pStyle w:val="Textpoznpodarou"/>
              <w:jc w:val="both"/>
              <w:rPr>
                <w:sz w:val="18"/>
                <w:szCs w:val="18"/>
              </w:rPr>
            </w:pPr>
            <w:r>
              <w:t xml:space="preserve">  </w:t>
            </w:r>
          </w:p>
        </w:tc>
      </w:tr>
      <w:tr w:rsidR="0008794F" w:rsidRPr="00A557BF" w:rsidTr="00181C9A">
        <w:tc>
          <w:tcPr>
            <w:tcW w:w="1055" w:type="pct"/>
          </w:tcPr>
          <w:p w:rsidR="0008794F" w:rsidRDefault="0008794F" w:rsidP="00BD7413">
            <w:pPr>
              <w:spacing w:line="240" w:lineRule="auto"/>
              <w:rPr>
                <w:sz w:val="16"/>
                <w:szCs w:val="16"/>
              </w:rPr>
            </w:pPr>
            <w:r>
              <w:rPr>
                <w:sz w:val="16"/>
                <w:szCs w:val="16"/>
              </w:rPr>
              <w:t>ČR až ve druhé polovině žebříčku s 83,9 % průměru EU 28, o tři místa před Slovenskem (76,2 %)</w:t>
            </w:r>
          </w:p>
        </w:tc>
        <w:tc>
          <w:tcPr>
            <w:tcW w:w="145" w:type="pct"/>
          </w:tcPr>
          <w:p w:rsidR="0008794F" w:rsidRPr="00A557BF" w:rsidRDefault="0008794F" w:rsidP="00181C9A">
            <w:pPr>
              <w:pStyle w:val="Textpoznpodarou"/>
              <w:jc w:val="both"/>
            </w:pPr>
          </w:p>
        </w:tc>
        <w:tc>
          <w:tcPr>
            <w:tcW w:w="3800" w:type="pct"/>
          </w:tcPr>
          <w:p w:rsidR="0008794F" w:rsidRDefault="0008794F" w:rsidP="007D7DD8">
            <w:pPr>
              <w:pStyle w:val="Textpoznpodarou"/>
              <w:jc w:val="both"/>
            </w:pPr>
            <w:r>
              <w:t>Česká republika i Slovensk</w:t>
            </w:r>
            <w:r w:rsidR="00446EE5">
              <w:t>o</w:t>
            </w:r>
            <w:r>
              <w:t xml:space="preserve"> jsou v pořadí zemí EU až ve druhé polovině žebříčku, navzájem s rozdílem tří pozic. ČR přitom tuto druhou polovinu uvedeného pořadí otevírá s 83,9 % průměru EU</w:t>
            </w:r>
            <w:r w:rsidR="00446EE5">
              <w:t xml:space="preserve"> podl</w:t>
            </w:r>
            <w:r w:rsidR="007D7DD8">
              <w:t>e da</w:t>
            </w:r>
            <w:r w:rsidR="00446EE5">
              <w:t>t za</w:t>
            </w:r>
            <w:r w:rsidR="007D7DD8">
              <w:t xml:space="preserve"> </w:t>
            </w:r>
            <w:r w:rsidR="00446EE5">
              <w:t>rok 2014.</w:t>
            </w:r>
            <w:r>
              <w:t xml:space="preserve"> Z tzv. nových členských zemí EU - které </w:t>
            </w:r>
            <w:r w:rsidR="00446EE5">
              <w:t xml:space="preserve">se staly součástí </w:t>
            </w:r>
            <w:r>
              <w:t xml:space="preserve">společného hospodářského prostoru </w:t>
            </w:r>
            <w:r w:rsidR="00446EE5">
              <w:t>po</w:t>
            </w:r>
            <w:r w:rsidR="007D7DD8">
              <w:t>č</w:t>
            </w:r>
            <w:r w:rsidR="00446EE5">
              <w:t>ínaje</w:t>
            </w:r>
            <w:r>
              <w:t xml:space="preserve"> vstupní vln</w:t>
            </w:r>
            <w:r w:rsidR="00446EE5">
              <w:t>ou</w:t>
            </w:r>
            <w:r>
              <w:t xml:space="preserve"> z května 2004 a později -, je pozice ČR nejlepší, spolu s Kyprem a Maltou. Slovensku (76,2 %) schází k těsnému přiblížení k úrovni České republiky předstihnout Portugalsko a Slovinsko.</w:t>
            </w:r>
          </w:p>
        </w:tc>
      </w:tr>
    </w:tbl>
    <w:p w:rsidR="0008794F" w:rsidRPr="006F38C7" w:rsidRDefault="0008794F" w:rsidP="00AF5FC0">
      <w:pPr>
        <w:pStyle w:val="Nadpis2"/>
        <w:rPr>
          <w:sz w:val="16"/>
          <w:szCs w:val="16"/>
        </w:rPr>
      </w:pPr>
    </w:p>
    <w:p w:rsidR="0008794F" w:rsidRPr="00DA43AC" w:rsidRDefault="0008794F" w:rsidP="001B50A0">
      <w:pPr>
        <w:pStyle w:val="Nadpis2"/>
        <w:rPr>
          <w:color w:val="000000"/>
          <w:sz w:val="18"/>
          <w:szCs w:val="20"/>
        </w:rPr>
      </w:pPr>
      <w:r w:rsidRPr="00DA43AC">
        <w:rPr>
          <w:color w:val="000000"/>
          <w:sz w:val="20"/>
          <w:szCs w:val="20"/>
        </w:rPr>
        <w:t>Graf</w:t>
      </w:r>
      <w:r>
        <w:rPr>
          <w:color w:val="000000"/>
          <w:sz w:val="20"/>
          <w:szCs w:val="20"/>
        </w:rPr>
        <w:t xml:space="preserve"> 4: Hrubý domácí produkt na obyvatele v paritě kupní síly (</w:t>
      </w:r>
      <w:r>
        <w:rPr>
          <w:color w:val="000000"/>
          <w:sz w:val="18"/>
          <w:szCs w:val="20"/>
        </w:rPr>
        <w:t xml:space="preserve">PPS) v roce 2014 </w:t>
      </w:r>
      <w:r w:rsidRPr="00DA43AC">
        <w:rPr>
          <w:b w:val="0"/>
          <w:color w:val="000000"/>
          <w:sz w:val="18"/>
          <w:szCs w:val="20"/>
        </w:rPr>
        <w:t>(</w:t>
      </w:r>
      <w:r>
        <w:rPr>
          <w:b w:val="0"/>
          <w:color w:val="000000"/>
          <w:sz w:val="18"/>
          <w:szCs w:val="20"/>
        </w:rPr>
        <w:t>EU 28=100)</w:t>
      </w:r>
    </w:p>
    <w:p w:rsidR="0008794F" w:rsidRDefault="00306F79" w:rsidP="001B50A0">
      <w:pPr>
        <w:jc w:val="center"/>
      </w:pPr>
      <w:r>
        <w:pict>
          <v:shape id="_x0000_i1028" type="#_x0000_t75" style="width:409.5pt;height:175.5pt">
            <v:imagedata r:id="rId16" o:title=""/>
          </v:shape>
        </w:pict>
      </w:r>
    </w:p>
    <w:p w:rsidR="0008794F" w:rsidRDefault="0008794F" w:rsidP="001B50A0">
      <w:pPr>
        <w:jc w:val="right"/>
        <w:rPr>
          <w:sz w:val="18"/>
          <w:szCs w:val="18"/>
        </w:rPr>
      </w:pPr>
      <w:r w:rsidRPr="00DA43AC">
        <w:rPr>
          <w:sz w:val="18"/>
          <w:szCs w:val="18"/>
        </w:rPr>
        <w:t xml:space="preserve">Pramen: </w:t>
      </w:r>
      <w:proofErr w:type="spellStart"/>
      <w:r w:rsidRPr="00DA43AC">
        <w:rPr>
          <w:sz w:val="18"/>
          <w:szCs w:val="18"/>
        </w:rPr>
        <w:t>Eurostat</w:t>
      </w:r>
      <w:proofErr w:type="spellEnd"/>
    </w:p>
    <w:p w:rsidR="0008794F" w:rsidRPr="006F38C7" w:rsidRDefault="0008794F" w:rsidP="006F38C7">
      <w:pPr>
        <w:jc w:val="both"/>
        <w:rPr>
          <w:sz w:val="18"/>
          <w:szCs w:val="18"/>
        </w:rPr>
      </w:pPr>
    </w:p>
    <w:p w:rsidR="0008794F" w:rsidRPr="006F38C7" w:rsidRDefault="0008794F" w:rsidP="00454492">
      <w:pPr>
        <w:numPr>
          <w:ilvl w:val="2"/>
          <w:numId w:val="21"/>
        </w:numPr>
        <w:jc w:val="both"/>
        <w:rPr>
          <w:b/>
          <w:sz w:val="24"/>
        </w:rPr>
      </w:pPr>
      <w:r w:rsidRPr="006F38C7">
        <w:rPr>
          <w:b/>
          <w:sz w:val="24"/>
        </w:rPr>
        <w:t>Odstup Rakouska od Slovenska a České republiky během let 1995-2014</w:t>
      </w:r>
    </w:p>
    <w:p w:rsidR="0008794F" w:rsidRPr="006F38C7" w:rsidRDefault="0008794F" w:rsidP="00454492">
      <w:pPr>
        <w:jc w:val="both"/>
        <w:rPr>
          <w:sz w:val="16"/>
          <w:szCs w:val="16"/>
        </w:rPr>
      </w:pPr>
    </w:p>
    <w:tbl>
      <w:tblPr>
        <w:tblW w:w="5000" w:type="pct"/>
        <w:tblLook w:val="00A0"/>
      </w:tblPr>
      <w:tblGrid>
        <w:gridCol w:w="2079"/>
        <w:gridCol w:w="286"/>
        <w:gridCol w:w="7489"/>
      </w:tblGrid>
      <w:tr w:rsidR="0008794F" w:rsidTr="00254196">
        <w:tc>
          <w:tcPr>
            <w:tcW w:w="1055" w:type="pct"/>
          </w:tcPr>
          <w:p w:rsidR="0008794F" w:rsidRDefault="0008794F" w:rsidP="00C2696A">
            <w:pPr>
              <w:spacing w:line="240" w:lineRule="auto"/>
              <w:rPr>
                <w:sz w:val="16"/>
                <w:szCs w:val="16"/>
              </w:rPr>
            </w:pPr>
            <w:r>
              <w:rPr>
                <w:sz w:val="16"/>
                <w:szCs w:val="16"/>
              </w:rPr>
              <w:t xml:space="preserve">Výrazný odstup Rakouska… </w:t>
            </w:r>
          </w:p>
        </w:tc>
        <w:tc>
          <w:tcPr>
            <w:tcW w:w="145" w:type="pct"/>
          </w:tcPr>
          <w:p w:rsidR="0008794F" w:rsidRPr="00A557BF" w:rsidRDefault="0008794F" w:rsidP="00254196">
            <w:pPr>
              <w:pStyle w:val="Textpoznpodarou"/>
              <w:jc w:val="both"/>
            </w:pPr>
          </w:p>
        </w:tc>
        <w:tc>
          <w:tcPr>
            <w:tcW w:w="3800" w:type="pct"/>
          </w:tcPr>
          <w:p w:rsidR="0008794F" w:rsidRDefault="0008794F" w:rsidP="001B50A0">
            <w:pPr>
              <w:pStyle w:val="Textpoznpodarou"/>
              <w:jc w:val="both"/>
            </w:pPr>
            <w:r>
              <w:t>Vývoj HDP na obyvatele v PPS od roku 1995 (graf 5) ukazuje jednak velmi výrazný odstup Rakouska od Č</w:t>
            </w:r>
            <w:r w:rsidR="00056451">
              <w:t>R</w:t>
            </w:r>
            <w:r>
              <w:t xml:space="preserve"> a do poloviny sledovaného období zejména Slovenska. Je z něj však také patrná relativně silná reálná konvergence Slovenska k průměrné ekonomické úrovni zemí EU 28 a oproti ní jen slabé dohánění v případě Č</w:t>
            </w:r>
            <w:r w:rsidR="00056451">
              <w:t>R</w:t>
            </w:r>
            <w:r>
              <w:t>. Rakousk</w:t>
            </w:r>
            <w:r w:rsidR="005E04A2">
              <w:t>á vyspělost</w:t>
            </w:r>
            <w:r>
              <w:t xml:space="preserve"> podle HDP</w:t>
            </w:r>
            <w:r w:rsidR="00056451">
              <w:t>/</w:t>
            </w:r>
            <w:proofErr w:type="spellStart"/>
            <w:r>
              <w:t>obyv</w:t>
            </w:r>
            <w:proofErr w:type="spellEnd"/>
            <w:r w:rsidR="00056451">
              <w:t>.</w:t>
            </w:r>
            <w:r>
              <w:t xml:space="preserve"> v PPS vystupuje do popředí také při srovnání s průměrem EU 28 – přesahuje ho během celého období 1995-2014 a </w:t>
            </w:r>
            <w:r w:rsidR="00056451">
              <w:t>zejména po krizi v roce 2009</w:t>
            </w:r>
            <w:r>
              <w:t xml:space="preserve"> se odstup ještě zvětšoval</w:t>
            </w:r>
            <w:r w:rsidR="00056451">
              <w:t>.</w:t>
            </w:r>
            <w:r>
              <w:t xml:space="preserve"> </w:t>
            </w:r>
          </w:p>
          <w:p w:rsidR="0008794F" w:rsidRPr="00B752FD" w:rsidRDefault="0008794F" w:rsidP="001B50A0">
            <w:pPr>
              <w:pStyle w:val="Textpoznpodarou"/>
              <w:jc w:val="both"/>
              <w:rPr>
                <w:sz w:val="14"/>
                <w:szCs w:val="14"/>
              </w:rPr>
            </w:pPr>
          </w:p>
        </w:tc>
      </w:tr>
      <w:tr w:rsidR="0008794F" w:rsidTr="00C2696A">
        <w:tc>
          <w:tcPr>
            <w:tcW w:w="1055" w:type="pct"/>
          </w:tcPr>
          <w:p w:rsidR="0008794F" w:rsidRDefault="0008794F" w:rsidP="00254196">
            <w:pPr>
              <w:spacing w:line="240" w:lineRule="auto"/>
              <w:rPr>
                <w:sz w:val="16"/>
                <w:szCs w:val="16"/>
              </w:rPr>
            </w:pPr>
            <w:r>
              <w:rPr>
                <w:sz w:val="16"/>
                <w:szCs w:val="16"/>
              </w:rPr>
              <w:t xml:space="preserve">… od Slovenska jako jedné z nejchudších ekonomik EU v roce 1995, ale i od České republiky… </w:t>
            </w:r>
          </w:p>
        </w:tc>
        <w:tc>
          <w:tcPr>
            <w:tcW w:w="145" w:type="pct"/>
          </w:tcPr>
          <w:p w:rsidR="0008794F" w:rsidRPr="00A557BF" w:rsidRDefault="0008794F" w:rsidP="00254196">
            <w:pPr>
              <w:pStyle w:val="Textpoznpodarou"/>
              <w:jc w:val="both"/>
            </w:pPr>
          </w:p>
        </w:tc>
        <w:tc>
          <w:tcPr>
            <w:tcW w:w="3800" w:type="pct"/>
          </w:tcPr>
          <w:p w:rsidR="0008794F" w:rsidRDefault="0008794F" w:rsidP="009B529C">
            <w:pPr>
              <w:pStyle w:val="Textpoznpodarou"/>
              <w:jc w:val="both"/>
            </w:pPr>
            <w:r>
              <w:t>V roce 1995 byla ekonomická úroveň České republiky na 76,2 % průměru EU 28 a Slovensko bylo podle HDP</w:t>
            </w:r>
            <w:r w:rsidR="00056451">
              <w:t>/</w:t>
            </w:r>
            <w:proofErr w:type="spellStart"/>
            <w:r w:rsidR="00056451">
              <w:t>obyv</w:t>
            </w:r>
            <w:proofErr w:type="spellEnd"/>
            <w:r w:rsidR="00056451">
              <w:t>.</w:t>
            </w:r>
            <w:r>
              <w:t xml:space="preserve"> v PPS jednou z nejchudších zemí </w:t>
            </w:r>
            <w:r w:rsidR="005E04A2">
              <w:t>U</w:t>
            </w:r>
            <w:r>
              <w:t>nie se 47</w:t>
            </w:r>
            <w:r w:rsidR="00056451">
              <w:t> </w:t>
            </w:r>
            <w:r>
              <w:t xml:space="preserve">% průměru EU (horší relaci vykazovalo jen Pobaltí, Bulharsko a Rumunsko s proporcí zhruba třetinovou). Ovšem Rakousko bylo v té době </w:t>
            </w:r>
            <w:r w:rsidR="00056451">
              <w:t xml:space="preserve">nejvyspělejší </w:t>
            </w:r>
            <w:r>
              <w:t xml:space="preserve">unijní zemí s 131,8 % </w:t>
            </w:r>
            <w:r w:rsidR="00056451">
              <w:t>průměru</w:t>
            </w:r>
            <w:r>
              <w:t xml:space="preserve"> EU</w:t>
            </w:r>
            <w:r w:rsidR="00056451">
              <w:t>. Takto vysoko pak</w:t>
            </w:r>
            <w:r>
              <w:t xml:space="preserve"> v žádném z dalších let až do roku 2014 (127,4 %) rakouský HDP</w:t>
            </w:r>
            <w:r w:rsidR="00056451">
              <w:t>/</w:t>
            </w:r>
            <w:proofErr w:type="spellStart"/>
            <w:r>
              <w:t>obyv</w:t>
            </w:r>
            <w:proofErr w:type="spellEnd"/>
            <w:r w:rsidR="00056451">
              <w:t>.</w:t>
            </w:r>
            <w:r>
              <w:t xml:space="preserve"> v PPS nebyl</w:t>
            </w:r>
            <w:r w:rsidR="00056451">
              <w:t>. V</w:t>
            </w:r>
            <w:r>
              <w:t>elmi vysoký však byl i průměr za poslední dvě dekády, kdy Rakousk</w:t>
            </w:r>
            <w:r w:rsidR="00056451">
              <w:t>o dosahovalo</w:t>
            </w:r>
            <w:r>
              <w:t xml:space="preserve"> 127,8 % úrovně EU. </w:t>
            </w:r>
          </w:p>
          <w:p w:rsidR="0008794F" w:rsidRDefault="0008794F" w:rsidP="00813EB9">
            <w:pPr>
              <w:pStyle w:val="Textpoznpodarou"/>
              <w:jc w:val="both"/>
            </w:pPr>
            <w:r>
              <w:t xml:space="preserve">   </w:t>
            </w:r>
          </w:p>
        </w:tc>
      </w:tr>
      <w:tr w:rsidR="0008794F" w:rsidTr="00C2696A">
        <w:tc>
          <w:tcPr>
            <w:tcW w:w="1055" w:type="pct"/>
          </w:tcPr>
          <w:p w:rsidR="0008794F" w:rsidRDefault="0008794F" w:rsidP="00056451">
            <w:pPr>
              <w:spacing w:line="240" w:lineRule="auto"/>
              <w:rPr>
                <w:sz w:val="16"/>
                <w:szCs w:val="16"/>
              </w:rPr>
            </w:pPr>
            <w:r>
              <w:rPr>
                <w:sz w:val="16"/>
                <w:szCs w:val="16"/>
              </w:rPr>
              <w:t xml:space="preserve">… je logický z toho důvodu, že Rakousko bylo v té době podle HDP na obyvatele v PPS </w:t>
            </w:r>
            <w:proofErr w:type="gramStart"/>
            <w:r>
              <w:rPr>
                <w:sz w:val="16"/>
                <w:szCs w:val="16"/>
              </w:rPr>
              <w:t>nej</w:t>
            </w:r>
            <w:r w:rsidR="00056451">
              <w:rPr>
                <w:sz w:val="16"/>
                <w:szCs w:val="16"/>
              </w:rPr>
              <w:t xml:space="preserve">vyspělejší </w:t>
            </w:r>
            <w:r>
              <w:rPr>
                <w:sz w:val="16"/>
                <w:szCs w:val="16"/>
              </w:rPr>
              <w:t xml:space="preserve"> zemí</w:t>
            </w:r>
            <w:proofErr w:type="gramEnd"/>
            <w:r>
              <w:rPr>
                <w:sz w:val="16"/>
                <w:szCs w:val="16"/>
              </w:rPr>
              <w:t xml:space="preserve"> EU</w:t>
            </w:r>
            <w:r w:rsidR="00056451">
              <w:rPr>
                <w:sz w:val="16"/>
                <w:szCs w:val="16"/>
              </w:rPr>
              <w:t xml:space="preserve"> (</w:t>
            </w:r>
            <w:r>
              <w:rPr>
                <w:sz w:val="16"/>
                <w:szCs w:val="16"/>
              </w:rPr>
              <w:t>z neunijních zemí  jen Švýcarsko a Norsko</w:t>
            </w:r>
            <w:r w:rsidR="00056451">
              <w:rPr>
                <w:sz w:val="16"/>
                <w:szCs w:val="16"/>
              </w:rPr>
              <w:t>) - během dvou desetiletí 1995-2014 se pozice Rakouska mírně zhoršila - stalo se čtvrtou nejvyspělejší  zemí EU a šestou v Evropě</w:t>
            </w:r>
          </w:p>
        </w:tc>
        <w:tc>
          <w:tcPr>
            <w:tcW w:w="145" w:type="pct"/>
          </w:tcPr>
          <w:p w:rsidR="0008794F" w:rsidRPr="00A557BF" w:rsidRDefault="0008794F" w:rsidP="00254196">
            <w:pPr>
              <w:pStyle w:val="Textpoznpodarou"/>
              <w:jc w:val="both"/>
            </w:pPr>
          </w:p>
        </w:tc>
        <w:tc>
          <w:tcPr>
            <w:tcW w:w="3800" w:type="pct"/>
          </w:tcPr>
          <w:p w:rsidR="0008794F" w:rsidRDefault="0008794F" w:rsidP="009B529C">
            <w:pPr>
              <w:pStyle w:val="Textpoznpodarou"/>
              <w:jc w:val="both"/>
            </w:pPr>
            <w:r>
              <w:t xml:space="preserve">V rámci celé Evropy přesáhly </w:t>
            </w:r>
            <w:r w:rsidR="00056451">
              <w:t>relativní úroveň</w:t>
            </w:r>
            <w:r>
              <w:t xml:space="preserve"> Rakouska v roce 1995 jen země stojící mimo EU, tj. Švýcarsko s 159,8 % a nepatrně i Norsko se 133,8 % průměrné ekonomické úrovně EU 28. </w:t>
            </w:r>
          </w:p>
          <w:p w:rsidR="0008794F" w:rsidRPr="006F38C7" w:rsidRDefault="0008794F" w:rsidP="009B529C">
            <w:pPr>
              <w:pStyle w:val="Textpoznpodarou"/>
              <w:jc w:val="both"/>
              <w:rPr>
                <w:sz w:val="12"/>
                <w:szCs w:val="12"/>
              </w:rPr>
            </w:pPr>
          </w:p>
          <w:p w:rsidR="0008794F" w:rsidRDefault="0008794F" w:rsidP="009B529C">
            <w:pPr>
              <w:pStyle w:val="Textpoznpodarou"/>
              <w:jc w:val="both"/>
            </w:pPr>
            <w:r>
              <w:t>Po zhruba dvaceti letech vykázalo nejvyšší HDP na obyvatele v PPS Lucembursko (které začalo v tabulkách figurovat až od roku 2000), s 271,8 % průměru EU v roce 2014</w:t>
            </w:r>
            <w:r w:rsidR="00446EE5">
              <w:t>. J</w:t>
            </w:r>
            <w:r>
              <w:t>de však o zemi velmi specifickou, se sídlem nadnárodních společností a institucí ovlivňujících např. mzdy a je také vnímáno jako tzv. „daňový ráj“, takže do sebe so</w:t>
            </w:r>
            <w:r w:rsidR="005E04A2">
              <w:t xml:space="preserve">ustřeďuje sídla firem </w:t>
            </w:r>
            <w:proofErr w:type="spellStart"/>
            <w:r w:rsidR="005E04A2">
              <w:t>zdaňujících</w:t>
            </w:r>
            <w:proofErr w:type="spellEnd"/>
            <w:r w:rsidR="005E04A2">
              <w:t xml:space="preserve"> </w:t>
            </w:r>
            <w:r>
              <w:t xml:space="preserve">své aktivity uskutečňované v jiných zemích, </w:t>
            </w:r>
            <w:proofErr w:type="gramStart"/>
            <w:r>
              <w:t>aj..</w:t>
            </w:r>
            <w:proofErr w:type="gramEnd"/>
            <w:r>
              <w:t xml:space="preserve"> Kromě neunijního Švýcarska (157,7 %) a Norska (178,8 %) měly </w:t>
            </w:r>
            <w:r w:rsidR="00446EE5">
              <w:t xml:space="preserve">v roce 2014 </w:t>
            </w:r>
            <w:r>
              <w:t>vyšší HDP na obyvatele v PPS oproti Rakousku také Irsko (134,3 %) a Nizozemí (131,4 %).  Rakousko se 127,4 % průměrné ekonomické úrovně EU 28 tak bylo podle posledních dat za rok 2014 čtvrtou nejbohatší zemí Unie a šestou nejbohatší zemí Evropy.</w:t>
            </w:r>
            <w:r w:rsidR="00056451">
              <w:rPr>
                <w:rStyle w:val="Znakapoznpodarou"/>
              </w:rPr>
              <w:footnoteReference w:id="1"/>
            </w:r>
          </w:p>
          <w:p w:rsidR="0008794F" w:rsidRPr="00B752FD" w:rsidRDefault="0008794F" w:rsidP="009B529C">
            <w:pPr>
              <w:pStyle w:val="Textpoznpodarou"/>
              <w:jc w:val="both"/>
              <w:rPr>
                <w:sz w:val="14"/>
                <w:szCs w:val="14"/>
              </w:rPr>
            </w:pPr>
          </w:p>
        </w:tc>
      </w:tr>
      <w:tr w:rsidR="0008794F" w:rsidTr="00C2696A">
        <w:tc>
          <w:tcPr>
            <w:tcW w:w="1055" w:type="pct"/>
          </w:tcPr>
          <w:p w:rsidR="0008794F" w:rsidRPr="00B40B04" w:rsidRDefault="0008794F" w:rsidP="00B40B04">
            <w:pPr>
              <w:spacing w:line="240" w:lineRule="auto"/>
              <w:rPr>
                <w:sz w:val="16"/>
                <w:szCs w:val="16"/>
              </w:rPr>
            </w:pPr>
            <w:r>
              <w:rPr>
                <w:sz w:val="16"/>
                <w:szCs w:val="16"/>
              </w:rPr>
              <w:t>Výz</w:t>
            </w:r>
            <w:r w:rsidRPr="00B40B04">
              <w:rPr>
                <w:sz w:val="16"/>
                <w:szCs w:val="16"/>
              </w:rPr>
              <w:t>namně se přiblížit ekonomické ú</w:t>
            </w:r>
            <w:r>
              <w:rPr>
                <w:sz w:val="16"/>
                <w:szCs w:val="16"/>
              </w:rPr>
              <w:t xml:space="preserve">rovni </w:t>
            </w:r>
            <w:r>
              <w:rPr>
                <w:sz w:val="16"/>
                <w:szCs w:val="16"/>
              </w:rPr>
              <w:lastRenderedPageBreak/>
              <w:t xml:space="preserve">Rakouska bude pro ČR a Slovensko v příštích dekádách cílem vzdáleným – dosavadní konvergence byla totiž založena na </w:t>
            </w:r>
            <w:proofErr w:type="gramStart"/>
            <w:r>
              <w:rPr>
                <w:sz w:val="16"/>
                <w:szCs w:val="16"/>
              </w:rPr>
              <w:t>jejich  nízké</w:t>
            </w:r>
            <w:proofErr w:type="gramEnd"/>
            <w:r>
              <w:rPr>
                <w:sz w:val="16"/>
                <w:szCs w:val="16"/>
              </w:rPr>
              <w:t xml:space="preserve"> základně a dynamizaci způsobovaly mimořádné vlivy, jako byl například vstup do EU </w:t>
            </w:r>
          </w:p>
          <w:p w:rsidR="0008794F" w:rsidRDefault="0008794F" w:rsidP="00254196">
            <w:pPr>
              <w:spacing w:line="240" w:lineRule="auto"/>
              <w:rPr>
                <w:sz w:val="16"/>
                <w:szCs w:val="16"/>
              </w:rPr>
            </w:pPr>
          </w:p>
        </w:tc>
        <w:tc>
          <w:tcPr>
            <w:tcW w:w="145" w:type="pct"/>
          </w:tcPr>
          <w:p w:rsidR="0008794F" w:rsidRPr="00A557BF" w:rsidRDefault="0008794F" w:rsidP="00254196">
            <w:pPr>
              <w:pStyle w:val="Textpoznpodarou"/>
              <w:jc w:val="both"/>
            </w:pPr>
          </w:p>
        </w:tc>
        <w:tc>
          <w:tcPr>
            <w:tcW w:w="3800" w:type="pct"/>
          </w:tcPr>
          <w:p w:rsidR="0008794F" w:rsidRDefault="0008794F" w:rsidP="00E23239">
            <w:pPr>
              <w:pStyle w:val="Textpoznpodarou"/>
              <w:jc w:val="both"/>
            </w:pPr>
            <w:r>
              <w:t>Závěrem této části analýzy, tj. změnami v</w:t>
            </w:r>
            <w:r w:rsidR="003F0686">
              <w:t> ekonomické vyspělosti</w:t>
            </w:r>
            <w:r>
              <w:t xml:space="preserve"> zemí podle HDP na obyvatele v PPS za dvě dekády let 1995-2014 lze při pohledu na tři zkoumané </w:t>
            </w:r>
            <w:r>
              <w:lastRenderedPageBreak/>
              <w:t xml:space="preserve">země konstatovat, že dospět </w:t>
            </w:r>
            <w:r w:rsidR="003F0686">
              <w:t>či alespoň</w:t>
            </w:r>
            <w:r>
              <w:t xml:space="preserve"> významně se přiblížit ekonomické úrovni Rakouska bude i v následujících dekádách představovat pro Českou republiku i Slovensko cíl velmi vzdálený. A to i přesto</w:t>
            </w:r>
            <w:r w:rsidR="007D7DD8">
              <w:t>,</w:t>
            </w:r>
            <w:r>
              <w:t xml:space="preserve"> že dosavadní tempo přibližování bylo zejména v případě Slovenska velmi rychlé</w:t>
            </w:r>
            <w:r w:rsidR="003F0686">
              <w:t>. J</w:t>
            </w:r>
            <w:r>
              <w:t xml:space="preserve">estliže v roce 1995 činil rozdíl v HDP na obyvatele v PPS Rakouska SR plných 85 bodů a ekonomická úroveň Rakouska byla proti Slovensku trojnásobně vyšší, v roce 2014 činil převis Rakouska už „jen“ 52 </w:t>
            </w:r>
            <w:proofErr w:type="spellStart"/>
            <w:r>
              <w:t>pb</w:t>
            </w:r>
            <w:proofErr w:type="spellEnd"/>
            <w:r>
              <w:t>. Uvědomme si však, že šlo o období – což platí i pro Českou republiku – výjimečných změn dynamizujících ekonomický vývoj v ČR a SR, především efektů plynoucí ze vstupu obou zemí do Evropsk</w:t>
            </w:r>
            <w:r w:rsidR="00DC4CBF">
              <w:t>é</w:t>
            </w:r>
            <w:r>
              <w:t xml:space="preserve"> unie (z něhož vytěžilo více Slovensko, jak bude z dalšího patrné).  </w:t>
            </w:r>
          </w:p>
          <w:p w:rsidR="0008794F" w:rsidRDefault="0008794F" w:rsidP="00E23239">
            <w:pPr>
              <w:pStyle w:val="Textpoznpodarou"/>
              <w:jc w:val="both"/>
            </w:pPr>
          </w:p>
        </w:tc>
      </w:tr>
      <w:tr w:rsidR="0008794F" w:rsidTr="00B40B04">
        <w:tc>
          <w:tcPr>
            <w:tcW w:w="1055" w:type="pct"/>
          </w:tcPr>
          <w:p w:rsidR="0008794F" w:rsidRDefault="0008794F" w:rsidP="003F0686">
            <w:pPr>
              <w:spacing w:line="240" w:lineRule="auto"/>
              <w:rPr>
                <w:sz w:val="16"/>
                <w:szCs w:val="16"/>
              </w:rPr>
            </w:pPr>
            <w:r>
              <w:rPr>
                <w:sz w:val="16"/>
                <w:szCs w:val="16"/>
              </w:rPr>
              <w:lastRenderedPageBreak/>
              <w:t xml:space="preserve">Slovensko se v roce 2013 po postupném </w:t>
            </w:r>
            <w:r w:rsidR="003F0686">
              <w:rPr>
                <w:sz w:val="16"/>
                <w:szCs w:val="16"/>
              </w:rPr>
              <w:t>snižování náskoku v</w:t>
            </w:r>
            <w:r>
              <w:rPr>
                <w:sz w:val="16"/>
                <w:szCs w:val="16"/>
              </w:rPr>
              <w:t xml:space="preserve"> ekonomické úrovně ČR dostalo v relativním HDP/</w:t>
            </w:r>
            <w:proofErr w:type="spellStart"/>
            <w:r>
              <w:rPr>
                <w:sz w:val="16"/>
                <w:szCs w:val="16"/>
              </w:rPr>
              <w:t>obyv</w:t>
            </w:r>
            <w:proofErr w:type="spellEnd"/>
            <w:r>
              <w:rPr>
                <w:sz w:val="16"/>
                <w:szCs w:val="16"/>
              </w:rPr>
              <w:t xml:space="preserve"> v PPS na rozdíl pouhých 7 </w:t>
            </w:r>
            <w:proofErr w:type="spellStart"/>
            <w:r>
              <w:rPr>
                <w:sz w:val="16"/>
                <w:szCs w:val="16"/>
              </w:rPr>
              <w:t>pb</w:t>
            </w:r>
            <w:proofErr w:type="spellEnd"/>
            <w:r>
              <w:rPr>
                <w:sz w:val="16"/>
                <w:szCs w:val="16"/>
              </w:rPr>
              <w:t xml:space="preserve">. z 29 </w:t>
            </w:r>
            <w:proofErr w:type="spellStart"/>
            <w:r>
              <w:rPr>
                <w:sz w:val="16"/>
                <w:szCs w:val="16"/>
              </w:rPr>
              <w:t>pb</w:t>
            </w:r>
            <w:proofErr w:type="spellEnd"/>
            <w:r>
              <w:rPr>
                <w:sz w:val="16"/>
                <w:szCs w:val="16"/>
              </w:rPr>
              <w:t>. rozdílu v roce 1995</w:t>
            </w:r>
          </w:p>
        </w:tc>
        <w:tc>
          <w:tcPr>
            <w:tcW w:w="145" w:type="pct"/>
          </w:tcPr>
          <w:p w:rsidR="0008794F" w:rsidRPr="00A557BF" w:rsidRDefault="0008794F" w:rsidP="00D85A8C">
            <w:pPr>
              <w:pStyle w:val="Textpoznpodarou"/>
              <w:jc w:val="both"/>
            </w:pPr>
          </w:p>
        </w:tc>
        <w:tc>
          <w:tcPr>
            <w:tcW w:w="3800" w:type="pct"/>
          </w:tcPr>
          <w:p w:rsidR="0008794F" w:rsidRDefault="0008794F" w:rsidP="00D85A8C">
            <w:pPr>
              <w:pStyle w:val="Textpoznpodarou"/>
              <w:jc w:val="both"/>
            </w:pPr>
            <w:r>
              <w:t>Navíc vývoj v letech 1995-2014 reálně naznačoval, že Slovensko může Českou republiku v ukazateli H</w:t>
            </w:r>
            <w:r w:rsidR="007D7DD8">
              <w:t>D</w:t>
            </w:r>
            <w:r>
              <w:t xml:space="preserve">P na obyvatele v PPS dokonce předstihnout – rozdíl, který činil v roce 1995 plných 29 </w:t>
            </w:r>
            <w:proofErr w:type="spellStart"/>
            <w:r>
              <w:t>pb</w:t>
            </w:r>
            <w:proofErr w:type="spellEnd"/>
            <w:r>
              <w:t>. se v průběhu let ztenčil až na pouhých 7</w:t>
            </w:r>
            <w:r w:rsidR="00446EE5">
              <w:t> </w:t>
            </w:r>
            <w:r>
              <w:t xml:space="preserve">bodů v roce 2013. Poté, v roce 2014, vlivem obnoveného růstu české ekonomiky po recesi předchozích dvou let, činil rozdíl mezi ČR a Slovenskem </w:t>
            </w:r>
            <w:r w:rsidR="00446EE5">
              <w:t xml:space="preserve">v tomto ukazateli ekonomické úrovně </w:t>
            </w:r>
            <w:r>
              <w:t xml:space="preserve">8 </w:t>
            </w:r>
            <w:proofErr w:type="spellStart"/>
            <w:r>
              <w:t>pb</w:t>
            </w:r>
            <w:proofErr w:type="spellEnd"/>
            <w:r>
              <w:t xml:space="preserve">. </w:t>
            </w:r>
            <w:r w:rsidR="00446EE5">
              <w:t xml:space="preserve">a </w:t>
            </w:r>
            <w:r>
              <w:t>je reálné předpokládat, že silný růst ekonomiky ČR v roce 2015 tuto proporci dále zlepší ve prospěch České republiky.</w:t>
            </w:r>
          </w:p>
          <w:p w:rsidR="0008794F" w:rsidRDefault="0008794F" w:rsidP="00D85A8C">
            <w:pPr>
              <w:pStyle w:val="Textpoznpodarou"/>
              <w:jc w:val="both"/>
            </w:pPr>
          </w:p>
        </w:tc>
      </w:tr>
    </w:tbl>
    <w:p w:rsidR="0008794F" w:rsidRPr="00BC706F" w:rsidRDefault="0008794F" w:rsidP="001B50A0">
      <w:pPr>
        <w:pStyle w:val="Nadpis2"/>
        <w:rPr>
          <w:color w:val="000000"/>
          <w:sz w:val="20"/>
          <w:szCs w:val="20"/>
        </w:rPr>
      </w:pPr>
      <w:r w:rsidRPr="00BC706F">
        <w:rPr>
          <w:color w:val="000000"/>
          <w:sz w:val="20"/>
          <w:szCs w:val="20"/>
        </w:rPr>
        <w:t xml:space="preserve">Graf </w:t>
      </w:r>
      <w:r>
        <w:rPr>
          <w:color w:val="000000"/>
          <w:sz w:val="20"/>
          <w:szCs w:val="20"/>
        </w:rPr>
        <w:t>5</w:t>
      </w:r>
      <w:r w:rsidRPr="00BC706F">
        <w:rPr>
          <w:color w:val="000000"/>
          <w:sz w:val="20"/>
          <w:szCs w:val="20"/>
        </w:rPr>
        <w:t xml:space="preserve">: Vývoj HDP na obyvatele v paritě kupní síly (PPS) ve srovnání let 1995-2014 </w:t>
      </w:r>
      <w:r w:rsidRPr="00BC706F">
        <w:rPr>
          <w:b w:val="0"/>
          <w:color w:val="000000"/>
          <w:sz w:val="20"/>
          <w:szCs w:val="20"/>
        </w:rPr>
        <w:t>(EU 28=100)</w:t>
      </w:r>
    </w:p>
    <w:p w:rsidR="0008794F" w:rsidRPr="006F38C7" w:rsidRDefault="0008794F" w:rsidP="001B50A0">
      <w:pPr>
        <w:rPr>
          <w:sz w:val="8"/>
          <w:szCs w:val="8"/>
        </w:rPr>
      </w:pPr>
    </w:p>
    <w:p w:rsidR="0008794F" w:rsidRDefault="00306F79" w:rsidP="001B50A0">
      <w:pPr>
        <w:pStyle w:val="Nadpis2"/>
        <w:jc w:val="center"/>
        <w:rPr>
          <w:noProof/>
          <w:color w:val="000000"/>
          <w:sz w:val="20"/>
          <w:szCs w:val="20"/>
        </w:rPr>
      </w:pPr>
      <w:r w:rsidRPr="00321330">
        <w:rPr>
          <w:noProof/>
          <w:color w:val="000000"/>
          <w:sz w:val="20"/>
          <w:szCs w:val="20"/>
        </w:rPr>
        <w:pict>
          <v:shape id="_x0000_i1029" type="#_x0000_t75" style="width:408pt;height:177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">
            <v:imagedata r:id="rId17" o:title=""/>
            <o:lock v:ext="edit" aspectratio="f"/>
          </v:shape>
        </w:pict>
      </w:r>
    </w:p>
    <w:p w:rsidR="0008794F" w:rsidRPr="00FA3023" w:rsidRDefault="0008794F" w:rsidP="00FA3023">
      <w:pPr>
        <w:jc w:val="right"/>
        <w:rPr>
          <w:sz w:val="18"/>
          <w:szCs w:val="18"/>
        </w:rPr>
      </w:pPr>
      <w:r w:rsidRPr="00FA3023">
        <w:rPr>
          <w:sz w:val="18"/>
          <w:szCs w:val="18"/>
        </w:rPr>
        <w:t xml:space="preserve">Pramen: </w:t>
      </w:r>
      <w:proofErr w:type="spellStart"/>
      <w:r w:rsidRPr="00FA3023">
        <w:rPr>
          <w:sz w:val="18"/>
          <w:szCs w:val="18"/>
        </w:rPr>
        <w:t>Eurostat</w:t>
      </w:r>
      <w:proofErr w:type="spellEnd"/>
    </w:p>
    <w:p w:rsidR="0008794F" w:rsidRDefault="0008794F" w:rsidP="00E23239">
      <w:pPr>
        <w:jc w:val="both"/>
        <w:rPr>
          <w:sz w:val="18"/>
          <w:szCs w:val="18"/>
        </w:rPr>
      </w:pPr>
    </w:p>
    <w:p w:rsidR="0008794F" w:rsidRPr="00454492" w:rsidRDefault="0008794F" w:rsidP="001B50A0">
      <w:pPr>
        <w:jc w:val="both"/>
        <w:rPr>
          <w:b/>
          <w:sz w:val="22"/>
          <w:szCs w:val="22"/>
        </w:rPr>
      </w:pPr>
      <w:r w:rsidRPr="00454492">
        <w:rPr>
          <w:b/>
          <w:sz w:val="22"/>
          <w:szCs w:val="22"/>
        </w:rPr>
        <w:t>2.2.2. Relace ke „starým“ unijním zemím skupiny EU 15</w:t>
      </w:r>
    </w:p>
    <w:p w:rsidR="0008794F" w:rsidRPr="00DA43AC" w:rsidRDefault="0008794F" w:rsidP="00DA43AC">
      <w:pPr>
        <w:jc w:val="right"/>
        <w:rPr>
          <w:sz w:val="18"/>
          <w:szCs w:val="18"/>
        </w:rPr>
      </w:pPr>
      <w:r>
        <w:rPr>
          <w:sz w:val="18"/>
          <w:szCs w:val="18"/>
        </w:rPr>
        <w:t xml:space="preserve">                                                                                                                                                                                                                                                                                                                                                                                                                                     </w:t>
      </w:r>
    </w:p>
    <w:tbl>
      <w:tblPr>
        <w:tblW w:w="5000" w:type="pct"/>
        <w:tblLook w:val="00A0"/>
      </w:tblPr>
      <w:tblGrid>
        <w:gridCol w:w="2079"/>
        <w:gridCol w:w="286"/>
        <w:gridCol w:w="7489"/>
      </w:tblGrid>
      <w:tr w:rsidR="0008794F" w:rsidRPr="00A557BF" w:rsidTr="00181C9A">
        <w:tc>
          <w:tcPr>
            <w:tcW w:w="1055" w:type="pct"/>
          </w:tcPr>
          <w:bookmarkEnd w:id="7"/>
          <w:p w:rsidR="0008794F" w:rsidRPr="00A557BF" w:rsidRDefault="0008794F" w:rsidP="00382D10">
            <w:pPr>
              <w:spacing w:line="240" w:lineRule="auto"/>
              <w:rPr>
                <w:sz w:val="16"/>
                <w:szCs w:val="16"/>
              </w:rPr>
            </w:pPr>
            <w:r>
              <w:rPr>
                <w:sz w:val="16"/>
                <w:szCs w:val="16"/>
              </w:rPr>
              <w:t xml:space="preserve">Při zvolení </w:t>
            </w:r>
            <w:r w:rsidR="00382D10">
              <w:rPr>
                <w:sz w:val="16"/>
                <w:szCs w:val="16"/>
              </w:rPr>
              <w:t>skupiny EU 15</w:t>
            </w:r>
            <w:r w:rsidR="008C0FE8">
              <w:rPr>
                <w:sz w:val="16"/>
                <w:szCs w:val="16"/>
              </w:rPr>
              <w:t xml:space="preserve"> </w:t>
            </w:r>
            <w:r w:rsidR="003F0686">
              <w:rPr>
                <w:sz w:val="16"/>
                <w:szCs w:val="16"/>
              </w:rPr>
              <w:t>jako referenční meze, dosahuje Č</w:t>
            </w:r>
            <w:r>
              <w:rPr>
                <w:sz w:val="16"/>
                <w:szCs w:val="16"/>
              </w:rPr>
              <w:t>R v HDP/</w:t>
            </w:r>
            <w:proofErr w:type="spellStart"/>
            <w:r>
              <w:rPr>
                <w:sz w:val="16"/>
                <w:szCs w:val="16"/>
              </w:rPr>
              <w:t>obyv</w:t>
            </w:r>
            <w:proofErr w:type="spellEnd"/>
            <w:r>
              <w:rPr>
                <w:sz w:val="16"/>
                <w:szCs w:val="16"/>
              </w:rPr>
              <w:t>. v PPS jen 77,1 %</w:t>
            </w:r>
            <w:r w:rsidR="00382D10">
              <w:rPr>
                <w:sz w:val="16"/>
                <w:szCs w:val="16"/>
              </w:rPr>
              <w:t xml:space="preserve"> a</w:t>
            </w:r>
            <w:r>
              <w:rPr>
                <w:sz w:val="16"/>
                <w:szCs w:val="16"/>
              </w:rPr>
              <w:t xml:space="preserve"> Slovensko 70</w:t>
            </w:r>
            <w:r w:rsidR="00382D10">
              <w:rPr>
                <w:sz w:val="16"/>
                <w:szCs w:val="16"/>
              </w:rPr>
              <w:t> </w:t>
            </w:r>
            <w:r>
              <w:rPr>
                <w:sz w:val="16"/>
                <w:szCs w:val="16"/>
              </w:rPr>
              <w:t xml:space="preserve">% </w:t>
            </w:r>
            <w:r w:rsidR="00382D10">
              <w:rPr>
                <w:sz w:val="16"/>
                <w:szCs w:val="16"/>
              </w:rPr>
              <w:t xml:space="preserve">jejich </w:t>
            </w:r>
            <w:r>
              <w:rPr>
                <w:sz w:val="16"/>
                <w:szCs w:val="16"/>
              </w:rPr>
              <w:t>průměr</w:t>
            </w:r>
            <w:r w:rsidR="00382D10">
              <w:rPr>
                <w:sz w:val="16"/>
                <w:szCs w:val="16"/>
              </w:rPr>
              <w:t>né úrovně;</w:t>
            </w:r>
            <w:r>
              <w:rPr>
                <w:sz w:val="16"/>
                <w:szCs w:val="16"/>
              </w:rPr>
              <w:t xml:space="preserve"> Rakousko 117,5</w:t>
            </w:r>
            <w:r w:rsidR="008C0FE8">
              <w:rPr>
                <w:sz w:val="16"/>
                <w:szCs w:val="16"/>
              </w:rPr>
              <w:t> </w:t>
            </w:r>
            <w:r>
              <w:rPr>
                <w:sz w:val="16"/>
                <w:szCs w:val="16"/>
              </w:rPr>
              <w:t xml:space="preserve">%, tj. více </w:t>
            </w:r>
            <w:proofErr w:type="gramStart"/>
            <w:r>
              <w:rPr>
                <w:sz w:val="16"/>
                <w:szCs w:val="16"/>
              </w:rPr>
              <w:t>než  EU</w:t>
            </w:r>
            <w:proofErr w:type="gramEnd"/>
            <w:r>
              <w:rPr>
                <w:sz w:val="16"/>
                <w:szCs w:val="16"/>
              </w:rPr>
              <w:t xml:space="preserve"> 28  </w:t>
            </w:r>
            <w:r w:rsidR="00382D10">
              <w:rPr>
                <w:sz w:val="16"/>
                <w:szCs w:val="16"/>
              </w:rPr>
              <w:t>v relaci k</w:t>
            </w:r>
            <w:r>
              <w:rPr>
                <w:sz w:val="16"/>
                <w:szCs w:val="16"/>
              </w:rPr>
              <w:t xml:space="preserve"> EU 15, tj. 91,9 %</w:t>
            </w:r>
          </w:p>
        </w:tc>
        <w:tc>
          <w:tcPr>
            <w:tcW w:w="145" w:type="pct"/>
          </w:tcPr>
          <w:p w:rsidR="0008794F" w:rsidRPr="00A557BF" w:rsidRDefault="0008794F" w:rsidP="00181C9A">
            <w:pPr>
              <w:pStyle w:val="Textpoznpodarou"/>
              <w:jc w:val="both"/>
            </w:pPr>
          </w:p>
        </w:tc>
        <w:tc>
          <w:tcPr>
            <w:tcW w:w="3800" w:type="pct"/>
          </w:tcPr>
          <w:p w:rsidR="0008794F" w:rsidRDefault="0008794F" w:rsidP="001005B2">
            <w:pPr>
              <w:pStyle w:val="Textpoznpodarou"/>
              <w:jc w:val="both"/>
            </w:pPr>
            <w:r>
              <w:t xml:space="preserve">Relace v HDP na obyvatele v paritě kupní síly může být vztažena nejen k průměru EU 28, ale i k referenční hodnotě za jinou skupinu. Např. ve vztahu k tzv. „starým“ zemím </w:t>
            </w:r>
            <w:r w:rsidR="003F0686">
              <w:t>U</w:t>
            </w:r>
            <w:r>
              <w:t>nie</w:t>
            </w:r>
            <w:r w:rsidR="00382D10">
              <w:t xml:space="preserve"> (</w:t>
            </w:r>
            <w:r>
              <w:t>EU 15</w:t>
            </w:r>
            <w:r w:rsidR="00382D10">
              <w:t>)</w:t>
            </w:r>
            <w:r w:rsidR="00446EE5">
              <w:t>,</w:t>
            </w:r>
            <w:r w:rsidR="00382D10">
              <w:t xml:space="preserve"> tj. </w:t>
            </w:r>
            <w:r>
              <w:t>nejvyspělejší</w:t>
            </w:r>
            <w:r w:rsidR="00382D10">
              <w:t>ch</w:t>
            </w:r>
            <w:r w:rsidR="00446EE5">
              <w:t xml:space="preserve"> </w:t>
            </w:r>
            <w:r>
              <w:t>zem</w:t>
            </w:r>
            <w:r w:rsidR="00382D10">
              <w:t>í</w:t>
            </w:r>
            <w:r>
              <w:t xml:space="preserve">, překonává Rakousko tuto relaci i v tomto tvrdším </w:t>
            </w:r>
            <w:proofErr w:type="spellStart"/>
            <w:r>
              <w:t>benchmarku</w:t>
            </w:r>
            <w:proofErr w:type="spellEnd"/>
            <w:r>
              <w:t xml:space="preserve"> </w:t>
            </w:r>
            <w:proofErr w:type="gramStart"/>
            <w:r>
              <w:t>se</w:t>
            </w:r>
            <w:proofErr w:type="gramEnd"/>
            <w:r>
              <w:t xml:space="preserve"> 117,5 % průměru EU 15. Toho přitom nedosahují jak EU 28 (91,9 %), tak ani </w:t>
            </w:r>
            <w:proofErr w:type="spellStart"/>
            <w:r>
              <w:t>eurozóna</w:t>
            </w:r>
            <w:proofErr w:type="spellEnd"/>
            <w:r>
              <w:t xml:space="preserve"> (98,3 %</w:t>
            </w:r>
            <w:r w:rsidR="00382D10">
              <w:t>)</w:t>
            </w:r>
            <w:r>
              <w:t xml:space="preserve">. Jak je </w:t>
            </w:r>
            <w:r w:rsidR="00446EE5">
              <w:t xml:space="preserve">patrné </w:t>
            </w:r>
            <w:r>
              <w:t>z grafu 5, zachycujícího tři země sledované v této analýze</w:t>
            </w:r>
            <w:r w:rsidR="00446EE5">
              <w:t xml:space="preserve"> a</w:t>
            </w:r>
            <w:r>
              <w:t xml:space="preserve"> zmíněná dvě uskupení,</w:t>
            </w:r>
            <w:r w:rsidR="00446EE5">
              <w:t xml:space="preserve"> </w:t>
            </w:r>
            <w:r>
              <w:t>relace České republiky i Slovenska je podstatně nižší (77,1 %, resp. 70 %) nejen oproti Rakousku, ale v logice věci i proti výše zmíněným poměrům vztaženým k EU 28.</w:t>
            </w:r>
          </w:p>
          <w:p w:rsidR="0008794F" w:rsidRPr="00A557BF" w:rsidRDefault="0008794F" w:rsidP="00855C0D">
            <w:pPr>
              <w:pStyle w:val="Textpoznpodarou"/>
              <w:jc w:val="both"/>
              <w:rPr>
                <w:sz w:val="18"/>
                <w:szCs w:val="18"/>
              </w:rPr>
            </w:pPr>
            <w:r>
              <w:t xml:space="preserve">     </w:t>
            </w:r>
          </w:p>
        </w:tc>
      </w:tr>
      <w:tr w:rsidR="0008794F" w:rsidRPr="00A557BF" w:rsidTr="00181C9A">
        <w:tc>
          <w:tcPr>
            <w:tcW w:w="1055" w:type="pct"/>
          </w:tcPr>
          <w:p w:rsidR="0008794F" w:rsidRPr="00A557BF" w:rsidRDefault="0008794F" w:rsidP="00BD7413">
            <w:pPr>
              <w:spacing w:line="240" w:lineRule="auto"/>
              <w:rPr>
                <w:sz w:val="16"/>
                <w:szCs w:val="16"/>
              </w:rPr>
            </w:pPr>
            <w:r>
              <w:rPr>
                <w:sz w:val="16"/>
                <w:szCs w:val="16"/>
              </w:rPr>
              <w:t xml:space="preserve">V letech 2005-2014 patrná jasná konvergence k průměru EU jen v případě Slovenska – v ČR přibližování nepřesvědčivé, za to Rakousko svoji už tak velmi příznivou relaci dále zlepšovalo až do roku 2012 </w:t>
            </w:r>
          </w:p>
        </w:tc>
        <w:tc>
          <w:tcPr>
            <w:tcW w:w="145" w:type="pct"/>
          </w:tcPr>
          <w:p w:rsidR="0008794F" w:rsidRPr="00A557BF" w:rsidRDefault="0008794F" w:rsidP="00181C9A">
            <w:pPr>
              <w:pStyle w:val="Textpoznpodarou"/>
              <w:jc w:val="both"/>
            </w:pPr>
          </w:p>
        </w:tc>
        <w:tc>
          <w:tcPr>
            <w:tcW w:w="3800" w:type="pct"/>
          </w:tcPr>
          <w:p w:rsidR="0008794F" w:rsidRDefault="0008794F" w:rsidP="00855C0D">
            <w:pPr>
              <w:pStyle w:val="Textpoznpodarou"/>
              <w:jc w:val="both"/>
            </w:pPr>
            <w:r>
              <w:t>Ve vývoji v období 2005-2014 prokázalo jasný rostoucí trend reálné konvergence ze tří sledovaných zemí pouze Slovensko (graf 6). Přibližování ČR k průměrné úrovni E</w:t>
            </w:r>
            <w:r w:rsidR="00382D10">
              <w:t>U</w:t>
            </w:r>
            <w:r>
              <w:t xml:space="preserve"> nebylo za tyto roky příliš přesvědčivé. Relace HDP</w:t>
            </w:r>
            <w:r w:rsidR="00382D10">
              <w:t>/</w:t>
            </w:r>
            <w:proofErr w:type="spellStart"/>
            <w:r>
              <w:t>obyv</w:t>
            </w:r>
            <w:proofErr w:type="spellEnd"/>
            <w:r w:rsidR="00382D10">
              <w:t xml:space="preserve">. </w:t>
            </w:r>
            <w:r>
              <w:t>v </w:t>
            </w:r>
            <w:r w:rsidR="00382D10">
              <w:t>PPS</w:t>
            </w:r>
            <w:r>
              <w:t xml:space="preserve"> u nejvyspělejších zemí EU, tj. skupiny EU 15, mírně klesala. Ekonomika Rakouska naproti tomu zaznamenávala </w:t>
            </w:r>
            <w:r w:rsidR="003F0686">
              <w:t xml:space="preserve">oproti vývoji </w:t>
            </w:r>
            <w:r w:rsidR="008A57BD">
              <w:t xml:space="preserve">v EU 15 i </w:t>
            </w:r>
            <w:r w:rsidR="008103D8">
              <w:t xml:space="preserve">ČR </w:t>
            </w:r>
            <w:r w:rsidR="008A57BD">
              <w:t>zle</w:t>
            </w:r>
            <w:r w:rsidR="007D7DD8">
              <w:t>pšování</w:t>
            </w:r>
            <w:r>
              <w:t xml:space="preserve"> této relace. Docházelo k tomu od roku 2007 do roku 2012 a nárůst relativního HDP</w:t>
            </w:r>
            <w:r w:rsidR="00382D10">
              <w:t>/</w:t>
            </w:r>
            <w:proofErr w:type="spellStart"/>
            <w:r>
              <w:t>obyv</w:t>
            </w:r>
            <w:proofErr w:type="spellEnd"/>
            <w:r w:rsidR="00382D10">
              <w:t>.</w:t>
            </w:r>
            <w:r>
              <w:t xml:space="preserve"> v paritě kupní síly zaznamenalo Rakousko i v krizovém roce 2009. V něm byl jeho meziroční pokles HDP (reálně -3,8 %) podstatně mírnější nejen ve srovnání s EU 28 (-4,4 %), ale i oproti propadu české (-4,8 %) i slovenské ekonomiky (-5,3 %).   </w:t>
            </w:r>
          </w:p>
          <w:p w:rsidR="0008794F" w:rsidRPr="00A95A3A" w:rsidRDefault="0008794F" w:rsidP="00855C0D">
            <w:pPr>
              <w:pStyle w:val="Textpoznpodarou"/>
              <w:jc w:val="both"/>
              <w:rPr>
                <w:sz w:val="12"/>
                <w:szCs w:val="12"/>
              </w:rPr>
            </w:pPr>
          </w:p>
          <w:p w:rsidR="0008794F" w:rsidRDefault="0008794F" w:rsidP="00382D10">
            <w:pPr>
              <w:pStyle w:val="Textpoznpodarou"/>
              <w:jc w:val="both"/>
            </w:pPr>
            <w:r>
              <w:t>Až v letech 2013 a 2014, především v</w:t>
            </w:r>
            <w:r w:rsidR="00382D10">
              <w:t>livem</w:t>
            </w:r>
            <w:r>
              <w:t xml:space="preserve"> slábnutí tempa růstu HDP Rakouska, klesala i jeho relace k evropskému průměru v přepočtu na obyvatele v</w:t>
            </w:r>
            <w:r w:rsidR="00382D10">
              <w:t> PPS.</w:t>
            </w:r>
            <w:r>
              <w:t xml:space="preserve">  </w:t>
            </w:r>
          </w:p>
        </w:tc>
      </w:tr>
    </w:tbl>
    <w:p w:rsidR="0008794F" w:rsidRPr="00382D10" w:rsidRDefault="0008794F" w:rsidP="00E27D52">
      <w:pPr>
        <w:rPr>
          <w:sz w:val="8"/>
          <w:szCs w:val="8"/>
        </w:rPr>
      </w:pPr>
    </w:p>
    <w:tbl>
      <w:tblPr>
        <w:tblW w:w="5000" w:type="pct"/>
        <w:tblLayout w:type="fixed"/>
        <w:tblCellMar>
          <w:left w:w="28" w:type="dxa"/>
          <w:right w:w="28" w:type="dxa"/>
        </w:tblCellMar>
        <w:tblLook w:val="00A0"/>
      </w:tblPr>
      <w:tblGrid>
        <w:gridCol w:w="1157"/>
        <w:gridCol w:w="3633"/>
        <w:gridCol w:w="838"/>
        <w:gridCol w:w="4066"/>
      </w:tblGrid>
      <w:tr w:rsidR="0008794F" w:rsidRPr="00817C98" w:rsidTr="001422E9">
        <w:tc>
          <w:tcPr>
            <w:tcW w:w="597" w:type="pct"/>
          </w:tcPr>
          <w:p w:rsidR="0008794F" w:rsidRDefault="0008794F" w:rsidP="008C0368">
            <w:pPr>
              <w:spacing w:line="240" w:lineRule="auto"/>
            </w:pPr>
            <w:r>
              <w:lastRenderedPageBreak/>
              <w:t>Graf 6</w:t>
            </w:r>
          </w:p>
        </w:tc>
        <w:tc>
          <w:tcPr>
            <w:tcW w:w="1874" w:type="pct"/>
          </w:tcPr>
          <w:p w:rsidR="0008794F" w:rsidRDefault="0008794F" w:rsidP="008C0368">
            <w:pPr>
              <w:pStyle w:val="Textpoznpodarou"/>
              <w:rPr>
                <w:rFonts w:cs="Arial"/>
                <w:szCs w:val="24"/>
              </w:rPr>
            </w:pPr>
            <w:r>
              <w:rPr>
                <w:rFonts w:cs="Arial"/>
                <w:b/>
                <w:bCs/>
              </w:rPr>
              <w:t xml:space="preserve">HDP na obyvatele v paritě kupní síly (PPS) v roce 2014 </w:t>
            </w:r>
            <w:r w:rsidRPr="00BE1C59">
              <w:rPr>
                <w:rFonts w:cs="Arial"/>
                <w:bCs/>
              </w:rPr>
              <w:t xml:space="preserve">(EU </w:t>
            </w:r>
            <w:r>
              <w:rPr>
                <w:rFonts w:cs="Arial"/>
                <w:bCs/>
              </w:rPr>
              <w:t>15=100)</w:t>
            </w:r>
          </w:p>
        </w:tc>
        <w:tc>
          <w:tcPr>
            <w:tcW w:w="432" w:type="pct"/>
          </w:tcPr>
          <w:p w:rsidR="0008794F" w:rsidRDefault="0008794F" w:rsidP="008C0368">
            <w:pPr>
              <w:spacing w:line="240" w:lineRule="auto"/>
            </w:pPr>
            <w:r>
              <w:t>Graf 7</w:t>
            </w:r>
          </w:p>
        </w:tc>
        <w:tc>
          <w:tcPr>
            <w:tcW w:w="2097" w:type="pct"/>
          </w:tcPr>
          <w:p w:rsidR="0008794F" w:rsidRPr="00817C98" w:rsidRDefault="0008794F" w:rsidP="001045E3">
            <w:pPr>
              <w:spacing w:line="240" w:lineRule="auto"/>
              <w:rPr>
                <w:rFonts w:cs="Arial"/>
                <w:b/>
                <w:bCs/>
              </w:rPr>
            </w:pPr>
            <w:r>
              <w:rPr>
                <w:rFonts w:cs="Arial"/>
                <w:b/>
                <w:bCs/>
              </w:rPr>
              <w:t xml:space="preserve">HDP na obyvatele v paritě kupní síly (PPS) v letech 2005-2014 </w:t>
            </w:r>
            <w:r>
              <w:rPr>
                <w:rFonts w:cs="Arial"/>
                <w:bCs/>
              </w:rPr>
              <w:t>(</w:t>
            </w:r>
            <w:r w:rsidRPr="00BE1C59">
              <w:rPr>
                <w:rFonts w:cs="Arial"/>
                <w:bCs/>
              </w:rPr>
              <w:t xml:space="preserve">EU 28=100) </w:t>
            </w:r>
          </w:p>
        </w:tc>
      </w:tr>
      <w:tr w:rsidR="0008794F" w:rsidRPr="00323C30" w:rsidTr="00FB280C">
        <w:tc>
          <w:tcPr>
            <w:tcW w:w="2471" w:type="pct"/>
            <w:gridSpan w:val="2"/>
          </w:tcPr>
          <w:p w:rsidR="0008794F" w:rsidRPr="00DA43AC" w:rsidRDefault="00306F79" w:rsidP="00FB280C">
            <w:pPr>
              <w:pStyle w:val="Textpoznpodarou"/>
              <w:jc w:val="both"/>
              <w:rPr>
                <w:noProof/>
              </w:rPr>
            </w:pPr>
            <w:r>
              <w:rPr>
                <w:noProof/>
              </w:rPr>
              <w:pict>
                <v:shape id="_x0000_i1030" type="#_x0000_t75" style="width:237pt;height:198pt">
                  <v:imagedata r:id="rId18" o:title=""/>
                </v:shape>
              </w:pict>
            </w:r>
          </w:p>
        </w:tc>
        <w:tc>
          <w:tcPr>
            <w:tcW w:w="2529" w:type="pct"/>
            <w:gridSpan w:val="2"/>
          </w:tcPr>
          <w:p w:rsidR="0008794F" w:rsidRPr="00323C30" w:rsidRDefault="00306F79" w:rsidP="008C0368">
            <w:pPr>
              <w:pStyle w:val="Textpoznpodarou"/>
              <w:jc w:val="both"/>
            </w:pPr>
            <w:r>
              <w:pict>
                <v:shape id="_x0000_i1031" type="#_x0000_t75" style="width:235.5pt;height:198pt">
                  <v:imagedata r:id="rId19" o:title=""/>
                </v:shape>
              </w:pict>
            </w:r>
          </w:p>
        </w:tc>
      </w:tr>
    </w:tbl>
    <w:p w:rsidR="0008794F" w:rsidRDefault="0008794F" w:rsidP="00FB280C">
      <w:pPr>
        <w:jc w:val="right"/>
        <w:rPr>
          <w:sz w:val="18"/>
          <w:szCs w:val="18"/>
        </w:rPr>
      </w:pPr>
      <w:r w:rsidRPr="00DA43AC">
        <w:rPr>
          <w:sz w:val="18"/>
          <w:szCs w:val="18"/>
        </w:rPr>
        <w:t xml:space="preserve">Pramen: </w:t>
      </w:r>
      <w:proofErr w:type="spellStart"/>
      <w:r w:rsidRPr="00DA43AC">
        <w:rPr>
          <w:sz w:val="18"/>
          <w:szCs w:val="18"/>
        </w:rPr>
        <w:t>Eurostat</w:t>
      </w:r>
      <w:proofErr w:type="spellEnd"/>
    </w:p>
    <w:p w:rsidR="0008794F" w:rsidRPr="00382D10" w:rsidRDefault="0008794F" w:rsidP="00E27D52">
      <w:pPr>
        <w:rPr>
          <w:sz w:val="8"/>
          <w:szCs w:val="8"/>
        </w:rPr>
      </w:pPr>
    </w:p>
    <w:tbl>
      <w:tblPr>
        <w:tblW w:w="5000" w:type="pct"/>
        <w:tblLook w:val="00A0"/>
      </w:tblPr>
      <w:tblGrid>
        <w:gridCol w:w="2079"/>
        <w:gridCol w:w="286"/>
        <w:gridCol w:w="7489"/>
      </w:tblGrid>
      <w:tr w:rsidR="0008794F" w:rsidRPr="00A557BF" w:rsidTr="00F44C5D">
        <w:tc>
          <w:tcPr>
            <w:tcW w:w="1055" w:type="pct"/>
          </w:tcPr>
          <w:p w:rsidR="0008794F" w:rsidRPr="00A557BF" w:rsidRDefault="0008794F" w:rsidP="008C0FE8">
            <w:pPr>
              <w:spacing w:line="240" w:lineRule="auto"/>
              <w:rPr>
                <w:sz w:val="16"/>
                <w:szCs w:val="16"/>
              </w:rPr>
            </w:pPr>
            <w:r>
              <w:rPr>
                <w:sz w:val="16"/>
                <w:szCs w:val="16"/>
              </w:rPr>
              <w:t xml:space="preserve">Vzhledem k nižší ekonomické úrovni ČR a SR </w:t>
            </w:r>
            <w:r w:rsidR="008C0FE8">
              <w:rPr>
                <w:sz w:val="16"/>
                <w:szCs w:val="16"/>
              </w:rPr>
              <w:t>bylo</w:t>
            </w:r>
            <w:r>
              <w:rPr>
                <w:sz w:val="16"/>
                <w:szCs w:val="16"/>
              </w:rPr>
              <w:t xml:space="preserve"> za roky 2005-2014 zlepšení jejich pozice v </w:t>
            </w:r>
            <w:proofErr w:type="spellStart"/>
            <w:r>
              <w:rPr>
                <w:sz w:val="16"/>
                <w:szCs w:val="16"/>
              </w:rPr>
              <w:t>pb</w:t>
            </w:r>
            <w:proofErr w:type="spellEnd"/>
            <w:r>
              <w:rPr>
                <w:sz w:val="16"/>
                <w:szCs w:val="16"/>
              </w:rPr>
              <w:t>. příznivější než v případě Rakouska, a to především v případě Slovenské republiky</w:t>
            </w:r>
          </w:p>
        </w:tc>
        <w:tc>
          <w:tcPr>
            <w:tcW w:w="145" w:type="pct"/>
          </w:tcPr>
          <w:p w:rsidR="0008794F" w:rsidRPr="00A557BF" w:rsidRDefault="0008794F" w:rsidP="00F44C5D">
            <w:pPr>
              <w:pStyle w:val="Textpoznpodarou"/>
              <w:jc w:val="both"/>
            </w:pPr>
          </w:p>
        </w:tc>
        <w:tc>
          <w:tcPr>
            <w:tcW w:w="3800" w:type="pct"/>
          </w:tcPr>
          <w:p w:rsidR="0008794F" w:rsidRDefault="0008794F" w:rsidP="003D717B">
            <w:pPr>
              <w:pStyle w:val="Textpoznpodarou"/>
              <w:jc w:val="both"/>
            </w:pPr>
            <w:r>
              <w:t>Překvapivě příznivý vývoj relativního HDP v přepočtu na obyvatele v </w:t>
            </w:r>
            <w:r w:rsidR="008C0FE8">
              <w:t>PPS</w:t>
            </w:r>
            <w:r>
              <w:t xml:space="preserve"> v případě Rakouska ve srovnání s vývojem vyspělých zemí skupiny EU 15 však -  vzhledem k vysoké dosažené úrovni tohoto ukazatele - nevedl za roky 2005-2014 k významnějšímu zlepšení </w:t>
            </w:r>
            <w:r w:rsidR="008C0FE8">
              <w:t xml:space="preserve">jeho </w:t>
            </w:r>
            <w:r>
              <w:t>po</w:t>
            </w:r>
            <w:r w:rsidR="008C0FE8">
              <w:t>řadí</w:t>
            </w:r>
            <w:r>
              <w:t xml:space="preserve"> </w:t>
            </w:r>
            <w:r w:rsidR="008C0FE8">
              <w:t xml:space="preserve">v žebříčku </w:t>
            </w:r>
            <w:r>
              <w:t>(podle srovnání v procentních bodech), než jak tomu bylo v případě Č</w:t>
            </w:r>
            <w:r w:rsidR="008C0FE8">
              <w:t>R</w:t>
            </w:r>
            <w:r>
              <w:t xml:space="preserve"> a zejména Slovenska. Graf 7 ukazuje nárůsty v procentních bodech u HDP na obyvatele v PPS pro referenční mez průměru za EU 28: zatímco v roce 2014 byl na Slovensku HDP</w:t>
            </w:r>
            <w:r w:rsidR="008103D8">
              <w:t>/</w:t>
            </w:r>
            <w:r>
              <w:t xml:space="preserve">obyvatele  v PPS proti roku 2005 vyšší o 16,7 </w:t>
            </w:r>
            <w:proofErr w:type="spellStart"/>
            <w:r>
              <w:t>pb</w:t>
            </w:r>
            <w:proofErr w:type="spellEnd"/>
            <w:r>
              <w:t>., v Č</w:t>
            </w:r>
            <w:r w:rsidR="008103D8">
              <w:t>R</w:t>
            </w:r>
            <w:r>
              <w:t xml:space="preserve"> jen o 3,7 </w:t>
            </w:r>
            <w:proofErr w:type="spellStart"/>
            <w:r>
              <w:t>pb</w:t>
            </w:r>
            <w:proofErr w:type="spellEnd"/>
            <w:r>
              <w:t xml:space="preserve">. a v Rakousku o 2,8 </w:t>
            </w:r>
            <w:proofErr w:type="spellStart"/>
            <w:r>
              <w:t>pb</w:t>
            </w:r>
            <w:proofErr w:type="spellEnd"/>
            <w:r>
              <w:t>.</w:t>
            </w:r>
          </w:p>
          <w:p w:rsidR="0008794F" w:rsidRPr="00B0247B" w:rsidRDefault="0008794F" w:rsidP="003D717B">
            <w:pPr>
              <w:pStyle w:val="Textpoznpodarou"/>
              <w:jc w:val="both"/>
              <w:rPr>
                <w:sz w:val="14"/>
                <w:szCs w:val="14"/>
              </w:rPr>
            </w:pPr>
          </w:p>
        </w:tc>
      </w:tr>
      <w:tr w:rsidR="0008794F" w:rsidRPr="00A557BF" w:rsidTr="00F44C5D">
        <w:tc>
          <w:tcPr>
            <w:tcW w:w="1055" w:type="pct"/>
          </w:tcPr>
          <w:p w:rsidR="0008794F" w:rsidRDefault="0008794F" w:rsidP="00B0247B">
            <w:pPr>
              <w:spacing w:line="240" w:lineRule="auto"/>
              <w:rPr>
                <w:sz w:val="16"/>
                <w:szCs w:val="16"/>
              </w:rPr>
            </w:pPr>
            <w:r>
              <w:rPr>
                <w:sz w:val="16"/>
                <w:szCs w:val="16"/>
              </w:rPr>
              <w:t>Reálná konvergence Č</w:t>
            </w:r>
            <w:r w:rsidR="00382D10">
              <w:rPr>
                <w:sz w:val="16"/>
                <w:szCs w:val="16"/>
              </w:rPr>
              <w:t>R</w:t>
            </w:r>
            <w:r>
              <w:rPr>
                <w:sz w:val="16"/>
                <w:szCs w:val="16"/>
              </w:rPr>
              <w:t xml:space="preserve"> k průměru EU byla za roky 2005-2014 nejpomalejší z nových členských zemí EU (</w:t>
            </w:r>
            <w:r w:rsidR="00B0247B">
              <w:rPr>
                <w:sz w:val="16"/>
                <w:szCs w:val="16"/>
              </w:rPr>
              <w:t>kromě divergence Slovinska);</w:t>
            </w:r>
            <w:r>
              <w:rPr>
                <w:sz w:val="16"/>
                <w:szCs w:val="16"/>
              </w:rPr>
              <w:t xml:space="preserve"> </w:t>
            </w:r>
            <w:r w:rsidR="00B0247B">
              <w:rPr>
                <w:sz w:val="16"/>
                <w:szCs w:val="16"/>
              </w:rPr>
              <w:t xml:space="preserve">tempo reálné konvergence </w:t>
            </w:r>
            <w:proofErr w:type="gramStart"/>
            <w:r w:rsidR="00B0247B">
              <w:rPr>
                <w:sz w:val="16"/>
                <w:szCs w:val="16"/>
              </w:rPr>
              <w:t>SR  bylo</w:t>
            </w:r>
            <w:proofErr w:type="gramEnd"/>
            <w:r w:rsidR="00B0247B">
              <w:rPr>
                <w:sz w:val="16"/>
                <w:szCs w:val="16"/>
              </w:rPr>
              <w:t xml:space="preserve"> velmi rychlé do roku 2008 a poté mírně zpomalilo</w:t>
            </w:r>
          </w:p>
        </w:tc>
        <w:tc>
          <w:tcPr>
            <w:tcW w:w="145" w:type="pct"/>
          </w:tcPr>
          <w:p w:rsidR="0008794F" w:rsidRPr="00A557BF" w:rsidRDefault="0008794F" w:rsidP="00F44C5D">
            <w:pPr>
              <w:pStyle w:val="Textpoznpodarou"/>
              <w:jc w:val="both"/>
            </w:pPr>
          </w:p>
        </w:tc>
        <w:tc>
          <w:tcPr>
            <w:tcW w:w="3800" w:type="pct"/>
          </w:tcPr>
          <w:p w:rsidR="00B0247B" w:rsidRDefault="0008794F" w:rsidP="00B0247B">
            <w:pPr>
              <w:pStyle w:val="Textpoznpodarou"/>
              <w:jc w:val="both"/>
            </w:pPr>
            <w:r>
              <w:t>Srovnáme-li ČR a Slovensko, byla reálná konvergence k průměru EU 28 v případě Č</w:t>
            </w:r>
            <w:r w:rsidR="008103D8">
              <w:t>R</w:t>
            </w:r>
            <w:r>
              <w:t xml:space="preserve"> podstatně pomalejší než </w:t>
            </w:r>
            <w:r w:rsidR="008C0FE8">
              <w:t>u</w:t>
            </w:r>
            <w:r>
              <w:t xml:space="preserve"> SR. </w:t>
            </w:r>
            <w:r w:rsidR="00B0247B">
              <w:t>I</w:t>
            </w:r>
            <w:r>
              <w:t xml:space="preserve"> ostatní země</w:t>
            </w:r>
            <w:r w:rsidR="00B0247B">
              <w:t xml:space="preserve"> vstupní vlny </w:t>
            </w:r>
            <w:proofErr w:type="gramStart"/>
            <w:r w:rsidR="00B0247B">
              <w:t xml:space="preserve">roku </w:t>
            </w:r>
            <w:r>
              <w:t xml:space="preserve"> 2004</w:t>
            </w:r>
            <w:proofErr w:type="gramEnd"/>
            <w:r>
              <w:t xml:space="preserve"> a později, se do roku 2014 </w:t>
            </w:r>
            <w:r w:rsidR="00B0247B">
              <w:t xml:space="preserve">blížily </w:t>
            </w:r>
            <w:r>
              <w:t>průměru EU rychleji než Č</w:t>
            </w:r>
            <w:r w:rsidR="00382D10">
              <w:t>R</w:t>
            </w:r>
            <w:r>
              <w:t xml:space="preserve"> (</w:t>
            </w:r>
            <w:r w:rsidR="00B0247B">
              <w:t>mimo</w:t>
            </w:r>
            <w:r>
              <w:t xml:space="preserve"> Slovinska, které </w:t>
            </w:r>
            <w:r w:rsidR="00B0247B">
              <w:t>za roky</w:t>
            </w:r>
            <w:r>
              <w:t xml:space="preserve"> 2005-2014 divergovalo s rozdílem -3,4 </w:t>
            </w:r>
            <w:proofErr w:type="spellStart"/>
            <w:r>
              <w:t>pb</w:t>
            </w:r>
            <w:proofErr w:type="spellEnd"/>
            <w:r>
              <w:t xml:space="preserve">., </w:t>
            </w:r>
            <w:r w:rsidR="00B0247B">
              <w:t>když</w:t>
            </w:r>
            <w:r>
              <w:t xml:space="preserve"> v roce 2009 jeho úroveň o </w:t>
            </w:r>
            <w:r w:rsidR="00B0247B">
              <w:t xml:space="preserve">2 </w:t>
            </w:r>
            <w:proofErr w:type="spellStart"/>
            <w:r w:rsidR="00B0247B">
              <w:t>pb</w:t>
            </w:r>
            <w:proofErr w:type="spellEnd"/>
            <w:r w:rsidR="00B0247B">
              <w:t>.</w:t>
            </w:r>
            <w:r>
              <w:t xml:space="preserve"> poklesla a poté už jen stagnovala). </w:t>
            </w:r>
            <w:r w:rsidR="00B0247B">
              <w:t>Přibližování Slovenska k úrovni HDP na obyvatele v PPS bylo za období 2005-2014 nejrychlejší do roku 2008, poté se tempo dohánění zmírnilo - i tak je však výrazné: v roce 2005 činil rozdíl v HDP/</w:t>
            </w:r>
            <w:proofErr w:type="spellStart"/>
            <w:r w:rsidR="00B0247B">
              <w:t>obyv</w:t>
            </w:r>
            <w:proofErr w:type="spellEnd"/>
            <w:r w:rsidR="00B0247B">
              <w:t xml:space="preserve">. v PPS mezi ČR a SR 20,7 </w:t>
            </w:r>
            <w:proofErr w:type="spellStart"/>
            <w:r w:rsidR="00B0247B">
              <w:t>pb</w:t>
            </w:r>
            <w:proofErr w:type="spellEnd"/>
            <w:r w:rsidR="00B0247B">
              <w:t xml:space="preserve">., ale v roce 2014 už jen 7,7 </w:t>
            </w:r>
            <w:proofErr w:type="spellStart"/>
            <w:r w:rsidR="00B0247B">
              <w:t>pb</w:t>
            </w:r>
            <w:proofErr w:type="spellEnd"/>
            <w:r w:rsidR="00B0247B">
              <w:t xml:space="preserve">. Nejblíže byla SR České republice v roce 2013 (7,1 </w:t>
            </w:r>
            <w:proofErr w:type="spellStart"/>
            <w:r w:rsidR="00B0247B">
              <w:t>pb</w:t>
            </w:r>
            <w:proofErr w:type="spellEnd"/>
            <w:r w:rsidR="00B0247B">
              <w:t>).</w:t>
            </w:r>
          </w:p>
          <w:p w:rsidR="0008794F" w:rsidRPr="00B0247B" w:rsidRDefault="0008794F" w:rsidP="005E0F80">
            <w:pPr>
              <w:pStyle w:val="Textpoznpodarou"/>
              <w:jc w:val="both"/>
              <w:rPr>
                <w:sz w:val="14"/>
                <w:szCs w:val="14"/>
              </w:rPr>
            </w:pPr>
          </w:p>
        </w:tc>
      </w:tr>
      <w:tr w:rsidR="0008794F" w:rsidTr="005E0F80">
        <w:tc>
          <w:tcPr>
            <w:tcW w:w="1055" w:type="pct"/>
          </w:tcPr>
          <w:p w:rsidR="0008794F" w:rsidRDefault="0008794F" w:rsidP="00D85A8C">
            <w:pPr>
              <w:spacing w:line="240" w:lineRule="auto"/>
              <w:rPr>
                <w:sz w:val="16"/>
                <w:szCs w:val="16"/>
              </w:rPr>
            </w:pPr>
            <w:r>
              <w:rPr>
                <w:sz w:val="16"/>
                <w:szCs w:val="16"/>
              </w:rPr>
              <w:t>… přičemž rozhodující byl pro Slovensko výrazný posun v letech 2004-2008</w:t>
            </w:r>
          </w:p>
          <w:p w:rsidR="0008794F" w:rsidRPr="00A557BF" w:rsidRDefault="0008794F" w:rsidP="00D85A8C">
            <w:pPr>
              <w:spacing w:line="240" w:lineRule="auto"/>
              <w:rPr>
                <w:sz w:val="16"/>
                <w:szCs w:val="16"/>
              </w:rPr>
            </w:pPr>
          </w:p>
        </w:tc>
        <w:tc>
          <w:tcPr>
            <w:tcW w:w="145" w:type="pct"/>
          </w:tcPr>
          <w:p w:rsidR="0008794F" w:rsidRPr="00A557BF" w:rsidRDefault="0008794F" w:rsidP="00D85A8C">
            <w:pPr>
              <w:pStyle w:val="Textpoznpodarou"/>
              <w:jc w:val="both"/>
            </w:pPr>
          </w:p>
        </w:tc>
        <w:tc>
          <w:tcPr>
            <w:tcW w:w="3800" w:type="pct"/>
          </w:tcPr>
          <w:p w:rsidR="0008794F" w:rsidRDefault="0008794F" w:rsidP="00D85A8C">
            <w:pPr>
              <w:pStyle w:val="Textpoznpodarou"/>
              <w:jc w:val="both"/>
            </w:pPr>
            <w:r>
              <w:t>Vraťme se však k relativní pozici obou zemí vztažené k EU 28. Celkově lze říci, že v období od vstupu do E</w:t>
            </w:r>
            <w:r w:rsidR="008C0FE8">
              <w:t>U</w:t>
            </w:r>
            <w:r>
              <w:t xml:space="preserve"> se relativní pozice Č</w:t>
            </w:r>
            <w:r w:rsidR="008C0FE8">
              <w:t>R</w:t>
            </w:r>
            <w:r>
              <w:t xml:space="preserve"> v úhrnném ekonomickém indikátoru výkonnosti země, tj. v HDP na obyvatele v PPS, zlepšila o 4,7 </w:t>
            </w:r>
            <w:proofErr w:type="spellStart"/>
            <w:r>
              <w:t>pb</w:t>
            </w:r>
            <w:proofErr w:type="spellEnd"/>
            <w:r>
              <w:t>.</w:t>
            </w:r>
            <w:r w:rsidR="008C0FE8">
              <w:t xml:space="preserve"> R</w:t>
            </w:r>
            <w:r>
              <w:t xml:space="preserve">elativní pozice Slovenska </w:t>
            </w:r>
            <w:r w:rsidR="008C0FE8">
              <w:t xml:space="preserve">však </w:t>
            </w:r>
            <w:r w:rsidR="008103D8">
              <w:t xml:space="preserve">byla lepší </w:t>
            </w:r>
            <w:r>
              <w:t xml:space="preserve">o 19,8 </w:t>
            </w:r>
            <w:proofErr w:type="spellStart"/>
            <w:r>
              <w:t>pb</w:t>
            </w:r>
            <w:proofErr w:type="spellEnd"/>
            <w:r>
              <w:t xml:space="preserve">. Přitom zcela rozhodující byl pro Slovensko posun už v období 2004-2008. Tehdy se indikátor zlepšil o 14,9 </w:t>
            </w:r>
            <w:proofErr w:type="spellStart"/>
            <w:r>
              <w:t>pb</w:t>
            </w:r>
            <w:proofErr w:type="spellEnd"/>
            <w:r>
              <w:t>., zatímco v Č</w:t>
            </w:r>
            <w:r w:rsidR="00382D10">
              <w:t>R</w:t>
            </w:r>
            <w:r>
              <w:t xml:space="preserve"> jen o 2,5 </w:t>
            </w:r>
            <w:proofErr w:type="spellStart"/>
            <w:r>
              <w:t>pb</w:t>
            </w:r>
            <w:proofErr w:type="spellEnd"/>
            <w:r>
              <w:t xml:space="preserve">. </w:t>
            </w:r>
          </w:p>
          <w:p w:rsidR="0008794F" w:rsidRPr="00B0247B" w:rsidRDefault="0008794F" w:rsidP="00D85A8C">
            <w:pPr>
              <w:pStyle w:val="Textpoznpodarou"/>
              <w:jc w:val="both"/>
              <w:rPr>
                <w:sz w:val="14"/>
                <w:szCs w:val="14"/>
              </w:rPr>
            </w:pPr>
          </w:p>
        </w:tc>
      </w:tr>
    </w:tbl>
    <w:p w:rsidR="0008794F" w:rsidRPr="005E0F80" w:rsidRDefault="0008794F" w:rsidP="00FB280C">
      <w:pPr>
        <w:rPr>
          <w:szCs w:val="20"/>
        </w:rPr>
      </w:pPr>
      <w:r w:rsidRPr="005E0F80">
        <w:rPr>
          <w:b/>
          <w:szCs w:val="20"/>
        </w:rPr>
        <w:t xml:space="preserve">Graf </w:t>
      </w:r>
      <w:r>
        <w:rPr>
          <w:b/>
          <w:szCs w:val="20"/>
        </w:rPr>
        <w:t>8</w:t>
      </w:r>
      <w:r w:rsidRPr="005E0F80">
        <w:rPr>
          <w:b/>
          <w:szCs w:val="20"/>
        </w:rPr>
        <w:t>: Změny v relativní výši HDP</w:t>
      </w:r>
      <w:r w:rsidRPr="005E0F80">
        <w:rPr>
          <w:b/>
          <w:color w:val="000000"/>
          <w:szCs w:val="20"/>
        </w:rPr>
        <w:t xml:space="preserve"> na obyvatele v PPS mezi lety 2005 a 2014 </w:t>
      </w:r>
      <w:r w:rsidRPr="005E0F80">
        <w:rPr>
          <w:color w:val="000000"/>
          <w:szCs w:val="20"/>
        </w:rPr>
        <w:t>(EU 28=100,</w:t>
      </w:r>
      <w:r w:rsidRPr="005E0F80">
        <w:rPr>
          <w:b/>
          <w:color w:val="000000"/>
          <w:szCs w:val="20"/>
        </w:rPr>
        <w:t xml:space="preserve"> </w:t>
      </w:r>
      <w:r w:rsidRPr="005E0F80">
        <w:rPr>
          <w:color w:val="000000"/>
          <w:szCs w:val="20"/>
        </w:rPr>
        <w:t xml:space="preserve">v </w:t>
      </w:r>
      <w:proofErr w:type="spellStart"/>
      <w:r w:rsidRPr="005E0F80">
        <w:rPr>
          <w:color w:val="000000"/>
          <w:szCs w:val="20"/>
        </w:rPr>
        <w:t>pb</w:t>
      </w:r>
      <w:proofErr w:type="spellEnd"/>
      <w:r w:rsidRPr="005E0F80">
        <w:rPr>
          <w:color w:val="000000"/>
          <w:szCs w:val="20"/>
        </w:rPr>
        <w:t xml:space="preserve">.) </w:t>
      </w:r>
    </w:p>
    <w:p w:rsidR="0008794F" w:rsidRPr="00D20DE6" w:rsidRDefault="00306F79" w:rsidP="00FB280C">
      <w:pPr>
        <w:jc w:val="center"/>
      </w:pPr>
      <w:r>
        <w:pict>
          <v:shape id="_x0000_i1032" type="#_x0000_t75" style="width:403.5pt;height:159.75pt">
            <v:imagedata r:id="rId20" o:title=""/>
          </v:shape>
        </w:pict>
      </w:r>
    </w:p>
    <w:p w:rsidR="0008794F" w:rsidRDefault="0008794F" w:rsidP="005311D6">
      <w:pPr>
        <w:rPr>
          <w:sz w:val="18"/>
          <w:szCs w:val="18"/>
        </w:rPr>
      </w:pPr>
      <w:r>
        <w:rPr>
          <w:sz w:val="18"/>
          <w:szCs w:val="18"/>
        </w:rPr>
        <w:t>Pozn.: * období 2005-2013</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DA43AC">
        <w:rPr>
          <w:sz w:val="18"/>
          <w:szCs w:val="18"/>
        </w:rPr>
        <w:t xml:space="preserve">Pramen: </w:t>
      </w:r>
      <w:proofErr w:type="spellStart"/>
      <w:r w:rsidRPr="00DA43AC">
        <w:rPr>
          <w:sz w:val="18"/>
          <w:szCs w:val="18"/>
        </w:rPr>
        <w:t>Eurostat</w:t>
      </w:r>
      <w:proofErr w:type="spellEnd"/>
    </w:p>
    <w:p w:rsidR="0008794F" w:rsidRDefault="0008794F" w:rsidP="00FB280C">
      <w:pPr>
        <w:jc w:val="right"/>
        <w:rPr>
          <w:sz w:val="18"/>
          <w:szCs w:val="18"/>
        </w:rPr>
      </w:pPr>
    </w:p>
    <w:tbl>
      <w:tblPr>
        <w:tblW w:w="5000" w:type="pct"/>
        <w:tblLook w:val="00A0"/>
      </w:tblPr>
      <w:tblGrid>
        <w:gridCol w:w="67"/>
        <w:gridCol w:w="837"/>
        <w:gridCol w:w="1184"/>
        <w:gridCol w:w="289"/>
        <w:gridCol w:w="2535"/>
        <w:gridCol w:w="824"/>
        <w:gridCol w:w="4052"/>
        <w:gridCol w:w="66"/>
      </w:tblGrid>
      <w:tr w:rsidR="0008794F" w:rsidRPr="00A557BF" w:rsidTr="00F44C5D">
        <w:tc>
          <w:tcPr>
            <w:tcW w:w="1055" w:type="pct"/>
            <w:gridSpan w:val="3"/>
          </w:tcPr>
          <w:p w:rsidR="0008794F" w:rsidRPr="00A557BF" w:rsidRDefault="0008794F" w:rsidP="00BF7844">
            <w:pPr>
              <w:spacing w:line="240" w:lineRule="auto"/>
              <w:rPr>
                <w:sz w:val="16"/>
                <w:szCs w:val="16"/>
              </w:rPr>
            </w:pPr>
            <w:r>
              <w:rPr>
                <w:sz w:val="16"/>
                <w:szCs w:val="16"/>
              </w:rPr>
              <w:t>Slovensko dokázalo vytěžit více ze vstupu do EU ve srovnání s Č</w:t>
            </w:r>
            <w:r w:rsidR="00BF7844">
              <w:rPr>
                <w:sz w:val="16"/>
                <w:szCs w:val="16"/>
              </w:rPr>
              <w:t>R</w:t>
            </w:r>
            <w:r>
              <w:rPr>
                <w:sz w:val="16"/>
                <w:szCs w:val="16"/>
              </w:rPr>
              <w:t xml:space="preserve">, ovšem jeho tempo reálné konvergence bylo prudké již </w:t>
            </w:r>
            <w:r w:rsidR="00BF7844">
              <w:rPr>
                <w:sz w:val="16"/>
                <w:szCs w:val="16"/>
              </w:rPr>
              <w:t>od</w:t>
            </w:r>
            <w:r>
              <w:rPr>
                <w:sz w:val="16"/>
                <w:szCs w:val="16"/>
              </w:rPr>
              <w:t xml:space="preserve"> roku 2000… </w:t>
            </w:r>
          </w:p>
        </w:tc>
        <w:tc>
          <w:tcPr>
            <w:tcW w:w="145" w:type="pct"/>
          </w:tcPr>
          <w:p w:rsidR="0008794F" w:rsidRPr="00A557BF" w:rsidRDefault="0008794F" w:rsidP="00F44C5D">
            <w:pPr>
              <w:pStyle w:val="Textpoznpodarou"/>
              <w:jc w:val="both"/>
            </w:pPr>
          </w:p>
        </w:tc>
        <w:tc>
          <w:tcPr>
            <w:tcW w:w="3800" w:type="pct"/>
            <w:gridSpan w:val="4"/>
          </w:tcPr>
          <w:p w:rsidR="0008794F" w:rsidRPr="00BF7844" w:rsidRDefault="0008794F" w:rsidP="00557D10">
            <w:pPr>
              <w:pStyle w:val="Textpoznpodarou"/>
              <w:jc w:val="both"/>
              <w:rPr>
                <w:spacing w:val="-2"/>
              </w:rPr>
            </w:pPr>
            <w:r w:rsidRPr="00BF7844">
              <w:rPr>
                <w:spacing w:val="-2"/>
              </w:rPr>
              <w:t>Z dlouhodobého pohledu, tj. od roku 1995 bylo tempo přibližování Slovenska k průměrné ekonomické úrovni EU v HDP/</w:t>
            </w:r>
            <w:proofErr w:type="spellStart"/>
            <w:r w:rsidRPr="00BF7844">
              <w:rPr>
                <w:spacing w:val="-2"/>
              </w:rPr>
              <w:t>obyv</w:t>
            </w:r>
            <w:proofErr w:type="spellEnd"/>
            <w:r w:rsidRPr="00BF7844">
              <w:rPr>
                <w:spacing w:val="-2"/>
              </w:rPr>
              <w:t>. v PPS ve srovnání s tempem Č</w:t>
            </w:r>
            <w:r w:rsidR="00BF7844" w:rsidRPr="00BF7844">
              <w:rPr>
                <w:spacing w:val="-2"/>
              </w:rPr>
              <w:t>R</w:t>
            </w:r>
            <w:r w:rsidRPr="00BF7844">
              <w:rPr>
                <w:spacing w:val="-2"/>
              </w:rPr>
              <w:t xml:space="preserve"> ještě impozantnější (graf 8). Jak je vidět, Slovensko nejenže dokázalo více než Česká republika „vytěžit“ z členství v EU (zejména v období 2004-2008). Tempo reálné konvergence bylo v SR prudké již od roku 2000, jak je dobře vidět z grafu 9.</w:t>
            </w:r>
          </w:p>
          <w:p w:rsidR="0008794F" w:rsidRPr="000A0CB7" w:rsidRDefault="0008794F" w:rsidP="00557D10">
            <w:pPr>
              <w:pStyle w:val="Textpoznpodarou"/>
              <w:jc w:val="both"/>
            </w:pPr>
          </w:p>
        </w:tc>
      </w:tr>
      <w:tr w:rsidR="0008794F" w:rsidRPr="00A557BF" w:rsidTr="00557D10">
        <w:tc>
          <w:tcPr>
            <w:tcW w:w="1055" w:type="pct"/>
            <w:gridSpan w:val="3"/>
          </w:tcPr>
          <w:p w:rsidR="0008794F" w:rsidRPr="00A557BF" w:rsidRDefault="0008794F" w:rsidP="00D85A8C">
            <w:pPr>
              <w:spacing w:line="240" w:lineRule="auto"/>
              <w:rPr>
                <w:sz w:val="16"/>
                <w:szCs w:val="16"/>
              </w:rPr>
            </w:pPr>
            <w:r w:rsidRPr="00A557BF">
              <w:rPr>
                <w:sz w:val="16"/>
                <w:szCs w:val="16"/>
              </w:rPr>
              <w:t>…</w:t>
            </w:r>
            <w:r>
              <w:rPr>
                <w:sz w:val="16"/>
                <w:szCs w:val="16"/>
              </w:rPr>
              <w:t>přičemž ČR doplácela na roky recese 1997 a 1997 i 2012 a 2013</w:t>
            </w:r>
          </w:p>
        </w:tc>
        <w:tc>
          <w:tcPr>
            <w:tcW w:w="145" w:type="pct"/>
          </w:tcPr>
          <w:p w:rsidR="0008794F" w:rsidRPr="00A557BF" w:rsidRDefault="0008794F" w:rsidP="00D85A8C">
            <w:pPr>
              <w:pStyle w:val="Textpoznpodarou"/>
              <w:jc w:val="both"/>
            </w:pPr>
          </w:p>
        </w:tc>
        <w:tc>
          <w:tcPr>
            <w:tcW w:w="3800" w:type="pct"/>
            <w:gridSpan w:val="4"/>
          </w:tcPr>
          <w:p w:rsidR="0008794F" w:rsidRDefault="0008794F" w:rsidP="00557D10">
            <w:pPr>
              <w:pStyle w:val="Textpoznpodarou"/>
              <w:jc w:val="both"/>
            </w:pPr>
            <w:r>
              <w:t>Zatímco ČR „tratila“ po měnové krizi z poloviny 90. let na tempu r</w:t>
            </w:r>
            <w:r w:rsidR="008103D8">
              <w:t xml:space="preserve">ůstu HDP a prošla v letech 1997 a </w:t>
            </w:r>
            <w:r>
              <w:t>1998 recesí, která ovlivnila i relaci HDP v přepočtu na obyvatele v PPS prakticky až do roku 2000, slovenské zaváhání bylo kr</w:t>
            </w:r>
            <w:r w:rsidR="008C0FE8">
              <w:t xml:space="preserve">atší (1999-2000). Nejrychlejší </w:t>
            </w:r>
            <w:r>
              <w:t>reálná konvergence byla v ČR v trendu patrná v letech 2000-2007, posilovaná mohutnou vlnou přímých zahraničních investic.</w:t>
            </w:r>
          </w:p>
          <w:p w:rsidR="0008794F" w:rsidRPr="00557D10" w:rsidRDefault="0008794F" w:rsidP="00D85A8C">
            <w:pPr>
              <w:pStyle w:val="Textpoznpodarou"/>
              <w:jc w:val="both"/>
            </w:pPr>
          </w:p>
        </w:tc>
      </w:tr>
      <w:tr w:rsidR="0008794F" w:rsidRPr="00817C98" w:rsidTr="00454492">
        <w:tblPrEx>
          <w:tblCellMar>
            <w:left w:w="28" w:type="dxa"/>
            <w:right w:w="28" w:type="dxa"/>
          </w:tblCellMar>
        </w:tblPrEx>
        <w:trPr>
          <w:gridBefore w:val="1"/>
          <w:gridAfter w:val="1"/>
          <w:wBefore w:w="41" w:type="pct"/>
          <w:wAfter w:w="41" w:type="pct"/>
        </w:trPr>
        <w:tc>
          <w:tcPr>
            <w:tcW w:w="420" w:type="pct"/>
          </w:tcPr>
          <w:p w:rsidR="0008794F" w:rsidRDefault="0008794F" w:rsidP="00181C9A">
            <w:pPr>
              <w:spacing w:line="240" w:lineRule="auto"/>
            </w:pPr>
            <w:r>
              <w:t>Graf 9</w:t>
            </w:r>
          </w:p>
        </w:tc>
        <w:tc>
          <w:tcPr>
            <w:tcW w:w="2011" w:type="pct"/>
            <w:gridSpan w:val="3"/>
          </w:tcPr>
          <w:p w:rsidR="0008794F" w:rsidRDefault="0008794F" w:rsidP="00181C9A">
            <w:pPr>
              <w:pStyle w:val="Textpoznpodarou"/>
              <w:rPr>
                <w:rFonts w:cs="Arial"/>
                <w:szCs w:val="24"/>
              </w:rPr>
            </w:pPr>
            <w:r>
              <w:rPr>
                <w:rFonts w:cs="Arial"/>
                <w:b/>
                <w:bCs/>
              </w:rPr>
              <w:t xml:space="preserve">ČR a SR - HDP na obyvatele v paritě kupní síly (PPS) 1995-2014 </w:t>
            </w:r>
            <w:r w:rsidRPr="00BE1C59">
              <w:rPr>
                <w:rFonts w:cs="Arial"/>
                <w:bCs/>
              </w:rPr>
              <w:t>(EU 28=100)</w:t>
            </w:r>
          </w:p>
        </w:tc>
        <w:tc>
          <w:tcPr>
            <w:tcW w:w="425" w:type="pct"/>
          </w:tcPr>
          <w:p w:rsidR="0008794F" w:rsidRDefault="0008794F" w:rsidP="00181C9A">
            <w:pPr>
              <w:spacing w:line="240" w:lineRule="auto"/>
            </w:pPr>
            <w:r>
              <w:t>Graf 10</w:t>
            </w:r>
          </w:p>
        </w:tc>
        <w:tc>
          <w:tcPr>
            <w:tcW w:w="2063" w:type="pct"/>
          </w:tcPr>
          <w:p w:rsidR="0008794F" w:rsidRPr="00817C98" w:rsidRDefault="0008794F" w:rsidP="00181C9A">
            <w:pPr>
              <w:spacing w:line="240" w:lineRule="auto"/>
              <w:rPr>
                <w:rFonts w:cs="Arial"/>
                <w:b/>
                <w:bCs/>
              </w:rPr>
            </w:pPr>
            <w:r>
              <w:rPr>
                <w:rFonts w:cs="Arial"/>
                <w:b/>
                <w:bCs/>
              </w:rPr>
              <w:t xml:space="preserve">ČR a Rakousko - HDP na obyvatele v PPS 1995-2014 </w:t>
            </w:r>
            <w:r>
              <w:rPr>
                <w:rFonts w:cs="Arial"/>
                <w:bCs/>
              </w:rPr>
              <w:t>(</w:t>
            </w:r>
            <w:r w:rsidRPr="00BE1C59">
              <w:rPr>
                <w:rFonts w:cs="Arial"/>
                <w:bCs/>
              </w:rPr>
              <w:t xml:space="preserve">EU 28=100) </w:t>
            </w:r>
          </w:p>
        </w:tc>
      </w:tr>
      <w:tr w:rsidR="0008794F" w:rsidRPr="00323C30" w:rsidTr="00454492">
        <w:tblPrEx>
          <w:tblCellMar>
            <w:left w:w="28" w:type="dxa"/>
            <w:right w:w="28" w:type="dxa"/>
          </w:tblCellMar>
        </w:tblPrEx>
        <w:trPr>
          <w:gridBefore w:val="1"/>
          <w:gridAfter w:val="1"/>
          <w:wBefore w:w="41" w:type="pct"/>
          <w:wAfter w:w="41" w:type="pct"/>
        </w:trPr>
        <w:tc>
          <w:tcPr>
            <w:tcW w:w="2430" w:type="pct"/>
            <w:gridSpan w:val="4"/>
          </w:tcPr>
          <w:p w:rsidR="0008794F" w:rsidRPr="00DA43AC" w:rsidRDefault="00306F79" w:rsidP="00C81DE5">
            <w:pPr>
              <w:pStyle w:val="Textpoznpodarou"/>
              <w:jc w:val="both"/>
              <w:rPr>
                <w:noProof/>
              </w:rPr>
            </w:pPr>
            <w:r>
              <w:rPr>
                <w:noProof/>
              </w:rPr>
              <w:pict>
                <v:shape id="_x0000_i1033" type="#_x0000_t75" style="width:239.25pt;height:198.75pt">
                  <v:imagedata r:id="rId21" o:title=""/>
                </v:shape>
              </w:pict>
            </w:r>
          </w:p>
        </w:tc>
        <w:tc>
          <w:tcPr>
            <w:tcW w:w="2488" w:type="pct"/>
            <w:gridSpan w:val="2"/>
          </w:tcPr>
          <w:p w:rsidR="0008794F" w:rsidRPr="00C81DE5" w:rsidRDefault="00306F79" w:rsidP="00181C9A">
            <w:pPr>
              <w:pStyle w:val="Textpoznpodarou"/>
              <w:jc w:val="both"/>
            </w:pPr>
            <w:r>
              <w:pict>
                <v:shape id="_x0000_i1034" type="#_x0000_t75" style="width:234.75pt;height:198.75pt">
                  <v:imagedata r:id="rId22" o:title=""/>
                </v:shape>
              </w:pict>
            </w:r>
          </w:p>
        </w:tc>
      </w:tr>
    </w:tbl>
    <w:p w:rsidR="0008794F" w:rsidRDefault="0008794F" w:rsidP="00C81DE5">
      <w:pPr>
        <w:jc w:val="right"/>
        <w:rPr>
          <w:sz w:val="18"/>
          <w:szCs w:val="18"/>
        </w:rPr>
      </w:pPr>
      <w:r w:rsidRPr="00DA43AC">
        <w:rPr>
          <w:sz w:val="18"/>
          <w:szCs w:val="18"/>
        </w:rPr>
        <w:t xml:space="preserve">Pramen: </w:t>
      </w:r>
      <w:proofErr w:type="spellStart"/>
      <w:r w:rsidRPr="00DA43AC">
        <w:rPr>
          <w:sz w:val="18"/>
          <w:szCs w:val="18"/>
        </w:rPr>
        <w:t>Eurostat</w:t>
      </w:r>
      <w:proofErr w:type="spellEnd"/>
    </w:p>
    <w:p w:rsidR="0008794F" w:rsidRPr="00E928ED" w:rsidRDefault="0008794F" w:rsidP="006F38C7">
      <w:pPr>
        <w:jc w:val="both"/>
        <w:rPr>
          <w:sz w:val="16"/>
          <w:szCs w:val="16"/>
        </w:rPr>
      </w:pPr>
    </w:p>
    <w:p w:rsidR="0008794F" w:rsidRPr="00454492" w:rsidRDefault="0008794F" w:rsidP="00454492">
      <w:pPr>
        <w:jc w:val="both"/>
        <w:rPr>
          <w:b/>
          <w:sz w:val="22"/>
          <w:szCs w:val="22"/>
        </w:rPr>
      </w:pPr>
      <w:r w:rsidRPr="006F38C7">
        <w:rPr>
          <w:b/>
          <w:sz w:val="24"/>
        </w:rPr>
        <w:t>2.2.3. Další technické parametry působící na ukazatel HDP na obyvatele v PPS</w:t>
      </w:r>
    </w:p>
    <w:p w:rsidR="0008794F" w:rsidRPr="00E928ED" w:rsidRDefault="0008794F" w:rsidP="00454492">
      <w:pPr>
        <w:jc w:val="both"/>
        <w:rPr>
          <w:sz w:val="16"/>
          <w:szCs w:val="16"/>
        </w:rPr>
      </w:pPr>
    </w:p>
    <w:tbl>
      <w:tblPr>
        <w:tblW w:w="5043" w:type="pct"/>
        <w:tblInd w:w="-42" w:type="dxa"/>
        <w:tblCellMar>
          <w:left w:w="28" w:type="dxa"/>
          <w:right w:w="28" w:type="dxa"/>
        </w:tblCellMar>
        <w:tblLook w:val="00A0"/>
      </w:tblPr>
      <w:tblGrid>
        <w:gridCol w:w="2037"/>
        <w:gridCol w:w="272"/>
        <w:gridCol w:w="7468"/>
      </w:tblGrid>
      <w:tr w:rsidR="0008794F" w:rsidTr="000A0CB7">
        <w:tc>
          <w:tcPr>
            <w:tcW w:w="1042" w:type="pct"/>
          </w:tcPr>
          <w:p w:rsidR="0008794F" w:rsidRPr="000A0CB7" w:rsidRDefault="0008794F" w:rsidP="00922562">
            <w:pPr>
              <w:spacing w:line="240" w:lineRule="auto"/>
              <w:rPr>
                <w:color w:val="000000"/>
                <w:sz w:val="16"/>
                <w:szCs w:val="16"/>
              </w:rPr>
            </w:pPr>
            <w:r w:rsidRPr="000A0CB7">
              <w:rPr>
                <w:color w:val="000000"/>
                <w:sz w:val="16"/>
                <w:szCs w:val="16"/>
              </w:rPr>
              <w:t xml:space="preserve">Vliv změn v paritách kupní síly a změn v počtu obyvatel ČR a SR </w:t>
            </w:r>
          </w:p>
        </w:tc>
        <w:tc>
          <w:tcPr>
            <w:tcW w:w="139" w:type="pct"/>
          </w:tcPr>
          <w:p w:rsidR="0008794F" w:rsidRPr="00A557BF" w:rsidRDefault="0008794F" w:rsidP="00922562">
            <w:pPr>
              <w:pStyle w:val="Textpoznpodarou"/>
              <w:jc w:val="both"/>
            </w:pPr>
          </w:p>
        </w:tc>
        <w:tc>
          <w:tcPr>
            <w:tcW w:w="3819" w:type="pct"/>
          </w:tcPr>
          <w:p w:rsidR="0008794F" w:rsidRPr="000A0CB7" w:rsidRDefault="0008794F" w:rsidP="00922562">
            <w:pPr>
              <w:pStyle w:val="Textpoznpodarou"/>
              <w:jc w:val="both"/>
              <w:rPr>
                <w:color w:val="000000"/>
                <w:spacing w:val="-2"/>
              </w:rPr>
            </w:pPr>
            <w:r w:rsidRPr="000A0CB7">
              <w:rPr>
                <w:color w:val="000000"/>
                <w:spacing w:val="-2"/>
              </w:rPr>
              <w:t>Co se týká vývoje parit, v ČR i SR byla změna parit kupní síly v relaci k EU 28 za roky 1995-2014 zhruba stejná (</w:t>
            </w:r>
            <w:r>
              <w:rPr>
                <w:color w:val="000000"/>
                <w:spacing w:val="-2"/>
              </w:rPr>
              <w:t xml:space="preserve">nárůst přibližně o třetinu, na </w:t>
            </w:r>
            <w:r w:rsidRPr="000A0CB7">
              <w:rPr>
                <w:color w:val="000000"/>
                <w:spacing w:val="-2"/>
              </w:rPr>
              <w:t>Slovensku pak nepatrně nižší). Změnou v paritách tak zřejmě nelze vysvětlit výrazný rozdíl v reálné konvergenci Slovenska a Č</w:t>
            </w:r>
            <w:r>
              <w:rPr>
                <w:color w:val="000000"/>
                <w:spacing w:val="-2"/>
              </w:rPr>
              <w:t>R</w:t>
            </w:r>
            <w:r w:rsidRPr="000A0CB7">
              <w:rPr>
                <w:color w:val="000000"/>
                <w:spacing w:val="-2"/>
              </w:rPr>
              <w:t xml:space="preserve"> v letech 1995-2014, resp. v období 2004-2014. </w:t>
            </w:r>
          </w:p>
          <w:p w:rsidR="0008794F" w:rsidRPr="006F38C7" w:rsidRDefault="0008794F" w:rsidP="00922562">
            <w:pPr>
              <w:pStyle w:val="Textpoznpodarou"/>
              <w:jc w:val="both"/>
              <w:rPr>
                <w:color w:val="000000"/>
                <w:spacing w:val="-2"/>
                <w:sz w:val="12"/>
                <w:szCs w:val="12"/>
              </w:rPr>
            </w:pPr>
          </w:p>
          <w:p w:rsidR="0008794F" w:rsidRDefault="0008794F" w:rsidP="00922562">
            <w:pPr>
              <w:pStyle w:val="Textpoznpodarou"/>
              <w:jc w:val="both"/>
              <w:rPr>
                <w:color w:val="000000"/>
                <w:spacing w:val="-2"/>
              </w:rPr>
            </w:pPr>
            <w:r w:rsidRPr="000A0CB7">
              <w:rPr>
                <w:color w:val="000000"/>
                <w:spacing w:val="-2"/>
              </w:rPr>
              <w:t xml:space="preserve">Další parametr formulující indikátor HDP na obyvatele v paritě kupní síly, tj. počet obyvatel, se v ČR a SR vyvíjel odlišně v tom, že přírůstek obyvatelstva za roky 1995-2014 byl v ČR větší než na Slovensku (+1,7 % proti </w:t>
            </w:r>
            <w:r>
              <w:rPr>
                <w:color w:val="000000"/>
                <w:spacing w:val="-2"/>
              </w:rPr>
              <w:t>+</w:t>
            </w:r>
            <w:r w:rsidRPr="000A0CB7">
              <w:rPr>
                <w:color w:val="000000"/>
                <w:spacing w:val="-2"/>
              </w:rPr>
              <w:t>0,9 % podle středního stavu obyvatelstva v daných letech). V období 2004-2014 byla změna ještě výraznější, neboť v ČR se za tu dobu zvýšil počet obyvatel - nejen přirozenou měnou, ale i migrací - o 3 %, zatímco na Slovensku jen o 0,6 % (přitom zajímavý byl i vývoj uvnitř sledovaného období, protože ve druhé polovině 90. let až do roku 2002 v České republice počet obyvatel klesal, zatímco na Slovensku nikoli). Pohyb v počtu obyvatel tak mohl zčásti favorizovat Slovenskou republiku</w:t>
            </w:r>
            <w:r w:rsidR="008C0FE8">
              <w:rPr>
                <w:color w:val="000000"/>
                <w:spacing w:val="-2"/>
              </w:rPr>
              <w:t xml:space="preserve">, </w:t>
            </w:r>
            <w:r w:rsidRPr="000A0CB7">
              <w:rPr>
                <w:color w:val="000000"/>
                <w:spacing w:val="-2"/>
              </w:rPr>
              <w:t>pokud jde o přepočet HDP na obyvatele.</w:t>
            </w:r>
            <w:r>
              <w:rPr>
                <w:color w:val="000000"/>
                <w:spacing w:val="-2"/>
              </w:rPr>
              <w:t xml:space="preserve"> Rozhodující vliv však mělo dosahované tempo ekonomického růstu v obou zemích (více v kapitole 3). </w:t>
            </w:r>
          </w:p>
          <w:p w:rsidR="0008794F" w:rsidRPr="000A0CB7" w:rsidRDefault="0008794F" w:rsidP="00922562">
            <w:pPr>
              <w:pStyle w:val="Textpoznpodarou"/>
              <w:jc w:val="both"/>
              <w:rPr>
                <w:color w:val="000000"/>
                <w:spacing w:val="-2"/>
              </w:rPr>
            </w:pPr>
            <w:r w:rsidRPr="000A0CB7">
              <w:rPr>
                <w:color w:val="000000"/>
                <w:spacing w:val="-2"/>
              </w:rPr>
              <w:t xml:space="preserve"> </w:t>
            </w:r>
          </w:p>
        </w:tc>
      </w:tr>
      <w:tr w:rsidR="0008794F" w:rsidTr="00922562">
        <w:tc>
          <w:tcPr>
            <w:tcW w:w="1042" w:type="pct"/>
          </w:tcPr>
          <w:p w:rsidR="0008794F" w:rsidRPr="00602D1D" w:rsidRDefault="0008794F" w:rsidP="00922562">
            <w:pPr>
              <w:spacing w:line="240" w:lineRule="auto"/>
              <w:rPr>
                <w:color w:val="000000"/>
                <w:sz w:val="16"/>
                <w:szCs w:val="16"/>
              </w:rPr>
            </w:pPr>
            <w:r>
              <w:rPr>
                <w:color w:val="000000"/>
                <w:sz w:val="16"/>
                <w:szCs w:val="16"/>
              </w:rPr>
              <w:t xml:space="preserve">Relativně vysoká korelace mezi ČR a SR, naopak záporný vztah pokud jde o Rakousko – vysvětlením může být, že tam od roku 2000-2007 začínalo již HDP na obyvatele v PPS v relaci k EU klesat </w:t>
            </w:r>
          </w:p>
        </w:tc>
        <w:tc>
          <w:tcPr>
            <w:tcW w:w="139" w:type="pct"/>
          </w:tcPr>
          <w:p w:rsidR="0008794F" w:rsidRDefault="0008794F" w:rsidP="00922562">
            <w:pPr>
              <w:pStyle w:val="Textpoznpodarou"/>
              <w:jc w:val="both"/>
            </w:pPr>
          </w:p>
        </w:tc>
        <w:tc>
          <w:tcPr>
            <w:tcW w:w="3819" w:type="pct"/>
          </w:tcPr>
          <w:p w:rsidR="0008794F" w:rsidRDefault="0008794F" w:rsidP="00922562">
            <w:pPr>
              <w:pStyle w:val="Textpoznpodarou"/>
              <w:jc w:val="both"/>
              <w:rPr>
                <w:color w:val="000000"/>
                <w:spacing w:val="-2"/>
              </w:rPr>
            </w:pPr>
            <w:r>
              <w:rPr>
                <w:color w:val="000000"/>
                <w:spacing w:val="-2"/>
              </w:rPr>
              <w:t>I přes rychlejší konvergenční změny ve slovenské ekonomice vykazuje během let 1995-2014 vývoj v ČR a SR relativně vysokou korelaci. Naopak srovnání české ekonomiky a ekonomiky Rakouska podle toho, jakých úrovní dosahoval v uvedeném období HDP na obyvatele v PPS, vykazuje zápornou korelaci. I křivky v grafu 9 ilustr</w:t>
            </w:r>
            <w:r w:rsidR="008C0FE8">
              <w:rPr>
                <w:color w:val="000000"/>
                <w:spacing w:val="-2"/>
              </w:rPr>
              <w:t xml:space="preserve">ují hrubou podobnost přibližně </w:t>
            </w:r>
            <w:r>
              <w:rPr>
                <w:color w:val="000000"/>
                <w:spacing w:val="-2"/>
              </w:rPr>
              <w:t xml:space="preserve">jen v období 1997-2000, poté v dalších letech již ČR reálně konvergovala k průměru EU, zatímco v Rakousku relace HDP na obyvatele v PPS začínala klesat, což trvalo až do roku 2007. </w:t>
            </w:r>
          </w:p>
        </w:tc>
      </w:tr>
    </w:tbl>
    <w:p w:rsidR="0008794F" w:rsidRDefault="0008794F" w:rsidP="00D34225"/>
    <w:p w:rsidR="0008794F" w:rsidRPr="002844CC" w:rsidRDefault="0008794F" w:rsidP="007039D1">
      <w:pPr>
        <w:jc w:val="both"/>
        <w:rPr>
          <w:b/>
          <w:sz w:val="12"/>
          <w:szCs w:val="12"/>
        </w:rPr>
      </w:pPr>
    </w:p>
    <w:p w:rsidR="0008794F" w:rsidRPr="00EF6654" w:rsidRDefault="0008794F" w:rsidP="007039D1">
      <w:pPr>
        <w:jc w:val="both"/>
        <w:rPr>
          <w:b/>
          <w:sz w:val="28"/>
          <w:szCs w:val="28"/>
        </w:rPr>
      </w:pPr>
      <w:r w:rsidRPr="00EF6654">
        <w:rPr>
          <w:b/>
          <w:sz w:val="28"/>
          <w:szCs w:val="28"/>
        </w:rPr>
        <w:t>2.3. Relace ve výdajích na konečnou spotřebu</w:t>
      </w:r>
    </w:p>
    <w:p w:rsidR="0008794F" w:rsidRPr="00B83E78" w:rsidRDefault="0008794F" w:rsidP="007039D1">
      <w:pPr>
        <w:jc w:val="both"/>
        <w:rPr>
          <w:b/>
          <w:szCs w:val="20"/>
        </w:rPr>
      </w:pPr>
    </w:p>
    <w:tbl>
      <w:tblPr>
        <w:tblW w:w="5000" w:type="pct"/>
        <w:tblLook w:val="00A0"/>
      </w:tblPr>
      <w:tblGrid>
        <w:gridCol w:w="2079"/>
        <w:gridCol w:w="286"/>
        <w:gridCol w:w="7489"/>
      </w:tblGrid>
      <w:tr w:rsidR="0008794F" w:rsidRPr="00A557BF" w:rsidTr="004B4B5B">
        <w:tc>
          <w:tcPr>
            <w:tcW w:w="1055" w:type="pct"/>
          </w:tcPr>
          <w:p w:rsidR="0008794F" w:rsidRPr="00A557BF" w:rsidRDefault="0008794F" w:rsidP="004B4B5B">
            <w:pPr>
              <w:spacing w:line="240" w:lineRule="auto"/>
              <w:rPr>
                <w:sz w:val="16"/>
                <w:szCs w:val="16"/>
              </w:rPr>
            </w:pPr>
            <w:r>
              <w:rPr>
                <w:sz w:val="16"/>
                <w:szCs w:val="16"/>
              </w:rPr>
              <w:t>Výdaje na konečnou spotřebu domácností vč. NISD</w:t>
            </w:r>
            <w:r w:rsidRPr="00A557BF">
              <w:rPr>
                <w:sz w:val="16"/>
                <w:szCs w:val="16"/>
              </w:rPr>
              <w:t>…</w:t>
            </w:r>
          </w:p>
        </w:tc>
        <w:tc>
          <w:tcPr>
            <w:tcW w:w="145" w:type="pct"/>
          </w:tcPr>
          <w:p w:rsidR="0008794F" w:rsidRPr="00A557BF" w:rsidRDefault="0008794F" w:rsidP="004B4B5B">
            <w:pPr>
              <w:pStyle w:val="Textpoznpodarou"/>
              <w:jc w:val="both"/>
            </w:pPr>
          </w:p>
        </w:tc>
        <w:tc>
          <w:tcPr>
            <w:tcW w:w="3800" w:type="pct"/>
          </w:tcPr>
          <w:p w:rsidR="0008794F" w:rsidRDefault="0008794F" w:rsidP="004B4B5B">
            <w:pPr>
              <w:pStyle w:val="Textpoznpodarou"/>
              <w:jc w:val="both"/>
            </w:pPr>
            <w:r>
              <w:t>Materiální aspekt kvality života má svůj odraz mimo jiné i ve výdajích domácností na konečnou spotřebu</w:t>
            </w:r>
            <w:r w:rsidR="008103D8">
              <w:rPr>
                <w:rStyle w:val="Znakapoznpodarou"/>
              </w:rPr>
              <w:footnoteReference w:id="2"/>
            </w:r>
            <w:r>
              <w:t>, vč. výdajů neziskových institucí sloužících domácnostem (NISD)</w:t>
            </w:r>
            <w:r>
              <w:rPr>
                <w:rStyle w:val="Znakapoznpodarou"/>
              </w:rPr>
              <w:footnoteReference w:id="3"/>
            </w:r>
            <w:r>
              <w:t xml:space="preserve"> v přepočtu na obyvatele v PPS, tak jak je tento indikátor uváděn v databázích </w:t>
            </w:r>
            <w:proofErr w:type="spellStart"/>
            <w:r>
              <w:t>Eurostatu</w:t>
            </w:r>
            <w:proofErr w:type="spellEnd"/>
            <w:r>
              <w:t xml:space="preserve">. (V dalším textu budeme uvádět zkráceně termín „spotřeba“ myšlený v tomto smyslu, tj. vč. výdajů na NISD a v přepočtu na jednoho obyvatele). </w:t>
            </w:r>
          </w:p>
          <w:p w:rsidR="0008794F" w:rsidRPr="00A557BF" w:rsidRDefault="0008794F" w:rsidP="004B4B5B">
            <w:pPr>
              <w:pStyle w:val="Textpoznpodarou"/>
              <w:jc w:val="both"/>
              <w:rPr>
                <w:sz w:val="18"/>
                <w:szCs w:val="18"/>
              </w:rPr>
            </w:pPr>
            <w:r>
              <w:t xml:space="preserve">  </w:t>
            </w:r>
          </w:p>
        </w:tc>
      </w:tr>
      <w:tr w:rsidR="0008794F" w:rsidRPr="00A557BF" w:rsidTr="004B4B5B">
        <w:tc>
          <w:tcPr>
            <w:tcW w:w="1055" w:type="pct"/>
          </w:tcPr>
          <w:p w:rsidR="0008794F" w:rsidRPr="00A557BF" w:rsidRDefault="0008794F" w:rsidP="004B4B5B">
            <w:pPr>
              <w:spacing w:line="240" w:lineRule="auto"/>
              <w:rPr>
                <w:sz w:val="16"/>
                <w:szCs w:val="16"/>
              </w:rPr>
            </w:pPr>
            <w:r>
              <w:rPr>
                <w:sz w:val="16"/>
                <w:szCs w:val="16"/>
              </w:rPr>
              <w:t xml:space="preserve">… ukazují v relaci k EU 28 podstatně nižší úroveň u České republiky než jakou má Rakousko, ale </w:t>
            </w:r>
            <w:proofErr w:type="gramStart"/>
            <w:r>
              <w:rPr>
                <w:sz w:val="16"/>
                <w:szCs w:val="16"/>
              </w:rPr>
              <w:t>dokonce  i nižší</w:t>
            </w:r>
            <w:proofErr w:type="gramEnd"/>
            <w:r>
              <w:rPr>
                <w:sz w:val="16"/>
                <w:szCs w:val="16"/>
              </w:rPr>
              <w:t>, než jaké dosahovalo v roce 2014 Slovensko</w:t>
            </w:r>
          </w:p>
        </w:tc>
        <w:tc>
          <w:tcPr>
            <w:tcW w:w="145" w:type="pct"/>
          </w:tcPr>
          <w:p w:rsidR="0008794F" w:rsidRPr="00A557BF" w:rsidRDefault="0008794F" w:rsidP="004B4B5B">
            <w:pPr>
              <w:pStyle w:val="Textpoznpodarou"/>
              <w:jc w:val="both"/>
            </w:pPr>
          </w:p>
        </w:tc>
        <w:tc>
          <w:tcPr>
            <w:tcW w:w="3800" w:type="pct"/>
          </w:tcPr>
          <w:p w:rsidR="0008794F" w:rsidRDefault="0008794F" w:rsidP="004B4B5B">
            <w:pPr>
              <w:pStyle w:val="Textpoznpodarou"/>
              <w:jc w:val="both"/>
            </w:pPr>
            <w:r>
              <w:t>Porovnáme-li velikost výdajů na konečnou spotřebu domácností vč. NISD v paritě kupní síly na obyvatele opět k referenční mezi, kterou je průměr za EU 28 (graf 10), ukazují komparace Č</w:t>
            </w:r>
            <w:r w:rsidR="00B83E78">
              <w:t>R</w:t>
            </w:r>
            <w:r>
              <w:t xml:space="preserve">, Slovenska a Rakouska odlišnou pozici než jakou vykreslují podobná data za HDP jako celek. </w:t>
            </w:r>
          </w:p>
          <w:p w:rsidR="0008794F" w:rsidRPr="00EF6654" w:rsidRDefault="0008794F" w:rsidP="004B4B5B">
            <w:pPr>
              <w:pStyle w:val="Textpoznpodarou"/>
              <w:jc w:val="both"/>
              <w:rPr>
                <w:sz w:val="12"/>
                <w:szCs w:val="12"/>
              </w:rPr>
            </w:pPr>
          </w:p>
          <w:p w:rsidR="0008794F" w:rsidRDefault="0008794F" w:rsidP="004B4B5B">
            <w:pPr>
              <w:pStyle w:val="Textpoznpodarou"/>
              <w:jc w:val="both"/>
            </w:pPr>
            <w:r>
              <w:t>Pro Č</w:t>
            </w:r>
            <w:r w:rsidR="00B83E78">
              <w:t>R</w:t>
            </w:r>
            <w:r>
              <w:t xml:space="preserve"> nevyznívá porovnání příznivě. Ukazuje nejen podstatně nižší úroveň výdajů na konečnou spotřebu v </w:t>
            </w:r>
            <w:proofErr w:type="spellStart"/>
            <w:r w:rsidR="00B83E78">
              <w:t>PPS</w:t>
            </w:r>
            <w:r>
              <w:t>y</w:t>
            </w:r>
            <w:proofErr w:type="spellEnd"/>
            <w:r>
              <w:t xml:space="preserve"> v relaci k EU 28 (71,2 %), než jakou má Rakousko (120,5 %), což lze očekávat. Relativní spotřeba domácností na obyvatele byla ale v roce 2014 v ČR dokonce nižší, než jakou vykazovala S</w:t>
            </w:r>
            <w:r w:rsidR="00B83E78">
              <w:t>R</w:t>
            </w:r>
            <w:r>
              <w:t xml:space="preserve"> (75,6 %). Disproporce v neprospěch ČR byla relativně značná. </w:t>
            </w:r>
          </w:p>
          <w:p w:rsidR="0008794F" w:rsidRPr="00EF6654" w:rsidRDefault="0008794F" w:rsidP="004B4B5B">
            <w:pPr>
              <w:pStyle w:val="Textpoznpodarou"/>
              <w:jc w:val="both"/>
              <w:rPr>
                <w:sz w:val="12"/>
                <w:szCs w:val="12"/>
              </w:rPr>
            </w:pPr>
          </w:p>
          <w:p w:rsidR="0008794F" w:rsidRDefault="0008794F" w:rsidP="004B4B5B">
            <w:pPr>
              <w:pStyle w:val="Textpoznpodarou"/>
              <w:jc w:val="both"/>
            </w:pPr>
            <w:r>
              <w:t xml:space="preserve">Přitom ještě v roce 2005 byl odstup ČR oproti Slovensku ve spotřebě domácností na obyvatele jasně zřetelný (66,9 % úrovně EU v ČR a 58,6 % v SR). K zaostávání ČR </w:t>
            </w:r>
            <w:r w:rsidR="00B83E78">
              <w:t>ale</w:t>
            </w:r>
            <w:r>
              <w:t xml:space="preserve"> v období 2005-2014 významně </w:t>
            </w:r>
            <w:r w:rsidR="00B83E78">
              <w:t xml:space="preserve">přispěla </w:t>
            </w:r>
            <w:r>
              <w:t xml:space="preserve">recese let 2012-2013 s útlumem spotřeby - daným velmi slabými přírůstky disponibilních příjmů domácností -, kterou Slovensko nezaznamenalo. </w:t>
            </w:r>
          </w:p>
          <w:p w:rsidR="0008794F" w:rsidRPr="00BF7844" w:rsidRDefault="0008794F" w:rsidP="004B4B5B">
            <w:pPr>
              <w:pStyle w:val="Textpoznpodarou"/>
              <w:jc w:val="both"/>
              <w:rPr>
                <w:sz w:val="18"/>
                <w:szCs w:val="18"/>
              </w:rPr>
            </w:pPr>
          </w:p>
        </w:tc>
      </w:tr>
      <w:tr w:rsidR="0008794F" w:rsidRPr="00A557BF" w:rsidTr="004B4B5B">
        <w:tc>
          <w:tcPr>
            <w:tcW w:w="1055" w:type="pct"/>
          </w:tcPr>
          <w:p w:rsidR="0008794F" w:rsidRDefault="0008794F" w:rsidP="004B4B5B">
            <w:pPr>
              <w:spacing w:line="240" w:lineRule="auto"/>
              <w:rPr>
                <w:sz w:val="16"/>
                <w:szCs w:val="16"/>
              </w:rPr>
            </w:pPr>
            <w:r>
              <w:rPr>
                <w:sz w:val="16"/>
                <w:szCs w:val="16"/>
              </w:rPr>
              <w:t xml:space="preserve">V materiální kvalitě </w:t>
            </w:r>
            <w:proofErr w:type="gramStart"/>
            <w:r>
              <w:rPr>
                <w:sz w:val="16"/>
                <w:szCs w:val="16"/>
              </w:rPr>
              <w:t>života  ČR</w:t>
            </w:r>
            <w:proofErr w:type="gramEnd"/>
            <w:r>
              <w:rPr>
                <w:sz w:val="16"/>
                <w:szCs w:val="16"/>
              </w:rPr>
              <w:t xml:space="preserve"> zaostává a klesla za roky 2005-2014 z 19. na 21. místo v pořadí zemí EU; SR „</w:t>
            </w:r>
            <w:proofErr w:type="gramStart"/>
            <w:r>
              <w:rPr>
                <w:sz w:val="16"/>
                <w:szCs w:val="16"/>
              </w:rPr>
              <w:t>poskočila“  z 23</w:t>
            </w:r>
            <w:proofErr w:type="gramEnd"/>
            <w:r>
              <w:rPr>
                <w:sz w:val="16"/>
                <w:szCs w:val="16"/>
              </w:rPr>
              <w:t>. na 20. pozici…</w:t>
            </w:r>
          </w:p>
        </w:tc>
        <w:tc>
          <w:tcPr>
            <w:tcW w:w="145" w:type="pct"/>
          </w:tcPr>
          <w:p w:rsidR="0008794F" w:rsidRPr="00A557BF" w:rsidRDefault="0008794F" w:rsidP="004B4B5B">
            <w:pPr>
              <w:pStyle w:val="Textpoznpodarou"/>
              <w:jc w:val="both"/>
            </w:pPr>
          </w:p>
        </w:tc>
        <w:tc>
          <w:tcPr>
            <w:tcW w:w="3800" w:type="pct"/>
          </w:tcPr>
          <w:p w:rsidR="0008794F" w:rsidRDefault="0008794F" w:rsidP="004B4B5B">
            <w:pPr>
              <w:pStyle w:val="Textpoznpodarou"/>
              <w:jc w:val="both"/>
            </w:pPr>
            <w:r>
              <w:t>Materiální úroveň kvality života tak v ČR zaostává nejen za Rakouskem, ale už i za Slovenskem. V roce 2005 byla ČR v pořadí zemí EU 28 v relativní pozici u výdajů na konečnou spotřebu domácností na 19. místě a Slovensko na 23. místě. V roce 2014 se SR dostala na 20. místo, zatímco ČR oproti svému pořadí z roku 2005 ztratila a v žebříčku zemí zaujala 21. pozici.</w:t>
            </w:r>
          </w:p>
          <w:p w:rsidR="0008794F" w:rsidRPr="00BF7844" w:rsidRDefault="0008794F" w:rsidP="004B4B5B">
            <w:pPr>
              <w:pStyle w:val="Textpoznpodarou"/>
              <w:jc w:val="both"/>
              <w:rPr>
                <w:sz w:val="18"/>
                <w:szCs w:val="18"/>
              </w:rPr>
            </w:pPr>
          </w:p>
        </w:tc>
      </w:tr>
      <w:tr w:rsidR="0008794F" w:rsidRPr="00A557BF" w:rsidTr="004B4B5B">
        <w:tc>
          <w:tcPr>
            <w:tcW w:w="1055" w:type="pct"/>
          </w:tcPr>
          <w:p w:rsidR="0008794F" w:rsidRDefault="0008794F" w:rsidP="004B4B5B">
            <w:pPr>
              <w:spacing w:line="240" w:lineRule="auto"/>
              <w:rPr>
                <w:sz w:val="16"/>
                <w:szCs w:val="16"/>
              </w:rPr>
            </w:pPr>
            <w:r>
              <w:rPr>
                <w:sz w:val="16"/>
                <w:szCs w:val="16"/>
              </w:rPr>
              <w:t>… a „alpská“ ekonomika si udržela místo třetí nejbohatší země EU měřeno relativními výdaji na konečnou spotřebu domácností (vč. NISD) po Lucembursku a Spojeném království</w:t>
            </w:r>
          </w:p>
        </w:tc>
        <w:tc>
          <w:tcPr>
            <w:tcW w:w="145" w:type="pct"/>
          </w:tcPr>
          <w:p w:rsidR="0008794F" w:rsidRPr="00A557BF" w:rsidRDefault="0008794F" w:rsidP="004B4B5B">
            <w:pPr>
              <w:pStyle w:val="Textpoznpodarou"/>
              <w:jc w:val="both"/>
            </w:pPr>
          </w:p>
        </w:tc>
        <w:tc>
          <w:tcPr>
            <w:tcW w:w="3800" w:type="pct"/>
          </w:tcPr>
          <w:p w:rsidR="0008794F" w:rsidRDefault="0008794F" w:rsidP="00395B68">
            <w:pPr>
              <w:pStyle w:val="Textpoznpodarou"/>
              <w:jc w:val="both"/>
            </w:pPr>
            <w:r>
              <w:t xml:space="preserve">Zatímco SR se v tomto relativním srovnání zlepšila za deset let o 17 </w:t>
            </w:r>
            <w:proofErr w:type="spellStart"/>
            <w:r>
              <w:t>pb</w:t>
            </w:r>
            <w:proofErr w:type="spellEnd"/>
            <w:r>
              <w:t xml:space="preserve">., Česká republika jen o 4,2 </w:t>
            </w:r>
            <w:proofErr w:type="spellStart"/>
            <w:r>
              <w:t>pb</w:t>
            </w:r>
            <w:proofErr w:type="spellEnd"/>
            <w:r>
              <w:t xml:space="preserve">. Rakousko svoji pozici posílilo o 2,5 </w:t>
            </w:r>
            <w:proofErr w:type="spellStart"/>
            <w:r>
              <w:t>pb</w:t>
            </w:r>
            <w:proofErr w:type="spellEnd"/>
            <w:r>
              <w:t xml:space="preserve">. vůči průměru EU 28. I když se zdá, že co do posilování v procentních bodech je posun Rakouska ze tří sledovaných zemí nejnižší, je to logicky zdůvodnitelné jeho už tak velmi vysokou úrovní relativních výdajů na konečnou spotřebu domácností v přepočtu na obyvatele. Ty byly oproti průměru EU třetí nejvyšší ze zemí Unie jak v roce 2005, tak i v roce 2014 a dokládají tím vysokou takto měřenou životní úroveň, kterou mají domácnosti v „alpské“ ekonomice (třetí nejvyšší v Unii po Lucembursku s relací 143,6 % a Spojeném království s 122,4 % průměru EU 28). </w:t>
            </w:r>
          </w:p>
          <w:p w:rsidR="0008794F" w:rsidRPr="00EF6654" w:rsidRDefault="0008794F" w:rsidP="00395B68">
            <w:pPr>
              <w:pStyle w:val="Textpoznpodarou"/>
              <w:jc w:val="both"/>
              <w:rPr>
                <w:sz w:val="12"/>
                <w:szCs w:val="12"/>
              </w:rPr>
            </w:pPr>
          </w:p>
          <w:p w:rsidR="0008794F" w:rsidRDefault="0008794F" w:rsidP="00395B68">
            <w:pPr>
              <w:pStyle w:val="Textpoznpodarou"/>
              <w:jc w:val="both"/>
            </w:pPr>
            <w:r>
              <w:t xml:space="preserve">Vůbec nejvyšší relativní spotřebu na obyvatele však vykazuje v Evropě Švýcarsko (graf 10), kde byly již v roce 2013 výdaje domácností o polovinu vyšší (150 %) než činil průměr EU. Podobně tomu bylo v Norsku (128,2 %) či na Islandu (110,3 %). Šlo vesměs o vyšší relace, než </w:t>
            </w:r>
            <w:r w:rsidR="00B83E78">
              <w:t>kterých</w:t>
            </w:r>
            <w:r>
              <w:t xml:space="preserve"> dosahovala oproti průměru EU 28 skupina nejvyspělejších, tzv. „starých“ zemí Unie (EU 15) se 108,3 %.</w:t>
            </w:r>
          </w:p>
          <w:p w:rsidR="0008794F" w:rsidRPr="00EF3811" w:rsidRDefault="0008794F" w:rsidP="004B4B5B">
            <w:pPr>
              <w:pStyle w:val="Textpoznpodarou"/>
              <w:jc w:val="both"/>
              <w:rPr>
                <w:sz w:val="12"/>
                <w:szCs w:val="12"/>
              </w:rPr>
            </w:pPr>
          </w:p>
        </w:tc>
      </w:tr>
      <w:tr w:rsidR="0008794F" w:rsidRPr="00A557BF" w:rsidTr="004B4B5B">
        <w:tc>
          <w:tcPr>
            <w:tcW w:w="1055" w:type="pct"/>
          </w:tcPr>
          <w:p w:rsidR="0008794F" w:rsidRDefault="0008794F" w:rsidP="00B83E78">
            <w:pPr>
              <w:spacing w:line="240" w:lineRule="auto"/>
              <w:rPr>
                <w:sz w:val="16"/>
                <w:szCs w:val="16"/>
              </w:rPr>
            </w:pPr>
            <w:r>
              <w:rPr>
                <w:sz w:val="16"/>
                <w:szCs w:val="16"/>
              </w:rPr>
              <w:t>V jednotkách PPS stouply výdaje rakouských domácností více než českých</w:t>
            </w:r>
            <w:r w:rsidR="00B83E78">
              <w:rPr>
                <w:sz w:val="16"/>
                <w:szCs w:val="16"/>
              </w:rPr>
              <w:t>,</w:t>
            </w:r>
            <w:r>
              <w:rPr>
                <w:sz w:val="16"/>
                <w:szCs w:val="16"/>
              </w:rPr>
              <w:t xml:space="preserve"> přestože posun v procentních bodech byl nižší</w:t>
            </w:r>
          </w:p>
        </w:tc>
        <w:tc>
          <w:tcPr>
            <w:tcW w:w="145" w:type="pct"/>
          </w:tcPr>
          <w:p w:rsidR="0008794F" w:rsidRPr="00A557BF" w:rsidRDefault="0008794F" w:rsidP="004B4B5B">
            <w:pPr>
              <w:pStyle w:val="Textpoznpodarou"/>
              <w:jc w:val="both"/>
            </w:pPr>
          </w:p>
        </w:tc>
        <w:tc>
          <w:tcPr>
            <w:tcW w:w="3800" w:type="pct"/>
          </w:tcPr>
          <w:p w:rsidR="00EF3811" w:rsidRDefault="0008794F" w:rsidP="004B4B5B">
            <w:pPr>
              <w:pStyle w:val="Textpoznpodarou"/>
              <w:jc w:val="both"/>
            </w:pPr>
            <w:r>
              <w:t xml:space="preserve">Rakousko mělo za roky 2005-2014 nejnižší posun v procentních bodech ve srovnání s tím, jakého </w:t>
            </w:r>
            <w:r w:rsidR="004C5160">
              <w:t xml:space="preserve">v relativním HDP na obyvatele v PPS dosahovala </w:t>
            </w:r>
            <w:r>
              <w:t>ČR a zejména Slovensko</w:t>
            </w:r>
            <w:r w:rsidR="007D7DD8">
              <w:t>. Ovšem</w:t>
            </w:r>
            <w:r>
              <w:t xml:space="preserve"> bráno </w:t>
            </w:r>
            <w:r w:rsidR="004C5160">
              <w:t xml:space="preserve">absolutně, </w:t>
            </w:r>
            <w:r>
              <w:t>v jednotkách PPS</w:t>
            </w:r>
            <w:r w:rsidR="007D7DD8">
              <w:t xml:space="preserve">, spotřeba rakouských domácností </w:t>
            </w:r>
            <w:r>
              <w:t xml:space="preserve">se za uvedené období zvětšila o 3100 jednotek, zatímco spotřeba českých domácností jen o 2200 jednotek PPS. Výdaje domácností na konečnou spotřebu v přepočtu na obyvatele Slovenska stouply za roky 2005-2014 naproti tomu o 4000 jednotek PPS. </w:t>
            </w:r>
          </w:p>
          <w:p w:rsidR="00EF3811" w:rsidRPr="00EF3811" w:rsidRDefault="00EF3811" w:rsidP="004B4B5B">
            <w:pPr>
              <w:pStyle w:val="Textpoznpodarou"/>
              <w:jc w:val="both"/>
              <w:rPr>
                <w:sz w:val="12"/>
                <w:szCs w:val="12"/>
              </w:rPr>
            </w:pPr>
          </w:p>
          <w:p w:rsidR="0008794F" w:rsidRDefault="00EF3811" w:rsidP="00EF3811">
            <w:pPr>
              <w:pStyle w:val="Textpoznpodarou"/>
              <w:jc w:val="both"/>
            </w:pPr>
            <w:r>
              <w:t xml:space="preserve">Rozdíl mezi domácnostmi v Rakousku oproti domácnostem v ČR a SR se tak dále prohloubil. </w:t>
            </w:r>
          </w:p>
        </w:tc>
      </w:tr>
    </w:tbl>
    <w:p w:rsidR="0008794F" w:rsidRPr="00EF3811" w:rsidRDefault="0008794F" w:rsidP="007039D1">
      <w:pPr>
        <w:rPr>
          <w:sz w:val="10"/>
          <w:szCs w:val="10"/>
        </w:rPr>
      </w:pPr>
    </w:p>
    <w:tbl>
      <w:tblPr>
        <w:tblW w:w="5000" w:type="pct"/>
        <w:tblLayout w:type="fixed"/>
        <w:tblCellMar>
          <w:left w:w="28" w:type="dxa"/>
          <w:right w:w="28" w:type="dxa"/>
        </w:tblCellMar>
        <w:tblLook w:val="00A0"/>
      </w:tblPr>
      <w:tblGrid>
        <w:gridCol w:w="827"/>
        <w:gridCol w:w="3963"/>
        <w:gridCol w:w="838"/>
        <w:gridCol w:w="4066"/>
      </w:tblGrid>
      <w:tr w:rsidR="0008794F" w:rsidRPr="00817C98" w:rsidTr="00155326">
        <w:tc>
          <w:tcPr>
            <w:tcW w:w="427" w:type="pct"/>
          </w:tcPr>
          <w:p w:rsidR="0008794F" w:rsidRDefault="0008794F" w:rsidP="004B4B5B">
            <w:pPr>
              <w:spacing w:line="240" w:lineRule="auto"/>
            </w:pPr>
            <w:r>
              <w:t>Graf 11</w:t>
            </w:r>
          </w:p>
        </w:tc>
        <w:tc>
          <w:tcPr>
            <w:tcW w:w="2044" w:type="pct"/>
          </w:tcPr>
          <w:p w:rsidR="0008794F" w:rsidRDefault="0008794F" w:rsidP="004B4B5B">
            <w:pPr>
              <w:pStyle w:val="Textpoznpodarou"/>
              <w:rPr>
                <w:rFonts w:cs="Arial"/>
                <w:szCs w:val="24"/>
              </w:rPr>
            </w:pPr>
            <w:r>
              <w:rPr>
                <w:rFonts w:cs="Arial"/>
                <w:b/>
                <w:bCs/>
              </w:rPr>
              <w:t xml:space="preserve">Výdaje na konečnou spotřebu domácností vč. NISD v PPS </w:t>
            </w:r>
            <w:r w:rsidRPr="00BE1C59">
              <w:rPr>
                <w:rFonts w:cs="Arial"/>
                <w:bCs/>
              </w:rPr>
              <w:t>(EU 28=100)</w:t>
            </w:r>
          </w:p>
        </w:tc>
        <w:tc>
          <w:tcPr>
            <w:tcW w:w="432" w:type="pct"/>
          </w:tcPr>
          <w:p w:rsidR="0008794F" w:rsidRDefault="0008794F" w:rsidP="004B4B5B">
            <w:pPr>
              <w:spacing w:line="240" w:lineRule="auto"/>
            </w:pPr>
            <w:r>
              <w:t>Graf 12</w:t>
            </w:r>
          </w:p>
        </w:tc>
        <w:tc>
          <w:tcPr>
            <w:tcW w:w="2097" w:type="pct"/>
          </w:tcPr>
          <w:p w:rsidR="0008794F" w:rsidRPr="00817C98" w:rsidRDefault="0008794F" w:rsidP="004B4B5B">
            <w:pPr>
              <w:spacing w:line="240" w:lineRule="auto"/>
              <w:rPr>
                <w:rFonts w:cs="Arial"/>
                <w:b/>
                <w:bCs/>
              </w:rPr>
            </w:pPr>
            <w:r>
              <w:rPr>
                <w:rFonts w:cs="Arial"/>
                <w:b/>
                <w:bCs/>
              </w:rPr>
              <w:t xml:space="preserve">HDP v paritě kupní síly (PPS) v roce 2014 </w:t>
            </w:r>
            <w:r>
              <w:rPr>
                <w:rFonts w:cs="Arial"/>
                <w:bCs/>
              </w:rPr>
              <w:t>(</w:t>
            </w:r>
            <w:r w:rsidRPr="00BE1C59">
              <w:rPr>
                <w:rFonts w:cs="Arial"/>
                <w:bCs/>
              </w:rPr>
              <w:t xml:space="preserve">EU 28=100) </w:t>
            </w:r>
          </w:p>
        </w:tc>
      </w:tr>
      <w:tr w:rsidR="0008794F" w:rsidRPr="00C81DE5" w:rsidTr="004B4B5B">
        <w:tc>
          <w:tcPr>
            <w:tcW w:w="2471" w:type="pct"/>
            <w:gridSpan w:val="2"/>
          </w:tcPr>
          <w:p w:rsidR="0008794F" w:rsidRPr="00DA43AC" w:rsidRDefault="00306F79" w:rsidP="004B4B5B">
            <w:pPr>
              <w:pStyle w:val="Textpoznpodarou"/>
              <w:jc w:val="both"/>
              <w:rPr>
                <w:noProof/>
              </w:rPr>
            </w:pPr>
            <w:r>
              <w:rPr>
                <w:noProof/>
              </w:rPr>
              <w:pict>
                <v:shape id="Graf 1" o:spid="_x0000_i1035" type="#_x0000_t75" style="width:231pt;height:206.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">
                  <v:imagedata r:id="rId23" o:title=""/>
                  <o:lock v:ext="edit" aspectratio="f"/>
                </v:shape>
              </w:pict>
            </w:r>
          </w:p>
        </w:tc>
        <w:tc>
          <w:tcPr>
            <w:tcW w:w="2529" w:type="pct"/>
            <w:gridSpan w:val="2"/>
          </w:tcPr>
          <w:p w:rsidR="0008794F" w:rsidRPr="00C81DE5" w:rsidRDefault="00306F79" w:rsidP="004B4B5B">
            <w:pPr>
              <w:pStyle w:val="Textpoznpodarou"/>
              <w:jc w:val="both"/>
            </w:pPr>
            <w:r>
              <w:rPr>
                <w:noProof/>
              </w:rPr>
              <w:pict>
                <v:shape id="_x0000_i1036" type="#_x0000_t75" style="width:242.25pt;height:205.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">
                  <v:imagedata r:id="rId24" o:title="" cropbottom="-15f"/>
                  <o:lock v:ext="edit" aspectratio="f"/>
                </v:shape>
              </w:pict>
            </w:r>
          </w:p>
        </w:tc>
      </w:tr>
    </w:tbl>
    <w:p w:rsidR="0008794F" w:rsidRDefault="0008794F" w:rsidP="007039D1">
      <w:pPr>
        <w:jc w:val="right"/>
      </w:pPr>
      <w:r w:rsidRPr="00DA43AC">
        <w:rPr>
          <w:sz w:val="18"/>
          <w:szCs w:val="18"/>
        </w:rPr>
        <w:t xml:space="preserve">Pramen: </w:t>
      </w:r>
      <w:proofErr w:type="spellStart"/>
      <w:r w:rsidRPr="00DA43AC">
        <w:rPr>
          <w:sz w:val="18"/>
          <w:szCs w:val="18"/>
        </w:rPr>
        <w:t>Eurostat</w:t>
      </w:r>
      <w:proofErr w:type="spellEnd"/>
    </w:p>
    <w:p w:rsidR="0008794F" w:rsidRPr="00EF3811" w:rsidRDefault="0008794F" w:rsidP="007039D1">
      <w:pPr>
        <w:rPr>
          <w:sz w:val="12"/>
          <w:szCs w:val="12"/>
        </w:rPr>
      </w:pPr>
    </w:p>
    <w:tbl>
      <w:tblPr>
        <w:tblW w:w="5000" w:type="pct"/>
        <w:tblLook w:val="00A0"/>
      </w:tblPr>
      <w:tblGrid>
        <w:gridCol w:w="2079"/>
        <w:gridCol w:w="286"/>
        <w:gridCol w:w="7489"/>
      </w:tblGrid>
      <w:tr w:rsidR="0008794F" w:rsidRPr="00A557BF" w:rsidTr="004B4B5B">
        <w:tc>
          <w:tcPr>
            <w:tcW w:w="1055" w:type="pct"/>
          </w:tcPr>
          <w:p w:rsidR="0008794F" w:rsidRPr="00A557BF" w:rsidRDefault="0008794F" w:rsidP="004B4B5B">
            <w:pPr>
              <w:spacing w:line="240" w:lineRule="auto"/>
              <w:rPr>
                <w:sz w:val="16"/>
                <w:szCs w:val="16"/>
              </w:rPr>
            </w:pPr>
            <w:r>
              <w:rPr>
                <w:sz w:val="16"/>
                <w:szCs w:val="16"/>
              </w:rPr>
              <w:t>Posun v pozici ČR i SR v úrovni materiální kvality života podle relativních výdajů domácností na konečnou spotřebu byl větší než v Rakousku</w:t>
            </w:r>
          </w:p>
        </w:tc>
        <w:tc>
          <w:tcPr>
            <w:tcW w:w="145" w:type="pct"/>
          </w:tcPr>
          <w:p w:rsidR="0008794F" w:rsidRPr="00A557BF" w:rsidRDefault="0008794F" w:rsidP="004B4B5B">
            <w:pPr>
              <w:pStyle w:val="Textpoznpodarou"/>
              <w:jc w:val="both"/>
            </w:pPr>
          </w:p>
        </w:tc>
        <w:tc>
          <w:tcPr>
            <w:tcW w:w="3800" w:type="pct"/>
          </w:tcPr>
          <w:p w:rsidR="0008794F" w:rsidRDefault="0008794F" w:rsidP="004B4B5B">
            <w:pPr>
              <w:pStyle w:val="Textpoznpodarou"/>
              <w:jc w:val="both"/>
            </w:pPr>
            <w:r>
              <w:t xml:space="preserve">Vztáhneme-li k sobě posuny ve spotřebě a posuny v HDP u sledovaných zemí za desetiletí ohraničené roky 2005-2014, vidíme nejen výrazně větší zlepšení Slovenska proti ČR, jak je již uvedeno výše (výdaje na konečnou spotřebu domácností vč. NISD v přepočtu na obyvatele v PPS byly v roce 2014 o 17 </w:t>
            </w:r>
            <w:proofErr w:type="spellStart"/>
            <w:r>
              <w:t>pb</w:t>
            </w:r>
            <w:proofErr w:type="spellEnd"/>
            <w:r>
              <w:t xml:space="preserve">. výš, zatímco v ČR jen o 4,2 </w:t>
            </w:r>
            <w:proofErr w:type="spellStart"/>
            <w:r>
              <w:t>pb</w:t>
            </w:r>
            <w:proofErr w:type="spellEnd"/>
            <w:r>
              <w:t xml:space="preserve">. výš, což lze ve značné míře připsat právě nízké slovenské základně). Pokud se jedná o HDP na obyvatele v PPS, byly proporce obdobné - na Slovensku byl posun za roky 2005-2014 o 16,9 </w:t>
            </w:r>
            <w:proofErr w:type="spellStart"/>
            <w:r>
              <w:t>pb</w:t>
            </w:r>
            <w:proofErr w:type="spellEnd"/>
            <w:r>
              <w:t xml:space="preserve">., v ČR jen o 3,7 </w:t>
            </w:r>
            <w:proofErr w:type="spellStart"/>
            <w:r>
              <w:t>pb</w:t>
            </w:r>
            <w:proofErr w:type="spellEnd"/>
            <w:r>
              <w:t xml:space="preserve">. (zde byla logika rozdílů již několikrát zmíněna). </w:t>
            </w:r>
          </w:p>
          <w:p w:rsidR="0008794F" w:rsidRPr="00A557BF" w:rsidRDefault="0008794F" w:rsidP="004B4B5B">
            <w:pPr>
              <w:pStyle w:val="Textpoznpodarou"/>
              <w:jc w:val="both"/>
              <w:rPr>
                <w:sz w:val="18"/>
                <w:szCs w:val="18"/>
              </w:rPr>
            </w:pPr>
          </w:p>
        </w:tc>
      </w:tr>
      <w:tr w:rsidR="0008794F" w:rsidRPr="004F11DB" w:rsidTr="00422CBD">
        <w:tc>
          <w:tcPr>
            <w:tcW w:w="1055" w:type="pct"/>
          </w:tcPr>
          <w:p w:rsidR="0008794F" w:rsidRPr="00514E78" w:rsidRDefault="0008794F" w:rsidP="00302F1B">
            <w:pPr>
              <w:spacing w:line="240" w:lineRule="auto"/>
              <w:rPr>
                <w:sz w:val="16"/>
                <w:szCs w:val="16"/>
              </w:rPr>
            </w:pPr>
            <w:r>
              <w:rPr>
                <w:sz w:val="16"/>
                <w:szCs w:val="16"/>
              </w:rPr>
              <w:t>Posun v relaci spotřeby rakouských domácností v </w:t>
            </w:r>
            <w:proofErr w:type="spellStart"/>
            <w:r>
              <w:rPr>
                <w:sz w:val="16"/>
                <w:szCs w:val="16"/>
              </w:rPr>
              <w:t>pb</w:t>
            </w:r>
            <w:proofErr w:type="spellEnd"/>
            <w:r>
              <w:rPr>
                <w:sz w:val="16"/>
                <w:szCs w:val="16"/>
              </w:rPr>
              <w:t>. je sice menší než v ČR nebo SR, ale při její  úrovni - vysoko nad unijním průměrem -  je toto zlepšení oproti ČR a SR</w:t>
            </w:r>
            <w:r w:rsidRPr="00514E78">
              <w:rPr>
                <w:sz w:val="16"/>
                <w:szCs w:val="16"/>
              </w:rPr>
              <w:t xml:space="preserve"> </w:t>
            </w:r>
            <w:r>
              <w:rPr>
                <w:sz w:val="16"/>
                <w:szCs w:val="16"/>
              </w:rPr>
              <w:t>výrazné a ukazuje, jak obtížný je pro tyto země posun k rakouské materiální kvalitě života</w:t>
            </w:r>
          </w:p>
        </w:tc>
        <w:tc>
          <w:tcPr>
            <w:tcW w:w="145" w:type="pct"/>
          </w:tcPr>
          <w:p w:rsidR="0008794F" w:rsidRPr="004F11DB" w:rsidRDefault="0008794F" w:rsidP="00302F1B">
            <w:pPr>
              <w:pStyle w:val="Textpoznpodarou"/>
              <w:jc w:val="both"/>
            </w:pPr>
          </w:p>
        </w:tc>
        <w:tc>
          <w:tcPr>
            <w:tcW w:w="3800" w:type="pct"/>
          </w:tcPr>
          <w:p w:rsidR="0008794F" w:rsidRDefault="0008794F" w:rsidP="00302F1B">
            <w:pPr>
              <w:pStyle w:val="Textpoznpodarou"/>
              <w:jc w:val="both"/>
            </w:pPr>
            <w:r>
              <w:t>Podíváme-li se však na Rakousko, je rozdíl mezi zlepšením pozice u spotřeby a zlepšením pozice v HDP jiný</w:t>
            </w:r>
            <w:r w:rsidR="00B83E78">
              <w:t>. R</w:t>
            </w:r>
            <w:r>
              <w:t xml:space="preserve">elace spotřeby se zlepšila o 2,5 </w:t>
            </w:r>
            <w:proofErr w:type="spellStart"/>
            <w:r>
              <w:t>pb</w:t>
            </w:r>
            <w:proofErr w:type="spellEnd"/>
            <w:r>
              <w:t xml:space="preserve">. a relace v HDP o 2,8 </w:t>
            </w:r>
            <w:proofErr w:type="spellStart"/>
            <w:r>
              <w:t>pb</w:t>
            </w:r>
            <w:proofErr w:type="spellEnd"/>
            <w:r>
              <w:t xml:space="preserve">. Znamená to, že nárůst zlepšení u výdajů na konečnou spotřebu rakouských domácností v přepočtu na obyvatele vč. NISD je sice menší, než u ČR a SR. Ale vzhledem k vysoké úrovni relace spotřeby v Rakousku - výrazně vyšší než kolik činí unijní průměr (!) podle grafu 11 – je toto zlepšení ve srovnání s ČR a SR velmi významné. Dokazuje, jak velmi obtížné by bylo se k rakouské materiální kvalitě života v čase posunovat. </w:t>
            </w:r>
          </w:p>
          <w:p w:rsidR="0008794F" w:rsidRPr="00EF6654" w:rsidRDefault="0008794F" w:rsidP="00302F1B">
            <w:pPr>
              <w:pStyle w:val="Textpoznpodarou"/>
              <w:jc w:val="both"/>
              <w:rPr>
                <w:sz w:val="12"/>
                <w:szCs w:val="12"/>
              </w:rPr>
            </w:pPr>
          </w:p>
          <w:p w:rsidR="0008794F" w:rsidRDefault="0008794F" w:rsidP="00302F1B">
            <w:pPr>
              <w:pStyle w:val="Textpoznpodarou"/>
              <w:jc w:val="both"/>
            </w:pPr>
            <w:r>
              <w:t xml:space="preserve">Jestliže ale zlepšení relativní pozice Rakouska v HDP na obyvatele v PPS představovalo za roky 2005-2014 jen +2,8 </w:t>
            </w:r>
            <w:proofErr w:type="spellStart"/>
            <w:r>
              <w:t>pb</w:t>
            </w:r>
            <w:proofErr w:type="spellEnd"/>
            <w:r>
              <w:t xml:space="preserve">. (což je i tak velmi dobrý výsledek, neboť skupina nejvyspělejších zemí v té době naopak v uvedené relaci ztrácela) lze do jisté míry dedukovat, že právě spotřeba domácností měla v Rakousku na toto zlepšení významný vliv.    </w:t>
            </w:r>
          </w:p>
          <w:p w:rsidR="0008794F" w:rsidRPr="004F11DB" w:rsidRDefault="0008794F" w:rsidP="00302F1B">
            <w:pPr>
              <w:pStyle w:val="Textpoznpodarou"/>
              <w:jc w:val="both"/>
            </w:pPr>
          </w:p>
        </w:tc>
      </w:tr>
      <w:tr w:rsidR="0008794F" w:rsidRPr="004F11DB" w:rsidTr="00422CBD">
        <w:tc>
          <w:tcPr>
            <w:tcW w:w="1055" w:type="pct"/>
          </w:tcPr>
          <w:p w:rsidR="0008794F" w:rsidRPr="00514E78" w:rsidRDefault="0008794F" w:rsidP="00302F1B">
            <w:pPr>
              <w:spacing w:line="240" w:lineRule="auto"/>
              <w:rPr>
                <w:sz w:val="16"/>
                <w:szCs w:val="16"/>
              </w:rPr>
            </w:pPr>
            <w:r>
              <w:rPr>
                <w:sz w:val="16"/>
                <w:szCs w:val="16"/>
              </w:rPr>
              <w:t>Spotřeba domácností v Rakousku měla významný vliv na vývoj HDP v přepočtu na obyvatele v PPS</w:t>
            </w:r>
            <w:r w:rsidRPr="00514E78">
              <w:rPr>
                <w:sz w:val="16"/>
                <w:szCs w:val="16"/>
              </w:rPr>
              <w:t xml:space="preserve"> </w:t>
            </w:r>
          </w:p>
        </w:tc>
        <w:tc>
          <w:tcPr>
            <w:tcW w:w="145" w:type="pct"/>
          </w:tcPr>
          <w:p w:rsidR="0008794F" w:rsidRPr="004F11DB" w:rsidRDefault="0008794F" w:rsidP="00302F1B">
            <w:pPr>
              <w:pStyle w:val="Textpoznpodarou"/>
              <w:jc w:val="both"/>
            </w:pPr>
          </w:p>
        </w:tc>
        <w:tc>
          <w:tcPr>
            <w:tcW w:w="3800" w:type="pct"/>
          </w:tcPr>
          <w:p w:rsidR="0008794F" w:rsidRPr="004F11DB" w:rsidRDefault="0008794F" w:rsidP="00302F1B">
            <w:pPr>
              <w:pStyle w:val="Textpoznpodarou"/>
              <w:jc w:val="both"/>
            </w:pPr>
            <w:r>
              <w:t xml:space="preserve">Vždy je nutné brát v úvahu faktor podstatně vyšší výchozí pozice v případě Rakouska oproti ČR a SR týkající se zejména úrovně spojené s materiální kvalitou života. Zároveň je však pravděpodobné, že vývoj HDP v přepočtu na obyvatele byl v Rakousku posilován – oproti ČR a SR - méně významně jinými složkami HDP, než jsou jen výdaje na konečnou spotřebu domácností (vč. NISD). </w:t>
            </w:r>
          </w:p>
        </w:tc>
      </w:tr>
    </w:tbl>
    <w:p w:rsidR="0008794F" w:rsidRDefault="0008794F" w:rsidP="007039D1"/>
    <w:p w:rsidR="0008794F" w:rsidRDefault="0008794F" w:rsidP="007039D1"/>
    <w:p w:rsidR="0008794F" w:rsidRDefault="0008794F" w:rsidP="007039D1"/>
    <w:p w:rsidR="0008794F" w:rsidRDefault="0008794F" w:rsidP="007039D1"/>
    <w:p w:rsidR="0008794F" w:rsidRDefault="0008794F" w:rsidP="007039D1"/>
    <w:p w:rsidR="0008794F" w:rsidRDefault="0008794F" w:rsidP="007039D1"/>
    <w:p w:rsidR="0008794F" w:rsidRDefault="0008794F" w:rsidP="007039D1"/>
    <w:p w:rsidR="0008794F" w:rsidRDefault="0008794F" w:rsidP="007039D1"/>
    <w:p w:rsidR="0008794F" w:rsidRDefault="0008794F" w:rsidP="007039D1"/>
    <w:p w:rsidR="004C5160" w:rsidRPr="004C5160" w:rsidRDefault="004C5160" w:rsidP="007039D1">
      <w:pPr>
        <w:rPr>
          <w:sz w:val="4"/>
          <w:szCs w:val="4"/>
        </w:rPr>
      </w:pPr>
    </w:p>
    <w:p w:rsidR="0008794F" w:rsidRDefault="0008794F" w:rsidP="007039D1">
      <w:pPr>
        <w:numPr>
          <w:ilvl w:val="0"/>
          <w:numId w:val="3"/>
        </w:numPr>
        <w:rPr>
          <w:b/>
          <w:sz w:val="28"/>
          <w:szCs w:val="28"/>
        </w:rPr>
      </w:pPr>
      <w:r w:rsidRPr="007F7B6A">
        <w:rPr>
          <w:b/>
          <w:sz w:val="28"/>
          <w:szCs w:val="28"/>
        </w:rPr>
        <w:lastRenderedPageBreak/>
        <w:t>Ekonomická výkonnost ČR, SR a Rakouska podle vývoje HDP</w:t>
      </w:r>
    </w:p>
    <w:p w:rsidR="0008794F" w:rsidRPr="008806AE" w:rsidRDefault="0008794F" w:rsidP="007039D1">
      <w:pPr>
        <w:ind w:left="480"/>
        <w:rPr>
          <w:b/>
          <w:szCs w:val="20"/>
        </w:rPr>
      </w:pPr>
    </w:p>
    <w:p w:rsidR="0008794F" w:rsidRDefault="0008794F" w:rsidP="007039D1">
      <w:pPr>
        <w:pStyle w:val="Textpoznpodarou"/>
        <w:jc w:val="both"/>
      </w:pPr>
      <w:r w:rsidRPr="004F11DB">
        <w:t>Rakouská ekonomika pochopitelně nezažila začátkem 90. let minulého století propady výkonnosti, které byly v ČR a SR spojeny př</w:t>
      </w:r>
      <w:r w:rsidR="00B83E78">
        <w:t xml:space="preserve">echodem k tržní ekonomice. </w:t>
      </w:r>
      <w:r w:rsidRPr="004F11DB">
        <w:t>„</w:t>
      </w:r>
      <w:r w:rsidR="00B83E78">
        <w:t>Š</w:t>
      </w:r>
      <w:r w:rsidRPr="004F11DB">
        <w:t>oková terapie“</w:t>
      </w:r>
      <w:r w:rsidRPr="004F11DB">
        <w:rPr>
          <w:rStyle w:val="Znakapoznpodarou"/>
        </w:rPr>
        <w:footnoteReference w:id="4"/>
      </w:r>
      <w:r>
        <w:t xml:space="preserve"> -</w:t>
      </w:r>
      <w:r w:rsidRPr="004F11DB">
        <w:t xml:space="preserve"> </w:t>
      </w:r>
      <w:r>
        <w:t>kterou uplatnilo Polsko a tehdejší Československo (poté federace České a Slovenské republiky), nikoli však Maďarsko, které zvolilo strategii postupných změn probíhajících už nejméně dvě desetiletí předtím -, přinesla prudký ekonomický propad. Byl hlubší na Slovensku než v České republice.</w:t>
      </w:r>
    </w:p>
    <w:p w:rsidR="0008794F" w:rsidRDefault="0008794F" w:rsidP="007039D1">
      <w:pPr>
        <w:ind w:left="480"/>
        <w:rPr>
          <w:b/>
          <w:sz w:val="28"/>
          <w:szCs w:val="28"/>
        </w:rPr>
      </w:pPr>
    </w:p>
    <w:p w:rsidR="0008794F" w:rsidRPr="00026396" w:rsidRDefault="0008794F" w:rsidP="007039D1">
      <w:pPr>
        <w:numPr>
          <w:ilvl w:val="1"/>
          <w:numId w:val="3"/>
        </w:numPr>
        <w:rPr>
          <w:b/>
          <w:sz w:val="24"/>
        </w:rPr>
      </w:pPr>
      <w:r w:rsidRPr="00026396">
        <w:rPr>
          <w:b/>
          <w:sz w:val="24"/>
        </w:rPr>
        <w:t>Období federace ČR a SR a první roky samostatných států</w:t>
      </w:r>
    </w:p>
    <w:p w:rsidR="0008794F" w:rsidRPr="00192CA8" w:rsidRDefault="0008794F" w:rsidP="007039D1">
      <w:pPr>
        <w:jc w:val="right"/>
      </w:pPr>
    </w:p>
    <w:tbl>
      <w:tblPr>
        <w:tblW w:w="5000" w:type="pct"/>
        <w:tblLook w:val="00A0"/>
      </w:tblPr>
      <w:tblGrid>
        <w:gridCol w:w="2079"/>
        <w:gridCol w:w="286"/>
        <w:gridCol w:w="7489"/>
      </w:tblGrid>
      <w:tr w:rsidR="0008794F" w:rsidRPr="004F11DB" w:rsidTr="004B4B5B">
        <w:tc>
          <w:tcPr>
            <w:tcW w:w="1055" w:type="pct"/>
          </w:tcPr>
          <w:p w:rsidR="0008794F" w:rsidRPr="00514E78" w:rsidRDefault="0008794F" w:rsidP="004B4B5B">
            <w:pPr>
              <w:spacing w:line="240" w:lineRule="auto"/>
              <w:rPr>
                <w:sz w:val="16"/>
                <w:szCs w:val="16"/>
              </w:rPr>
            </w:pPr>
            <w:r w:rsidRPr="00514E78">
              <w:rPr>
                <w:sz w:val="16"/>
                <w:szCs w:val="16"/>
              </w:rPr>
              <w:t>Začátek přechodu k tržní ekonomice</w:t>
            </w:r>
            <w:r>
              <w:rPr>
                <w:sz w:val="16"/>
                <w:szCs w:val="16"/>
              </w:rPr>
              <w:t xml:space="preserve"> v ČR a SR</w:t>
            </w:r>
            <w:r w:rsidRPr="00514E78">
              <w:rPr>
                <w:sz w:val="16"/>
                <w:szCs w:val="16"/>
              </w:rPr>
              <w:t xml:space="preserve"> </w:t>
            </w:r>
          </w:p>
        </w:tc>
        <w:tc>
          <w:tcPr>
            <w:tcW w:w="145" w:type="pct"/>
          </w:tcPr>
          <w:p w:rsidR="0008794F" w:rsidRPr="004F11DB" w:rsidRDefault="0008794F" w:rsidP="004B4B5B">
            <w:pPr>
              <w:pStyle w:val="Textpoznpodarou"/>
              <w:jc w:val="both"/>
            </w:pPr>
          </w:p>
        </w:tc>
        <w:tc>
          <w:tcPr>
            <w:tcW w:w="3800" w:type="pct"/>
          </w:tcPr>
          <w:p w:rsidR="0008794F" w:rsidRDefault="00044171" w:rsidP="004B4B5B">
            <w:pPr>
              <w:pStyle w:val="Textpoznpodarou"/>
              <w:jc w:val="both"/>
            </w:pPr>
            <w:r>
              <w:t>„Š</w:t>
            </w:r>
            <w:r w:rsidR="0008794F">
              <w:t xml:space="preserve">oková terapie“ přechodu od plánem řízené ekonomiky k ekonomice </w:t>
            </w:r>
            <w:r>
              <w:t xml:space="preserve">založené </w:t>
            </w:r>
            <w:r w:rsidR="0008794F">
              <w:t>na tržních principech spočívala především v liberalizaci cen a mezd, v povolení soukromého podnikání, privatizaci a v zavedení vnitřní směnitelnosti koruny. Byly také zrušeny cenové subvence, především u zemědělských produktů.</w:t>
            </w:r>
          </w:p>
          <w:p w:rsidR="0008794F" w:rsidRPr="004F11DB" w:rsidRDefault="0008794F" w:rsidP="004B4B5B">
            <w:pPr>
              <w:pStyle w:val="Textpoznpodarou"/>
              <w:jc w:val="both"/>
            </w:pPr>
          </w:p>
        </w:tc>
      </w:tr>
      <w:tr w:rsidR="0008794F" w:rsidRPr="00A557BF" w:rsidTr="004B4B5B">
        <w:tc>
          <w:tcPr>
            <w:tcW w:w="1055" w:type="pct"/>
          </w:tcPr>
          <w:p w:rsidR="0008794F" w:rsidRPr="00A557BF" w:rsidRDefault="0008794F" w:rsidP="004B4B5B">
            <w:pPr>
              <w:spacing w:line="240" w:lineRule="auto"/>
              <w:rPr>
                <w:sz w:val="16"/>
                <w:szCs w:val="16"/>
              </w:rPr>
            </w:pPr>
            <w:r>
              <w:rPr>
                <w:sz w:val="16"/>
                <w:szCs w:val="16"/>
              </w:rPr>
              <w:t>Transformační propad byl v letech existence společného státu v letech 1990-1992 významně hlubší na Slovensku než v ČR  s </w:t>
            </w:r>
            <w:proofErr w:type="gramStart"/>
            <w:r>
              <w:rPr>
                <w:sz w:val="16"/>
                <w:szCs w:val="16"/>
              </w:rPr>
              <w:t>meziroční</w:t>
            </w:r>
            <w:proofErr w:type="gramEnd"/>
            <w:r>
              <w:rPr>
                <w:sz w:val="16"/>
                <w:szCs w:val="16"/>
              </w:rPr>
              <w:t xml:space="preserve"> propadem HDP reálně o 17,5 % v roce 1991…</w:t>
            </w:r>
          </w:p>
        </w:tc>
        <w:tc>
          <w:tcPr>
            <w:tcW w:w="145" w:type="pct"/>
          </w:tcPr>
          <w:p w:rsidR="0008794F" w:rsidRPr="00A557BF" w:rsidRDefault="0008794F" w:rsidP="004B4B5B">
            <w:pPr>
              <w:pStyle w:val="Textpoznpodarou"/>
              <w:jc w:val="both"/>
            </w:pPr>
          </w:p>
        </w:tc>
        <w:tc>
          <w:tcPr>
            <w:tcW w:w="3800" w:type="pct"/>
          </w:tcPr>
          <w:p w:rsidR="0008794F" w:rsidRDefault="0008794F" w:rsidP="004B4B5B">
            <w:pPr>
              <w:pStyle w:val="Textpoznpodarou"/>
              <w:jc w:val="both"/>
            </w:pPr>
            <w:r>
              <w:t>Provedení výše uvedených změn „šokem“, tj. ve velmi krátkém časovém horizontu podle dokumentu o transformaci české ekonomiky měly pocho</w:t>
            </w:r>
            <w:r w:rsidR="0033585F">
              <w:t xml:space="preserve">pitelně bezprostřední dopad na </w:t>
            </w:r>
            <w:r>
              <w:t xml:space="preserve">ekonomickou výkonnost země. </w:t>
            </w:r>
          </w:p>
          <w:p w:rsidR="0008794F" w:rsidRPr="00B71E5E" w:rsidRDefault="0008794F" w:rsidP="004B4B5B">
            <w:pPr>
              <w:pStyle w:val="Textpoznpodarou"/>
              <w:jc w:val="both"/>
              <w:rPr>
                <w:sz w:val="12"/>
                <w:szCs w:val="12"/>
              </w:rPr>
            </w:pPr>
          </w:p>
          <w:p w:rsidR="0008794F" w:rsidRPr="00C92F27" w:rsidRDefault="0008794F" w:rsidP="00044171">
            <w:pPr>
              <w:pStyle w:val="Textpoznpodarou"/>
              <w:jc w:val="both"/>
            </w:pPr>
            <w:r>
              <w:t xml:space="preserve">Podle </w:t>
            </w:r>
            <w:r w:rsidR="00044171">
              <w:t>H</w:t>
            </w:r>
            <w:r>
              <w:t>istorické ročenky národních účtů</w:t>
            </w:r>
            <w:r>
              <w:rPr>
                <w:rStyle w:val="Znakapoznpodarou"/>
              </w:rPr>
              <w:footnoteReference w:id="5"/>
            </w:r>
            <w:r>
              <w:t xml:space="preserve">, která zachycuje i roky 1990 až 1992 zvlášť v indikátorech za Českou a zvlášť za Slovenskou republiku, byl transformační propad bolestivější na Slovensku. Tamější HDP se v reálném vyjádření snížil v roce 1991 proti roku 1990 o 17,5 %, o rok později pak činil meziroční pokles slovenské ekonomiky dalších 5,8 %. Za pouhé dva roky tak klesla slovenská ekonomika reálně o 22,3 %. </w:t>
            </w:r>
          </w:p>
        </w:tc>
      </w:tr>
    </w:tbl>
    <w:p w:rsidR="0008794F" w:rsidRDefault="0008794F" w:rsidP="007039D1">
      <w:pPr>
        <w:jc w:val="both"/>
        <w:rPr>
          <w:sz w:val="18"/>
          <w:szCs w:val="18"/>
        </w:rPr>
      </w:pPr>
    </w:p>
    <w:tbl>
      <w:tblPr>
        <w:tblW w:w="5000" w:type="pct"/>
        <w:tblLook w:val="00A0"/>
      </w:tblPr>
      <w:tblGrid>
        <w:gridCol w:w="2079"/>
        <w:gridCol w:w="286"/>
        <w:gridCol w:w="7489"/>
      </w:tblGrid>
      <w:tr w:rsidR="0008794F" w:rsidRPr="00A557BF" w:rsidTr="004B4B5B">
        <w:tc>
          <w:tcPr>
            <w:tcW w:w="1055" w:type="pct"/>
          </w:tcPr>
          <w:p w:rsidR="0008794F" w:rsidRPr="00A557BF" w:rsidRDefault="0008794F" w:rsidP="004B4B5B">
            <w:pPr>
              <w:spacing w:line="240" w:lineRule="auto"/>
              <w:rPr>
                <w:sz w:val="16"/>
                <w:szCs w:val="16"/>
              </w:rPr>
            </w:pPr>
            <w:r w:rsidRPr="00A557BF">
              <w:rPr>
                <w:sz w:val="16"/>
                <w:szCs w:val="16"/>
              </w:rPr>
              <w:t>…</w:t>
            </w:r>
            <w:r>
              <w:rPr>
                <w:sz w:val="16"/>
                <w:szCs w:val="16"/>
              </w:rPr>
              <w:t xml:space="preserve"> a za oba roky 1991 a 1992 se výkonnost ekonomiky SR snížila o 22,3 %; obdobný byl i pokles výkonnosti odvětví </w:t>
            </w:r>
          </w:p>
        </w:tc>
        <w:tc>
          <w:tcPr>
            <w:tcW w:w="145" w:type="pct"/>
          </w:tcPr>
          <w:p w:rsidR="0008794F" w:rsidRPr="00A557BF" w:rsidRDefault="0008794F" w:rsidP="004B4B5B">
            <w:pPr>
              <w:pStyle w:val="Textpoznpodarou"/>
              <w:jc w:val="both"/>
            </w:pPr>
          </w:p>
        </w:tc>
        <w:tc>
          <w:tcPr>
            <w:tcW w:w="3800" w:type="pct"/>
          </w:tcPr>
          <w:p w:rsidR="0008794F" w:rsidRDefault="0008794F" w:rsidP="004B4B5B">
            <w:pPr>
              <w:pStyle w:val="Textpoznpodarou"/>
              <w:jc w:val="both"/>
            </w:pPr>
            <w:r>
              <w:t>I když v roce 1992 již zaznamenal zejména zahraniční obchod</w:t>
            </w:r>
            <w:r w:rsidR="0033585F">
              <w:t xml:space="preserve"> </w:t>
            </w:r>
            <w:proofErr w:type="gramStart"/>
            <w:r w:rsidR="0033585F">
              <w:t xml:space="preserve">SR </w:t>
            </w:r>
            <w:r>
              <w:t xml:space="preserve"> opětovný</w:t>
            </w:r>
            <w:proofErr w:type="gramEnd"/>
            <w:r>
              <w:t xml:space="preserve"> silný </w:t>
            </w:r>
            <w:r w:rsidR="004C5160">
              <w:t xml:space="preserve">meziroční </w:t>
            </w:r>
            <w:r>
              <w:t xml:space="preserve">růst a kladné znaménko změny bylo patrné také u výdajů na konečnou spotřebu, byl propad v roce 1991 tak obrovský, že nemohl být i přes růsty v dalším roce kompenzován. Za pouhé dva roky (1991 a 1992), než skončilo federativní uspořádání České a Slovenské republiky, klesla proti úrovni roku 1990 výkonnost hospodářství Slovenska o téměř čtvrtinu, jak již bylo zmíněno. </w:t>
            </w:r>
          </w:p>
          <w:p w:rsidR="0008794F" w:rsidRPr="00A557BF" w:rsidRDefault="0008794F" w:rsidP="004B4B5B">
            <w:pPr>
              <w:pStyle w:val="Textpoznpodarou"/>
              <w:jc w:val="both"/>
              <w:rPr>
                <w:sz w:val="18"/>
                <w:szCs w:val="18"/>
              </w:rPr>
            </w:pPr>
          </w:p>
        </w:tc>
      </w:tr>
      <w:tr w:rsidR="0008794F" w:rsidRPr="00A557BF" w:rsidTr="004B4B5B">
        <w:tc>
          <w:tcPr>
            <w:tcW w:w="1055" w:type="pct"/>
          </w:tcPr>
          <w:p w:rsidR="0008794F" w:rsidRPr="00A557BF" w:rsidRDefault="0008794F" w:rsidP="004B4B5B">
            <w:pPr>
              <w:spacing w:line="240" w:lineRule="auto"/>
              <w:rPr>
                <w:sz w:val="16"/>
                <w:szCs w:val="16"/>
              </w:rPr>
            </w:pPr>
            <w:r>
              <w:rPr>
                <w:sz w:val="16"/>
                <w:szCs w:val="16"/>
              </w:rPr>
              <w:t xml:space="preserve">O pětinu poklesla za roky 1991 a 1992 i hrubá přidaná hodnota tvořená  odvětvími slovenské ekonomiky – celkově se podle tohoto indikátoru slovenská ekonomika proti české za pouhé dva roky „zmenšila“ (podle. </w:t>
            </w:r>
            <w:proofErr w:type="gramStart"/>
            <w:r>
              <w:rPr>
                <w:sz w:val="16"/>
                <w:szCs w:val="16"/>
              </w:rPr>
              <w:t>podílu</w:t>
            </w:r>
            <w:proofErr w:type="gramEnd"/>
            <w:r>
              <w:rPr>
                <w:sz w:val="16"/>
                <w:szCs w:val="16"/>
              </w:rPr>
              <w:t xml:space="preserve">, v jakém byla hrubá přidaná hodnota slovenského hospodářství vůči českému)  </w:t>
            </w:r>
          </w:p>
        </w:tc>
        <w:tc>
          <w:tcPr>
            <w:tcW w:w="145" w:type="pct"/>
          </w:tcPr>
          <w:p w:rsidR="0008794F" w:rsidRPr="00A557BF" w:rsidRDefault="0008794F" w:rsidP="004B4B5B">
            <w:pPr>
              <w:pStyle w:val="Textpoznpodarou"/>
              <w:jc w:val="both"/>
            </w:pPr>
          </w:p>
        </w:tc>
        <w:tc>
          <w:tcPr>
            <w:tcW w:w="3800" w:type="pct"/>
          </w:tcPr>
          <w:p w:rsidR="0008794F" w:rsidRDefault="0008794F" w:rsidP="004C5568">
            <w:pPr>
              <w:pStyle w:val="Textpoznpodarou"/>
              <w:jc w:val="both"/>
            </w:pPr>
            <w:r>
              <w:t>Zdroje, vytvářené v odvětvích slovenské ekonomiky v podobě hrubé přidané hodnoty, poklesly o pětinu (-20,3 %), z toho v roce 1991 meziročně o 15,3 % a v roce 1992 meziročně o dalších 6,5 %.</w:t>
            </w:r>
            <w:r>
              <w:rPr>
                <w:vertAlign w:val="superscript"/>
              </w:rPr>
              <w:t xml:space="preserve"> </w:t>
            </w:r>
            <w:r>
              <w:t xml:space="preserve">Lze předpokládat, že svoji roli sehrávalo i nové nazírání na některé skutečnosti spojené se strukturou ekonomiky </w:t>
            </w:r>
            <w:r w:rsidR="000B6162">
              <w:t xml:space="preserve">a dalšími vlivy </w:t>
            </w:r>
            <w:r>
              <w:t>a pod tímto úhlem pohledu došlo např. k utlumování zbrojní výroby v podnicích na středním Slovensku (Martin) nebo posléze i k restrukturalizaci největšího slovenského podniku, Východoslovenských železáren.</w:t>
            </w:r>
          </w:p>
          <w:p w:rsidR="0008794F" w:rsidRPr="008806AE" w:rsidRDefault="0008794F" w:rsidP="004C5568">
            <w:pPr>
              <w:pStyle w:val="Textpoznpodarou"/>
              <w:jc w:val="both"/>
              <w:rPr>
                <w:sz w:val="12"/>
                <w:szCs w:val="12"/>
              </w:rPr>
            </w:pPr>
          </w:p>
          <w:p w:rsidR="0008794F" w:rsidRDefault="0008794F" w:rsidP="0086759F">
            <w:pPr>
              <w:pStyle w:val="Textpoznpodarou"/>
              <w:jc w:val="both"/>
            </w:pPr>
            <w:r>
              <w:t xml:space="preserve">Důkazem toho, že se slovenské hospodářství vůči českému za dva roky do skončení federace „zmenšilo“, je pokus o vyjádření změněné relace – tj. kvantifikace, v jakém vztahu (podílu) byla hrubá přidaná hodnota v daném odvětví na Slovensku oproti hrubé přidané hodnotě daného odvětví v ČR v roce 1990 a v roce 1992.  V roce 1990 představovala hrubá přidaná hodnota v SR 47,7 % hrubé přidané hodnoty vytvořené v ekonomice ČR. V roce 1992 to už ale bylo jen 39,8 %, přičemž ve všech odvětvích s výjimkou tří se takto vyjádřená proporce ve výkonnosti obou ekonomik zhoršila v neprospěch Slovenska (jen ve stavebnictví a </w:t>
            </w:r>
            <w:r>
              <w:lastRenderedPageBreak/>
              <w:t xml:space="preserve">v prvovýrobních odvětvích, tj. v úhrnu za zemědělství, lesnictví, rybářství pak také v těžbě a dobývání </w:t>
            </w:r>
            <w:proofErr w:type="gramStart"/>
            <w:r>
              <w:t>byla</w:t>
            </w:r>
            <w:proofErr w:type="gramEnd"/>
            <w:r>
              <w:t xml:space="preserve"> proporce hrubé přidané hodnoty na Slovensku vyšší v roce 1992 než tomu </w:t>
            </w:r>
            <w:proofErr w:type="gramStart"/>
            <w:r>
              <w:t>bylo</w:t>
            </w:r>
            <w:proofErr w:type="gramEnd"/>
            <w:r w:rsidR="000B6162">
              <w:t xml:space="preserve"> </w:t>
            </w:r>
            <w:r>
              <w:t>v roce 1990</w:t>
            </w:r>
            <w:r w:rsidR="000B6162">
              <w:t>.</w:t>
            </w:r>
            <w:r>
              <w:rPr>
                <w:rStyle w:val="Znakapoznpodarou"/>
              </w:rPr>
              <w:footnoteReference w:id="6"/>
            </w:r>
            <w:r>
              <w:t xml:space="preserve"> </w:t>
            </w:r>
          </w:p>
          <w:p w:rsidR="0008794F" w:rsidRDefault="0008794F" w:rsidP="0086759F">
            <w:pPr>
              <w:pStyle w:val="Textpoznpodarou"/>
              <w:jc w:val="both"/>
            </w:pPr>
          </w:p>
        </w:tc>
      </w:tr>
      <w:tr w:rsidR="0008794F" w:rsidRPr="00A557BF" w:rsidTr="004B4B5B">
        <w:tc>
          <w:tcPr>
            <w:tcW w:w="1055" w:type="pct"/>
          </w:tcPr>
          <w:p w:rsidR="0008794F" w:rsidRDefault="0008794F" w:rsidP="004B4B5B">
            <w:pPr>
              <w:spacing w:line="240" w:lineRule="auto"/>
              <w:rPr>
                <w:sz w:val="16"/>
                <w:szCs w:val="16"/>
              </w:rPr>
            </w:pPr>
            <w:r>
              <w:rPr>
                <w:sz w:val="16"/>
                <w:szCs w:val="16"/>
              </w:rPr>
              <w:lastRenderedPageBreak/>
              <w:t>Fixní investice a výdaje domácností na konečnou spotřebu klesly na Slovensku za roky 1991 a 1992 proti úrovni roku 1990 zhruba o pětinu,</w:t>
            </w:r>
          </w:p>
          <w:p w:rsidR="0008794F" w:rsidRPr="00A557BF" w:rsidRDefault="0008794F" w:rsidP="004B4B5B">
            <w:pPr>
              <w:spacing w:line="240" w:lineRule="auto"/>
              <w:rPr>
                <w:sz w:val="16"/>
                <w:szCs w:val="16"/>
              </w:rPr>
            </w:pPr>
            <w:r>
              <w:rPr>
                <w:sz w:val="16"/>
                <w:szCs w:val="16"/>
              </w:rPr>
              <w:t xml:space="preserve"> export zboží a služeb o třetinu jejich import byl dokonce jen poloviční</w:t>
            </w:r>
          </w:p>
        </w:tc>
        <w:tc>
          <w:tcPr>
            <w:tcW w:w="145" w:type="pct"/>
          </w:tcPr>
          <w:p w:rsidR="0008794F" w:rsidRPr="00A557BF" w:rsidRDefault="0008794F" w:rsidP="004B4B5B">
            <w:pPr>
              <w:pStyle w:val="Textpoznpodarou"/>
              <w:jc w:val="both"/>
            </w:pPr>
          </w:p>
        </w:tc>
        <w:tc>
          <w:tcPr>
            <w:tcW w:w="3800" w:type="pct"/>
          </w:tcPr>
          <w:p w:rsidR="0008794F" w:rsidRDefault="0008794F" w:rsidP="004B4B5B">
            <w:pPr>
              <w:pStyle w:val="Textpoznpodarou"/>
              <w:jc w:val="both"/>
            </w:pPr>
            <w:r>
              <w:t xml:space="preserve">O více než pětinu poklesly v úhrnu za roky 1991 a 1992 proti roku 1990 reálně výdaje slovenských domácností na konečnou spotřebu (-20,7 %), zhruba stejně i investice (tvorba hrubého fixního kapitálu -19,2 %). V obou případech byl, stejně jako </w:t>
            </w:r>
            <w:r w:rsidR="00044171">
              <w:t>u</w:t>
            </w:r>
            <w:r>
              <w:t xml:space="preserve"> většiny ostatních složek HDP, výrazně hlubší propad bezprostředně po společenském posunu, tj. mezi roky 1990 a 1991. Dokonce o více než třetinu se v roce 1991 meziročně propadl slovenský export zboží a služeb (-35,4 %). Utlumená domácí poptávka </w:t>
            </w:r>
            <w:r w:rsidR="000B6162">
              <w:t xml:space="preserve">na Slovensku </w:t>
            </w:r>
            <w:r>
              <w:t xml:space="preserve">pak </w:t>
            </w:r>
            <w:r w:rsidR="000B6162">
              <w:t xml:space="preserve">drasticky zredukovala i jejich </w:t>
            </w:r>
            <w:r>
              <w:t xml:space="preserve">import, a to na polovinu (-47,5 %). </w:t>
            </w:r>
          </w:p>
          <w:p w:rsidR="0008794F" w:rsidRPr="00EF6654" w:rsidRDefault="0008794F" w:rsidP="004B4B5B">
            <w:pPr>
              <w:pStyle w:val="Textpoznpodarou"/>
              <w:jc w:val="both"/>
              <w:rPr>
                <w:sz w:val="12"/>
                <w:szCs w:val="12"/>
              </w:rPr>
            </w:pPr>
          </w:p>
          <w:p w:rsidR="0008794F" w:rsidRDefault="0008794F" w:rsidP="004B4B5B">
            <w:pPr>
              <w:pStyle w:val="Textpoznpodarou"/>
              <w:jc w:val="both"/>
            </w:pPr>
            <w:r>
              <w:t xml:space="preserve">Co se týká poklesů v roce 1992, je evidentní, že meziroční růst některých položek výdajů na HDP (tabulka 1), byl způsoben velmi slabou srovnávací základnou předchozí roku. </w:t>
            </w:r>
          </w:p>
          <w:p w:rsidR="0008794F" w:rsidRPr="00A557BF" w:rsidRDefault="0008794F" w:rsidP="004B4B5B">
            <w:pPr>
              <w:pStyle w:val="Textpoznpodarou"/>
              <w:jc w:val="both"/>
              <w:rPr>
                <w:sz w:val="18"/>
                <w:szCs w:val="18"/>
              </w:rPr>
            </w:pPr>
            <w:r>
              <w:t xml:space="preserve"> </w:t>
            </w:r>
          </w:p>
        </w:tc>
      </w:tr>
    </w:tbl>
    <w:p w:rsidR="0008794F" w:rsidRDefault="0008794F" w:rsidP="007039D1">
      <w:pPr>
        <w:rPr>
          <w:szCs w:val="20"/>
        </w:rPr>
      </w:pPr>
      <w:r>
        <w:rPr>
          <w:b/>
          <w:szCs w:val="20"/>
        </w:rPr>
        <w:t>Tabulka 1: Vývoj HDP a jeho složek v ČR a SR za období federace (1990-1992) a v letech 1993-1997</w:t>
      </w:r>
      <w:r>
        <w:rPr>
          <w:szCs w:val="20"/>
        </w:rPr>
        <w:t xml:space="preserve"> (meziroční změny v %, HDP a jeho složky v reálném vyjádření)</w:t>
      </w:r>
    </w:p>
    <w:p w:rsidR="0008794F" w:rsidRPr="00D03EC0" w:rsidRDefault="0008794F" w:rsidP="007039D1">
      <w:pPr>
        <w:rPr>
          <w:sz w:val="16"/>
          <w:szCs w:val="16"/>
        </w:rPr>
      </w:pPr>
    </w:p>
    <w:p w:rsidR="0008794F" w:rsidRPr="006B6CEE" w:rsidRDefault="0008794F" w:rsidP="007039D1">
      <w:pPr>
        <w:rPr>
          <w:b/>
          <w:szCs w:val="20"/>
        </w:rPr>
      </w:pPr>
      <w:r w:rsidRPr="006C437B">
        <w:rPr>
          <w:b/>
          <w:szCs w:val="20"/>
        </w:rPr>
        <w:t>Slovenská republika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79"/>
        <w:gridCol w:w="672"/>
        <w:gridCol w:w="672"/>
        <w:gridCol w:w="236"/>
        <w:gridCol w:w="903"/>
        <w:gridCol w:w="850"/>
        <w:gridCol w:w="851"/>
        <w:gridCol w:w="850"/>
        <w:gridCol w:w="851"/>
      </w:tblGrid>
      <w:tr w:rsidR="0008794F" w:rsidRPr="00F407AD" w:rsidTr="004B4B5B">
        <w:tc>
          <w:tcPr>
            <w:tcW w:w="3579" w:type="dxa"/>
          </w:tcPr>
          <w:p w:rsidR="0008794F" w:rsidRPr="00F407AD" w:rsidRDefault="0008794F" w:rsidP="004B4B5B">
            <w:pPr>
              <w:rPr>
                <w:szCs w:val="20"/>
                <w:lang w:eastAsia="en-US"/>
              </w:rPr>
            </w:pPr>
          </w:p>
        </w:tc>
        <w:tc>
          <w:tcPr>
            <w:tcW w:w="672" w:type="dxa"/>
          </w:tcPr>
          <w:p w:rsidR="0008794F" w:rsidRPr="00F407AD" w:rsidRDefault="0008794F" w:rsidP="004B4B5B">
            <w:pPr>
              <w:rPr>
                <w:szCs w:val="20"/>
                <w:lang w:eastAsia="en-US"/>
              </w:rPr>
            </w:pPr>
            <w:r w:rsidRPr="00F407AD">
              <w:rPr>
                <w:szCs w:val="20"/>
                <w:lang w:eastAsia="en-US"/>
              </w:rPr>
              <w:t>1991</w:t>
            </w:r>
          </w:p>
        </w:tc>
        <w:tc>
          <w:tcPr>
            <w:tcW w:w="672" w:type="dxa"/>
          </w:tcPr>
          <w:p w:rsidR="0008794F" w:rsidRPr="00F407AD" w:rsidRDefault="0008794F" w:rsidP="004B4B5B">
            <w:pPr>
              <w:rPr>
                <w:szCs w:val="20"/>
                <w:lang w:eastAsia="en-US"/>
              </w:rPr>
            </w:pPr>
            <w:r w:rsidRPr="00F407AD">
              <w:rPr>
                <w:szCs w:val="20"/>
                <w:lang w:eastAsia="en-US"/>
              </w:rPr>
              <w:t>1992</w:t>
            </w:r>
          </w:p>
        </w:tc>
        <w:tc>
          <w:tcPr>
            <w:tcW w:w="236" w:type="dxa"/>
          </w:tcPr>
          <w:p w:rsidR="0008794F" w:rsidRPr="00F407AD" w:rsidRDefault="0008794F" w:rsidP="004B4B5B">
            <w:pPr>
              <w:rPr>
                <w:szCs w:val="20"/>
                <w:lang w:eastAsia="en-US"/>
              </w:rPr>
            </w:pPr>
            <w:r w:rsidRPr="00F407AD">
              <w:rPr>
                <w:szCs w:val="20"/>
                <w:lang w:eastAsia="en-US"/>
              </w:rPr>
              <w:t xml:space="preserve">   </w:t>
            </w:r>
          </w:p>
        </w:tc>
        <w:tc>
          <w:tcPr>
            <w:tcW w:w="903" w:type="dxa"/>
          </w:tcPr>
          <w:p w:rsidR="0008794F" w:rsidRPr="00F407AD" w:rsidRDefault="0008794F" w:rsidP="004B4B5B">
            <w:pPr>
              <w:rPr>
                <w:szCs w:val="20"/>
                <w:lang w:eastAsia="en-US"/>
              </w:rPr>
            </w:pPr>
            <w:r w:rsidRPr="00F407AD">
              <w:rPr>
                <w:szCs w:val="20"/>
                <w:lang w:eastAsia="en-US"/>
              </w:rPr>
              <w:t>1993</w:t>
            </w:r>
          </w:p>
        </w:tc>
        <w:tc>
          <w:tcPr>
            <w:tcW w:w="850" w:type="dxa"/>
          </w:tcPr>
          <w:p w:rsidR="0008794F" w:rsidRPr="00F407AD" w:rsidRDefault="0008794F" w:rsidP="004B4B5B">
            <w:pPr>
              <w:rPr>
                <w:szCs w:val="20"/>
                <w:lang w:eastAsia="en-US"/>
              </w:rPr>
            </w:pPr>
            <w:r w:rsidRPr="00F407AD">
              <w:rPr>
                <w:szCs w:val="20"/>
                <w:lang w:eastAsia="en-US"/>
              </w:rPr>
              <w:t>1994</w:t>
            </w:r>
          </w:p>
        </w:tc>
        <w:tc>
          <w:tcPr>
            <w:tcW w:w="851" w:type="dxa"/>
          </w:tcPr>
          <w:p w:rsidR="0008794F" w:rsidRPr="00F407AD" w:rsidRDefault="0008794F" w:rsidP="004B4B5B">
            <w:pPr>
              <w:rPr>
                <w:szCs w:val="20"/>
                <w:lang w:eastAsia="en-US"/>
              </w:rPr>
            </w:pPr>
            <w:r w:rsidRPr="00F407AD">
              <w:rPr>
                <w:szCs w:val="20"/>
                <w:lang w:eastAsia="en-US"/>
              </w:rPr>
              <w:t>1995</w:t>
            </w:r>
          </w:p>
        </w:tc>
        <w:tc>
          <w:tcPr>
            <w:tcW w:w="850" w:type="dxa"/>
          </w:tcPr>
          <w:p w:rsidR="0008794F" w:rsidRPr="00F407AD" w:rsidRDefault="0008794F" w:rsidP="004B4B5B">
            <w:pPr>
              <w:rPr>
                <w:szCs w:val="20"/>
                <w:lang w:eastAsia="en-US"/>
              </w:rPr>
            </w:pPr>
            <w:r w:rsidRPr="00F407AD">
              <w:rPr>
                <w:szCs w:val="20"/>
                <w:lang w:eastAsia="en-US"/>
              </w:rPr>
              <w:t>1996</w:t>
            </w:r>
          </w:p>
        </w:tc>
        <w:tc>
          <w:tcPr>
            <w:tcW w:w="851" w:type="dxa"/>
          </w:tcPr>
          <w:p w:rsidR="0008794F" w:rsidRPr="00F407AD" w:rsidRDefault="0008794F" w:rsidP="004B4B5B">
            <w:pPr>
              <w:rPr>
                <w:szCs w:val="20"/>
                <w:lang w:eastAsia="en-US"/>
              </w:rPr>
            </w:pPr>
            <w:r w:rsidRPr="00F407AD">
              <w:rPr>
                <w:szCs w:val="20"/>
                <w:lang w:eastAsia="en-US"/>
              </w:rPr>
              <w:t>1997</w:t>
            </w:r>
          </w:p>
        </w:tc>
      </w:tr>
      <w:tr w:rsidR="0008794F" w:rsidRPr="00F407AD" w:rsidTr="004B4B5B">
        <w:tc>
          <w:tcPr>
            <w:tcW w:w="3579" w:type="dxa"/>
            <w:vAlign w:val="center"/>
          </w:tcPr>
          <w:p w:rsidR="0008794F" w:rsidRPr="00F407AD" w:rsidRDefault="0008794F" w:rsidP="004B4B5B">
            <w:pPr>
              <w:rPr>
                <w:sz w:val="18"/>
                <w:szCs w:val="18"/>
                <w:lang w:eastAsia="en-US"/>
              </w:rPr>
            </w:pPr>
            <w:r w:rsidRPr="00F407AD">
              <w:rPr>
                <w:sz w:val="18"/>
                <w:szCs w:val="18"/>
                <w:lang w:eastAsia="en-US"/>
              </w:rPr>
              <w:t>HDP</w:t>
            </w:r>
          </w:p>
        </w:tc>
        <w:tc>
          <w:tcPr>
            <w:tcW w:w="672" w:type="dxa"/>
          </w:tcPr>
          <w:p w:rsidR="0008794F" w:rsidRPr="00F407AD" w:rsidRDefault="0008794F" w:rsidP="004B4B5B">
            <w:pPr>
              <w:jc w:val="center"/>
              <w:rPr>
                <w:szCs w:val="20"/>
                <w:lang w:eastAsia="en-US"/>
              </w:rPr>
            </w:pPr>
            <w:r w:rsidRPr="00F407AD">
              <w:rPr>
                <w:szCs w:val="20"/>
                <w:lang w:eastAsia="en-US"/>
              </w:rPr>
              <w:t>-17,5</w:t>
            </w:r>
          </w:p>
        </w:tc>
        <w:tc>
          <w:tcPr>
            <w:tcW w:w="672" w:type="dxa"/>
          </w:tcPr>
          <w:p w:rsidR="0008794F" w:rsidRPr="00F407AD" w:rsidRDefault="0008794F" w:rsidP="004B4B5B">
            <w:pPr>
              <w:jc w:val="center"/>
              <w:rPr>
                <w:szCs w:val="20"/>
                <w:lang w:eastAsia="en-US"/>
              </w:rPr>
            </w:pPr>
            <w:r w:rsidRPr="00F407AD">
              <w:rPr>
                <w:szCs w:val="20"/>
                <w:lang w:eastAsia="en-US"/>
              </w:rPr>
              <w:t>-5,8</w:t>
            </w:r>
          </w:p>
        </w:tc>
        <w:tc>
          <w:tcPr>
            <w:tcW w:w="236" w:type="dxa"/>
          </w:tcPr>
          <w:p w:rsidR="0008794F" w:rsidRPr="00F407AD" w:rsidRDefault="0008794F" w:rsidP="004B4B5B">
            <w:pPr>
              <w:jc w:val="center"/>
              <w:rPr>
                <w:szCs w:val="20"/>
                <w:lang w:eastAsia="en-US"/>
              </w:rPr>
            </w:pPr>
          </w:p>
        </w:tc>
        <w:tc>
          <w:tcPr>
            <w:tcW w:w="903" w:type="dxa"/>
          </w:tcPr>
          <w:p w:rsidR="0008794F" w:rsidRPr="00F407AD" w:rsidRDefault="0008794F" w:rsidP="004B4B5B">
            <w:pPr>
              <w:jc w:val="center"/>
              <w:rPr>
                <w:szCs w:val="20"/>
                <w:lang w:eastAsia="en-US"/>
              </w:rPr>
            </w:pPr>
            <w:r w:rsidRPr="00F407AD">
              <w:rPr>
                <w:szCs w:val="20"/>
                <w:lang w:eastAsia="en-US"/>
              </w:rPr>
              <w:t>0,0/</w:t>
            </w:r>
          </w:p>
          <w:p w:rsidR="0008794F" w:rsidRPr="00F407AD" w:rsidRDefault="0008794F" w:rsidP="004B4B5B">
            <w:pPr>
              <w:jc w:val="center"/>
              <w:rPr>
                <w:szCs w:val="20"/>
                <w:lang w:eastAsia="en-US"/>
              </w:rPr>
            </w:pPr>
            <w:r w:rsidRPr="00F407AD">
              <w:rPr>
                <w:szCs w:val="20"/>
                <w:lang w:eastAsia="en-US"/>
              </w:rPr>
              <w:t>+7,2*</w:t>
            </w:r>
          </w:p>
        </w:tc>
        <w:tc>
          <w:tcPr>
            <w:tcW w:w="850" w:type="dxa"/>
          </w:tcPr>
          <w:p w:rsidR="0008794F" w:rsidRPr="00F407AD" w:rsidRDefault="0008794F" w:rsidP="004B4B5B">
            <w:pPr>
              <w:jc w:val="center"/>
              <w:rPr>
                <w:szCs w:val="20"/>
                <w:lang w:eastAsia="en-US"/>
              </w:rPr>
            </w:pPr>
            <w:r w:rsidRPr="00F407AD">
              <w:rPr>
                <w:szCs w:val="20"/>
                <w:lang w:eastAsia="en-US"/>
              </w:rPr>
              <w:t>+3,6/+6,2*</w:t>
            </w:r>
          </w:p>
        </w:tc>
        <w:tc>
          <w:tcPr>
            <w:tcW w:w="851" w:type="dxa"/>
          </w:tcPr>
          <w:p w:rsidR="0008794F" w:rsidRPr="00F407AD" w:rsidRDefault="0008794F" w:rsidP="004B4B5B">
            <w:pPr>
              <w:jc w:val="center"/>
              <w:rPr>
                <w:szCs w:val="20"/>
                <w:lang w:eastAsia="en-US"/>
              </w:rPr>
            </w:pPr>
            <w:r w:rsidRPr="00F407AD">
              <w:rPr>
                <w:szCs w:val="20"/>
                <w:lang w:eastAsia="en-US"/>
              </w:rPr>
              <w:t>+8,1/</w:t>
            </w:r>
          </w:p>
          <w:p w:rsidR="0008794F" w:rsidRPr="00F407AD" w:rsidRDefault="0008794F" w:rsidP="004B4B5B">
            <w:pPr>
              <w:jc w:val="center"/>
              <w:rPr>
                <w:szCs w:val="20"/>
                <w:lang w:eastAsia="en-US"/>
              </w:rPr>
            </w:pPr>
            <w:r w:rsidRPr="00F407AD">
              <w:rPr>
                <w:szCs w:val="20"/>
                <w:lang w:eastAsia="en-US"/>
              </w:rPr>
              <w:t>+7,9*</w:t>
            </w:r>
          </w:p>
        </w:tc>
        <w:tc>
          <w:tcPr>
            <w:tcW w:w="850" w:type="dxa"/>
          </w:tcPr>
          <w:p w:rsidR="0008794F" w:rsidRPr="00F407AD" w:rsidRDefault="0008794F" w:rsidP="004B4B5B">
            <w:pPr>
              <w:jc w:val="center"/>
              <w:rPr>
                <w:szCs w:val="20"/>
                <w:lang w:eastAsia="en-US"/>
              </w:rPr>
            </w:pPr>
            <w:r w:rsidRPr="00F407AD">
              <w:rPr>
                <w:szCs w:val="20"/>
                <w:lang w:eastAsia="en-US"/>
              </w:rPr>
              <w:t>+6,7/</w:t>
            </w:r>
          </w:p>
          <w:p w:rsidR="0008794F" w:rsidRPr="00F407AD" w:rsidRDefault="0008794F" w:rsidP="004B4B5B">
            <w:pPr>
              <w:jc w:val="center"/>
              <w:rPr>
                <w:szCs w:val="20"/>
                <w:lang w:eastAsia="en-US"/>
              </w:rPr>
            </w:pPr>
            <w:r w:rsidRPr="00F407AD">
              <w:rPr>
                <w:szCs w:val="20"/>
                <w:lang w:eastAsia="en-US"/>
              </w:rPr>
              <w:t>+6,9*</w:t>
            </w:r>
          </w:p>
        </w:tc>
        <w:tc>
          <w:tcPr>
            <w:tcW w:w="851" w:type="dxa"/>
          </w:tcPr>
          <w:p w:rsidR="0008794F" w:rsidRPr="00F407AD" w:rsidRDefault="0008794F" w:rsidP="004B4B5B">
            <w:pPr>
              <w:jc w:val="center"/>
              <w:rPr>
                <w:szCs w:val="20"/>
                <w:lang w:eastAsia="en-US"/>
              </w:rPr>
            </w:pPr>
            <w:r w:rsidRPr="00F407AD">
              <w:rPr>
                <w:szCs w:val="20"/>
                <w:lang w:eastAsia="en-US"/>
              </w:rPr>
              <w:t>+5,7/</w:t>
            </w:r>
          </w:p>
          <w:p w:rsidR="0008794F" w:rsidRPr="00F407AD" w:rsidRDefault="0008794F" w:rsidP="004B4B5B">
            <w:pPr>
              <w:jc w:val="center"/>
              <w:rPr>
                <w:szCs w:val="20"/>
                <w:lang w:eastAsia="en-US"/>
              </w:rPr>
            </w:pPr>
            <w:r w:rsidRPr="00F407AD">
              <w:rPr>
                <w:szCs w:val="20"/>
                <w:lang w:eastAsia="en-US"/>
              </w:rPr>
              <w:t>+4,4*</w:t>
            </w:r>
          </w:p>
        </w:tc>
      </w:tr>
      <w:tr w:rsidR="0008794F" w:rsidRPr="00F407AD" w:rsidTr="004B4B5B">
        <w:tc>
          <w:tcPr>
            <w:tcW w:w="3579" w:type="dxa"/>
          </w:tcPr>
          <w:p w:rsidR="0008794F" w:rsidRPr="00F407AD" w:rsidRDefault="0008794F" w:rsidP="004B4B5B">
            <w:pPr>
              <w:rPr>
                <w:sz w:val="18"/>
                <w:szCs w:val="18"/>
                <w:lang w:eastAsia="en-US"/>
              </w:rPr>
            </w:pPr>
            <w:r w:rsidRPr="00F407AD">
              <w:rPr>
                <w:sz w:val="18"/>
                <w:szCs w:val="18"/>
                <w:lang w:eastAsia="en-US"/>
              </w:rPr>
              <w:t>Výdaje domácností na konečnou spotřebu</w:t>
            </w:r>
          </w:p>
        </w:tc>
        <w:tc>
          <w:tcPr>
            <w:tcW w:w="672" w:type="dxa"/>
          </w:tcPr>
          <w:p w:rsidR="0008794F" w:rsidRPr="00F407AD" w:rsidRDefault="0008794F" w:rsidP="004B4B5B">
            <w:pPr>
              <w:jc w:val="center"/>
              <w:rPr>
                <w:szCs w:val="20"/>
                <w:lang w:eastAsia="en-US"/>
              </w:rPr>
            </w:pPr>
            <w:r w:rsidRPr="00F407AD">
              <w:rPr>
                <w:szCs w:val="20"/>
                <w:lang w:eastAsia="en-US"/>
              </w:rPr>
              <w:t>-24,0</w:t>
            </w:r>
          </w:p>
        </w:tc>
        <w:tc>
          <w:tcPr>
            <w:tcW w:w="672" w:type="dxa"/>
          </w:tcPr>
          <w:p w:rsidR="0008794F" w:rsidRPr="00F407AD" w:rsidRDefault="0008794F" w:rsidP="004B4B5B">
            <w:pPr>
              <w:jc w:val="center"/>
              <w:rPr>
                <w:szCs w:val="20"/>
                <w:lang w:eastAsia="en-US"/>
              </w:rPr>
            </w:pPr>
            <w:r w:rsidRPr="00F407AD">
              <w:rPr>
                <w:szCs w:val="20"/>
                <w:lang w:eastAsia="en-US"/>
              </w:rPr>
              <w:t>+4,5</w:t>
            </w:r>
          </w:p>
        </w:tc>
        <w:tc>
          <w:tcPr>
            <w:tcW w:w="236" w:type="dxa"/>
          </w:tcPr>
          <w:p w:rsidR="0008794F" w:rsidRPr="00F407AD" w:rsidRDefault="0008794F" w:rsidP="004B4B5B">
            <w:pPr>
              <w:jc w:val="center"/>
              <w:rPr>
                <w:szCs w:val="20"/>
                <w:lang w:eastAsia="en-US"/>
              </w:rPr>
            </w:pPr>
          </w:p>
        </w:tc>
        <w:tc>
          <w:tcPr>
            <w:tcW w:w="903" w:type="dxa"/>
          </w:tcPr>
          <w:p w:rsidR="0008794F" w:rsidRPr="00F407AD" w:rsidRDefault="0008794F" w:rsidP="004B4B5B">
            <w:pPr>
              <w:jc w:val="center"/>
              <w:rPr>
                <w:szCs w:val="20"/>
                <w:lang w:eastAsia="en-US"/>
              </w:rPr>
            </w:pPr>
            <w:r w:rsidRPr="00F407AD">
              <w:rPr>
                <w:szCs w:val="20"/>
                <w:lang w:eastAsia="en-US"/>
              </w:rPr>
              <w:t>-5,5</w:t>
            </w:r>
          </w:p>
        </w:tc>
        <w:tc>
          <w:tcPr>
            <w:tcW w:w="850" w:type="dxa"/>
          </w:tcPr>
          <w:p w:rsidR="0008794F" w:rsidRPr="00F407AD" w:rsidRDefault="0008794F" w:rsidP="004B4B5B">
            <w:pPr>
              <w:jc w:val="center"/>
              <w:rPr>
                <w:szCs w:val="20"/>
                <w:lang w:eastAsia="en-US"/>
              </w:rPr>
            </w:pPr>
            <w:r w:rsidRPr="00F407AD">
              <w:rPr>
                <w:szCs w:val="20"/>
                <w:lang w:eastAsia="en-US"/>
              </w:rPr>
              <w:t>+0,2</w:t>
            </w:r>
          </w:p>
        </w:tc>
        <w:tc>
          <w:tcPr>
            <w:tcW w:w="851" w:type="dxa"/>
          </w:tcPr>
          <w:p w:rsidR="0008794F" w:rsidRPr="00F407AD" w:rsidRDefault="0008794F" w:rsidP="004B4B5B">
            <w:pPr>
              <w:jc w:val="center"/>
              <w:rPr>
                <w:szCs w:val="20"/>
                <w:lang w:eastAsia="en-US"/>
              </w:rPr>
            </w:pPr>
            <w:r w:rsidRPr="00F407AD">
              <w:rPr>
                <w:szCs w:val="20"/>
                <w:lang w:eastAsia="en-US"/>
              </w:rPr>
              <w:t>-4,6</w:t>
            </w:r>
          </w:p>
        </w:tc>
        <w:tc>
          <w:tcPr>
            <w:tcW w:w="850" w:type="dxa"/>
          </w:tcPr>
          <w:p w:rsidR="0008794F" w:rsidRPr="00F407AD" w:rsidRDefault="0008794F" w:rsidP="004B4B5B">
            <w:pPr>
              <w:jc w:val="center"/>
              <w:rPr>
                <w:szCs w:val="20"/>
                <w:lang w:eastAsia="en-US"/>
              </w:rPr>
            </w:pPr>
            <w:r w:rsidRPr="00F407AD">
              <w:rPr>
                <w:szCs w:val="20"/>
                <w:lang w:eastAsia="en-US"/>
              </w:rPr>
              <w:t>+8,9</w:t>
            </w:r>
          </w:p>
        </w:tc>
        <w:tc>
          <w:tcPr>
            <w:tcW w:w="851" w:type="dxa"/>
          </w:tcPr>
          <w:p w:rsidR="0008794F" w:rsidRPr="00F407AD" w:rsidRDefault="0008794F" w:rsidP="004B4B5B">
            <w:pPr>
              <w:jc w:val="center"/>
              <w:rPr>
                <w:szCs w:val="20"/>
                <w:lang w:eastAsia="en-US"/>
              </w:rPr>
            </w:pPr>
            <w:r w:rsidRPr="00F407AD">
              <w:rPr>
                <w:szCs w:val="20"/>
                <w:lang w:eastAsia="en-US"/>
              </w:rPr>
              <w:t>+8,0</w:t>
            </w:r>
          </w:p>
        </w:tc>
      </w:tr>
      <w:tr w:rsidR="0008794F" w:rsidRPr="00F407AD" w:rsidTr="004B4B5B">
        <w:tc>
          <w:tcPr>
            <w:tcW w:w="3579" w:type="dxa"/>
          </w:tcPr>
          <w:p w:rsidR="0008794F" w:rsidRPr="00F407AD" w:rsidRDefault="0008794F" w:rsidP="004B4B5B">
            <w:pPr>
              <w:rPr>
                <w:sz w:val="18"/>
                <w:szCs w:val="18"/>
                <w:lang w:eastAsia="en-US"/>
              </w:rPr>
            </w:pPr>
            <w:r w:rsidRPr="00F407AD">
              <w:rPr>
                <w:sz w:val="18"/>
                <w:szCs w:val="18"/>
                <w:lang w:eastAsia="en-US"/>
              </w:rPr>
              <w:t>Výdaje vlády na konečnou spotřebu</w:t>
            </w:r>
          </w:p>
        </w:tc>
        <w:tc>
          <w:tcPr>
            <w:tcW w:w="672" w:type="dxa"/>
          </w:tcPr>
          <w:p w:rsidR="0008794F" w:rsidRPr="00F407AD" w:rsidRDefault="0008794F" w:rsidP="004B4B5B">
            <w:pPr>
              <w:jc w:val="center"/>
              <w:rPr>
                <w:szCs w:val="20"/>
                <w:lang w:eastAsia="en-US"/>
              </w:rPr>
            </w:pPr>
            <w:r w:rsidRPr="00F407AD">
              <w:rPr>
                <w:szCs w:val="20"/>
                <w:lang w:eastAsia="en-US"/>
              </w:rPr>
              <w:t>-17,7</w:t>
            </w:r>
          </w:p>
        </w:tc>
        <w:tc>
          <w:tcPr>
            <w:tcW w:w="672" w:type="dxa"/>
          </w:tcPr>
          <w:p w:rsidR="0008794F" w:rsidRPr="00F407AD" w:rsidRDefault="0008794F" w:rsidP="004B4B5B">
            <w:pPr>
              <w:jc w:val="center"/>
              <w:rPr>
                <w:szCs w:val="20"/>
                <w:lang w:eastAsia="en-US"/>
              </w:rPr>
            </w:pPr>
            <w:r w:rsidRPr="00F407AD">
              <w:rPr>
                <w:szCs w:val="20"/>
                <w:lang w:eastAsia="en-US"/>
              </w:rPr>
              <w:t>+8,7</w:t>
            </w:r>
          </w:p>
        </w:tc>
        <w:tc>
          <w:tcPr>
            <w:tcW w:w="236" w:type="dxa"/>
          </w:tcPr>
          <w:p w:rsidR="0008794F" w:rsidRPr="00F407AD" w:rsidRDefault="0008794F" w:rsidP="004B4B5B">
            <w:pPr>
              <w:jc w:val="center"/>
              <w:rPr>
                <w:szCs w:val="20"/>
                <w:lang w:eastAsia="en-US"/>
              </w:rPr>
            </w:pPr>
          </w:p>
        </w:tc>
        <w:tc>
          <w:tcPr>
            <w:tcW w:w="903" w:type="dxa"/>
          </w:tcPr>
          <w:p w:rsidR="0008794F" w:rsidRPr="00F407AD" w:rsidRDefault="0008794F" w:rsidP="004B4B5B">
            <w:pPr>
              <w:jc w:val="center"/>
              <w:rPr>
                <w:szCs w:val="20"/>
                <w:lang w:eastAsia="en-US"/>
              </w:rPr>
            </w:pPr>
            <w:r w:rsidRPr="00F407AD">
              <w:rPr>
                <w:szCs w:val="20"/>
                <w:lang w:eastAsia="en-US"/>
              </w:rPr>
              <w:t>-2,2</w:t>
            </w:r>
          </w:p>
        </w:tc>
        <w:tc>
          <w:tcPr>
            <w:tcW w:w="850" w:type="dxa"/>
          </w:tcPr>
          <w:p w:rsidR="0008794F" w:rsidRPr="00F407AD" w:rsidRDefault="0008794F" w:rsidP="004B4B5B">
            <w:pPr>
              <w:jc w:val="center"/>
              <w:rPr>
                <w:szCs w:val="20"/>
                <w:lang w:eastAsia="en-US"/>
              </w:rPr>
            </w:pPr>
            <w:r w:rsidRPr="00F407AD">
              <w:rPr>
                <w:szCs w:val="20"/>
                <w:lang w:eastAsia="en-US"/>
              </w:rPr>
              <w:t>-3,2</w:t>
            </w:r>
          </w:p>
        </w:tc>
        <w:tc>
          <w:tcPr>
            <w:tcW w:w="851" w:type="dxa"/>
          </w:tcPr>
          <w:p w:rsidR="0008794F" w:rsidRPr="00F407AD" w:rsidRDefault="0008794F" w:rsidP="004B4B5B">
            <w:pPr>
              <w:jc w:val="center"/>
              <w:rPr>
                <w:szCs w:val="20"/>
                <w:lang w:eastAsia="en-US"/>
              </w:rPr>
            </w:pPr>
            <w:r w:rsidRPr="00F407AD">
              <w:rPr>
                <w:szCs w:val="20"/>
                <w:lang w:eastAsia="en-US"/>
              </w:rPr>
              <w:t>+10,6</w:t>
            </w:r>
          </w:p>
        </w:tc>
        <w:tc>
          <w:tcPr>
            <w:tcW w:w="850" w:type="dxa"/>
          </w:tcPr>
          <w:p w:rsidR="0008794F" w:rsidRPr="00F407AD" w:rsidRDefault="0008794F" w:rsidP="004B4B5B">
            <w:pPr>
              <w:jc w:val="center"/>
              <w:rPr>
                <w:szCs w:val="20"/>
                <w:lang w:eastAsia="en-US"/>
              </w:rPr>
            </w:pPr>
            <w:r w:rsidRPr="00F407AD">
              <w:rPr>
                <w:szCs w:val="20"/>
                <w:lang w:eastAsia="en-US"/>
              </w:rPr>
              <w:t>+11,1</w:t>
            </w:r>
          </w:p>
        </w:tc>
        <w:tc>
          <w:tcPr>
            <w:tcW w:w="851" w:type="dxa"/>
          </w:tcPr>
          <w:p w:rsidR="0008794F" w:rsidRPr="00F407AD" w:rsidRDefault="0008794F" w:rsidP="004B4B5B">
            <w:pPr>
              <w:jc w:val="center"/>
              <w:rPr>
                <w:szCs w:val="20"/>
                <w:lang w:eastAsia="en-US"/>
              </w:rPr>
            </w:pPr>
            <w:r w:rsidRPr="00F407AD">
              <w:rPr>
                <w:szCs w:val="20"/>
                <w:lang w:eastAsia="en-US"/>
              </w:rPr>
              <w:t>+0,4</w:t>
            </w:r>
          </w:p>
        </w:tc>
      </w:tr>
      <w:tr w:rsidR="0008794F" w:rsidRPr="00F407AD" w:rsidTr="004B4B5B">
        <w:tc>
          <w:tcPr>
            <w:tcW w:w="3579" w:type="dxa"/>
          </w:tcPr>
          <w:p w:rsidR="0008794F" w:rsidRPr="00F407AD" w:rsidRDefault="0008794F" w:rsidP="004B4B5B">
            <w:pPr>
              <w:rPr>
                <w:sz w:val="18"/>
                <w:szCs w:val="18"/>
                <w:lang w:eastAsia="en-US"/>
              </w:rPr>
            </w:pPr>
            <w:r w:rsidRPr="00F407AD">
              <w:rPr>
                <w:sz w:val="18"/>
                <w:szCs w:val="18"/>
                <w:lang w:eastAsia="en-US"/>
              </w:rPr>
              <w:t>Tvorba hrubého fixního kapitálu</w:t>
            </w:r>
          </w:p>
        </w:tc>
        <w:tc>
          <w:tcPr>
            <w:tcW w:w="672" w:type="dxa"/>
          </w:tcPr>
          <w:p w:rsidR="0008794F" w:rsidRPr="00F407AD" w:rsidRDefault="0008794F" w:rsidP="004B4B5B">
            <w:pPr>
              <w:jc w:val="center"/>
              <w:rPr>
                <w:szCs w:val="20"/>
                <w:lang w:eastAsia="en-US"/>
              </w:rPr>
            </w:pPr>
            <w:r w:rsidRPr="00F407AD">
              <w:rPr>
                <w:szCs w:val="20"/>
                <w:lang w:eastAsia="en-US"/>
              </w:rPr>
              <w:t>-12,0</w:t>
            </w:r>
          </w:p>
        </w:tc>
        <w:tc>
          <w:tcPr>
            <w:tcW w:w="672" w:type="dxa"/>
          </w:tcPr>
          <w:p w:rsidR="0008794F" w:rsidRPr="00F407AD" w:rsidRDefault="0008794F" w:rsidP="004B4B5B">
            <w:pPr>
              <w:jc w:val="center"/>
              <w:rPr>
                <w:szCs w:val="20"/>
                <w:lang w:eastAsia="en-US"/>
              </w:rPr>
            </w:pPr>
            <w:r w:rsidRPr="00F407AD">
              <w:rPr>
                <w:szCs w:val="20"/>
                <w:lang w:eastAsia="en-US"/>
              </w:rPr>
              <w:t>-7,0</w:t>
            </w:r>
          </w:p>
        </w:tc>
        <w:tc>
          <w:tcPr>
            <w:tcW w:w="236" w:type="dxa"/>
          </w:tcPr>
          <w:p w:rsidR="0008794F" w:rsidRPr="00F407AD" w:rsidRDefault="0008794F" w:rsidP="004B4B5B">
            <w:pPr>
              <w:jc w:val="center"/>
              <w:rPr>
                <w:szCs w:val="20"/>
                <w:lang w:eastAsia="en-US"/>
              </w:rPr>
            </w:pPr>
          </w:p>
        </w:tc>
        <w:tc>
          <w:tcPr>
            <w:tcW w:w="903" w:type="dxa"/>
          </w:tcPr>
          <w:p w:rsidR="0008794F" w:rsidRPr="00F407AD" w:rsidRDefault="0008794F" w:rsidP="004B4B5B">
            <w:pPr>
              <w:jc w:val="center"/>
              <w:rPr>
                <w:szCs w:val="20"/>
                <w:lang w:eastAsia="en-US"/>
              </w:rPr>
            </w:pPr>
            <w:r w:rsidRPr="00F407AD">
              <w:rPr>
                <w:szCs w:val="20"/>
                <w:lang w:eastAsia="en-US"/>
              </w:rPr>
              <w:t>-2,1</w:t>
            </w:r>
          </w:p>
        </w:tc>
        <w:tc>
          <w:tcPr>
            <w:tcW w:w="850" w:type="dxa"/>
          </w:tcPr>
          <w:p w:rsidR="0008794F" w:rsidRPr="00F407AD" w:rsidRDefault="0008794F" w:rsidP="004B4B5B">
            <w:pPr>
              <w:jc w:val="center"/>
              <w:rPr>
                <w:szCs w:val="20"/>
                <w:lang w:eastAsia="en-US"/>
              </w:rPr>
            </w:pPr>
            <w:r w:rsidRPr="00F407AD">
              <w:rPr>
                <w:szCs w:val="20"/>
                <w:lang w:eastAsia="en-US"/>
              </w:rPr>
              <w:t>-0,6</w:t>
            </w:r>
          </w:p>
        </w:tc>
        <w:tc>
          <w:tcPr>
            <w:tcW w:w="851" w:type="dxa"/>
          </w:tcPr>
          <w:p w:rsidR="0008794F" w:rsidRPr="00F407AD" w:rsidRDefault="0008794F" w:rsidP="004B4B5B">
            <w:pPr>
              <w:jc w:val="center"/>
              <w:rPr>
                <w:szCs w:val="20"/>
                <w:lang w:eastAsia="en-US"/>
              </w:rPr>
            </w:pPr>
            <w:r w:rsidRPr="00F407AD">
              <w:rPr>
                <w:szCs w:val="20"/>
                <w:lang w:eastAsia="en-US"/>
              </w:rPr>
              <w:t>+13,5</w:t>
            </w:r>
          </w:p>
        </w:tc>
        <w:tc>
          <w:tcPr>
            <w:tcW w:w="850" w:type="dxa"/>
          </w:tcPr>
          <w:p w:rsidR="0008794F" w:rsidRPr="00F407AD" w:rsidRDefault="0008794F" w:rsidP="004B4B5B">
            <w:pPr>
              <w:jc w:val="center"/>
              <w:rPr>
                <w:szCs w:val="20"/>
                <w:lang w:eastAsia="en-US"/>
              </w:rPr>
            </w:pPr>
            <w:r w:rsidRPr="00F407AD">
              <w:rPr>
                <w:szCs w:val="20"/>
                <w:lang w:eastAsia="en-US"/>
              </w:rPr>
              <w:t>+30,1</w:t>
            </w:r>
          </w:p>
        </w:tc>
        <w:tc>
          <w:tcPr>
            <w:tcW w:w="851" w:type="dxa"/>
          </w:tcPr>
          <w:p w:rsidR="0008794F" w:rsidRPr="00F407AD" w:rsidRDefault="0008794F" w:rsidP="004B4B5B">
            <w:pPr>
              <w:jc w:val="center"/>
              <w:rPr>
                <w:szCs w:val="20"/>
                <w:lang w:eastAsia="en-US"/>
              </w:rPr>
            </w:pPr>
            <w:r w:rsidRPr="00F407AD">
              <w:rPr>
                <w:szCs w:val="20"/>
                <w:lang w:eastAsia="en-US"/>
              </w:rPr>
              <w:t>+14,0</w:t>
            </w:r>
          </w:p>
        </w:tc>
      </w:tr>
      <w:tr w:rsidR="0008794F" w:rsidRPr="00F407AD" w:rsidTr="004B4B5B">
        <w:tc>
          <w:tcPr>
            <w:tcW w:w="3579" w:type="dxa"/>
          </w:tcPr>
          <w:p w:rsidR="0008794F" w:rsidRPr="00F407AD" w:rsidRDefault="0008794F" w:rsidP="004B4B5B">
            <w:pPr>
              <w:rPr>
                <w:sz w:val="18"/>
                <w:szCs w:val="18"/>
                <w:lang w:eastAsia="en-US"/>
              </w:rPr>
            </w:pPr>
            <w:r w:rsidRPr="00F407AD">
              <w:rPr>
                <w:sz w:val="18"/>
                <w:szCs w:val="18"/>
                <w:lang w:eastAsia="en-US"/>
              </w:rPr>
              <w:t>Export zboží a služeb</w:t>
            </w:r>
          </w:p>
        </w:tc>
        <w:tc>
          <w:tcPr>
            <w:tcW w:w="672" w:type="dxa"/>
          </w:tcPr>
          <w:p w:rsidR="0008794F" w:rsidRPr="00F407AD" w:rsidRDefault="0008794F" w:rsidP="004B4B5B">
            <w:pPr>
              <w:jc w:val="center"/>
              <w:rPr>
                <w:szCs w:val="20"/>
                <w:lang w:eastAsia="en-US"/>
              </w:rPr>
            </w:pPr>
            <w:r w:rsidRPr="00F407AD">
              <w:rPr>
                <w:szCs w:val="20"/>
                <w:lang w:eastAsia="en-US"/>
              </w:rPr>
              <w:t>-35,4</w:t>
            </w:r>
          </w:p>
        </w:tc>
        <w:tc>
          <w:tcPr>
            <w:tcW w:w="672" w:type="dxa"/>
          </w:tcPr>
          <w:p w:rsidR="0008794F" w:rsidRPr="00F407AD" w:rsidRDefault="0008794F" w:rsidP="004B4B5B">
            <w:pPr>
              <w:jc w:val="center"/>
              <w:rPr>
                <w:sz w:val="18"/>
                <w:szCs w:val="18"/>
                <w:lang w:eastAsia="en-US"/>
              </w:rPr>
            </w:pPr>
            <w:r w:rsidRPr="00F407AD">
              <w:rPr>
                <w:sz w:val="18"/>
                <w:szCs w:val="18"/>
                <w:lang w:eastAsia="en-US"/>
              </w:rPr>
              <w:t>+29,4</w:t>
            </w:r>
          </w:p>
        </w:tc>
        <w:tc>
          <w:tcPr>
            <w:tcW w:w="236" w:type="dxa"/>
          </w:tcPr>
          <w:p w:rsidR="0008794F" w:rsidRPr="00F407AD" w:rsidRDefault="0008794F" w:rsidP="004B4B5B">
            <w:pPr>
              <w:jc w:val="center"/>
              <w:rPr>
                <w:szCs w:val="20"/>
                <w:lang w:eastAsia="en-US"/>
              </w:rPr>
            </w:pPr>
          </w:p>
        </w:tc>
        <w:tc>
          <w:tcPr>
            <w:tcW w:w="903" w:type="dxa"/>
          </w:tcPr>
          <w:p w:rsidR="0008794F" w:rsidRPr="00F407AD" w:rsidRDefault="0008794F" w:rsidP="004B4B5B">
            <w:pPr>
              <w:jc w:val="center"/>
              <w:rPr>
                <w:szCs w:val="20"/>
                <w:lang w:eastAsia="en-US"/>
              </w:rPr>
            </w:pPr>
            <w:r w:rsidRPr="00F407AD">
              <w:rPr>
                <w:szCs w:val="20"/>
                <w:lang w:eastAsia="en-US"/>
              </w:rPr>
              <w:t>+9,3</w:t>
            </w:r>
          </w:p>
        </w:tc>
        <w:tc>
          <w:tcPr>
            <w:tcW w:w="850" w:type="dxa"/>
          </w:tcPr>
          <w:p w:rsidR="0008794F" w:rsidRPr="00F407AD" w:rsidRDefault="0008794F" w:rsidP="004B4B5B">
            <w:pPr>
              <w:jc w:val="center"/>
              <w:rPr>
                <w:szCs w:val="20"/>
                <w:lang w:eastAsia="en-US"/>
              </w:rPr>
            </w:pPr>
            <w:r w:rsidRPr="00F407AD">
              <w:rPr>
                <w:szCs w:val="20"/>
                <w:lang w:eastAsia="en-US"/>
              </w:rPr>
              <w:t>+12,2</w:t>
            </w:r>
          </w:p>
        </w:tc>
        <w:tc>
          <w:tcPr>
            <w:tcW w:w="851" w:type="dxa"/>
          </w:tcPr>
          <w:p w:rsidR="0008794F" w:rsidRPr="00F407AD" w:rsidRDefault="0008794F" w:rsidP="004B4B5B">
            <w:pPr>
              <w:jc w:val="center"/>
              <w:rPr>
                <w:szCs w:val="20"/>
                <w:lang w:eastAsia="en-US"/>
              </w:rPr>
            </w:pPr>
            <w:r w:rsidRPr="00F407AD">
              <w:rPr>
                <w:szCs w:val="20"/>
                <w:lang w:eastAsia="en-US"/>
              </w:rPr>
              <w:t>+7,4</w:t>
            </w:r>
          </w:p>
        </w:tc>
        <w:tc>
          <w:tcPr>
            <w:tcW w:w="850" w:type="dxa"/>
          </w:tcPr>
          <w:p w:rsidR="0008794F" w:rsidRPr="00F407AD" w:rsidRDefault="0008794F" w:rsidP="004B4B5B">
            <w:pPr>
              <w:jc w:val="center"/>
              <w:rPr>
                <w:szCs w:val="20"/>
                <w:lang w:eastAsia="en-US"/>
              </w:rPr>
            </w:pPr>
            <w:r w:rsidRPr="00F407AD">
              <w:rPr>
                <w:szCs w:val="20"/>
                <w:lang w:eastAsia="en-US"/>
              </w:rPr>
              <w:t>-1,4</w:t>
            </w:r>
          </w:p>
        </w:tc>
        <w:tc>
          <w:tcPr>
            <w:tcW w:w="851" w:type="dxa"/>
          </w:tcPr>
          <w:p w:rsidR="0008794F" w:rsidRPr="00F407AD" w:rsidRDefault="0008794F" w:rsidP="004B4B5B">
            <w:pPr>
              <w:jc w:val="center"/>
              <w:rPr>
                <w:szCs w:val="20"/>
                <w:lang w:eastAsia="en-US"/>
              </w:rPr>
            </w:pPr>
            <w:r w:rsidRPr="00F407AD">
              <w:rPr>
                <w:szCs w:val="20"/>
                <w:lang w:eastAsia="en-US"/>
              </w:rPr>
              <w:t>+10,0</w:t>
            </w:r>
          </w:p>
        </w:tc>
      </w:tr>
      <w:tr w:rsidR="0008794F" w:rsidRPr="00F407AD" w:rsidTr="004B4B5B">
        <w:tc>
          <w:tcPr>
            <w:tcW w:w="3579" w:type="dxa"/>
          </w:tcPr>
          <w:p w:rsidR="0008794F" w:rsidRPr="00F407AD" w:rsidRDefault="0008794F" w:rsidP="004B4B5B">
            <w:pPr>
              <w:rPr>
                <w:sz w:val="18"/>
                <w:szCs w:val="18"/>
                <w:lang w:eastAsia="en-US"/>
              </w:rPr>
            </w:pPr>
            <w:r w:rsidRPr="00F407AD">
              <w:rPr>
                <w:sz w:val="18"/>
                <w:szCs w:val="18"/>
                <w:lang w:eastAsia="en-US"/>
              </w:rPr>
              <w:t>Import zboží a služeb</w:t>
            </w:r>
          </w:p>
        </w:tc>
        <w:tc>
          <w:tcPr>
            <w:tcW w:w="672" w:type="dxa"/>
          </w:tcPr>
          <w:p w:rsidR="0008794F" w:rsidRPr="00F407AD" w:rsidRDefault="0008794F" w:rsidP="004B4B5B">
            <w:pPr>
              <w:jc w:val="center"/>
              <w:rPr>
                <w:szCs w:val="20"/>
                <w:lang w:eastAsia="en-US"/>
              </w:rPr>
            </w:pPr>
            <w:r w:rsidRPr="00F407AD">
              <w:rPr>
                <w:szCs w:val="20"/>
                <w:lang w:eastAsia="en-US"/>
              </w:rPr>
              <w:t>-47,5</w:t>
            </w:r>
          </w:p>
        </w:tc>
        <w:tc>
          <w:tcPr>
            <w:tcW w:w="672" w:type="dxa"/>
          </w:tcPr>
          <w:p w:rsidR="0008794F" w:rsidRPr="00F407AD" w:rsidRDefault="0008794F" w:rsidP="004B4B5B">
            <w:pPr>
              <w:jc w:val="center"/>
              <w:rPr>
                <w:sz w:val="18"/>
                <w:szCs w:val="18"/>
                <w:lang w:eastAsia="en-US"/>
              </w:rPr>
            </w:pPr>
            <w:r w:rsidRPr="00F407AD">
              <w:rPr>
                <w:sz w:val="18"/>
                <w:szCs w:val="18"/>
                <w:lang w:eastAsia="en-US"/>
              </w:rPr>
              <w:t>+40,0</w:t>
            </w:r>
          </w:p>
        </w:tc>
        <w:tc>
          <w:tcPr>
            <w:tcW w:w="236" w:type="dxa"/>
          </w:tcPr>
          <w:p w:rsidR="0008794F" w:rsidRPr="00F407AD" w:rsidRDefault="0008794F" w:rsidP="004B4B5B">
            <w:pPr>
              <w:jc w:val="center"/>
              <w:rPr>
                <w:szCs w:val="20"/>
                <w:lang w:eastAsia="en-US"/>
              </w:rPr>
            </w:pPr>
          </w:p>
        </w:tc>
        <w:tc>
          <w:tcPr>
            <w:tcW w:w="903" w:type="dxa"/>
          </w:tcPr>
          <w:p w:rsidR="0008794F" w:rsidRPr="00F407AD" w:rsidRDefault="0008794F" w:rsidP="004B4B5B">
            <w:pPr>
              <w:jc w:val="center"/>
              <w:rPr>
                <w:szCs w:val="20"/>
                <w:lang w:eastAsia="en-US"/>
              </w:rPr>
            </w:pPr>
            <w:r w:rsidRPr="00F407AD">
              <w:rPr>
                <w:szCs w:val="20"/>
                <w:lang w:eastAsia="en-US"/>
              </w:rPr>
              <w:t>+7,6</w:t>
            </w:r>
          </w:p>
        </w:tc>
        <w:tc>
          <w:tcPr>
            <w:tcW w:w="850" w:type="dxa"/>
          </w:tcPr>
          <w:p w:rsidR="0008794F" w:rsidRPr="00F407AD" w:rsidRDefault="0008794F" w:rsidP="004B4B5B">
            <w:pPr>
              <w:jc w:val="center"/>
              <w:rPr>
                <w:szCs w:val="20"/>
                <w:lang w:eastAsia="en-US"/>
              </w:rPr>
            </w:pPr>
            <w:r w:rsidRPr="00F407AD">
              <w:rPr>
                <w:szCs w:val="20"/>
                <w:lang w:eastAsia="en-US"/>
              </w:rPr>
              <w:t>-3,2</w:t>
            </w:r>
          </w:p>
        </w:tc>
        <w:tc>
          <w:tcPr>
            <w:tcW w:w="851" w:type="dxa"/>
          </w:tcPr>
          <w:p w:rsidR="0008794F" w:rsidRPr="00F407AD" w:rsidRDefault="0008794F" w:rsidP="004B4B5B">
            <w:pPr>
              <w:jc w:val="center"/>
              <w:rPr>
                <w:szCs w:val="20"/>
                <w:lang w:eastAsia="en-US"/>
              </w:rPr>
            </w:pPr>
            <w:r w:rsidRPr="00F407AD">
              <w:rPr>
                <w:szCs w:val="20"/>
                <w:lang w:eastAsia="en-US"/>
              </w:rPr>
              <w:t>+6,8</w:t>
            </w:r>
          </w:p>
        </w:tc>
        <w:tc>
          <w:tcPr>
            <w:tcW w:w="850" w:type="dxa"/>
          </w:tcPr>
          <w:p w:rsidR="0008794F" w:rsidRPr="00F407AD" w:rsidRDefault="0008794F" w:rsidP="004B4B5B">
            <w:pPr>
              <w:jc w:val="center"/>
              <w:rPr>
                <w:szCs w:val="20"/>
                <w:lang w:eastAsia="en-US"/>
              </w:rPr>
            </w:pPr>
            <w:r w:rsidRPr="00F407AD">
              <w:rPr>
                <w:szCs w:val="20"/>
                <w:lang w:eastAsia="en-US"/>
              </w:rPr>
              <w:t>+17,6</w:t>
            </w:r>
          </w:p>
        </w:tc>
        <w:tc>
          <w:tcPr>
            <w:tcW w:w="851" w:type="dxa"/>
          </w:tcPr>
          <w:p w:rsidR="0008794F" w:rsidRPr="00F407AD" w:rsidRDefault="0008794F" w:rsidP="004B4B5B">
            <w:pPr>
              <w:jc w:val="center"/>
              <w:rPr>
                <w:szCs w:val="20"/>
                <w:lang w:eastAsia="en-US"/>
              </w:rPr>
            </w:pPr>
            <w:r w:rsidRPr="00F407AD">
              <w:rPr>
                <w:szCs w:val="20"/>
                <w:lang w:eastAsia="en-US"/>
              </w:rPr>
              <w:t>+10,2</w:t>
            </w:r>
          </w:p>
        </w:tc>
      </w:tr>
    </w:tbl>
    <w:p w:rsidR="0008794F" w:rsidRPr="006B6CEE" w:rsidRDefault="0008794F" w:rsidP="006B6CEE">
      <w:pPr>
        <w:rPr>
          <w:sz w:val="8"/>
          <w:szCs w:val="8"/>
        </w:rPr>
      </w:pPr>
    </w:p>
    <w:p w:rsidR="0008794F" w:rsidRPr="006B6CEE" w:rsidRDefault="0008794F" w:rsidP="006B6CEE">
      <w:pPr>
        <w:rPr>
          <w:sz w:val="18"/>
          <w:szCs w:val="18"/>
        </w:rPr>
      </w:pPr>
      <w:r w:rsidRPr="006C437B">
        <w:rPr>
          <w:sz w:val="18"/>
          <w:szCs w:val="18"/>
        </w:rPr>
        <w:t>Pozn.: * Ve druhém řádku u HDP uvedena data z </w:t>
      </w:r>
      <w:proofErr w:type="spellStart"/>
      <w:proofErr w:type="gramStart"/>
      <w:r w:rsidRPr="006C437B">
        <w:rPr>
          <w:sz w:val="18"/>
          <w:szCs w:val="18"/>
        </w:rPr>
        <w:t>Eurostatu</w:t>
      </w:r>
      <w:proofErr w:type="spellEnd"/>
      <w:r w:rsidRPr="006C437B">
        <w:rPr>
          <w:sz w:val="18"/>
          <w:szCs w:val="18"/>
        </w:rPr>
        <w:t xml:space="preserve">, </w:t>
      </w:r>
      <w:r>
        <w:rPr>
          <w:sz w:val="18"/>
          <w:szCs w:val="18"/>
        </w:rPr>
        <w:t xml:space="preserve">                      </w:t>
      </w:r>
      <w:r w:rsidRPr="006B6CEE">
        <w:rPr>
          <w:sz w:val="18"/>
          <w:szCs w:val="18"/>
        </w:rPr>
        <w:t>Pramen</w:t>
      </w:r>
      <w:proofErr w:type="gramEnd"/>
      <w:r w:rsidRPr="006B6CEE">
        <w:rPr>
          <w:sz w:val="18"/>
          <w:szCs w:val="18"/>
        </w:rPr>
        <w:t>: Historická ročenka národních účtů</w:t>
      </w:r>
    </w:p>
    <w:p w:rsidR="0008794F" w:rsidRDefault="0008794F" w:rsidP="007039D1">
      <w:pPr>
        <w:rPr>
          <w:sz w:val="18"/>
          <w:szCs w:val="18"/>
        </w:rPr>
      </w:pPr>
      <w:r>
        <w:rPr>
          <w:sz w:val="18"/>
          <w:szCs w:val="18"/>
        </w:rPr>
        <w:t xml:space="preserve">              </w:t>
      </w:r>
      <w:r w:rsidRPr="006C437B">
        <w:rPr>
          <w:sz w:val="18"/>
          <w:szCs w:val="18"/>
        </w:rPr>
        <w:t xml:space="preserve">na základě národních statistik, </w:t>
      </w:r>
      <w:r>
        <w:rPr>
          <w:sz w:val="18"/>
          <w:szCs w:val="18"/>
        </w:rPr>
        <w:t xml:space="preserve">podle ESA </w:t>
      </w:r>
      <w:r w:rsidRPr="006C437B">
        <w:rPr>
          <w:sz w:val="18"/>
          <w:szCs w:val="18"/>
        </w:rPr>
        <w:t>95</w:t>
      </w:r>
    </w:p>
    <w:p w:rsidR="0008794F" w:rsidRPr="00C92F27" w:rsidRDefault="0008794F" w:rsidP="007039D1">
      <w:pPr>
        <w:rPr>
          <w:sz w:val="18"/>
          <w:szCs w:val="18"/>
        </w:rPr>
      </w:pPr>
    </w:p>
    <w:p w:rsidR="0008794F" w:rsidRPr="00F6519F" w:rsidRDefault="0008794F" w:rsidP="007039D1">
      <w:pPr>
        <w:rPr>
          <w:b/>
          <w:szCs w:val="20"/>
        </w:rPr>
      </w:pPr>
      <w:r w:rsidRPr="00F6519F">
        <w:rPr>
          <w:b/>
          <w:szCs w:val="20"/>
        </w:rPr>
        <w:t>Česká republika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79"/>
        <w:gridCol w:w="672"/>
        <w:gridCol w:w="723"/>
        <w:gridCol w:w="236"/>
        <w:gridCol w:w="852"/>
        <w:gridCol w:w="850"/>
        <w:gridCol w:w="851"/>
        <w:gridCol w:w="850"/>
        <w:gridCol w:w="851"/>
      </w:tblGrid>
      <w:tr w:rsidR="0008794F" w:rsidRPr="00F407AD" w:rsidTr="004B4B5B">
        <w:tc>
          <w:tcPr>
            <w:tcW w:w="3579" w:type="dxa"/>
          </w:tcPr>
          <w:p w:rsidR="0008794F" w:rsidRPr="00F407AD" w:rsidRDefault="0008794F" w:rsidP="004B4B5B">
            <w:pPr>
              <w:rPr>
                <w:szCs w:val="20"/>
                <w:lang w:eastAsia="en-US"/>
              </w:rPr>
            </w:pPr>
          </w:p>
        </w:tc>
        <w:tc>
          <w:tcPr>
            <w:tcW w:w="672" w:type="dxa"/>
          </w:tcPr>
          <w:p w:rsidR="0008794F" w:rsidRPr="00F407AD" w:rsidRDefault="0008794F" w:rsidP="004B4B5B">
            <w:pPr>
              <w:rPr>
                <w:szCs w:val="20"/>
                <w:lang w:eastAsia="en-US"/>
              </w:rPr>
            </w:pPr>
            <w:r w:rsidRPr="00F407AD">
              <w:rPr>
                <w:szCs w:val="20"/>
                <w:lang w:eastAsia="en-US"/>
              </w:rPr>
              <w:t>1991</w:t>
            </w:r>
          </w:p>
        </w:tc>
        <w:tc>
          <w:tcPr>
            <w:tcW w:w="723" w:type="dxa"/>
          </w:tcPr>
          <w:p w:rsidR="0008794F" w:rsidRPr="00F407AD" w:rsidRDefault="0008794F" w:rsidP="004B4B5B">
            <w:pPr>
              <w:rPr>
                <w:szCs w:val="20"/>
                <w:lang w:eastAsia="en-US"/>
              </w:rPr>
            </w:pPr>
            <w:r w:rsidRPr="00F407AD">
              <w:rPr>
                <w:szCs w:val="20"/>
                <w:lang w:eastAsia="en-US"/>
              </w:rPr>
              <w:t>1992</w:t>
            </w:r>
          </w:p>
        </w:tc>
        <w:tc>
          <w:tcPr>
            <w:tcW w:w="236" w:type="dxa"/>
          </w:tcPr>
          <w:p w:rsidR="0008794F" w:rsidRPr="00F407AD" w:rsidRDefault="0008794F" w:rsidP="004B4B5B">
            <w:pPr>
              <w:rPr>
                <w:szCs w:val="20"/>
                <w:lang w:eastAsia="en-US"/>
              </w:rPr>
            </w:pPr>
            <w:r w:rsidRPr="00F407AD">
              <w:rPr>
                <w:szCs w:val="20"/>
                <w:lang w:eastAsia="en-US"/>
              </w:rPr>
              <w:t xml:space="preserve">   </w:t>
            </w:r>
          </w:p>
        </w:tc>
        <w:tc>
          <w:tcPr>
            <w:tcW w:w="852" w:type="dxa"/>
          </w:tcPr>
          <w:p w:rsidR="0008794F" w:rsidRPr="00F407AD" w:rsidRDefault="0008794F" w:rsidP="004B4B5B">
            <w:pPr>
              <w:rPr>
                <w:szCs w:val="20"/>
                <w:lang w:eastAsia="en-US"/>
              </w:rPr>
            </w:pPr>
            <w:r w:rsidRPr="00F407AD">
              <w:rPr>
                <w:szCs w:val="20"/>
                <w:lang w:eastAsia="en-US"/>
              </w:rPr>
              <w:t>1993</w:t>
            </w:r>
          </w:p>
        </w:tc>
        <w:tc>
          <w:tcPr>
            <w:tcW w:w="850" w:type="dxa"/>
          </w:tcPr>
          <w:p w:rsidR="0008794F" w:rsidRPr="00F407AD" w:rsidRDefault="0008794F" w:rsidP="004B4B5B">
            <w:pPr>
              <w:rPr>
                <w:szCs w:val="20"/>
                <w:lang w:eastAsia="en-US"/>
              </w:rPr>
            </w:pPr>
            <w:r w:rsidRPr="00F407AD">
              <w:rPr>
                <w:szCs w:val="20"/>
                <w:lang w:eastAsia="en-US"/>
              </w:rPr>
              <w:t>1994</w:t>
            </w:r>
          </w:p>
        </w:tc>
        <w:tc>
          <w:tcPr>
            <w:tcW w:w="851" w:type="dxa"/>
          </w:tcPr>
          <w:p w:rsidR="0008794F" w:rsidRPr="00F407AD" w:rsidRDefault="0008794F" w:rsidP="004B4B5B">
            <w:pPr>
              <w:rPr>
                <w:szCs w:val="20"/>
                <w:lang w:eastAsia="en-US"/>
              </w:rPr>
            </w:pPr>
            <w:r w:rsidRPr="00F407AD">
              <w:rPr>
                <w:szCs w:val="20"/>
                <w:lang w:eastAsia="en-US"/>
              </w:rPr>
              <w:t>1995</w:t>
            </w:r>
          </w:p>
        </w:tc>
        <w:tc>
          <w:tcPr>
            <w:tcW w:w="850" w:type="dxa"/>
          </w:tcPr>
          <w:p w:rsidR="0008794F" w:rsidRPr="00F407AD" w:rsidRDefault="0008794F" w:rsidP="004B4B5B">
            <w:pPr>
              <w:rPr>
                <w:szCs w:val="20"/>
                <w:lang w:eastAsia="en-US"/>
              </w:rPr>
            </w:pPr>
            <w:r w:rsidRPr="00F407AD">
              <w:rPr>
                <w:szCs w:val="20"/>
                <w:lang w:eastAsia="en-US"/>
              </w:rPr>
              <w:t>1996</w:t>
            </w:r>
          </w:p>
        </w:tc>
        <w:tc>
          <w:tcPr>
            <w:tcW w:w="851" w:type="dxa"/>
          </w:tcPr>
          <w:p w:rsidR="0008794F" w:rsidRPr="00F407AD" w:rsidRDefault="0008794F" w:rsidP="004B4B5B">
            <w:pPr>
              <w:rPr>
                <w:szCs w:val="20"/>
                <w:lang w:eastAsia="en-US"/>
              </w:rPr>
            </w:pPr>
            <w:r w:rsidRPr="00F407AD">
              <w:rPr>
                <w:szCs w:val="20"/>
                <w:lang w:eastAsia="en-US"/>
              </w:rPr>
              <w:t>1997</w:t>
            </w:r>
          </w:p>
        </w:tc>
      </w:tr>
      <w:tr w:rsidR="0008794F" w:rsidTr="004B4B5B">
        <w:tc>
          <w:tcPr>
            <w:tcW w:w="3579" w:type="dxa"/>
          </w:tcPr>
          <w:p w:rsidR="0008794F" w:rsidRPr="00F407AD" w:rsidRDefault="0008794F" w:rsidP="004B4B5B">
            <w:pPr>
              <w:rPr>
                <w:sz w:val="18"/>
                <w:szCs w:val="18"/>
                <w:lang w:eastAsia="en-US"/>
              </w:rPr>
            </w:pPr>
            <w:r w:rsidRPr="00F407AD">
              <w:rPr>
                <w:sz w:val="18"/>
                <w:szCs w:val="18"/>
                <w:lang w:eastAsia="en-US"/>
              </w:rPr>
              <w:t>HDP</w:t>
            </w:r>
          </w:p>
        </w:tc>
        <w:tc>
          <w:tcPr>
            <w:tcW w:w="672" w:type="dxa"/>
          </w:tcPr>
          <w:p w:rsidR="0008794F" w:rsidRDefault="0008794F" w:rsidP="004B4B5B">
            <w:pPr>
              <w:rPr>
                <w:lang w:eastAsia="en-US"/>
              </w:rPr>
            </w:pPr>
            <w:r>
              <w:rPr>
                <w:lang w:eastAsia="en-US"/>
              </w:rPr>
              <w:t>-10,0</w:t>
            </w:r>
          </w:p>
        </w:tc>
        <w:tc>
          <w:tcPr>
            <w:tcW w:w="723" w:type="dxa"/>
          </w:tcPr>
          <w:p w:rsidR="0008794F" w:rsidRDefault="0008794F" w:rsidP="004B4B5B">
            <w:pPr>
              <w:rPr>
                <w:lang w:eastAsia="en-US"/>
              </w:rPr>
            </w:pPr>
            <w:proofErr w:type="gramStart"/>
            <w:r>
              <w:rPr>
                <w:lang w:eastAsia="en-US"/>
              </w:rPr>
              <w:t>-  2,0</w:t>
            </w:r>
            <w:proofErr w:type="gramEnd"/>
          </w:p>
        </w:tc>
        <w:tc>
          <w:tcPr>
            <w:tcW w:w="236" w:type="dxa"/>
          </w:tcPr>
          <w:p w:rsidR="0008794F" w:rsidRDefault="0008794F" w:rsidP="004B4B5B">
            <w:pPr>
              <w:rPr>
                <w:lang w:eastAsia="en-US"/>
              </w:rPr>
            </w:pPr>
          </w:p>
        </w:tc>
        <w:tc>
          <w:tcPr>
            <w:tcW w:w="852" w:type="dxa"/>
          </w:tcPr>
          <w:p w:rsidR="0008794F" w:rsidRDefault="0008794F" w:rsidP="004B4B5B">
            <w:pPr>
              <w:rPr>
                <w:lang w:eastAsia="en-US"/>
              </w:rPr>
            </w:pPr>
            <w:r>
              <w:rPr>
                <w:lang w:eastAsia="en-US"/>
              </w:rPr>
              <w:t>+1,2</w:t>
            </w:r>
          </w:p>
        </w:tc>
        <w:tc>
          <w:tcPr>
            <w:tcW w:w="850" w:type="dxa"/>
          </w:tcPr>
          <w:p w:rsidR="0008794F" w:rsidRDefault="0008794F" w:rsidP="004B4B5B">
            <w:pPr>
              <w:rPr>
                <w:lang w:eastAsia="en-US"/>
              </w:rPr>
            </w:pPr>
            <w:r>
              <w:rPr>
                <w:lang w:eastAsia="en-US"/>
              </w:rPr>
              <w:t>+2,9</w:t>
            </w:r>
          </w:p>
        </w:tc>
        <w:tc>
          <w:tcPr>
            <w:tcW w:w="851" w:type="dxa"/>
          </w:tcPr>
          <w:p w:rsidR="0008794F" w:rsidRDefault="0008794F" w:rsidP="004B4B5B">
            <w:pPr>
              <w:rPr>
                <w:lang w:eastAsia="en-US"/>
              </w:rPr>
            </w:pPr>
            <w:r>
              <w:rPr>
                <w:lang w:eastAsia="en-US"/>
              </w:rPr>
              <w:t>+6,2</w:t>
            </w:r>
          </w:p>
        </w:tc>
        <w:tc>
          <w:tcPr>
            <w:tcW w:w="850" w:type="dxa"/>
          </w:tcPr>
          <w:p w:rsidR="0008794F" w:rsidRDefault="0008794F" w:rsidP="004B4B5B">
            <w:pPr>
              <w:rPr>
                <w:lang w:eastAsia="en-US"/>
              </w:rPr>
            </w:pPr>
            <w:r>
              <w:rPr>
                <w:lang w:eastAsia="en-US"/>
              </w:rPr>
              <w:t>+4,5</w:t>
            </w:r>
          </w:p>
        </w:tc>
        <w:tc>
          <w:tcPr>
            <w:tcW w:w="851" w:type="dxa"/>
          </w:tcPr>
          <w:p w:rsidR="0008794F" w:rsidRDefault="0008794F" w:rsidP="004B4B5B">
            <w:pPr>
              <w:rPr>
                <w:lang w:eastAsia="en-US"/>
              </w:rPr>
            </w:pPr>
            <w:r>
              <w:rPr>
                <w:lang w:eastAsia="en-US"/>
              </w:rPr>
              <w:t>- 0,9</w:t>
            </w:r>
          </w:p>
        </w:tc>
      </w:tr>
      <w:tr w:rsidR="0008794F" w:rsidTr="004B4B5B">
        <w:tc>
          <w:tcPr>
            <w:tcW w:w="3579" w:type="dxa"/>
          </w:tcPr>
          <w:p w:rsidR="0008794F" w:rsidRPr="00F407AD" w:rsidRDefault="0008794F" w:rsidP="004B4B5B">
            <w:pPr>
              <w:rPr>
                <w:sz w:val="18"/>
                <w:szCs w:val="18"/>
                <w:lang w:eastAsia="en-US"/>
              </w:rPr>
            </w:pPr>
            <w:r w:rsidRPr="00F407AD">
              <w:rPr>
                <w:sz w:val="18"/>
                <w:szCs w:val="18"/>
                <w:lang w:eastAsia="en-US"/>
              </w:rPr>
              <w:t>Výdaje domácností na konečnou spotřebu</w:t>
            </w:r>
          </w:p>
        </w:tc>
        <w:tc>
          <w:tcPr>
            <w:tcW w:w="672" w:type="dxa"/>
          </w:tcPr>
          <w:p w:rsidR="0008794F" w:rsidRDefault="0008794F" w:rsidP="004B4B5B">
            <w:pPr>
              <w:rPr>
                <w:lang w:eastAsia="en-US"/>
              </w:rPr>
            </w:pPr>
            <w:r>
              <w:rPr>
                <w:lang w:eastAsia="en-US"/>
              </w:rPr>
              <w:t>-17,8</w:t>
            </w:r>
          </w:p>
        </w:tc>
        <w:tc>
          <w:tcPr>
            <w:tcW w:w="723" w:type="dxa"/>
          </w:tcPr>
          <w:p w:rsidR="0008794F" w:rsidRDefault="0008794F" w:rsidP="004B4B5B">
            <w:pPr>
              <w:rPr>
                <w:lang w:eastAsia="en-US"/>
              </w:rPr>
            </w:pPr>
            <w:r>
              <w:rPr>
                <w:lang w:eastAsia="en-US"/>
              </w:rPr>
              <w:t>+ 4,5</w:t>
            </w:r>
          </w:p>
        </w:tc>
        <w:tc>
          <w:tcPr>
            <w:tcW w:w="236" w:type="dxa"/>
          </w:tcPr>
          <w:p w:rsidR="0008794F" w:rsidRDefault="0008794F" w:rsidP="004B4B5B">
            <w:pPr>
              <w:rPr>
                <w:lang w:eastAsia="en-US"/>
              </w:rPr>
            </w:pPr>
          </w:p>
        </w:tc>
        <w:tc>
          <w:tcPr>
            <w:tcW w:w="852" w:type="dxa"/>
          </w:tcPr>
          <w:p w:rsidR="0008794F" w:rsidRDefault="0008794F" w:rsidP="004B4B5B">
            <w:pPr>
              <w:rPr>
                <w:lang w:eastAsia="en-US"/>
              </w:rPr>
            </w:pPr>
            <w:r>
              <w:rPr>
                <w:lang w:eastAsia="en-US"/>
              </w:rPr>
              <w:t>+1,3</w:t>
            </w:r>
          </w:p>
        </w:tc>
        <w:tc>
          <w:tcPr>
            <w:tcW w:w="850" w:type="dxa"/>
          </w:tcPr>
          <w:p w:rsidR="0008794F" w:rsidRDefault="0008794F" w:rsidP="004B4B5B">
            <w:pPr>
              <w:rPr>
                <w:lang w:eastAsia="en-US"/>
              </w:rPr>
            </w:pPr>
            <w:r>
              <w:rPr>
                <w:lang w:eastAsia="en-US"/>
              </w:rPr>
              <w:t>+4,7</w:t>
            </w:r>
          </w:p>
        </w:tc>
        <w:tc>
          <w:tcPr>
            <w:tcW w:w="851" w:type="dxa"/>
          </w:tcPr>
          <w:p w:rsidR="0008794F" w:rsidRDefault="0008794F" w:rsidP="004B4B5B">
            <w:pPr>
              <w:rPr>
                <w:lang w:eastAsia="en-US"/>
              </w:rPr>
            </w:pPr>
            <w:r>
              <w:rPr>
                <w:lang w:eastAsia="en-US"/>
              </w:rPr>
              <w:t>+4,6</w:t>
            </w:r>
          </w:p>
        </w:tc>
        <w:tc>
          <w:tcPr>
            <w:tcW w:w="850" w:type="dxa"/>
          </w:tcPr>
          <w:p w:rsidR="0008794F" w:rsidRDefault="0008794F" w:rsidP="004B4B5B">
            <w:pPr>
              <w:rPr>
                <w:lang w:eastAsia="en-US"/>
              </w:rPr>
            </w:pPr>
            <w:r>
              <w:rPr>
                <w:lang w:eastAsia="en-US"/>
              </w:rPr>
              <w:t>+7,4</w:t>
            </w:r>
          </w:p>
        </w:tc>
        <w:tc>
          <w:tcPr>
            <w:tcW w:w="851" w:type="dxa"/>
          </w:tcPr>
          <w:p w:rsidR="0008794F" w:rsidRDefault="0008794F" w:rsidP="004B4B5B">
            <w:pPr>
              <w:rPr>
                <w:lang w:eastAsia="en-US"/>
              </w:rPr>
            </w:pPr>
            <w:r>
              <w:rPr>
                <w:lang w:eastAsia="en-US"/>
              </w:rPr>
              <w:t>+1,6</w:t>
            </w:r>
          </w:p>
        </w:tc>
      </w:tr>
      <w:tr w:rsidR="0008794F" w:rsidTr="004B4B5B">
        <w:tc>
          <w:tcPr>
            <w:tcW w:w="3579" w:type="dxa"/>
          </w:tcPr>
          <w:p w:rsidR="0008794F" w:rsidRPr="00F407AD" w:rsidRDefault="0008794F" w:rsidP="004B4B5B">
            <w:pPr>
              <w:rPr>
                <w:sz w:val="18"/>
                <w:szCs w:val="18"/>
                <w:lang w:eastAsia="en-US"/>
              </w:rPr>
            </w:pPr>
            <w:r w:rsidRPr="00F407AD">
              <w:rPr>
                <w:sz w:val="18"/>
                <w:szCs w:val="18"/>
                <w:lang w:eastAsia="en-US"/>
              </w:rPr>
              <w:t>Výdaje vlády na konečnou spotřebu</w:t>
            </w:r>
          </w:p>
        </w:tc>
        <w:tc>
          <w:tcPr>
            <w:tcW w:w="672" w:type="dxa"/>
          </w:tcPr>
          <w:p w:rsidR="0008794F" w:rsidRDefault="0008794F" w:rsidP="004B4B5B">
            <w:pPr>
              <w:rPr>
                <w:lang w:eastAsia="en-US"/>
              </w:rPr>
            </w:pPr>
            <w:proofErr w:type="gramStart"/>
            <w:r>
              <w:rPr>
                <w:lang w:eastAsia="en-US"/>
              </w:rPr>
              <w:t>-  5,3</w:t>
            </w:r>
            <w:proofErr w:type="gramEnd"/>
          </w:p>
        </w:tc>
        <w:tc>
          <w:tcPr>
            <w:tcW w:w="723" w:type="dxa"/>
          </w:tcPr>
          <w:p w:rsidR="0008794F" w:rsidRDefault="0008794F" w:rsidP="004B4B5B">
            <w:pPr>
              <w:rPr>
                <w:lang w:eastAsia="en-US"/>
              </w:rPr>
            </w:pPr>
            <w:r>
              <w:rPr>
                <w:lang w:eastAsia="en-US"/>
              </w:rPr>
              <w:t>+ 4,6</w:t>
            </w:r>
          </w:p>
        </w:tc>
        <w:tc>
          <w:tcPr>
            <w:tcW w:w="236" w:type="dxa"/>
          </w:tcPr>
          <w:p w:rsidR="0008794F" w:rsidRDefault="0008794F" w:rsidP="004B4B5B">
            <w:pPr>
              <w:rPr>
                <w:lang w:eastAsia="en-US"/>
              </w:rPr>
            </w:pPr>
          </w:p>
        </w:tc>
        <w:tc>
          <w:tcPr>
            <w:tcW w:w="852" w:type="dxa"/>
          </w:tcPr>
          <w:p w:rsidR="0008794F" w:rsidRDefault="0008794F" w:rsidP="004B4B5B">
            <w:pPr>
              <w:rPr>
                <w:lang w:eastAsia="en-US"/>
              </w:rPr>
            </w:pPr>
            <w:r>
              <w:rPr>
                <w:lang w:eastAsia="en-US"/>
              </w:rPr>
              <w:t>+1,1</w:t>
            </w:r>
          </w:p>
        </w:tc>
        <w:tc>
          <w:tcPr>
            <w:tcW w:w="850" w:type="dxa"/>
          </w:tcPr>
          <w:p w:rsidR="0008794F" w:rsidRDefault="0008794F" w:rsidP="004B4B5B">
            <w:pPr>
              <w:rPr>
                <w:lang w:eastAsia="en-US"/>
              </w:rPr>
            </w:pPr>
            <w:r>
              <w:rPr>
                <w:lang w:eastAsia="en-US"/>
              </w:rPr>
              <w:t>+4,0</w:t>
            </w:r>
          </w:p>
        </w:tc>
        <w:tc>
          <w:tcPr>
            <w:tcW w:w="851" w:type="dxa"/>
          </w:tcPr>
          <w:p w:rsidR="0008794F" w:rsidRDefault="0008794F" w:rsidP="004B4B5B">
            <w:pPr>
              <w:rPr>
                <w:lang w:eastAsia="en-US"/>
              </w:rPr>
            </w:pPr>
            <w:r>
              <w:rPr>
                <w:lang w:eastAsia="en-US"/>
              </w:rPr>
              <w:t>-0,9</w:t>
            </w:r>
          </w:p>
        </w:tc>
        <w:tc>
          <w:tcPr>
            <w:tcW w:w="850" w:type="dxa"/>
          </w:tcPr>
          <w:p w:rsidR="0008794F" w:rsidRDefault="0008794F" w:rsidP="004B4B5B">
            <w:pPr>
              <w:rPr>
                <w:lang w:eastAsia="en-US"/>
              </w:rPr>
            </w:pPr>
            <w:r>
              <w:rPr>
                <w:lang w:eastAsia="en-US"/>
              </w:rPr>
              <w:t>- 1,2</w:t>
            </w:r>
          </w:p>
        </w:tc>
        <w:tc>
          <w:tcPr>
            <w:tcW w:w="851" w:type="dxa"/>
          </w:tcPr>
          <w:p w:rsidR="0008794F" w:rsidRDefault="0008794F" w:rsidP="004B4B5B">
            <w:pPr>
              <w:rPr>
                <w:lang w:eastAsia="en-US"/>
              </w:rPr>
            </w:pPr>
            <w:r>
              <w:rPr>
                <w:lang w:eastAsia="en-US"/>
              </w:rPr>
              <w:t>+3,3</w:t>
            </w:r>
          </w:p>
        </w:tc>
      </w:tr>
      <w:tr w:rsidR="0008794F" w:rsidTr="004B4B5B">
        <w:tc>
          <w:tcPr>
            <w:tcW w:w="3579" w:type="dxa"/>
          </w:tcPr>
          <w:p w:rsidR="0008794F" w:rsidRPr="00F407AD" w:rsidRDefault="0008794F" w:rsidP="004B4B5B">
            <w:pPr>
              <w:rPr>
                <w:sz w:val="18"/>
                <w:szCs w:val="18"/>
                <w:lang w:eastAsia="en-US"/>
              </w:rPr>
            </w:pPr>
            <w:r w:rsidRPr="00F407AD">
              <w:rPr>
                <w:sz w:val="18"/>
                <w:szCs w:val="18"/>
                <w:lang w:eastAsia="en-US"/>
              </w:rPr>
              <w:t>Tvorba hrubého fixního kapitálu</w:t>
            </w:r>
          </w:p>
        </w:tc>
        <w:tc>
          <w:tcPr>
            <w:tcW w:w="672" w:type="dxa"/>
          </w:tcPr>
          <w:p w:rsidR="0008794F" w:rsidRDefault="0008794F" w:rsidP="004B4B5B">
            <w:pPr>
              <w:rPr>
                <w:lang w:eastAsia="en-US"/>
              </w:rPr>
            </w:pPr>
            <w:r>
              <w:rPr>
                <w:lang w:eastAsia="en-US"/>
              </w:rPr>
              <w:t>-24,6</w:t>
            </w:r>
          </w:p>
        </w:tc>
        <w:tc>
          <w:tcPr>
            <w:tcW w:w="723" w:type="dxa"/>
          </w:tcPr>
          <w:p w:rsidR="0008794F" w:rsidRDefault="0008794F" w:rsidP="004B4B5B">
            <w:pPr>
              <w:rPr>
                <w:lang w:eastAsia="en-US"/>
              </w:rPr>
            </w:pPr>
            <w:r>
              <w:rPr>
                <w:lang w:eastAsia="en-US"/>
              </w:rPr>
              <w:t>+10,4</w:t>
            </w:r>
          </w:p>
        </w:tc>
        <w:tc>
          <w:tcPr>
            <w:tcW w:w="236" w:type="dxa"/>
          </w:tcPr>
          <w:p w:rsidR="0008794F" w:rsidRDefault="0008794F" w:rsidP="004B4B5B">
            <w:pPr>
              <w:rPr>
                <w:lang w:eastAsia="en-US"/>
              </w:rPr>
            </w:pPr>
          </w:p>
        </w:tc>
        <w:tc>
          <w:tcPr>
            <w:tcW w:w="852" w:type="dxa"/>
          </w:tcPr>
          <w:p w:rsidR="0008794F" w:rsidRDefault="0008794F" w:rsidP="004B4B5B">
            <w:pPr>
              <w:rPr>
                <w:lang w:eastAsia="en-US"/>
              </w:rPr>
            </w:pPr>
            <w:r>
              <w:rPr>
                <w:lang w:eastAsia="en-US"/>
              </w:rPr>
              <w:t>+7,2</w:t>
            </w:r>
          </w:p>
        </w:tc>
        <w:tc>
          <w:tcPr>
            <w:tcW w:w="850" w:type="dxa"/>
          </w:tcPr>
          <w:p w:rsidR="0008794F" w:rsidRDefault="0008794F" w:rsidP="004B4B5B">
            <w:pPr>
              <w:rPr>
                <w:lang w:eastAsia="en-US"/>
              </w:rPr>
            </w:pPr>
            <w:r>
              <w:rPr>
                <w:lang w:eastAsia="en-US"/>
              </w:rPr>
              <w:t>+11,7</w:t>
            </w:r>
          </w:p>
        </w:tc>
        <w:tc>
          <w:tcPr>
            <w:tcW w:w="851" w:type="dxa"/>
          </w:tcPr>
          <w:p w:rsidR="0008794F" w:rsidRDefault="0008794F" w:rsidP="004B4B5B">
            <w:pPr>
              <w:rPr>
                <w:lang w:eastAsia="en-US"/>
              </w:rPr>
            </w:pPr>
            <w:r>
              <w:rPr>
                <w:lang w:eastAsia="en-US"/>
              </w:rPr>
              <w:t>+23,3</w:t>
            </w:r>
          </w:p>
        </w:tc>
        <w:tc>
          <w:tcPr>
            <w:tcW w:w="850" w:type="dxa"/>
          </w:tcPr>
          <w:p w:rsidR="0008794F" w:rsidRDefault="0008794F" w:rsidP="004B4B5B">
            <w:pPr>
              <w:rPr>
                <w:lang w:eastAsia="en-US"/>
              </w:rPr>
            </w:pPr>
            <w:r>
              <w:rPr>
                <w:lang w:eastAsia="en-US"/>
              </w:rPr>
              <w:t>+ 9,1</w:t>
            </w:r>
          </w:p>
        </w:tc>
        <w:tc>
          <w:tcPr>
            <w:tcW w:w="851" w:type="dxa"/>
          </w:tcPr>
          <w:p w:rsidR="0008794F" w:rsidRDefault="0008794F" w:rsidP="004B4B5B">
            <w:pPr>
              <w:rPr>
                <w:lang w:eastAsia="en-US"/>
              </w:rPr>
            </w:pPr>
            <w:r>
              <w:rPr>
                <w:lang w:eastAsia="en-US"/>
              </w:rPr>
              <w:t>- 6,5</w:t>
            </w:r>
          </w:p>
        </w:tc>
      </w:tr>
      <w:tr w:rsidR="0008794F" w:rsidTr="004B4B5B">
        <w:tc>
          <w:tcPr>
            <w:tcW w:w="3579" w:type="dxa"/>
          </w:tcPr>
          <w:p w:rsidR="0008794F" w:rsidRPr="00F407AD" w:rsidRDefault="0008794F" w:rsidP="004B4B5B">
            <w:pPr>
              <w:rPr>
                <w:sz w:val="18"/>
                <w:szCs w:val="18"/>
                <w:lang w:eastAsia="en-US"/>
              </w:rPr>
            </w:pPr>
            <w:r w:rsidRPr="00F407AD">
              <w:rPr>
                <w:sz w:val="18"/>
                <w:szCs w:val="18"/>
                <w:lang w:eastAsia="en-US"/>
              </w:rPr>
              <w:t>Export zboží a služeb</w:t>
            </w:r>
          </w:p>
        </w:tc>
        <w:tc>
          <w:tcPr>
            <w:tcW w:w="672" w:type="dxa"/>
          </w:tcPr>
          <w:p w:rsidR="0008794F" w:rsidRDefault="0008794F" w:rsidP="004B4B5B">
            <w:pPr>
              <w:rPr>
                <w:lang w:eastAsia="en-US"/>
              </w:rPr>
            </w:pPr>
            <w:r>
              <w:rPr>
                <w:lang w:eastAsia="en-US"/>
              </w:rPr>
              <w:t>-13,3</w:t>
            </w:r>
          </w:p>
        </w:tc>
        <w:tc>
          <w:tcPr>
            <w:tcW w:w="723" w:type="dxa"/>
          </w:tcPr>
          <w:p w:rsidR="0008794F" w:rsidRDefault="0008794F" w:rsidP="004B4B5B">
            <w:pPr>
              <w:rPr>
                <w:lang w:eastAsia="en-US"/>
              </w:rPr>
            </w:pPr>
            <w:r>
              <w:rPr>
                <w:lang w:eastAsia="en-US"/>
              </w:rPr>
              <w:t>+ 8,7</w:t>
            </w:r>
          </w:p>
        </w:tc>
        <w:tc>
          <w:tcPr>
            <w:tcW w:w="236" w:type="dxa"/>
          </w:tcPr>
          <w:p w:rsidR="0008794F" w:rsidRDefault="0008794F" w:rsidP="004B4B5B">
            <w:pPr>
              <w:rPr>
                <w:lang w:eastAsia="en-US"/>
              </w:rPr>
            </w:pPr>
          </w:p>
        </w:tc>
        <w:tc>
          <w:tcPr>
            <w:tcW w:w="852" w:type="dxa"/>
          </w:tcPr>
          <w:p w:rsidR="0008794F" w:rsidRDefault="0008794F" w:rsidP="004B4B5B">
            <w:pPr>
              <w:rPr>
                <w:lang w:eastAsia="en-US"/>
              </w:rPr>
            </w:pPr>
            <w:r>
              <w:rPr>
                <w:lang w:eastAsia="en-US"/>
              </w:rPr>
              <w:t>+14,1</w:t>
            </w:r>
          </w:p>
        </w:tc>
        <w:tc>
          <w:tcPr>
            <w:tcW w:w="850" w:type="dxa"/>
          </w:tcPr>
          <w:p w:rsidR="0008794F" w:rsidRDefault="0008794F" w:rsidP="004B4B5B">
            <w:pPr>
              <w:rPr>
                <w:lang w:eastAsia="en-US"/>
              </w:rPr>
            </w:pPr>
            <w:r>
              <w:rPr>
                <w:lang w:eastAsia="en-US"/>
              </w:rPr>
              <w:t>+3,8</w:t>
            </w:r>
          </w:p>
        </w:tc>
        <w:tc>
          <w:tcPr>
            <w:tcW w:w="851" w:type="dxa"/>
          </w:tcPr>
          <w:p w:rsidR="0008794F" w:rsidRDefault="0008794F" w:rsidP="004B4B5B">
            <w:pPr>
              <w:rPr>
                <w:lang w:eastAsia="en-US"/>
              </w:rPr>
            </w:pPr>
            <w:r>
              <w:rPr>
                <w:lang w:eastAsia="en-US"/>
              </w:rPr>
              <w:t>+18,9</w:t>
            </w:r>
          </w:p>
        </w:tc>
        <w:tc>
          <w:tcPr>
            <w:tcW w:w="850" w:type="dxa"/>
          </w:tcPr>
          <w:p w:rsidR="0008794F" w:rsidRDefault="0008794F" w:rsidP="004B4B5B">
            <w:pPr>
              <w:rPr>
                <w:lang w:eastAsia="en-US"/>
              </w:rPr>
            </w:pPr>
            <w:r>
              <w:rPr>
                <w:lang w:eastAsia="en-US"/>
              </w:rPr>
              <w:t>+ 6,5</w:t>
            </w:r>
          </w:p>
        </w:tc>
        <w:tc>
          <w:tcPr>
            <w:tcW w:w="851" w:type="dxa"/>
          </w:tcPr>
          <w:p w:rsidR="0008794F" w:rsidRDefault="0008794F" w:rsidP="004B4B5B">
            <w:pPr>
              <w:rPr>
                <w:lang w:eastAsia="en-US"/>
              </w:rPr>
            </w:pPr>
            <w:r>
              <w:rPr>
                <w:lang w:eastAsia="en-US"/>
              </w:rPr>
              <w:t>+9,7</w:t>
            </w:r>
          </w:p>
        </w:tc>
      </w:tr>
      <w:tr w:rsidR="0008794F" w:rsidTr="004B4B5B">
        <w:tc>
          <w:tcPr>
            <w:tcW w:w="3579" w:type="dxa"/>
          </w:tcPr>
          <w:p w:rsidR="0008794F" w:rsidRPr="00F407AD" w:rsidRDefault="0008794F" w:rsidP="004B4B5B">
            <w:pPr>
              <w:rPr>
                <w:sz w:val="18"/>
                <w:szCs w:val="18"/>
                <w:lang w:eastAsia="en-US"/>
              </w:rPr>
            </w:pPr>
            <w:r w:rsidRPr="00F407AD">
              <w:rPr>
                <w:sz w:val="18"/>
                <w:szCs w:val="18"/>
                <w:lang w:eastAsia="en-US"/>
              </w:rPr>
              <w:t>Import zboží a služeb</w:t>
            </w:r>
          </w:p>
        </w:tc>
        <w:tc>
          <w:tcPr>
            <w:tcW w:w="672" w:type="dxa"/>
          </w:tcPr>
          <w:p w:rsidR="0008794F" w:rsidRDefault="0008794F" w:rsidP="004B4B5B">
            <w:pPr>
              <w:rPr>
                <w:lang w:eastAsia="en-US"/>
              </w:rPr>
            </w:pPr>
            <w:r>
              <w:rPr>
                <w:lang w:eastAsia="en-US"/>
              </w:rPr>
              <w:t>-31,0</w:t>
            </w:r>
          </w:p>
        </w:tc>
        <w:tc>
          <w:tcPr>
            <w:tcW w:w="723" w:type="dxa"/>
          </w:tcPr>
          <w:p w:rsidR="0008794F" w:rsidRDefault="0008794F" w:rsidP="004B4B5B">
            <w:pPr>
              <w:rPr>
                <w:lang w:eastAsia="en-US"/>
              </w:rPr>
            </w:pPr>
            <w:r>
              <w:rPr>
                <w:lang w:eastAsia="en-US"/>
              </w:rPr>
              <w:t>-12,1</w:t>
            </w:r>
          </w:p>
        </w:tc>
        <w:tc>
          <w:tcPr>
            <w:tcW w:w="236" w:type="dxa"/>
          </w:tcPr>
          <w:p w:rsidR="0008794F" w:rsidRDefault="0008794F" w:rsidP="004B4B5B">
            <w:pPr>
              <w:rPr>
                <w:lang w:eastAsia="en-US"/>
              </w:rPr>
            </w:pPr>
          </w:p>
        </w:tc>
        <w:tc>
          <w:tcPr>
            <w:tcW w:w="852" w:type="dxa"/>
          </w:tcPr>
          <w:p w:rsidR="0008794F" w:rsidRDefault="0008794F" w:rsidP="004B4B5B">
            <w:pPr>
              <w:rPr>
                <w:lang w:eastAsia="en-US"/>
              </w:rPr>
            </w:pPr>
            <w:r>
              <w:rPr>
                <w:lang w:eastAsia="en-US"/>
              </w:rPr>
              <w:t>+19,0</w:t>
            </w:r>
          </w:p>
        </w:tc>
        <w:tc>
          <w:tcPr>
            <w:tcW w:w="850" w:type="dxa"/>
          </w:tcPr>
          <w:p w:rsidR="0008794F" w:rsidRDefault="0008794F" w:rsidP="004B4B5B">
            <w:pPr>
              <w:rPr>
                <w:lang w:eastAsia="en-US"/>
              </w:rPr>
            </w:pPr>
            <w:r>
              <w:rPr>
                <w:lang w:eastAsia="en-US"/>
              </w:rPr>
              <w:t>+14,9</w:t>
            </w:r>
          </w:p>
        </w:tc>
        <w:tc>
          <w:tcPr>
            <w:tcW w:w="851" w:type="dxa"/>
          </w:tcPr>
          <w:p w:rsidR="0008794F" w:rsidRDefault="0008794F" w:rsidP="004B4B5B">
            <w:pPr>
              <w:rPr>
                <w:lang w:eastAsia="en-US"/>
              </w:rPr>
            </w:pPr>
            <w:r>
              <w:rPr>
                <w:lang w:eastAsia="en-US"/>
              </w:rPr>
              <w:t>+23,2</w:t>
            </w:r>
          </w:p>
        </w:tc>
        <w:tc>
          <w:tcPr>
            <w:tcW w:w="850" w:type="dxa"/>
          </w:tcPr>
          <w:p w:rsidR="0008794F" w:rsidRDefault="0008794F" w:rsidP="004B4B5B">
            <w:pPr>
              <w:rPr>
                <w:lang w:eastAsia="en-US"/>
              </w:rPr>
            </w:pPr>
            <w:r>
              <w:rPr>
                <w:lang w:eastAsia="en-US"/>
              </w:rPr>
              <w:t>+12,0</w:t>
            </w:r>
          </w:p>
        </w:tc>
        <w:tc>
          <w:tcPr>
            <w:tcW w:w="851" w:type="dxa"/>
          </w:tcPr>
          <w:p w:rsidR="0008794F" w:rsidRDefault="0008794F" w:rsidP="004B4B5B">
            <w:pPr>
              <w:rPr>
                <w:lang w:eastAsia="en-US"/>
              </w:rPr>
            </w:pPr>
            <w:r>
              <w:rPr>
                <w:lang w:eastAsia="en-US"/>
              </w:rPr>
              <w:t>+6,6</w:t>
            </w:r>
          </w:p>
        </w:tc>
      </w:tr>
    </w:tbl>
    <w:p w:rsidR="0008794F" w:rsidRDefault="0008794F" w:rsidP="00D03EC0">
      <w:pPr>
        <w:jc w:val="right"/>
      </w:pPr>
      <w:r w:rsidRPr="006B6CEE">
        <w:rPr>
          <w:sz w:val="18"/>
          <w:szCs w:val="18"/>
        </w:rPr>
        <w:t>Pramen: Historická ročenka národních účtů</w:t>
      </w:r>
    </w:p>
    <w:p w:rsidR="0008794F" w:rsidRPr="00EF6654" w:rsidRDefault="0008794F" w:rsidP="007039D1">
      <w:pPr>
        <w:rPr>
          <w:sz w:val="16"/>
          <w:szCs w:val="16"/>
        </w:rPr>
      </w:pPr>
    </w:p>
    <w:tbl>
      <w:tblPr>
        <w:tblW w:w="5043" w:type="pct"/>
        <w:tblInd w:w="-42" w:type="dxa"/>
        <w:tblCellMar>
          <w:left w:w="28" w:type="dxa"/>
          <w:right w:w="28" w:type="dxa"/>
        </w:tblCellMar>
        <w:tblLook w:val="00A0"/>
      </w:tblPr>
      <w:tblGrid>
        <w:gridCol w:w="2037"/>
        <w:gridCol w:w="272"/>
        <w:gridCol w:w="7468"/>
      </w:tblGrid>
      <w:tr w:rsidR="0008794F" w:rsidRPr="00997EEB" w:rsidTr="001F5FA8">
        <w:tc>
          <w:tcPr>
            <w:tcW w:w="1042" w:type="pct"/>
          </w:tcPr>
          <w:p w:rsidR="0008794F" w:rsidRPr="00602D1D" w:rsidRDefault="0008794F" w:rsidP="007E07B7">
            <w:pPr>
              <w:spacing w:line="240" w:lineRule="auto"/>
              <w:rPr>
                <w:color w:val="000000"/>
                <w:sz w:val="16"/>
                <w:szCs w:val="16"/>
              </w:rPr>
            </w:pPr>
            <w:r>
              <w:rPr>
                <w:color w:val="000000"/>
                <w:sz w:val="16"/>
                <w:szCs w:val="16"/>
              </w:rPr>
              <w:t>Česká ekonomika neoslabila v letech 1991 a 1992 tolik jako slovenská…</w:t>
            </w:r>
          </w:p>
        </w:tc>
        <w:tc>
          <w:tcPr>
            <w:tcW w:w="139" w:type="pct"/>
          </w:tcPr>
          <w:p w:rsidR="0008794F" w:rsidRDefault="0008794F" w:rsidP="001F5FA8">
            <w:pPr>
              <w:pStyle w:val="Textpoznpodarou"/>
              <w:jc w:val="both"/>
            </w:pPr>
          </w:p>
        </w:tc>
        <w:tc>
          <w:tcPr>
            <w:tcW w:w="3819" w:type="pct"/>
          </w:tcPr>
          <w:p w:rsidR="0008794F" w:rsidRPr="00997EEB" w:rsidRDefault="0008794F" w:rsidP="001F5FA8">
            <w:pPr>
              <w:pStyle w:val="Textpoznpodarou"/>
              <w:jc w:val="both"/>
              <w:rPr>
                <w:color w:val="000000"/>
                <w:spacing w:val="-6"/>
              </w:rPr>
            </w:pPr>
            <w:r>
              <w:rPr>
                <w:color w:val="000000"/>
                <w:spacing w:val="-6"/>
              </w:rPr>
              <w:t>V České republice byl propad HDP reálně v meziroční</w:t>
            </w:r>
            <w:r w:rsidR="004C5160">
              <w:rPr>
                <w:color w:val="000000"/>
                <w:spacing w:val="-6"/>
              </w:rPr>
              <w:t>m</w:t>
            </w:r>
            <w:r>
              <w:rPr>
                <w:color w:val="000000"/>
                <w:spacing w:val="-6"/>
              </w:rPr>
              <w:t xml:space="preserve"> vyjádření let 1991 a 1992 méně prudký než na Slovensku -  v roce 1991 klesl o desetinu, v roce 1992 o další dvě procenta. Mírnější byl v České republice oproti SR v roce 1991 také pokles v zahraničním obchodě (-13,3 % export a -31 % import) stejně jako ve výdajích vládních institucí, kde byl rozsah poklesu jen asi třetinový (-5,3 %). Naopak hlouběji než na Slovensku klesly v ČR fixní investice – až o čtvrtinu (-</w:t>
            </w:r>
            <w:r w:rsidRPr="00997EEB">
              <w:rPr>
                <w:color w:val="000000"/>
                <w:spacing w:val="-6"/>
              </w:rPr>
              <w:t xml:space="preserve"> </w:t>
            </w:r>
            <w:r>
              <w:rPr>
                <w:color w:val="000000"/>
                <w:spacing w:val="-6"/>
              </w:rPr>
              <w:t xml:space="preserve">24,6 %) zatímco na Slovensku o 17,7 %. </w:t>
            </w:r>
          </w:p>
          <w:p w:rsidR="0008794F" w:rsidRPr="00997EEB" w:rsidRDefault="0008794F" w:rsidP="001F5FA8">
            <w:pPr>
              <w:pStyle w:val="Textpoznpodarou"/>
              <w:jc w:val="both"/>
              <w:rPr>
                <w:color w:val="000000"/>
                <w:spacing w:val="-2"/>
                <w:sz w:val="16"/>
                <w:szCs w:val="16"/>
              </w:rPr>
            </w:pPr>
          </w:p>
        </w:tc>
      </w:tr>
      <w:tr w:rsidR="0008794F" w:rsidRPr="00997EEB" w:rsidTr="003D78A5">
        <w:tc>
          <w:tcPr>
            <w:tcW w:w="1042" w:type="pct"/>
          </w:tcPr>
          <w:p w:rsidR="0008794F" w:rsidRPr="00602D1D" w:rsidRDefault="0008794F" w:rsidP="007E07B7">
            <w:pPr>
              <w:spacing w:line="240" w:lineRule="auto"/>
              <w:rPr>
                <w:color w:val="000000"/>
                <w:sz w:val="16"/>
                <w:szCs w:val="16"/>
              </w:rPr>
            </w:pPr>
            <w:r>
              <w:rPr>
                <w:color w:val="000000"/>
                <w:sz w:val="16"/>
                <w:szCs w:val="16"/>
              </w:rPr>
              <w:t>… protože už v roce 1992 se objevily ve většině položek výdajů na HDP meziroční růsty - výjimkou byl zahraniční obchod, když slovenský export i import stoupl oproti ČR rychleji</w:t>
            </w:r>
          </w:p>
        </w:tc>
        <w:tc>
          <w:tcPr>
            <w:tcW w:w="139" w:type="pct"/>
          </w:tcPr>
          <w:p w:rsidR="0008794F" w:rsidRDefault="0008794F" w:rsidP="001F5FA8">
            <w:pPr>
              <w:pStyle w:val="Textpoznpodarou"/>
              <w:jc w:val="both"/>
            </w:pPr>
          </w:p>
        </w:tc>
        <w:tc>
          <w:tcPr>
            <w:tcW w:w="3819" w:type="pct"/>
          </w:tcPr>
          <w:p w:rsidR="0008794F" w:rsidRPr="00997EEB" w:rsidRDefault="0008794F" w:rsidP="001F5FA8">
            <w:pPr>
              <w:pStyle w:val="Textpoznpodarou"/>
              <w:jc w:val="both"/>
              <w:rPr>
                <w:color w:val="000000"/>
                <w:spacing w:val="-6"/>
              </w:rPr>
            </w:pPr>
            <w:r>
              <w:rPr>
                <w:color w:val="000000"/>
                <w:spacing w:val="-6"/>
              </w:rPr>
              <w:t>Rok 1992 v Č</w:t>
            </w:r>
            <w:r w:rsidR="000B6162">
              <w:rPr>
                <w:color w:val="000000"/>
                <w:spacing w:val="-6"/>
              </w:rPr>
              <w:t>R</w:t>
            </w:r>
            <w:r>
              <w:rPr>
                <w:color w:val="000000"/>
                <w:spacing w:val="-6"/>
              </w:rPr>
              <w:t xml:space="preserve"> však již ukázal ve struktuře výdajů na HDP opětovné meziroční růsty</w:t>
            </w:r>
            <w:r w:rsidRPr="00997EEB">
              <w:rPr>
                <w:color w:val="000000"/>
                <w:spacing w:val="-6"/>
              </w:rPr>
              <w:t xml:space="preserve"> </w:t>
            </w:r>
            <w:r>
              <w:rPr>
                <w:color w:val="000000"/>
                <w:spacing w:val="-6"/>
              </w:rPr>
              <w:t xml:space="preserve">s výjimkou pokračujícího snižování dovozů a snižování zásob, které ukazovalo na velmi křehkou poptávku. Navíc meziroční přírůstky spotřeby a investic, ale i exportu, byly ovlivněny velmi nízkou srovnávací základnou roku 1991 - výdaje domácností na konečnou spotřebu v ČR stouply o 4,5 % ve srovnání s meziročním propadem v roce 1991 o 17,8 %, obdobně výdaje vládních institucí s +4,6 % proti -5,3 % v roce 1991. </w:t>
            </w:r>
          </w:p>
          <w:p w:rsidR="0008794F" w:rsidRPr="003D78A5" w:rsidRDefault="0008794F" w:rsidP="001F5FA8">
            <w:pPr>
              <w:pStyle w:val="Textpoznpodarou"/>
              <w:jc w:val="both"/>
              <w:rPr>
                <w:color w:val="000000"/>
                <w:spacing w:val="-6"/>
              </w:rPr>
            </w:pPr>
          </w:p>
        </w:tc>
      </w:tr>
      <w:tr w:rsidR="0008794F" w:rsidRPr="00997EEB" w:rsidTr="003D78A5">
        <w:tc>
          <w:tcPr>
            <w:tcW w:w="1042" w:type="pct"/>
          </w:tcPr>
          <w:p w:rsidR="0008794F" w:rsidRPr="00602D1D" w:rsidRDefault="0008794F" w:rsidP="00BE6898">
            <w:pPr>
              <w:spacing w:line="240" w:lineRule="auto"/>
              <w:rPr>
                <w:color w:val="000000"/>
                <w:sz w:val="16"/>
                <w:szCs w:val="16"/>
              </w:rPr>
            </w:pPr>
            <w:r>
              <w:rPr>
                <w:color w:val="000000"/>
                <w:sz w:val="16"/>
                <w:szCs w:val="16"/>
              </w:rPr>
              <w:lastRenderedPageBreak/>
              <w:t xml:space="preserve">Nejen vývoj fixních investic… </w:t>
            </w:r>
          </w:p>
        </w:tc>
        <w:tc>
          <w:tcPr>
            <w:tcW w:w="139" w:type="pct"/>
          </w:tcPr>
          <w:p w:rsidR="0008794F" w:rsidRDefault="0008794F" w:rsidP="001F5FA8">
            <w:pPr>
              <w:pStyle w:val="Textpoznpodarou"/>
              <w:jc w:val="both"/>
            </w:pPr>
          </w:p>
        </w:tc>
        <w:tc>
          <w:tcPr>
            <w:tcW w:w="3819" w:type="pct"/>
          </w:tcPr>
          <w:p w:rsidR="0008794F" w:rsidRPr="00997EEB" w:rsidRDefault="0008794F" w:rsidP="001F5FA8">
            <w:pPr>
              <w:pStyle w:val="Textpoznpodarou"/>
              <w:jc w:val="both"/>
              <w:rPr>
                <w:color w:val="000000"/>
                <w:spacing w:val="-6"/>
              </w:rPr>
            </w:pPr>
            <w:r>
              <w:rPr>
                <w:color w:val="000000"/>
                <w:spacing w:val="-6"/>
              </w:rPr>
              <w:t xml:space="preserve">Nízké srovnávací základně lze připsat i opětovný návrat k růstu fixních investic v České republice, na rozdíl od Slovenska, kde ještě i v roce 1992 pokračoval jejich meziroční pokles. </w:t>
            </w:r>
          </w:p>
          <w:p w:rsidR="0008794F" w:rsidRPr="003D78A5" w:rsidRDefault="0008794F" w:rsidP="001F5FA8">
            <w:pPr>
              <w:pStyle w:val="Textpoznpodarou"/>
              <w:jc w:val="both"/>
              <w:rPr>
                <w:color w:val="000000"/>
                <w:spacing w:val="-6"/>
              </w:rPr>
            </w:pPr>
          </w:p>
        </w:tc>
      </w:tr>
      <w:tr w:rsidR="0008794F" w:rsidRPr="003D78A5" w:rsidTr="00224FEF">
        <w:tc>
          <w:tcPr>
            <w:tcW w:w="1042" w:type="pct"/>
          </w:tcPr>
          <w:p w:rsidR="0008794F" w:rsidRPr="00602D1D" w:rsidRDefault="0008794F" w:rsidP="000B6162">
            <w:pPr>
              <w:spacing w:line="240" w:lineRule="auto"/>
              <w:rPr>
                <w:color w:val="000000"/>
                <w:sz w:val="16"/>
                <w:szCs w:val="16"/>
              </w:rPr>
            </w:pPr>
            <w:r>
              <w:rPr>
                <w:color w:val="000000"/>
                <w:sz w:val="16"/>
                <w:szCs w:val="16"/>
              </w:rPr>
              <w:t xml:space="preserve">… ale i dalších položek výdajů na HDP ukázaly, že transformační „šoková terapie“ měla </w:t>
            </w:r>
            <w:r w:rsidR="000B6162">
              <w:rPr>
                <w:color w:val="000000"/>
                <w:sz w:val="16"/>
                <w:szCs w:val="16"/>
              </w:rPr>
              <w:t>vyšší účinek</w:t>
            </w:r>
            <w:r>
              <w:rPr>
                <w:color w:val="000000"/>
                <w:sz w:val="16"/>
                <w:szCs w:val="16"/>
              </w:rPr>
              <w:t xml:space="preserve"> v ČR než v SR</w:t>
            </w:r>
          </w:p>
        </w:tc>
        <w:tc>
          <w:tcPr>
            <w:tcW w:w="139" w:type="pct"/>
          </w:tcPr>
          <w:p w:rsidR="0008794F" w:rsidRDefault="0008794F" w:rsidP="00302F1B">
            <w:pPr>
              <w:pStyle w:val="Textpoznpodarou"/>
              <w:jc w:val="both"/>
            </w:pPr>
          </w:p>
        </w:tc>
        <w:tc>
          <w:tcPr>
            <w:tcW w:w="3819" w:type="pct"/>
          </w:tcPr>
          <w:p w:rsidR="0008794F" w:rsidRPr="00997EEB" w:rsidRDefault="0008794F" w:rsidP="00302F1B">
            <w:pPr>
              <w:pStyle w:val="Textpoznpodarou"/>
              <w:jc w:val="both"/>
              <w:rPr>
                <w:color w:val="000000"/>
                <w:spacing w:val="-6"/>
              </w:rPr>
            </w:pPr>
            <w:r>
              <w:rPr>
                <w:color w:val="000000"/>
                <w:spacing w:val="-6"/>
              </w:rPr>
              <w:t xml:space="preserve">„Léčba šokem“- bráno jen podle výsledků výdajové strany HDP v letech 1991 a 1992 - tedy České republice „prospěla“ více než Slovensku. Návraty k růstu ekonomiky byly u většiny složek výdajové strany HDP ČR rychlejší. Stejně tak pokračující pokles HDP byl v ČR v roce 1992 oproti Slovensku mírnější.  </w:t>
            </w:r>
          </w:p>
          <w:p w:rsidR="0008794F" w:rsidRPr="00124ABC" w:rsidRDefault="0008794F" w:rsidP="00302F1B">
            <w:pPr>
              <w:pStyle w:val="Textpoznpodarou"/>
              <w:jc w:val="both"/>
              <w:rPr>
                <w:color w:val="000000"/>
                <w:spacing w:val="-6"/>
                <w:sz w:val="4"/>
                <w:szCs w:val="4"/>
              </w:rPr>
            </w:pPr>
          </w:p>
        </w:tc>
      </w:tr>
    </w:tbl>
    <w:p w:rsidR="0008794F" w:rsidRDefault="0008794F" w:rsidP="007039D1">
      <w:pPr>
        <w:rPr>
          <w:b/>
          <w:sz w:val="24"/>
        </w:rPr>
      </w:pPr>
    </w:p>
    <w:p w:rsidR="0008794F" w:rsidRPr="00124ABC" w:rsidRDefault="0008794F" w:rsidP="007039D1">
      <w:pPr>
        <w:rPr>
          <w:b/>
          <w:sz w:val="26"/>
          <w:szCs w:val="26"/>
        </w:rPr>
      </w:pPr>
      <w:r w:rsidRPr="00124ABC">
        <w:rPr>
          <w:b/>
          <w:sz w:val="26"/>
          <w:szCs w:val="26"/>
        </w:rPr>
        <w:t xml:space="preserve">3.2. Srovnání vývoje ČR a SR po vzniku samostatných států do roku 1997  </w:t>
      </w:r>
    </w:p>
    <w:p w:rsidR="0008794F" w:rsidRDefault="0008794F" w:rsidP="00D34225"/>
    <w:tbl>
      <w:tblPr>
        <w:tblW w:w="5043" w:type="pct"/>
        <w:tblInd w:w="-42" w:type="dxa"/>
        <w:tblCellMar>
          <w:left w:w="28" w:type="dxa"/>
          <w:right w:w="28" w:type="dxa"/>
        </w:tblCellMar>
        <w:tblLook w:val="00A0"/>
      </w:tblPr>
      <w:tblGrid>
        <w:gridCol w:w="2037"/>
        <w:gridCol w:w="272"/>
        <w:gridCol w:w="7468"/>
      </w:tblGrid>
      <w:tr w:rsidR="0008794F" w:rsidRPr="00997EEB" w:rsidTr="001F5FA8">
        <w:tc>
          <w:tcPr>
            <w:tcW w:w="1042" w:type="pct"/>
          </w:tcPr>
          <w:p w:rsidR="0008794F" w:rsidRPr="00602D1D" w:rsidRDefault="0008794F" w:rsidP="001F5FA8">
            <w:pPr>
              <w:spacing w:line="240" w:lineRule="auto"/>
              <w:rPr>
                <w:color w:val="000000"/>
                <w:sz w:val="16"/>
                <w:szCs w:val="16"/>
              </w:rPr>
            </w:pPr>
            <w:r>
              <w:rPr>
                <w:color w:val="000000"/>
                <w:sz w:val="16"/>
                <w:szCs w:val="16"/>
              </w:rPr>
              <w:t xml:space="preserve">Transformační propad ekonomiky trval v ČR šest let, na Slovensku osm let </w:t>
            </w:r>
          </w:p>
        </w:tc>
        <w:tc>
          <w:tcPr>
            <w:tcW w:w="139" w:type="pct"/>
          </w:tcPr>
          <w:p w:rsidR="0008794F" w:rsidRDefault="0008794F" w:rsidP="001F5FA8">
            <w:pPr>
              <w:pStyle w:val="Textpoznpodarou"/>
              <w:jc w:val="both"/>
            </w:pPr>
          </w:p>
        </w:tc>
        <w:tc>
          <w:tcPr>
            <w:tcW w:w="3819" w:type="pct"/>
          </w:tcPr>
          <w:p w:rsidR="0008794F" w:rsidRDefault="0008794F" w:rsidP="001F5FA8">
            <w:pPr>
              <w:pStyle w:val="Textpoznpodarou"/>
              <w:jc w:val="both"/>
              <w:rPr>
                <w:color w:val="000000"/>
                <w:spacing w:val="-6"/>
              </w:rPr>
            </w:pPr>
            <w:r>
              <w:rPr>
                <w:color w:val="000000"/>
                <w:spacing w:val="-6"/>
              </w:rPr>
              <w:t>Délka transformačního propadu byla delší na Slovensku, než v České republice. Ekonomika ČR dosáhla úrovně HDP z roku 1990 v roce 1996 (index 102,0 reálně při 1990=100)</w:t>
            </w:r>
            <w:r w:rsidR="00044171">
              <w:rPr>
                <w:color w:val="000000"/>
                <w:spacing w:val="-6"/>
              </w:rPr>
              <w:t>. T</w:t>
            </w:r>
            <w:r>
              <w:rPr>
                <w:color w:val="000000"/>
                <w:spacing w:val="-6"/>
              </w:rPr>
              <w:t xml:space="preserve">o se </w:t>
            </w:r>
            <w:r w:rsidR="000B6162">
              <w:rPr>
                <w:color w:val="000000"/>
                <w:spacing w:val="-6"/>
              </w:rPr>
              <w:t xml:space="preserve">sice </w:t>
            </w:r>
            <w:r>
              <w:rPr>
                <w:color w:val="000000"/>
                <w:spacing w:val="-6"/>
              </w:rPr>
              <w:t>zdá být doba relativně dlouhá</w:t>
            </w:r>
            <w:r w:rsidR="00044171">
              <w:rPr>
                <w:color w:val="000000"/>
                <w:spacing w:val="-6"/>
              </w:rPr>
              <w:t>, o</w:t>
            </w:r>
            <w:r>
              <w:rPr>
                <w:color w:val="000000"/>
                <w:spacing w:val="-6"/>
              </w:rPr>
              <w:t xml:space="preserve">všem Slovensku trvalo ještě další dva roky, než se mu v roce 1998 podařilo přesáhnout úroveň </w:t>
            </w:r>
            <w:r w:rsidR="000B6162">
              <w:rPr>
                <w:color w:val="000000"/>
                <w:spacing w:val="-6"/>
              </w:rPr>
              <w:t xml:space="preserve">svého </w:t>
            </w:r>
            <w:r>
              <w:rPr>
                <w:color w:val="000000"/>
                <w:spacing w:val="-6"/>
              </w:rPr>
              <w:t xml:space="preserve">HDP z roku 1990 (index 102,5 reálně při 1990=100). </w:t>
            </w:r>
          </w:p>
          <w:p w:rsidR="0008794F" w:rsidRPr="00C5552E" w:rsidRDefault="0008794F" w:rsidP="001F5FA8">
            <w:pPr>
              <w:pStyle w:val="Textpoznpodarou"/>
              <w:jc w:val="both"/>
              <w:rPr>
                <w:color w:val="000000"/>
                <w:spacing w:val="-6"/>
                <w:sz w:val="10"/>
                <w:szCs w:val="10"/>
              </w:rPr>
            </w:pPr>
          </w:p>
          <w:p w:rsidR="0008794F" w:rsidRDefault="0008794F" w:rsidP="001F5FA8">
            <w:pPr>
              <w:pStyle w:val="Textpoznpodarou"/>
              <w:jc w:val="both"/>
              <w:rPr>
                <w:color w:val="000000"/>
                <w:spacing w:val="-6"/>
              </w:rPr>
            </w:pPr>
            <w:r>
              <w:rPr>
                <w:color w:val="000000"/>
                <w:spacing w:val="-6"/>
              </w:rPr>
              <w:t>Stejná proporce pokud jde o překonávání transformačního propadu platila i pro výkonnost měřenou podle hrubé přidané hodnoty (v ČR v roce 1996 index 101,4 reálně, na Slovensku byla úroveň roku 1990 překonán</w:t>
            </w:r>
            <w:r w:rsidR="000B6162">
              <w:rPr>
                <w:color w:val="000000"/>
                <w:spacing w:val="-6"/>
              </w:rPr>
              <w:t>a</w:t>
            </w:r>
            <w:r>
              <w:rPr>
                <w:color w:val="000000"/>
                <w:spacing w:val="-6"/>
              </w:rPr>
              <w:t xml:space="preserve"> </w:t>
            </w:r>
            <w:r w:rsidR="000B6162">
              <w:rPr>
                <w:color w:val="000000"/>
                <w:spacing w:val="-6"/>
              </w:rPr>
              <w:t xml:space="preserve">až </w:t>
            </w:r>
            <w:r>
              <w:rPr>
                <w:color w:val="000000"/>
                <w:spacing w:val="-6"/>
              </w:rPr>
              <w:t>v roce 1998 s </w:t>
            </w:r>
            <w:proofErr w:type="gramStart"/>
            <w:r>
              <w:rPr>
                <w:color w:val="000000"/>
                <w:spacing w:val="-6"/>
              </w:rPr>
              <w:t>indexem  hrubé</w:t>
            </w:r>
            <w:proofErr w:type="gramEnd"/>
            <w:r>
              <w:rPr>
                <w:color w:val="000000"/>
                <w:spacing w:val="-6"/>
              </w:rPr>
              <w:t xml:space="preserve"> přidané hodnoty 102,0).  </w:t>
            </w:r>
          </w:p>
          <w:p w:rsidR="0008794F" w:rsidRPr="00997EEB" w:rsidRDefault="0008794F" w:rsidP="007673B7">
            <w:pPr>
              <w:pStyle w:val="Textpoznpodarou"/>
              <w:jc w:val="both"/>
              <w:rPr>
                <w:color w:val="000000"/>
                <w:spacing w:val="-2"/>
                <w:sz w:val="16"/>
                <w:szCs w:val="16"/>
              </w:rPr>
            </w:pPr>
          </w:p>
        </w:tc>
      </w:tr>
      <w:tr w:rsidR="0008794F" w:rsidRPr="003D78A5" w:rsidTr="001F5FA8">
        <w:tc>
          <w:tcPr>
            <w:tcW w:w="1042" w:type="pct"/>
          </w:tcPr>
          <w:p w:rsidR="0008794F" w:rsidRPr="00602D1D" w:rsidRDefault="0008794F" w:rsidP="001F5FA8">
            <w:pPr>
              <w:spacing w:line="240" w:lineRule="auto"/>
              <w:rPr>
                <w:color w:val="000000"/>
                <w:sz w:val="16"/>
                <w:szCs w:val="16"/>
              </w:rPr>
            </w:pPr>
            <w:r>
              <w:rPr>
                <w:color w:val="000000"/>
                <w:sz w:val="16"/>
                <w:szCs w:val="16"/>
              </w:rPr>
              <w:t>Na Slovensku byla materiální kvalita života domácností podle jejich výdajů na konečnou sp</w:t>
            </w:r>
            <w:r w:rsidR="000B6162">
              <w:rPr>
                <w:color w:val="000000"/>
                <w:sz w:val="16"/>
                <w:szCs w:val="16"/>
              </w:rPr>
              <w:t xml:space="preserve">otřebu nad úrovní roku 1990 až po dvanácti letech, v ČR </w:t>
            </w:r>
            <w:r>
              <w:rPr>
                <w:color w:val="000000"/>
                <w:sz w:val="16"/>
                <w:szCs w:val="16"/>
              </w:rPr>
              <w:t xml:space="preserve">po šesti letech </w:t>
            </w:r>
          </w:p>
        </w:tc>
        <w:tc>
          <w:tcPr>
            <w:tcW w:w="139" w:type="pct"/>
          </w:tcPr>
          <w:p w:rsidR="0008794F" w:rsidRDefault="0008794F" w:rsidP="001F5FA8">
            <w:pPr>
              <w:pStyle w:val="Textpoznpodarou"/>
              <w:jc w:val="both"/>
            </w:pPr>
          </w:p>
        </w:tc>
        <w:tc>
          <w:tcPr>
            <w:tcW w:w="3819" w:type="pct"/>
          </w:tcPr>
          <w:p w:rsidR="0008794F" w:rsidRPr="00997EEB" w:rsidRDefault="0008794F" w:rsidP="001F5FA8">
            <w:pPr>
              <w:pStyle w:val="Textpoznpodarou"/>
              <w:jc w:val="both"/>
              <w:rPr>
                <w:color w:val="000000"/>
                <w:spacing w:val="-6"/>
              </w:rPr>
            </w:pPr>
            <w:r>
              <w:rPr>
                <w:color w:val="000000"/>
                <w:spacing w:val="-6"/>
              </w:rPr>
              <w:t xml:space="preserve">Slovenské domácnosti trpěly transformací více než české, měříme-li věc podle doby, po kterou trval transformační propad jejich výdajů na konečnou spotřebu. V České republice byly proti roku 1990 výdaje domácností poprvé vyšší v roce 1996 (index 101,3). Ovšem na Slovensku se materiální kvalita života domácností měřená jejich výdaji na konečnou spotřebu dostala nad úroveň roku 1990 poprvé až v roce 2002 (!) s indexem 102,3. Transformační propad takto vyjádřené životní úrovně trval v SR dlouhých dvanáct let, v České republice pak šest let. </w:t>
            </w:r>
            <w:r w:rsidRPr="00997EEB">
              <w:rPr>
                <w:color w:val="000000"/>
                <w:spacing w:val="-6"/>
              </w:rPr>
              <w:t xml:space="preserve"> </w:t>
            </w:r>
          </w:p>
          <w:p w:rsidR="0008794F" w:rsidRPr="003D78A5" w:rsidRDefault="0008794F" w:rsidP="001F5FA8">
            <w:pPr>
              <w:pStyle w:val="Textpoznpodarou"/>
              <w:jc w:val="both"/>
              <w:rPr>
                <w:color w:val="000000"/>
                <w:spacing w:val="-6"/>
              </w:rPr>
            </w:pPr>
          </w:p>
        </w:tc>
      </w:tr>
      <w:tr w:rsidR="0008794F" w:rsidRPr="003D78A5" w:rsidTr="001F5FA8">
        <w:tc>
          <w:tcPr>
            <w:tcW w:w="1042" w:type="pct"/>
          </w:tcPr>
          <w:p w:rsidR="0008794F" w:rsidRPr="00602D1D" w:rsidRDefault="0008794F" w:rsidP="00BE6898">
            <w:pPr>
              <w:spacing w:line="240" w:lineRule="auto"/>
              <w:rPr>
                <w:color w:val="000000"/>
                <w:sz w:val="16"/>
                <w:szCs w:val="16"/>
              </w:rPr>
            </w:pPr>
            <w:r>
              <w:rPr>
                <w:color w:val="000000"/>
                <w:sz w:val="16"/>
                <w:szCs w:val="16"/>
              </w:rPr>
              <w:t xml:space="preserve">Slovensko i Českou republiku táhl ve výkonnosti po roce 1992 především export a import zboží a služeb </w:t>
            </w:r>
          </w:p>
        </w:tc>
        <w:tc>
          <w:tcPr>
            <w:tcW w:w="139" w:type="pct"/>
          </w:tcPr>
          <w:p w:rsidR="0008794F" w:rsidRDefault="0008794F" w:rsidP="001F5FA8">
            <w:pPr>
              <w:pStyle w:val="Textpoznpodarou"/>
              <w:jc w:val="both"/>
            </w:pPr>
          </w:p>
        </w:tc>
        <w:tc>
          <w:tcPr>
            <w:tcW w:w="3819" w:type="pct"/>
          </w:tcPr>
          <w:p w:rsidR="0008794F" w:rsidRPr="00997EEB" w:rsidRDefault="0008794F" w:rsidP="001F5FA8">
            <w:pPr>
              <w:pStyle w:val="Textpoznpodarou"/>
              <w:jc w:val="both"/>
              <w:rPr>
                <w:color w:val="000000"/>
                <w:spacing w:val="-6"/>
              </w:rPr>
            </w:pPr>
            <w:r>
              <w:rPr>
                <w:color w:val="000000"/>
                <w:spacing w:val="-6"/>
              </w:rPr>
              <w:t xml:space="preserve">Obdobně později oproti ČR </w:t>
            </w:r>
            <w:r w:rsidR="00044171">
              <w:rPr>
                <w:color w:val="000000"/>
                <w:spacing w:val="-6"/>
              </w:rPr>
              <w:t>zahájily</w:t>
            </w:r>
            <w:r>
              <w:rPr>
                <w:color w:val="000000"/>
                <w:spacing w:val="-6"/>
              </w:rPr>
              <w:t xml:space="preserve"> na Slovensku</w:t>
            </w:r>
            <w:r w:rsidR="00044171">
              <w:rPr>
                <w:color w:val="000000"/>
                <w:spacing w:val="-6"/>
              </w:rPr>
              <w:t xml:space="preserve"> </w:t>
            </w:r>
            <w:r>
              <w:rPr>
                <w:color w:val="000000"/>
                <w:spacing w:val="-6"/>
              </w:rPr>
              <w:t>růstovou trajektorii další složky výdajů na HDP po propadech z počátku 90. let. Obě ekonomiky byly taženy vzhůru dynamikou zahraničního obchodu (graf 12), ovšem vzhledem k nižšímu podílu čistého exportu ve struktuře HDP mají v obou ekonomikách vyšší váhu výdaje na konečnou spotřebu.  Jejich dynamika v kumulacích s bází roku 1990 sledovala v ČR od roku 1992 do roku 1996 velmi těsně dynamiku HDP, na Slovensku byla zřetelně pod jeho úrovní</w:t>
            </w:r>
            <w:r w:rsidR="00044171">
              <w:rPr>
                <w:color w:val="000000"/>
                <w:spacing w:val="-6"/>
              </w:rPr>
              <w:t>. V</w:t>
            </w:r>
            <w:r>
              <w:rPr>
                <w:color w:val="000000"/>
                <w:spacing w:val="-6"/>
              </w:rPr>
              <w:t xml:space="preserve">ýdaje vládních institucí se totiž dostaly na úroveň roku 1990 až v roce 1996, zatímco v ČR se jejich propad zastavil už v roce1993.    </w:t>
            </w:r>
          </w:p>
          <w:p w:rsidR="0008794F" w:rsidRPr="003D78A5" w:rsidRDefault="0008794F" w:rsidP="001F5FA8">
            <w:pPr>
              <w:pStyle w:val="Textpoznpodarou"/>
              <w:jc w:val="both"/>
              <w:rPr>
                <w:color w:val="000000"/>
                <w:spacing w:val="-6"/>
              </w:rPr>
            </w:pPr>
          </w:p>
        </w:tc>
      </w:tr>
      <w:tr w:rsidR="0008794F" w:rsidRPr="003D78A5" w:rsidTr="000262EF">
        <w:tc>
          <w:tcPr>
            <w:tcW w:w="1042" w:type="pct"/>
          </w:tcPr>
          <w:p w:rsidR="0008794F" w:rsidRPr="00602D1D" w:rsidRDefault="0008794F" w:rsidP="00BE6898">
            <w:pPr>
              <w:spacing w:line="240" w:lineRule="auto"/>
              <w:rPr>
                <w:color w:val="000000"/>
                <w:sz w:val="16"/>
                <w:szCs w:val="16"/>
              </w:rPr>
            </w:pPr>
            <w:r>
              <w:rPr>
                <w:color w:val="000000"/>
                <w:sz w:val="16"/>
                <w:szCs w:val="16"/>
              </w:rPr>
              <w:t>Do roku 1995 zasahoval slovenskou ekonomiku negativně úbytek investic, zejména investic do zásob, tvorba hrubého kapi</w:t>
            </w:r>
            <w:r w:rsidR="000B6162">
              <w:rPr>
                <w:color w:val="000000"/>
                <w:sz w:val="16"/>
                <w:szCs w:val="16"/>
              </w:rPr>
              <w:t>tálu byla vyšší oproti základně</w:t>
            </w:r>
            <w:r>
              <w:rPr>
                <w:color w:val="000000"/>
                <w:sz w:val="16"/>
                <w:szCs w:val="16"/>
              </w:rPr>
              <w:t xml:space="preserve"> roku 1990 až teprve v roce 1996 - v ČR už v roce 1994 </w:t>
            </w:r>
          </w:p>
        </w:tc>
        <w:tc>
          <w:tcPr>
            <w:tcW w:w="139" w:type="pct"/>
          </w:tcPr>
          <w:p w:rsidR="0008794F" w:rsidRDefault="0008794F" w:rsidP="001F5FA8">
            <w:pPr>
              <w:pStyle w:val="Textpoznpodarou"/>
              <w:jc w:val="both"/>
            </w:pPr>
          </w:p>
        </w:tc>
        <w:tc>
          <w:tcPr>
            <w:tcW w:w="3819" w:type="pct"/>
          </w:tcPr>
          <w:p w:rsidR="0008794F" w:rsidRDefault="0008794F" w:rsidP="00E21367">
            <w:pPr>
              <w:pStyle w:val="Textpoznpodarou"/>
              <w:jc w:val="both"/>
              <w:rPr>
                <w:color w:val="000000"/>
                <w:spacing w:val="-6"/>
              </w:rPr>
            </w:pPr>
            <w:r>
              <w:rPr>
                <w:color w:val="000000"/>
                <w:spacing w:val="-6"/>
              </w:rPr>
              <w:t xml:space="preserve">Z podstaty velmi </w:t>
            </w:r>
            <w:proofErr w:type="spellStart"/>
            <w:r>
              <w:rPr>
                <w:color w:val="000000"/>
                <w:spacing w:val="-6"/>
              </w:rPr>
              <w:t>volatilní</w:t>
            </w:r>
            <w:proofErr w:type="spellEnd"/>
            <w:r>
              <w:rPr>
                <w:color w:val="000000"/>
                <w:spacing w:val="-6"/>
              </w:rPr>
              <w:t xml:space="preserve"> vývoj investic do fixních aktiv, ale zejména do zásob, zasáhl do poloviny 90. let negativním způsobem více ekonomiku Slovenské republiky. Docházelo zejména k velkým úbytkům zásob, neboť tvorba hrubého kapitálu jako celek (investice do fixních aktiv a do zásob) činila v SR období 1991-1995 v jednotlivých letech jen polovinu až tři čtvrtiny úrovně roku 1990. </w:t>
            </w:r>
          </w:p>
          <w:p w:rsidR="0008794F" w:rsidRPr="00C5552E" w:rsidRDefault="0008794F" w:rsidP="00E21367">
            <w:pPr>
              <w:pStyle w:val="Textpoznpodarou"/>
              <w:jc w:val="both"/>
              <w:rPr>
                <w:color w:val="000000"/>
                <w:spacing w:val="-6"/>
                <w:sz w:val="10"/>
                <w:szCs w:val="10"/>
              </w:rPr>
            </w:pPr>
          </w:p>
          <w:p w:rsidR="0008794F" w:rsidRDefault="0008794F" w:rsidP="00E21367">
            <w:pPr>
              <w:pStyle w:val="Textpoznpodarou"/>
              <w:jc w:val="both"/>
              <w:rPr>
                <w:color w:val="000000"/>
                <w:spacing w:val="-6"/>
              </w:rPr>
            </w:pPr>
            <w:r>
              <w:rPr>
                <w:color w:val="000000"/>
                <w:spacing w:val="-6"/>
              </w:rPr>
              <w:t xml:space="preserve">V České republice byl propad rovněž značný, ovšem relativně brzy, už v roce 1994, přišlo oživení a tvorba hrubého kapitálu přesáhla úroveň 1990. Na Slovensku k tomu došlo až v roce 1996.  </w:t>
            </w:r>
          </w:p>
          <w:p w:rsidR="0008794F" w:rsidRPr="003D78A5" w:rsidRDefault="0008794F" w:rsidP="00CE11A9">
            <w:pPr>
              <w:pStyle w:val="Textpoznpodarou"/>
              <w:jc w:val="both"/>
              <w:rPr>
                <w:color w:val="000000"/>
                <w:spacing w:val="-6"/>
              </w:rPr>
            </w:pPr>
          </w:p>
        </w:tc>
      </w:tr>
      <w:tr w:rsidR="0008794F" w:rsidRPr="003D78A5" w:rsidTr="000262EF">
        <w:tc>
          <w:tcPr>
            <w:tcW w:w="1042" w:type="pct"/>
          </w:tcPr>
          <w:p w:rsidR="0008794F" w:rsidRPr="00602D1D" w:rsidRDefault="0008794F" w:rsidP="00C5552E">
            <w:pPr>
              <w:spacing w:line="240" w:lineRule="auto"/>
              <w:rPr>
                <w:color w:val="000000"/>
                <w:sz w:val="16"/>
                <w:szCs w:val="16"/>
              </w:rPr>
            </w:pPr>
            <w:r>
              <w:rPr>
                <w:color w:val="000000"/>
                <w:sz w:val="16"/>
                <w:szCs w:val="16"/>
              </w:rPr>
              <w:t xml:space="preserve">Později, v letech 1994-1997, vykázala ČR kumulativní růst tvorby hrubého kapitálu, zatímco SR pokles </w:t>
            </w:r>
          </w:p>
        </w:tc>
        <w:tc>
          <w:tcPr>
            <w:tcW w:w="139" w:type="pct"/>
          </w:tcPr>
          <w:p w:rsidR="0008794F" w:rsidRDefault="0008794F" w:rsidP="001F5FA8">
            <w:pPr>
              <w:pStyle w:val="Textpoznpodarou"/>
              <w:jc w:val="both"/>
            </w:pPr>
          </w:p>
        </w:tc>
        <w:tc>
          <w:tcPr>
            <w:tcW w:w="3819" w:type="pct"/>
          </w:tcPr>
          <w:p w:rsidR="0008794F" w:rsidRPr="00997EEB" w:rsidRDefault="0008794F" w:rsidP="00CE11A9">
            <w:pPr>
              <w:pStyle w:val="Textpoznpodarou"/>
              <w:jc w:val="both"/>
              <w:rPr>
                <w:color w:val="000000"/>
                <w:spacing w:val="-6"/>
              </w:rPr>
            </w:pPr>
            <w:r>
              <w:rPr>
                <w:color w:val="000000"/>
                <w:spacing w:val="-6"/>
              </w:rPr>
              <w:t xml:space="preserve">Průměrné kumulativní růsty investic do fixních aktiv a do zásob v ČR za období 1994-1997 představovaly ročně až čtvrtinu (+24,8 %), zatímco na Slovensku šlo naproti tomu o významný až desetinový pokles (-9,7 %). V SR stál za tímto relativně dlouhým nepříznivým vývojových obdobím především přetrvávající pokles zásob, neboť samotná tvorba hrubého fixního kapitálu v tomto pojetí průměrných kumulativních růstu za období 1994-1997 dosahovala +5,3 %.      </w:t>
            </w:r>
            <w:r w:rsidRPr="00997EEB">
              <w:rPr>
                <w:color w:val="000000"/>
                <w:spacing w:val="-6"/>
              </w:rPr>
              <w:t xml:space="preserve"> </w:t>
            </w:r>
          </w:p>
          <w:p w:rsidR="0008794F" w:rsidRPr="003D78A5" w:rsidRDefault="0008794F" w:rsidP="006F4A60">
            <w:pPr>
              <w:pStyle w:val="Textpoznpodarou"/>
              <w:jc w:val="both"/>
              <w:rPr>
                <w:color w:val="000000"/>
                <w:spacing w:val="-6"/>
              </w:rPr>
            </w:pPr>
          </w:p>
        </w:tc>
      </w:tr>
      <w:tr w:rsidR="0008794F" w:rsidRPr="003D78A5" w:rsidTr="00CE11A9">
        <w:tc>
          <w:tcPr>
            <w:tcW w:w="1042" w:type="pct"/>
          </w:tcPr>
          <w:p w:rsidR="0008794F" w:rsidRPr="00602D1D" w:rsidRDefault="0008794F" w:rsidP="00044171">
            <w:pPr>
              <w:spacing w:line="240" w:lineRule="auto"/>
              <w:rPr>
                <w:color w:val="000000"/>
                <w:sz w:val="16"/>
                <w:szCs w:val="16"/>
              </w:rPr>
            </w:pPr>
            <w:r>
              <w:rPr>
                <w:color w:val="000000"/>
                <w:sz w:val="16"/>
                <w:szCs w:val="16"/>
              </w:rPr>
              <w:t xml:space="preserve">Slovensko bylo </w:t>
            </w:r>
            <w:r w:rsidR="00044171">
              <w:rPr>
                <w:color w:val="000000"/>
                <w:sz w:val="16"/>
                <w:szCs w:val="16"/>
              </w:rPr>
              <w:t>zasaženo</w:t>
            </w:r>
            <w:r>
              <w:rPr>
                <w:color w:val="000000"/>
                <w:sz w:val="16"/>
                <w:szCs w:val="16"/>
              </w:rPr>
              <w:t xml:space="preserve"> transformací své ekonomiky k tržnímu prostředí tvrději, než Česká republika… </w:t>
            </w:r>
          </w:p>
        </w:tc>
        <w:tc>
          <w:tcPr>
            <w:tcW w:w="139" w:type="pct"/>
          </w:tcPr>
          <w:p w:rsidR="0008794F" w:rsidRDefault="0008794F" w:rsidP="001045E3">
            <w:pPr>
              <w:pStyle w:val="Textpoznpodarou"/>
              <w:jc w:val="both"/>
            </w:pPr>
          </w:p>
        </w:tc>
        <w:tc>
          <w:tcPr>
            <w:tcW w:w="3819" w:type="pct"/>
          </w:tcPr>
          <w:p w:rsidR="0008794F" w:rsidRDefault="0008794F" w:rsidP="001045E3">
            <w:pPr>
              <w:pStyle w:val="Textpoznpodarou"/>
              <w:jc w:val="both"/>
              <w:rPr>
                <w:color w:val="000000"/>
                <w:spacing w:val="-6"/>
              </w:rPr>
            </w:pPr>
            <w:r>
              <w:rPr>
                <w:color w:val="000000"/>
                <w:spacing w:val="-6"/>
              </w:rPr>
              <w:t xml:space="preserve">V </w:t>
            </w:r>
            <w:r w:rsidR="00F36F92">
              <w:rPr>
                <w:color w:val="000000"/>
                <w:spacing w:val="-6"/>
              </w:rPr>
              <w:t>úhrnu tak lze říci, že Slovensko</w:t>
            </w:r>
            <w:r>
              <w:rPr>
                <w:color w:val="000000"/>
                <w:spacing w:val="-6"/>
              </w:rPr>
              <w:t xml:space="preserve"> utrpělo co do propadů své ekonomiky po roce 1990 významně více než Č</w:t>
            </w:r>
            <w:r w:rsidR="00F36F92">
              <w:rPr>
                <w:color w:val="000000"/>
                <w:spacing w:val="-6"/>
              </w:rPr>
              <w:t>R</w:t>
            </w:r>
            <w:r>
              <w:rPr>
                <w:color w:val="000000"/>
                <w:spacing w:val="-6"/>
              </w:rPr>
              <w:t>. K návratu na růstovou trajektorii došlo později - HDP v reálném vyjádření přesáhl úroveň roku 1990, kdy bylo Slovensko ještě součástí federace s CR, až v roce 1998, zatímco Česká republika již v roce 1996</w:t>
            </w:r>
            <w:r w:rsidR="000B6162">
              <w:rPr>
                <w:color w:val="000000"/>
                <w:spacing w:val="-6"/>
              </w:rPr>
              <w:t>, jak bylo zmíněno</w:t>
            </w:r>
            <w:r>
              <w:rPr>
                <w:color w:val="000000"/>
                <w:spacing w:val="-6"/>
              </w:rPr>
              <w:t xml:space="preserve">. </w:t>
            </w:r>
            <w:r w:rsidRPr="00997EEB">
              <w:rPr>
                <w:color w:val="000000"/>
                <w:spacing w:val="-6"/>
              </w:rPr>
              <w:t xml:space="preserve"> </w:t>
            </w:r>
          </w:p>
          <w:p w:rsidR="0008794F" w:rsidRPr="003D78A5" w:rsidRDefault="0008794F" w:rsidP="006F4A60">
            <w:pPr>
              <w:pStyle w:val="Textpoznpodarou"/>
              <w:jc w:val="both"/>
              <w:rPr>
                <w:color w:val="000000"/>
                <w:spacing w:val="-6"/>
              </w:rPr>
            </w:pPr>
          </w:p>
        </w:tc>
      </w:tr>
      <w:tr w:rsidR="0008794F" w:rsidRPr="003D78A5" w:rsidTr="00CE11A9">
        <w:tc>
          <w:tcPr>
            <w:tcW w:w="1042" w:type="pct"/>
          </w:tcPr>
          <w:p w:rsidR="0008794F" w:rsidRDefault="0008794F" w:rsidP="002550D9">
            <w:pPr>
              <w:spacing w:line="240" w:lineRule="auto"/>
              <w:rPr>
                <w:color w:val="000000"/>
                <w:sz w:val="16"/>
                <w:szCs w:val="16"/>
              </w:rPr>
            </w:pPr>
            <w:r>
              <w:rPr>
                <w:color w:val="000000"/>
                <w:sz w:val="16"/>
                <w:szCs w:val="16"/>
              </w:rPr>
              <w:lastRenderedPageBreak/>
              <w:t xml:space="preserve">… jak vlivem pomalejšího oživení investic… </w:t>
            </w:r>
          </w:p>
        </w:tc>
        <w:tc>
          <w:tcPr>
            <w:tcW w:w="139" w:type="pct"/>
          </w:tcPr>
          <w:p w:rsidR="0008794F" w:rsidRDefault="0008794F" w:rsidP="001045E3">
            <w:pPr>
              <w:pStyle w:val="Textpoznpodarou"/>
              <w:jc w:val="both"/>
            </w:pPr>
          </w:p>
        </w:tc>
        <w:tc>
          <w:tcPr>
            <w:tcW w:w="3819" w:type="pct"/>
          </w:tcPr>
          <w:p w:rsidR="0008794F" w:rsidRPr="00997EEB" w:rsidRDefault="0008794F" w:rsidP="006F4A60">
            <w:pPr>
              <w:pStyle w:val="Textpoznpodarou"/>
              <w:jc w:val="both"/>
              <w:rPr>
                <w:color w:val="000000"/>
                <w:spacing w:val="-6"/>
              </w:rPr>
            </w:pPr>
            <w:r>
              <w:rPr>
                <w:color w:val="000000"/>
                <w:spacing w:val="-6"/>
              </w:rPr>
              <w:t xml:space="preserve">O dva roky déle oproti České republice čekalo v transformačním období Slovensko také na oživení investic do fixních aktiv a zásob (1996 proti 1994 v ČR). Pokud je o samotné fixní investice, činil rozdíl pouhý rok. Česká ekonomika totiž co se týká překonání úrovně </w:t>
            </w:r>
            <w:proofErr w:type="spellStart"/>
            <w:r>
              <w:rPr>
                <w:color w:val="000000"/>
                <w:spacing w:val="-6"/>
              </w:rPr>
              <w:t>nainvestovaných</w:t>
            </w:r>
            <w:proofErr w:type="spellEnd"/>
            <w:r>
              <w:rPr>
                <w:color w:val="000000"/>
                <w:spacing w:val="-6"/>
              </w:rPr>
              <w:t xml:space="preserve"> objemů peněz do fixních aktiv převýšila úroveň z roku 1990 nikoli už v roce 1994, jako to platilo pro tvorbu hrubého kapitá</w:t>
            </w:r>
            <w:r w:rsidR="00F36F92">
              <w:rPr>
                <w:color w:val="000000"/>
                <w:spacing w:val="-6"/>
              </w:rPr>
              <w:t>lu, ale až v roce 1995 (i když velmi silným</w:t>
            </w:r>
            <w:r>
              <w:rPr>
                <w:color w:val="000000"/>
                <w:spacing w:val="-6"/>
              </w:rPr>
              <w:t xml:space="preserve"> meziročním růstem o 23,3 %, což představovalo proti bázi roku 1990 přírůstek 22,9 %). </w:t>
            </w:r>
          </w:p>
          <w:p w:rsidR="0008794F" w:rsidRDefault="0008794F" w:rsidP="001045E3">
            <w:pPr>
              <w:pStyle w:val="Textpoznpodarou"/>
              <w:jc w:val="both"/>
              <w:rPr>
                <w:color w:val="000000"/>
                <w:spacing w:val="-6"/>
              </w:rPr>
            </w:pPr>
          </w:p>
        </w:tc>
      </w:tr>
      <w:tr w:rsidR="0008794F" w:rsidRPr="003D78A5" w:rsidTr="00CE11A9">
        <w:tc>
          <w:tcPr>
            <w:tcW w:w="1042" w:type="pct"/>
          </w:tcPr>
          <w:p w:rsidR="0008794F" w:rsidRDefault="0008794F" w:rsidP="002550D9">
            <w:pPr>
              <w:spacing w:line="240" w:lineRule="auto"/>
              <w:rPr>
                <w:color w:val="000000"/>
                <w:sz w:val="16"/>
                <w:szCs w:val="16"/>
              </w:rPr>
            </w:pPr>
            <w:r>
              <w:rPr>
                <w:color w:val="000000"/>
                <w:sz w:val="16"/>
                <w:szCs w:val="16"/>
              </w:rPr>
              <w:t>…tak i zahraničního obchodu se zbožím a službami, jehož dynamiku v ČR nezpomalila ani recese po měnové krizi v letech 1997 a 1998</w:t>
            </w:r>
          </w:p>
        </w:tc>
        <w:tc>
          <w:tcPr>
            <w:tcW w:w="139" w:type="pct"/>
          </w:tcPr>
          <w:p w:rsidR="0008794F" w:rsidRDefault="0008794F" w:rsidP="001045E3">
            <w:pPr>
              <w:pStyle w:val="Textpoznpodarou"/>
              <w:jc w:val="both"/>
            </w:pPr>
          </w:p>
        </w:tc>
        <w:tc>
          <w:tcPr>
            <w:tcW w:w="3819" w:type="pct"/>
          </w:tcPr>
          <w:p w:rsidR="0008794F" w:rsidRDefault="0008794F" w:rsidP="002550D9">
            <w:pPr>
              <w:pStyle w:val="Textpoznpodarou"/>
              <w:jc w:val="both"/>
              <w:rPr>
                <w:color w:val="000000"/>
                <w:spacing w:val="-6"/>
              </w:rPr>
            </w:pPr>
            <w:r>
              <w:rPr>
                <w:color w:val="000000"/>
                <w:spacing w:val="-6"/>
              </w:rPr>
              <w:t>Také v zahraničním obchodě se zbožím a službami byl nástup oživení na Slovensku mírně pomalejší</w:t>
            </w:r>
            <w:r w:rsidR="004C5160">
              <w:rPr>
                <w:color w:val="000000"/>
                <w:spacing w:val="-6"/>
              </w:rPr>
              <w:t>,</w:t>
            </w:r>
            <w:r>
              <w:rPr>
                <w:color w:val="000000"/>
                <w:spacing w:val="-6"/>
              </w:rPr>
              <w:t xml:space="preserve"> než tomu bylo v České republice. ČR velmi úspěšně překonala nálepku země exportující především na tzv. „měkké východní trhy“ a přeorient</w:t>
            </w:r>
            <w:r w:rsidR="00044171">
              <w:rPr>
                <w:color w:val="000000"/>
                <w:spacing w:val="-6"/>
              </w:rPr>
              <w:t>ování</w:t>
            </w:r>
            <w:r>
              <w:rPr>
                <w:color w:val="000000"/>
                <w:spacing w:val="-6"/>
              </w:rPr>
              <w:t xml:space="preserve"> vývozu zboží do západních zemí Evropy proběhla v 90. letech relativně rychle. I když bez hlubší teritoriální analýzy nelze doložit v této studii, kdy přesně k tomu začalo docházet, zůstává faktem, že už v roce 1993, tedy po rozpadu federace, byl objem exportu z České republiky reálně nad úrovní roku 1990 (+8,8 %). Dokonce i v letech recese po měnové krizi, tj. 1997 a 1998, neklesaly meziročně objemy vývozu, ale ani dovozu zboží a služeb do České republiky, přestože tato recese oslabila domácí poptávku (meziroční přírůstky toků zboží a služeb v těchto letech pouze zpomalily). </w:t>
            </w:r>
          </w:p>
          <w:p w:rsidR="0008794F" w:rsidRDefault="0008794F" w:rsidP="006F4A60">
            <w:pPr>
              <w:pStyle w:val="Textpoznpodarou"/>
              <w:jc w:val="both"/>
              <w:rPr>
                <w:color w:val="000000"/>
                <w:spacing w:val="-6"/>
              </w:rPr>
            </w:pPr>
          </w:p>
        </w:tc>
      </w:tr>
      <w:tr w:rsidR="0008794F" w:rsidRPr="003D78A5" w:rsidTr="00CE11A9">
        <w:tc>
          <w:tcPr>
            <w:tcW w:w="1042" w:type="pct"/>
          </w:tcPr>
          <w:p w:rsidR="0008794F" w:rsidRDefault="0008794F" w:rsidP="00C93823">
            <w:pPr>
              <w:spacing w:line="240" w:lineRule="auto"/>
              <w:rPr>
                <w:color w:val="000000"/>
                <w:sz w:val="16"/>
                <w:szCs w:val="16"/>
              </w:rPr>
            </w:pPr>
            <w:r>
              <w:rPr>
                <w:color w:val="000000"/>
                <w:sz w:val="16"/>
                <w:szCs w:val="16"/>
              </w:rPr>
              <w:t xml:space="preserve">Příčinou toho, že toky zboží služeb na Slovensko dosáhly úrovně roku 1990 až po šesti letech transformace, byl především jejich meziroční propad na polovinu už v roce 1991; exporty meziročně ožily v ČR i SR již v roce 1992  </w:t>
            </w:r>
          </w:p>
        </w:tc>
        <w:tc>
          <w:tcPr>
            <w:tcW w:w="139" w:type="pct"/>
          </w:tcPr>
          <w:p w:rsidR="0008794F" w:rsidRDefault="0008794F" w:rsidP="001045E3">
            <w:pPr>
              <w:pStyle w:val="Textpoznpodarou"/>
              <w:jc w:val="both"/>
            </w:pPr>
          </w:p>
        </w:tc>
        <w:tc>
          <w:tcPr>
            <w:tcW w:w="3819" w:type="pct"/>
          </w:tcPr>
          <w:p w:rsidR="0008794F" w:rsidRDefault="0008794F" w:rsidP="00BB502A">
            <w:pPr>
              <w:pStyle w:val="Textpoznpodarou"/>
              <w:jc w:val="both"/>
              <w:rPr>
                <w:color w:val="000000"/>
                <w:spacing w:val="-6"/>
              </w:rPr>
            </w:pPr>
            <w:r>
              <w:rPr>
                <w:color w:val="000000"/>
                <w:spacing w:val="-6"/>
              </w:rPr>
              <w:t xml:space="preserve">Na Slovensku oproti ČR překonal export zboží a služeb úroveň roku 1990 v roce 1994, tedy o rok později než v ČR. I to však lze pokládat za úspěch, neboť země „doplácela“ (významně i z pohledu zaměstnanosti) na podstatnou redukci důležitých exportních odvětví (zbrojní průmysl na středním Slovensku). Objem dovozů zboží a služeb na Slovensko překonal úroveň z roku 1990 až v roce 1996, o celé čtyři roky později než tomu bylo v ČR. Je však nutné přiznat, že příčinou nebyla přetrvávající nízká domácí poptávka po dovozech. Vývoj totiž ovlivnil především velmi prudký propad </w:t>
            </w:r>
            <w:r w:rsidR="00EC5F73">
              <w:rPr>
                <w:color w:val="000000"/>
                <w:spacing w:val="-6"/>
              </w:rPr>
              <w:t>dovozů v roce</w:t>
            </w:r>
            <w:r>
              <w:rPr>
                <w:color w:val="000000"/>
                <w:spacing w:val="-6"/>
              </w:rPr>
              <w:t xml:space="preserve"> 1991 (na téměř polovinu s indexem 52,5). Meziročně totiž objemy dovozů na Slovensku začaly růst už v roce 1992, tedy stejně jako tomu bylo v České republice.</w:t>
            </w:r>
          </w:p>
          <w:p w:rsidR="0008794F" w:rsidRDefault="0008794F" w:rsidP="002550D9">
            <w:pPr>
              <w:pStyle w:val="Textpoznpodarou"/>
              <w:jc w:val="both"/>
              <w:rPr>
                <w:color w:val="000000"/>
                <w:spacing w:val="-6"/>
              </w:rPr>
            </w:pPr>
          </w:p>
        </w:tc>
      </w:tr>
    </w:tbl>
    <w:p w:rsidR="0008794F" w:rsidRDefault="0008794F" w:rsidP="00D34225">
      <w:r w:rsidRPr="00CE11A9">
        <w:rPr>
          <w:b/>
        </w:rPr>
        <w:t>Graf 1</w:t>
      </w:r>
      <w:r>
        <w:rPr>
          <w:b/>
        </w:rPr>
        <w:t>3</w:t>
      </w:r>
      <w:r w:rsidRPr="00CE11A9">
        <w:rPr>
          <w:b/>
        </w:rPr>
        <w:t xml:space="preserve">: Vývoj HDP a jeho hlavních složek v České republice a na Slovensku v letech 1990-2004 </w:t>
      </w:r>
      <w:r>
        <w:t>(1990=100)</w:t>
      </w:r>
    </w:p>
    <w:p w:rsidR="0008794F" w:rsidRDefault="00306F79" w:rsidP="00155326">
      <w:pPr>
        <w:jc w:val="center"/>
      </w:pPr>
      <w:r>
        <w:pict>
          <v:shape id="_x0000_i1037" type="#_x0000_t75" style="width:457.5pt;height:183.75pt">
            <v:imagedata r:id="rId25" o:title=""/>
          </v:shape>
        </w:pict>
      </w:r>
    </w:p>
    <w:p w:rsidR="0008794F" w:rsidRDefault="0008794F" w:rsidP="003E7419">
      <w:pPr>
        <w:jc w:val="right"/>
        <w:rPr>
          <w:sz w:val="18"/>
          <w:szCs w:val="18"/>
        </w:rPr>
      </w:pPr>
      <w:r w:rsidRPr="00CE11A9">
        <w:rPr>
          <w:sz w:val="18"/>
          <w:szCs w:val="18"/>
        </w:rPr>
        <w:t>Pramen: Historická ročenka národních účtů</w:t>
      </w:r>
    </w:p>
    <w:p w:rsidR="0008794F" w:rsidRDefault="0008794F" w:rsidP="00124ABC">
      <w:pPr>
        <w:jc w:val="both"/>
        <w:rPr>
          <w:sz w:val="18"/>
          <w:szCs w:val="18"/>
        </w:rPr>
      </w:pPr>
    </w:p>
    <w:p w:rsidR="0008794F" w:rsidRDefault="0008794F" w:rsidP="007E07B7">
      <w:pPr>
        <w:rPr>
          <w:b/>
          <w:sz w:val="22"/>
          <w:szCs w:val="22"/>
        </w:rPr>
      </w:pPr>
      <w:r w:rsidRPr="007E07B7">
        <w:rPr>
          <w:b/>
          <w:sz w:val="22"/>
          <w:szCs w:val="22"/>
        </w:rPr>
        <w:t>3.2.1. Inflační vliv působící na spotřebu domácností</w:t>
      </w:r>
    </w:p>
    <w:p w:rsidR="0008794F" w:rsidRPr="003E7419" w:rsidRDefault="0008794F" w:rsidP="007E07B7">
      <w:pPr>
        <w:jc w:val="both"/>
        <w:rPr>
          <w:sz w:val="18"/>
          <w:szCs w:val="18"/>
        </w:rPr>
      </w:pPr>
    </w:p>
    <w:tbl>
      <w:tblPr>
        <w:tblW w:w="5043" w:type="pct"/>
        <w:tblInd w:w="-42" w:type="dxa"/>
        <w:tblCellMar>
          <w:left w:w="28" w:type="dxa"/>
          <w:right w:w="28" w:type="dxa"/>
        </w:tblCellMar>
        <w:tblLook w:val="00A0"/>
      </w:tblPr>
      <w:tblGrid>
        <w:gridCol w:w="2037"/>
        <w:gridCol w:w="272"/>
        <w:gridCol w:w="7468"/>
      </w:tblGrid>
      <w:tr w:rsidR="0008794F" w:rsidRPr="003D78A5" w:rsidTr="00254196">
        <w:tc>
          <w:tcPr>
            <w:tcW w:w="1042" w:type="pct"/>
          </w:tcPr>
          <w:p w:rsidR="0008794F" w:rsidRPr="00602D1D" w:rsidRDefault="0008794F" w:rsidP="00254196">
            <w:pPr>
              <w:spacing w:line="240" w:lineRule="auto"/>
              <w:rPr>
                <w:color w:val="000000"/>
                <w:sz w:val="16"/>
                <w:szCs w:val="16"/>
              </w:rPr>
            </w:pPr>
            <w:r>
              <w:rPr>
                <w:color w:val="000000"/>
                <w:sz w:val="16"/>
                <w:szCs w:val="16"/>
              </w:rPr>
              <w:t xml:space="preserve">„Nejbolestivější“ byl průběh transformace pro slovenské domácnosti – jejich výdaje na konečnou spotřebu překonaly úroveň roku 1990 až po dvanácti letech, zatímco v ČR po šesti letech  </w:t>
            </w:r>
          </w:p>
        </w:tc>
        <w:tc>
          <w:tcPr>
            <w:tcW w:w="139" w:type="pct"/>
          </w:tcPr>
          <w:p w:rsidR="0008794F" w:rsidRDefault="0008794F" w:rsidP="00254196">
            <w:pPr>
              <w:pStyle w:val="Textpoznpodarou"/>
              <w:jc w:val="both"/>
            </w:pPr>
          </w:p>
        </w:tc>
        <w:tc>
          <w:tcPr>
            <w:tcW w:w="3819" w:type="pct"/>
          </w:tcPr>
          <w:p w:rsidR="0008794F" w:rsidRPr="003D78A5" w:rsidRDefault="0008794F" w:rsidP="00F36F92">
            <w:pPr>
              <w:pStyle w:val="Textpoznpodarou"/>
              <w:jc w:val="both"/>
              <w:rPr>
                <w:color w:val="000000"/>
                <w:spacing w:val="-6"/>
              </w:rPr>
            </w:pPr>
            <w:r>
              <w:rPr>
                <w:color w:val="000000"/>
                <w:spacing w:val="-6"/>
              </w:rPr>
              <w:t>Slovenské domácnosti spotřebovávaly od roku 1991 do roku 2001 ve srovnání s rokem 1990</w:t>
            </w:r>
            <w:r w:rsidR="00F36F92">
              <w:rPr>
                <w:color w:val="000000"/>
                <w:spacing w:val="-6"/>
              </w:rPr>
              <w:t xml:space="preserve"> každoročně méně</w:t>
            </w:r>
            <w:r>
              <w:rPr>
                <w:color w:val="000000"/>
                <w:spacing w:val="-6"/>
              </w:rPr>
              <w:t xml:space="preserve">. Teprve v roce 2002, po dvanácti letech, jejich výdaje na konečnou spotřebu převýšily výdaje bazického roku. V České republice k tomu došlo již v roce 1996. Opět, jako u několika dalších ukazatelů, je nepříznivý vývoj na Slovensku možné připsat, hlubokému propadu v roce 1991 (o čtvrtinu), který však nebyl dramaticky horší než v ČR (-24 % proti -17,8 % v České republice). Ovšem jestliže v roce 1996 v ČR poprvé převýšily výdaje domácností na konečnou spotřebu úroveň roku 1990, pak na Slovensku byly stále ještě o 22 % nižší. Pod úrovní roku 1990 končily neustále, až do </w:t>
            </w:r>
            <w:r>
              <w:rPr>
                <w:color w:val="000000"/>
                <w:spacing w:val="-6"/>
              </w:rPr>
              <w:lastRenderedPageBreak/>
              <w:t xml:space="preserve">roku 2002 i přesto, že během tohoto dlouhého období celkem v šesti letech vykazovaly meziroční přírůstky. Ty však byly příliš slabé na to, aby stačily vykompenzovat roky meziročních poklesů či stagnace a čtvrtinový propad z roku 1991. </w:t>
            </w:r>
          </w:p>
        </w:tc>
      </w:tr>
    </w:tbl>
    <w:p w:rsidR="0008794F" w:rsidRPr="004B5763" w:rsidRDefault="0008794F" w:rsidP="00D34225">
      <w:pPr>
        <w:rPr>
          <w:b/>
          <w:sz w:val="12"/>
          <w:szCs w:val="12"/>
        </w:rPr>
      </w:pPr>
    </w:p>
    <w:tbl>
      <w:tblPr>
        <w:tblW w:w="5000" w:type="pct"/>
        <w:tblLayout w:type="fixed"/>
        <w:tblCellMar>
          <w:left w:w="28" w:type="dxa"/>
          <w:right w:w="28" w:type="dxa"/>
        </w:tblCellMar>
        <w:tblLook w:val="00A0"/>
      </w:tblPr>
      <w:tblGrid>
        <w:gridCol w:w="827"/>
        <w:gridCol w:w="3963"/>
        <w:gridCol w:w="838"/>
        <w:gridCol w:w="4066"/>
      </w:tblGrid>
      <w:tr w:rsidR="0008794F" w:rsidRPr="00817C98" w:rsidTr="001045E3">
        <w:tc>
          <w:tcPr>
            <w:tcW w:w="427" w:type="pct"/>
          </w:tcPr>
          <w:p w:rsidR="0008794F" w:rsidRDefault="0008794F" w:rsidP="00AF5175">
            <w:pPr>
              <w:spacing w:line="240" w:lineRule="auto"/>
            </w:pPr>
            <w:r>
              <w:t>Graf 14</w:t>
            </w:r>
          </w:p>
        </w:tc>
        <w:tc>
          <w:tcPr>
            <w:tcW w:w="2044" w:type="pct"/>
          </w:tcPr>
          <w:p w:rsidR="0008794F" w:rsidRDefault="0008794F" w:rsidP="000F7C11">
            <w:pPr>
              <w:pStyle w:val="Textpoznpodarou"/>
              <w:rPr>
                <w:rFonts w:cs="Arial"/>
                <w:szCs w:val="24"/>
              </w:rPr>
            </w:pPr>
            <w:r>
              <w:rPr>
                <w:rFonts w:cs="Arial"/>
                <w:b/>
                <w:bCs/>
              </w:rPr>
              <w:t xml:space="preserve">Vývoj cen spotřebitelských cen </w:t>
            </w:r>
            <w:r w:rsidRPr="000F7C11">
              <w:rPr>
                <w:rFonts w:cs="Arial"/>
                <w:bCs/>
              </w:rPr>
              <w:t>(HICP celkem, y/y</w:t>
            </w:r>
            <w:r>
              <w:rPr>
                <w:rFonts w:cs="Arial"/>
                <w:bCs/>
              </w:rPr>
              <w:t xml:space="preserve"> </w:t>
            </w:r>
            <w:r w:rsidRPr="000F7C11">
              <w:rPr>
                <w:rFonts w:cs="Arial"/>
                <w:bCs/>
              </w:rPr>
              <w:t>v %)</w:t>
            </w:r>
          </w:p>
        </w:tc>
        <w:tc>
          <w:tcPr>
            <w:tcW w:w="432" w:type="pct"/>
          </w:tcPr>
          <w:p w:rsidR="0008794F" w:rsidRDefault="0008794F" w:rsidP="00AF5175">
            <w:pPr>
              <w:spacing w:line="240" w:lineRule="auto"/>
            </w:pPr>
            <w:r>
              <w:t>Graf 15</w:t>
            </w:r>
          </w:p>
        </w:tc>
        <w:tc>
          <w:tcPr>
            <w:tcW w:w="2097" w:type="pct"/>
          </w:tcPr>
          <w:p w:rsidR="0008794F" w:rsidRPr="00817C98" w:rsidRDefault="0008794F" w:rsidP="000F7C11">
            <w:pPr>
              <w:spacing w:line="240" w:lineRule="auto"/>
              <w:rPr>
                <w:rFonts w:cs="Arial"/>
                <w:b/>
                <w:bCs/>
              </w:rPr>
            </w:pPr>
            <w:r>
              <w:rPr>
                <w:rFonts w:cs="Arial"/>
                <w:b/>
                <w:bCs/>
              </w:rPr>
              <w:t xml:space="preserve">Vývoj cen energii </w:t>
            </w:r>
            <w:r w:rsidRPr="000F7C11">
              <w:rPr>
                <w:rFonts w:cs="Arial"/>
                <w:bCs/>
              </w:rPr>
              <w:t>(</w:t>
            </w:r>
            <w:r>
              <w:rPr>
                <w:rFonts w:cs="Arial"/>
                <w:bCs/>
              </w:rPr>
              <w:t>elektřina, plyn, ostatní paliva; HICP, 2005=100</w:t>
            </w:r>
            <w:r w:rsidRPr="00BE1C59">
              <w:rPr>
                <w:rFonts w:cs="Arial"/>
                <w:bCs/>
              </w:rPr>
              <w:t xml:space="preserve"> </w:t>
            </w:r>
          </w:p>
        </w:tc>
      </w:tr>
      <w:tr w:rsidR="0008794F" w:rsidRPr="00C81DE5" w:rsidTr="001045E3">
        <w:tc>
          <w:tcPr>
            <w:tcW w:w="2471" w:type="pct"/>
            <w:gridSpan w:val="2"/>
          </w:tcPr>
          <w:p w:rsidR="0008794F" w:rsidRPr="00DA43AC" w:rsidRDefault="00306F79" w:rsidP="001045E3">
            <w:pPr>
              <w:pStyle w:val="Textpoznpodarou"/>
              <w:jc w:val="both"/>
              <w:rPr>
                <w:noProof/>
              </w:rPr>
            </w:pPr>
            <w:r>
              <w:rPr>
                <w:noProof/>
              </w:rPr>
              <w:pict>
                <v:shape id="_x0000_i1038" type="#_x0000_t75" style="width:225pt;height:188.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">
                  <v:imagedata r:id="rId26" o:title=""/>
                  <o:lock v:ext="edit" aspectratio="f"/>
                </v:shape>
              </w:pict>
            </w:r>
          </w:p>
        </w:tc>
        <w:tc>
          <w:tcPr>
            <w:tcW w:w="2529" w:type="pct"/>
            <w:gridSpan w:val="2"/>
          </w:tcPr>
          <w:p w:rsidR="0008794F" w:rsidRPr="00DB1710" w:rsidRDefault="00306F79" w:rsidP="001045E3">
            <w:pPr>
              <w:pStyle w:val="Textpoznpodarou"/>
              <w:jc w:val="both"/>
            </w:pPr>
            <w:r>
              <w:pict>
                <v:shape id="_x0000_i1039" type="#_x0000_t75" style="width:240.75pt;height:189pt">
                  <v:imagedata r:id="rId27" o:title=""/>
                </v:shape>
              </w:pict>
            </w:r>
          </w:p>
        </w:tc>
      </w:tr>
    </w:tbl>
    <w:p w:rsidR="0008794F" w:rsidRPr="00080D93" w:rsidRDefault="0008794F" w:rsidP="00080D93">
      <w:pPr>
        <w:jc w:val="right"/>
        <w:rPr>
          <w:sz w:val="18"/>
          <w:szCs w:val="18"/>
        </w:rPr>
      </w:pPr>
      <w:r w:rsidRPr="00CE11A9">
        <w:rPr>
          <w:sz w:val="18"/>
          <w:szCs w:val="18"/>
        </w:rPr>
        <w:t xml:space="preserve">Pramen: </w:t>
      </w:r>
      <w:proofErr w:type="spellStart"/>
      <w:r>
        <w:rPr>
          <w:sz w:val="18"/>
          <w:szCs w:val="18"/>
        </w:rPr>
        <w:t>Eurostat</w:t>
      </w:r>
      <w:proofErr w:type="spellEnd"/>
    </w:p>
    <w:p w:rsidR="0008794F" w:rsidRPr="004B5763" w:rsidRDefault="0008794F" w:rsidP="00D34225">
      <w:pPr>
        <w:rPr>
          <w:sz w:val="16"/>
          <w:szCs w:val="16"/>
        </w:rPr>
      </w:pPr>
    </w:p>
    <w:tbl>
      <w:tblPr>
        <w:tblW w:w="5043" w:type="pct"/>
        <w:tblInd w:w="-42" w:type="dxa"/>
        <w:tblCellMar>
          <w:left w:w="28" w:type="dxa"/>
          <w:right w:w="28" w:type="dxa"/>
        </w:tblCellMar>
        <w:tblLook w:val="00A0"/>
      </w:tblPr>
      <w:tblGrid>
        <w:gridCol w:w="2037"/>
        <w:gridCol w:w="272"/>
        <w:gridCol w:w="7468"/>
      </w:tblGrid>
      <w:tr w:rsidR="0008794F" w:rsidTr="00F34B6F">
        <w:tc>
          <w:tcPr>
            <w:tcW w:w="1042" w:type="pct"/>
          </w:tcPr>
          <w:p w:rsidR="0008794F" w:rsidRDefault="0008794F" w:rsidP="00C5552E">
            <w:pPr>
              <w:spacing w:line="240" w:lineRule="auto"/>
              <w:rPr>
                <w:color w:val="000000"/>
                <w:sz w:val="16"/>
                <w:szCs w:val="16"/>
              </w:rPr>
            </w:pPr>
            <w:r>
              <w:rPr>
                <w:color w:val="000000"/>
                <w:sz w:val="16"/>
                <w:szCs w:val="16"/>
              </w:rPr>
              <w:t xml:space="preserve">Slabou úroveň spotřeby domácností v SR ovlivňoval vysoký růst spotřebitelských cen oproti inflaci v České republice a zejména v Rakousku; </w:t>
            </w:r>
          </w:p>
          <w:p w:rsidR="0008794F" w:rsidRDefault="0008794F" w:rsidP="00C5552E">
            <w:pPr>
              <w:spacing w:line="240" w:lineRule="auto"/>
              <w:rPr>
                <w:color w:val="000000"/>
                <w:sz w:val="16"/>
                <w:szCs w:val="16"/>
              </w:rPr>
            </w:pPr>
            <w:r>
              <w:rPr>
                <w:color w:val="000000"/>
                <w:sz w:val="16"/>
                <w:szCs w:val="16"/>
              </w:rPr>
              <w:t>růst cen energií pro domácnosti byl v ČR významně rychlejší než v obou porovnávaných zemích</w:t>
            </w:r>
          </w:p>
        </w:tc>
        <w:tc>
          <w:tcPr>
            <w:tcW w:w="139" w:type="pct"/>
          </w:tcPr>
          <w:p w:rsidR="0008794F" w:rsidRDefault="0008794F" w:rsidP="00F34B6F">
            <w:pPr>
              <w:pStyle w:val="Textpoznpodarou"/>
              <w:jc w:val="both"/>
            </w:pPr>
          </w:p>
        </w:tc>
        <w:tc>
          <w:tcPr>
            <w:tcW w:w="3819" w:type="pct"/>
          </w:tcPr>
          <w:p w:rsidR="0008794F" w:rsidRDefault="0008794F" w:rsidP="00F34B6F">
            <w:pPr>
              <w:pStyle w:val="Textpoznpodarou"/>
              <w:jc w:val="both"/>
              <w:rPr>
                <w:color w:val="000000"/>
                <w:spacing w:val="-6"/>
              </w:rPr>
            </w:pPr>
            <w:r>
              <w:rPr>
                <w:color w:val="000000"/>
                <w:spacing w:val="-6"/>
              </w:rPr>
              <w:t>Slovenské domácnosti tak nesly na svých bedrech velmi významnou část transformačních nákladů své země na cestě k tržní ekonomice. Na úroveň jejich spotřeby působila vysoká inflace – podle grafu 14, který doplňuje vývoj spotřebitelských cen v ČR a SR také o pohled na spotřebitelskou inflaci v Rakousku. Na Slovensku byl meziroční růst cen v trendu po naprostou většinu sledovaného období výrazně vyšší než v ČR anebo v Rakousku. To omezovalo i ochotu domácností utrácet a ovlivňovalo výsledná tempa růstu výdajů slovenských domácností na jejich konečnou spotřebu v reálném vyjádření. Srovnání vývoje spotřebitelských cen podle harmonizovaného indexu je pro ilustraci uvedeno v grafu 14 za položky spotřeby celkem, v grafu 16 pak ještě spolu s výdajovou položk</w:t>
            </w:r>
            <w:r w:rsidR="00F36F92">
              <w:rPr>
                <w:color w:val="000000"/>
                <w:spacing w:val="-6"/>
              </w:rPr>
              <w:t>o</w:t>
            </w:r>
            <w:r w:rsidR="00EC5F73">
              <w:rPr>
                <w:color w:val="000000"/>
                <w:spacing w:val="-6"/>
              </w:rPr>
              <w:t xml:space="preserve">u Potraviny </w:t>
            </w:r>
            <w:r>
              <w:rPr>
                <w:color w:val="000000"/>
                <w:spacing w:val="-6"/>
              </w:rPr>
              <w:t>a nealko</w:t>
            </w:r>
            <w:r w:rsidR="004C5160">
              <w:rPr>
                <w:color w:val="000000"/>
                <w:spacing w:val="-6"/>
              </w:rPr>
              <w:t>holické</w:t>
            </w:r>
            <w:r>
              <w:rPr>
                <w:color w:val="000000"/>
                <w:spacing w:val="-6"/>
              </w:rPr>
              <w:t xml:space="preserve"> nápoje. Slovenská inflace postupně klesala, ale nakrátko ji „zkrotila“ až krize v roce 2009 (grafy 14 a 16).</w:t>
            </w:r>
          </w:p>
          <w:p w:rsidR="0008794F" w:rsidRPr="006E62CA" w:rsidRDefault="0008794F" w:rsidP="00F34B6F">
            <w:pPr>
              <w:pStyle w:val="Textpoznpodarou"/>
              <w:jc w:val="both"/>
              <w:rPr>
                <w:color w:val="000000"/>
                <w:spacing w:val="-6"/>
                <w:sz w:val="12"/>
                <w:szCs w:val="12"/>
              </w:rPr>
            </w:pPr>
          </w:p>
          <w:p w:rsidR="0008794F" w:rsidRPr="006E62CA" w:rsidRDefault="0008794F" w:rsidP="00F34B6F">
            <w:pPr>
              <w:pStyle w:val="Textpoznpodarou"/>
              <w:jc w:val="both"/>
              <w:rPr>
                <w:color w:val="000000"/>
                <w:spacing w:val="-6"/>
              </w:rPr>
            </w:pPr>
            <w:r>
              <w:rPr>
                <w:color w:val="000000"/>
                <w:spacing w:val="-6"/>
              </w:rPr>
              <w:t xml:space="preserve">V České republice byly výdaje na konečnou spotřebu domácností ovlivňovány více než v SR nebo v Rakousku vysokým růstem </w:t>
            </w:r>
            <w:r w:rsidR="00F36F92">
              <w:rPr>
                <w:color w:val="000000"/>
                <w:spacing w:val="-6"/>
              </w:rPr>
              <w:t xml:space="preserve">cen energií (elektřina, plyn a </w:t>
            </w:r>
            <w:r>
              <w:rPr>
                <w:color w:val="000000"/>
                <w:spacing w:val="-6"/>
              </w:rPr>
              <w:t>ostatní pa</w:t>
            </w:r>
            <w:r w:rsidR="00322B77">
              <w:rPr>
                <w:color w:val="000000"/>
                <w:spacing w:val="-6"/>
              </w:rPr>
              <w:t>liva), který zpomalil až v roce</w:t>
            </w:r>
            <w:r>
              <w:rPr>
                <w:color w:val="000000"/>
                <w:spacing w:val="-6"/>
              </w:rPr>
              <w:t xml:space="preserve"> 2014 </w:t>
            </w:r>
            <w:r w:rsidRPr="006E62CA">
              <w:rPr>
                <w:color w:val="000000"/>
                <w:spacing w:val="-6"/>
              </w:rPr>
              <w:t xml:space="preserve">(graf 15). </w:t>
            </w:r>
          </w:p>
          <w:p w:rsidR="0008794F" w:rsidRPr="004B5763" w:rsidRDefault="0008794F" w:rsidP="00F34B6F">
            <w:pPr>
              <w:pStyle w:val="Textpoznpodarou"/>
              <w:jc w:val="both"/>
              <w:rPr>
                <w:color w:val="000000"/>
                <w:spacing w:val="-6"/>
                <w:sz w:val="16"/>
                <w:szCs w:val="16"/>
              </w:rPr>
            </w:pPr>
          </w:p>
        </w:tc>
      </w:tr>
    </w:tbl>
    <w:p w:rsidR="0008794F" w:rsidRDefault="0008794F" w:rsidP="00D34225">
      <w:r w:rsidRPr="00142A26">
        <w:rPr>
          <w:b/>
        </w:rPr>
        <w:t>Graf 1</w:t>
      </w:r>
      <w:r>
        <w:rPr>
          <w:b/>
        </w:rPr>
        <w:t>6</w:t>
      </w:r>
      <w:r w:rsidRPr="00142A26">
        <w:rPr>
          <w:b/>
        </w:rPr>
        <w:t>: Harmonizovaný index spotřebitelských cen</w:t>
      </w:r>
      <w:r>
        <w:t xml:space="preserve"> (položka Celkem a položka </w:t>
      </w:r>
      <w:proofErr w:type="gramStart"/>
      <w:r>
        <w:t>Potraviny  a nealko</w:t>
      </w:r>
      <w:proofErr w:type="gramEnd"/>
      <w:r>
        <w:t xml:space="preserve"> nápoje; průměrné meziroční změny v %)</w:t>
      </w:r>
    </w:p>
    <w:p w:rsidR="0008794F" w:rsidRPr="00C5552E" w:rsidRDefault="0008794F" w:rsidP="00D34225">
      <w:pPr>
        <w:rPr>
          <w:sz w:val="4"/>
          <w:szCs w:val="4"/>
        </w:rPr>
      </w:pPr>
    </w:p>
    <w:p w:rsidR="0008794F" w:rsidRDefault="00306F79" w:rsidP="0081248B">
      <w:pPr>
        <w:jc w:val="center"/>
      </w:pPr>
      <w:r>
        <w:rPr>
          <w:noProof/>
        </w:rPr>
        <w:pict>
          <v:shape id="_x0000_i1040" type="#_x0000_t75" style="width:450.75pt;height:174.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">
            <v:imagedata r:id="rId28" o:title=""/>
            <o:lock v:ext="edit" aspectratio="f"/>
          </v:shape>
        </w:pict>
      </w:r>
    </w:p>
    <w:p w:rsidR="0008794F" w:rsidRPr="00080D93" w:rsidRDefault="0008794F" w:rsidP="00C5552E">
      <w:pPr>
        <w:jc w:val="right"/>
        <w:rPr>
          <w:sz w:val="18"/>
          <w:szCs w:val="18"/>
        </w:rPr>
      </w:pPr>
      <w:r w:rsidRPr="00CE11A9">
        <w:rPr>
          <w:sz w:val="18"/>
          <w:szCs w:val="18"/>
        </w:rPr>
        <w:t xml:space="preserve">Pramen: </w:t>
      </w:r>
      <w:proofErr w:type="spellStart"/>
      <w:r>
        <w:rPr>
          <w:sz w:val="18"/>
          <w:szCs w:val="18"/>
        </w:rPr>
        <w:t>Eurostat</w:t>
      </w:r>
      <w:proofErr w:type="spellEnd"/>
    </w:p>
    <w:p w:rsidR="0008794F" w:rsidRDefault="0008794F" w:rsidP="00D34225"/>
    <w:p w:rsidR="0008794F" w:rsidRDefault="0008794F" w:rsidP="00D34225"/>
    <w:p w:rsidR="0008794F" w:rsidRDefault="0008794F" w:rsidP="00C17DDE">
      <w:pPr>
        <w:numPr>
          <w:ilvl w:val="1"/>
          <w:numId w:val="24"/>
        </w:numPr>
        <w:rPr>
          <w:b/>
          <w:sz w:val="24"/>
        </w:rPr>
      </w:pPr>
      <w:r w:rsidRPr="00F63855">
        <w:rPr>
          <w:b/>
          <w:sz w:val="24"/>
        </w:rPr>
        <w:lastRenderedPageBreak/>
        <w:t>Ekonomický vývoj ČR, SR a Rakouska po roce 1997</w:t>
      </w:r>
    </w:p>
    <w:p w:rsidR="0008794F" w:rsidRPr="006E62CA" w:rsidRDefault="0008794F" w:rsidP="00F63855">
      <w:pPr>
        <w:ind w:left="720"/>
        <w:rPr>
          <w:b/>
          <w:szCs w:val="20"/>
        </w:rPr>
      </w:pPr>
    </w:p>
    <w:p w:rsidR="0008794F" w:rsidRDefault="0008794F" w:rsidP="00EB4EDD">
      <w:pPr>
        <w:spacing w:line="240" w:lineRule="auto"/>
        <w:jc w:val="both"/>
      </w:pPr>
      <w:r>
        <w:t xml:space="preserve">Měnová krize v roce 2007, kterou prošla ekonomika České republiky, nikoli však hospodářství Rakouska či Slovenska, vedla mimo jiné i v důsledku opatření vládní hospodářské politiky, cílící ke zmírnění této krize, k pádu české ekonomiky do recese (v roce 1997 a 1998 klesl HDP v reálném vyjádření o 0,7 %, resp. o 0,3 % podle tabulek </w:t>
      </w:r>
      <w:proofErr w:type="spellStart"/>
      <w:r>
        <w:t>Eurostatu</w:t>
      </w:r>
      <w:proofErr w:type="spellEnd"/>
      <w:r>
        <w:t xml:space="preserve"> v ESA2010). Ekonomika Rakouska v uvedených letech významně rostla, což potom určilo do značné míry i další vývoj srovnání prováděného v této analýze za uvedené tři země.</w:t>
      </w:r>
    </w:p>
    <w:p w:rsidR="0008794F" w:rsidRPr="006E62CA" w:rsidRDefault="0008794F" w:rsidP="00EB4EDD">
      <w:pPr>
        <w:spacing w:line="240" w:lineRule="auto"/>
        <w:rPr>
          <w:sz w:val="16"/>
          <w:szCs w:val="16"/>
        </w:rPr>
      </w:pPr>
    </w:p>
    <w:p w:rsidR="0008794F" w:rsidRDefault="0008794F" w:rsidP="00EB4EDD">
      <w:pPr>
        <w:spacing w:line="240" w:lineRule="auto"/>
        <w:ind w:left="720"/>
      </w:pPr>
    </w:p>
    <w:tbl>
      <w:tblPr>
        <w:tblW w:w="5043" w:type="pct"/>
        <w:tblInd w:w="-42" w:type="dxa"/>
        <w:tblCellMar>
          <w:left w:w="28" w:type="dxa"/>
          <w:right w:w="28" w:type="dxa"/>
        </w:tblCellMar>
        <w:tblLook w:val="00A0"/>
      </w:tblPr>
      <w:tblGrid>
        <w:gridCol w:w="2037"/>
        <w:gridCol w:w="272"/>
        <w:gridCol w:w="7468"/>
      </w:tblGrid>
      <w:tr w:rsidR="0008794F" w:rsidRPr="003D78A5" w:rsidTr="00C52D50">
        <w:tc>
          <w:tcPr>
            <w:tcW w:w="1042" w:type="pct"/>
          </w:tcPr>
          <w:p w:rsidR="0008794F" w:rsidRPr="00602D1D" w:rsidRDefault="0008794F" w:rsidP="00C52D50">
            <w:pPr>
              <w:spacing w:line="240" w:lineRule="auto"/>
              <w:rPr>
                <w:color w:val="000000"/>
                <w:sz w:val="16"/>
                <w:szCs w:val="16"/>
              </w:rPr>
            </w:pPr>
            <w:r>
              <w:rPr>
                <w:color w:val="000000"/>
                <w:sz w:val="16"/>
                <w:szCs w:val="16"/>
              </w:rPr>
              <w:t xml:space="preserve">V letech 1997 a 1998 prošla česká ekonomika po měnové krizi recesí, ekonomika Rakouska však relativně silně rostla, dokonce více než evropský průměr  </w:t>
            </w:r>
          </w:p>
        </w:tc>
        <w:tc>
          <w:tcPr>
            <w:tcW w:w="139" w:type="pct"/>
          </w:tcPr>
          <w:p w:rsidR="0008794F" w:rsidRDefault="0008794F" w:rsidP="00C52D50">
            <w:pPr>
              <w:pStyle w:val="Textpoznpodarou"/>
              <w:jc w:val="both"/>
            </w:pPr>
          </w:p>
        </w:tc>
        <w:tc>
          <w:tcPr>
            <w:tcW w:w="3819" w:type="pct"/>
          </w:tcPr>
          <w:p w:rsidR="0008794F" w:rsidRDefault="0008794F" w:rsidP="006E62CA">
            <w:pPr>
              <w:spacing w:line="240" w:lineRule="auto"/>
              <w:jc w:val="both"/>
            </w:pPr>
            <w:r>
              <w:t xml:space="preserve">Zatímco česká ekonomika procházela v letech 1997 a 1998 recesí s meziročními poklesy výkonnosti o 0,7 %, resp. o 0,3 % v reálném vyjádření, HDP Rakouska se vyvíjel velmi pozitivně (+2,2 %, resp. +3,6 % meziročně). Rakouská ekonomika se nacházela v období 1998-2000 na vrcholu hospodářského cyklu s průměrným meziročním růstem HDP +3,5 %, což bylo více než za EU 28 nebo skupiny nejvyspělejších zemí Unie, tj. EU 15 (jejich průměrný roční růst za uvedená tři léta činil +3,3 %). </w:t>
            </w:r>
          </w:p>
          <w:p w:rsidR="0008794F" w:rsidRPr="003D78A5" w:rsidRDefault="0008794F" w:rsidP="00085D2D">
            <w:pPr>
              <w:pStyle w:val="Textpoznpodarou"/>
              <w:jc w:val="both"/>
              <w:rPr>
                <w:color w:val="000000"/>
                <w:spacing w:val="-6"/>
              </w:rPr>
            </w:pPr>
          </w:p>
        </w:tc>
      </w:tr>
      <w:tr w:rsidR="0008794F" w:rsidRPr="003D78A5" w:rsidTr="00C52D50">
        <w:tc>
          <w:tcPr>
            <w:tcW w:w="1042" w:type="pct"/>
          </w:tcPr>
          <w:p w:rsidR="0008794F" w:rsidRPr="00602D1D" w:rsidRDefault="0008794F" w:rsidP="00C52D50">
            <w:pPr>
              <w:spacing w:line="240" w:lineRule="auto"/>
              <w:rPr>
                <w:color w:val="000000"/>
                <w:sz w:val="16"/>
                <w:szCs w:val="16"/>
              </w:rPr>
            </w:pPr>
            <w:r>
              <w:rPr>
                <w:color w:val="000000"/>
                <w:sz w:val="16"/>
                <w:szCs w:val="16"/>
              </w:rPr>
              <w:t>Tempem +3,5 % v průměru ročně v letech 1998-2000 rostla rakouská ekonomika pak až v letech 2005-2006; i její krizo</w:t>
            </w:r>
            <w:r w:rsidR="00F36F92">
              <w:rPr>
                <w:color w:val="000000"/>
                <w:sz w:val="16"/>
                <w:szCs w:val="16"/>
              </w:rPr>
              <w:t>vý pokles v roce 2009 byl mělčí</w:t>
            </w:r>
            <w:r>
              <w:rPr>
                <w:color w:val="000000"/>
                <w:sz w:val="16"/>
                <w:szCs w:val="16"/>
              </w:rPr>
              <w:t xml:space="preserve"> než v EU a podstatně menší než v ČR a zejména v SR</w:t>
            </w:r>
          </w:p>
        </w:tc>
        <w:tc>
          <w:tcPr>
            <w:tcW w:w="139" w:type="pct"/>
          </w:tcPr>
          <w:p w:rsidR="0008794F" w:rsidRDefault="0008794F" w:rsidP="00C52D50">
            <w:pPr>
              <w:pStyle w:val="Textpoznpodarou"/>
              <w:jc w:val="both"/>
            </w:pPr>
          </w:p>
        </w:tc>
        <w:tc>
          <w:tcPr>
            <w:tcW w:w="3819" w:type="pct"/>
          </w:tcPr>
          <w:p w:rsidR="0008794F" w:rsidRDefault="0008794F" w:rsidP="00085D2D">
            <w:pPr>
              <w:pStyle w:val="Textpoznpodarou"/>
              <w:jc w:val="both"/>
            </w:pPr>
            <w:r>
              <w:t xml:space="preserve">Zopakovat konjunkturní fázi s takovýmto růstem </w:t>
            </w:r>
            <w:r w:rsidRPr="00085D2D">
              <w:t>H</w:t>
            </w:r>
            <w:r>
              <w:t>D</w:t>
            </w:r>
            <w:r w:rsidRPr="00085D2D">
              <w:t>P se Rakousku podařilo až v l</w:t>
            </w:r>
            <w:r>
              <w:t>e</w:t>
            </w:r>
            <w:r w:rsidRPr="00085D2D">
              <w:t xml:space="preserve">tech 2005-2006 </w:t>
            </w:r>
            <w:r>
              <w:t>(přírůstek HDP v p</w:t>
            </w:r>
            <w:r w:rsidRPr="00085D2D">
              <w:t>r</w:t>
            </w:r>
            <w:r>
              <w:t>ů</w:t>
            </w:r>
            <w:r w:rsidRPr="00085D2D">
              <w:t>měr</w:t>
            </w:r>
            <w:r>
              <w:t>u</w:t>
            </w:r>
            <w:r w:rsidRPr="00085D2D">
              <w:t xml:space="preserve"> </w:t>
            </w:r>
            <w:r>
              <w:t xml:space="preserve">ročně +3,5 %). </w:t>
            </w:r>
          </w:p>
          <w:p w:rsidR="0008794F" w:rsidRPr="00EB6406" w:rsidRDefault="0008794F" w:rsidP="00085D2D">
            <w:pPr>
              <w:pStyle w:val="Textpoznpodarou"/>
              <w:jc w:val="both"/>
              <w:rPr>
                <w:sz w:val="12"/>
                <w:szCs w:val="12"/>
              </w:rPr>
            </w:pPr>
          </w:p>
          <w:p w:rsidR="0008794F" w:rsidRPr="00B23CF0" w:rsidRDefault="0008794F" w:rsidP="00085D2D">
            <w:pPr>
              <w:pStyle w:val="Textpoznpodarou"/>
              <w:jc w:val="both"/>
              <w:rPr>
                <w:color w:val="000000"/>
                <w:spacing w:val="-6"/>
              </w:rPr>
            </w:pPr>
            <w:r w:rsidRPr="00B23CF0">
              <w:t>Poté však Rakousko v roce 2009 - stejně jako drtivá většina evropských zemí – čelilo ekonomické krizi, kter</w:t>
            </w:r>
            <w:r>
              <w:t>á</w:t>
            </w:r>
            <w:r w:rsidRPr="00B23CF0">
              <w:t xml:space="preserve"> snížila jeho HDP o 3,8 %</w:t>
            </w:r>
            <w:r>
              <w:t>. Bylo</w:t>
            </w:r>
            <w:r w:rsidRPr="00B23CF0">
              <w:t xml:space="preserve"> to zhruba stejně jako </w:t>
            </w:r>
            <w:r>
              <w:t>u</w:t>
            </w:r>
            <w:r w:rsidRPr="00B23CF0">
              <w:t> ekonomik Nizozemí nebo Španělska. Rakousko se však vyrovnalo s krizí relativně velmi dobře</w:t>
            </w:r>
            <w:r>
              <w:t xml:space="preserve"> (</w:t>
            </w:r>
            <w:r w:rsidRPr="00B23CF0">
              <w:t>propad za EU činil 4,4 %</w:t>
            </w:r>
            <w:r>
              <w:t>)</w:t>
            </w:r>
            <w:r w:rsidRPr="00B23CF0">
              <w:t xml:space="preserve">. Ve srovnání s Českou republikou (-4,8 %) anebo Slovenskem (-5,5 %) utrpělo tedy Rakousko krizí v roce 2009 podstatně méně.   </w:t>
            </w:r>
          </w:p>
          <w:p w:rsidR="0008794F" w:rsidRPr="003D78A5" w:rsidRDefault="0008794F" w:rsidP="00085D2D">
            <w:pPr>
              <w:pStyle w:val="Textpoznpodarou"/>
              <w:jc w:val="both"/>
              <w:rPr>
                <w:color w:val="000000"/>
                <w:spacing w:val="-6"/>
              </w:rPr>
            </w:pPr>
          </w:p>
        </w:tc>
      </w:tr>
      <w:tr w:rsidR="0008794F" w:rsidRPr="003D78A5" w:rsidTr="00085D2D">
        <w:tc>
          <w:tcPr>
            <w:tcW w:w="1042" w:type="pct"/>
          </w:tcPr>
          <w:p w:rsidR="0008794F" w:rsidRPr="00602D1D" w:rsidRDefault="0008794F" w:rsidP="00EB6406">
            <w:pPr>
              <w:spacing w:line="240" w:lineRule="auto"/>
              <w:rPr>
                <w:color w:val="000000"/>
                <w:sz w:val="16"/>
                <w:szCs w:val="16"/>
              </w:rPr>
            </w:pPr>
            <w:r>
              <w:rPr>
                <w:color w:val="000000"/>
                <w:sz w:val="16"/>
                <w:szCs w:val="16"/>
              </w:rPr>
              <w:t xml:space="preserve">Slovensko rostlo v průměru za roky 1998-2000 ročně dokonce nepatrně méně než Česká republika - celkově byly fáze ekonomického cyklu v té době u ČR, SR a Rakouska značně asynchronní  </w:t>
            </w:r>
          </w:p>
        </w:tc>
        <w:tc>
          <w:tcPr>
            <w:tcW w:w="139" w:type="pct"/>
          </w:tcPr>
          <w:p w:rsidR="0008794F" w:rsidRDefault="0008794F" w:rsidP="00EB6406">
            <w:pPr>
              <w:pStyle w:val="Textpoznpodarou"/>
              <w:jc w:val="both"/>
            </w:pPr>
          </w:p>
        </w:tc>
        <w:tc>
          <w:tcPr>
            <w:tcW w:w="3819" w:type="pct"/>
          </w:tcPr>
          <w:p w:rsidR="0008794F" w:rsidRDefault="0008794F" w:rsidP="00085D2D">
            <w:pPr>
              <w:pStyle w:val="Textpoznpodarou"/>
              <w:jc w:val="both"/>
              <w:rPr>
                <w:color w:val="000000"/>
                <w:spacing w:val="-6"/>
              </w:rPr>
            </w:pPr>
            <w:r>
              <w:rPr>
                <w:color w:val="000000"/>
                <w:spacing w:val="-6"/>
              </w:rPr>
              <w:t xml:space="preserve">Také slovenský růst byl již v letech 1997 a 1998, kdy českou ekonomiku ovládala recese, příznivější. V letech 1998-2000  </w:t>
            </w:r>
            <w:proofErr w:type="gramStart"/>
            <w:r>
              <w:rPr>
                <w:color w:val="000000"/>
                <w:spacing w:val="-6"/>
              </w:rPr>
              <w:t>však ale</w:t>
            </w:r>
            <w:proofErr w:type="gramEnd"/>
            <w:r>
              <w:rPr>
                <w:color w:val="000000"/>
                <w:spacing w:val="-6"/>
              </w:rPr>
              <w:t xml:space="preserve"> slovenská ekonomika rostla ročně v průměru o 1,7 %, což bylo oproti Rakousku relativně málo (příčinou byl velmi mírný meziroční pokles v SR v roce 1999 o 0,2 %). Zmíněný růst Slovenska o 1,7 % v průměru za roky 1998-2000 byl však dokonce nepatrně menší, než jaký vykázal za tu dobu HDP České republiky (+1,8 %), která se tedy vymanila z recese let 1997-1998 relativně dobře.</w:t>
            </w:r>
            <w:r>
              <w:rPr>
                <w:rStyle w:val="Znakapoznpodarou"/>
                <w:color w:val="000000"/>
                <w:spacing w:val="-6"/>
              </w:rPr>
              <w:footnoteReference w:id="7"/>
            </w:r>
          </w:p>
          <w:p w:rsidR="0008794F" w:rsidRPr="00EB6406" w:rsidRDefault="0008794F" w:rsidP="00085D2D">
            <w:pPr>
              <w:pStyle w:val="Textpoznpodarou"/>
              <w:jc w:val="both"/>
              <w:rPr>
                <w:color w:val="000000"/>
                <w:spacing w:val="-6"/>
                <w:sz w:val="12"/>
                <w:szCs w:val="12"/>
              </w:rPr>
            </w:pPr>
          </w:p>
          <w:p w:rsidR="0008794F" w:rsidRDefault="0008794F" w:rsidP="00085D2D">
            <w:pPr>
              <w:pStyle w:val="Textpoznpodarou"/>
              <w:jc w:val="both"/>
              <w:rPr>
                <w:color w:val="000000"/>
                <w:spacing w:val="-6"/>
              </w:rPr>
            </w:pPr>
            <w:r>
              <w:rPr>
                <w:color w:val="000000"/>
                <w:spacing w:val="-6"/>
              </w:rPr>
              <w:t xml:space="preserve">Ekonomické cykly Rakouska, ČR a Slovenska tedy byly v uvedené době značně asynchronní. </w:t>
            </w:r>
          </w:p>
          <w:p w:rsidR="0008794F" w:rsidRPr="003D78A5" w:rsidRDefault="0008794F" w:rsidP="007825C5">
            <w:pPr>
              <w:pStyle w:val="Textpoznpodarou"/>
              <w:jc w:val="both"/>
              <w:rPr>
                <w:color w:val="000000"/>
                <w:spacing w:val="-6"/>
              </w:rPr>
            </w:pPr>
          </w:p>
        </w:tc>
      </w:tr>
    </w:tbl>
    <w:p w:rsidR="0008794F" w:rsidRPr="00EB6406" w:rsidRDefault="0008794F" w:rsidP="007825C5">
      <w:pPr>
        <w:rPr>
          <w:b/>
          <w:sz w:val="10"/>
          <w:szCs w:val="10"/>
        </w:rPr>
      </w:pPr>
    </w:p>
    <w:p w:rsidR="0008794F" w:rsidRPr="006E62CA" w:rsidRDefault="0008794F" w:rsidP="00C17DDE">
      <w:pPr>
        <w:numPr>
          <w:ilvl w:val="2"/>
          <w:numId w:val="24"/>
        </w:numPr>
        <w:rPr>
          <w:b/>
          <w:sz w:val="24"/>
        </w:rPr>
      </w:pPr>
      <w:r w:rsidRPr="006E62CA">
        <w:rPr>
          <w:b/>
          <w:sz w:val="24"/>
        </w:rPr>
        <w:t>Vývoj ve fázích let 1998-2004 a let 2004-2014</w:t>
      </w:r>
    </w:p>
    <w:p w:rsidR="0008794F" w:rsidRDefault="0008794F" w:rsidP="005E74B2">
      <w:pPr>
        <w:spacing w:line="240" w:lineRule="auto"/>
        <w:rPr>
          <w:color w:val="000000"/>
          <w:spacing w:val="-2"/>
        </w:rPr>
      </w:pPr>
    </w:p>
    <w:p w:rsidR="0008794F" w:rsidRDefault="0008794F" w:rsidP="00C3432C">
      <w:pPr>
        <w:spacing w:line="240" w:lineRule="auto"/>
        <w:jc w:val="both"/>
        <w:rPr>
          <w:color w:val="000000"/>
          <w:spacing w:val="-2"/>
        </w:rPr>
      </w:pPr>
      <w:r>
        <w:rPr>
          <w:color w:val="000000"/>
          <w:spacing w:val="-2"/>
        </w:rPr>
        <w:t>Vývoj ekonomik ČR, SR, Rakouska se v dalším pokusíme posoudit ve fázích, a to za období 1998-2004, které předcházelo vstupu České republiky a Slovenska do společného evropského hospodářského prostoru a poté za období 2004-2014, kdy tyto dvě země již byly členy EU.</w:t>
      </w:r>
    </w:p>
    <w:p w:rsidR="0008794F" w:rsidRDefault="0008794F" w:rsidP="005E74B2">
      <w:pPr>
        <w:spacing w:line="240" w:lineRule="auto"/>
        <w:rPr>
          <w:color w:val="000000"/>
          <w:spacing w:val="-2"/>
        </w:rPr>
      </w:pPr>
    </w:p>
    <w:p w:rsidR="0008794F" w:rsidRPr="006E62CA" w:rsidRDefault="0008794F" w:rsidP="00C17DDE">
      <w:pPr>
        <w:numPr>
          <w:ilvl w:val="3"/>
          <w:numId w:val="24"/>
        </w:numPr>
        <w:spacing w:line="240" w:lineRule="auto"/>
        <w:rPr>
          <w:b/>
          <w:color w:val="000000"/>
          <w:spacing w:val="-2"/>
          <w:sz w:val="22"/>
          <w:szCs w:val="22"/>
        </w:rPr>
      </w:pPr>
      <w:r w:rsidRPr="006E62CA">
        <w:rPr>
          <w:b/>
          <w:color w:val="000000"/>
          <w:spacing w:val="-2"/>
          <w:sz w:val="22"/>
          <w:szCs w:val="22"/>
        </w:rPr>
        <w:t>Průměrné meziroční růsty ekonomik ČR, SR a Rakouska v letech 1998-2004</w:t>
      </w:r>
    </w:p>
    <w:p w:rsidR="0008794F" w:rsidRPr="005E74B2" w:rsidRDefault="0008794F" w:rsidP="00A92D0B">
      <w:pPr>
        <w:spacing w:line="240" w:lineRule="auto"/>
        <w:rPr>
          <w:b/>
          <w:sz w:val="22"/>
          <w:szCs w:val="22"/>
        </w:rPr>
      </w:pPr>
    </w:p>
    <w:tbl>
      <w:tblPr>
        <w:tblW w:w="5043" w:type="pct"/>
        <w:tblInd w:w="-42" w:type="dxa"/>
        <w:tblCellMar>
          <w:left w:w="28" w:type="dxa"/>
          <w:right w:w="28" w:type="dxa"/>
        </w:tblCellMar>
        <w:tblLook w:val="00A0"/>
      </w:tblPr>
      <w:tblGrid>
        <w:gridCol w:w="2037"/>
        <w:gridCol w:w="272"/>
        <w:gridCol w:w="7468"/>
      </w:tblGrid>
      <w:tr w:rsidR="0008794F" w:rsidRPr="003D78A5" w:rsidTr="002A4360">
        <w:tc>
          <w:tcPr>
            <w:tcW w:w="1042" w:type="pct"/>
          </w:tcPr>
          <w:p w:rsidR="0008794F" w:rsidRPr="00602D1D" w:rsidRDefault="0008794F" w:rsidP="002A4360">
            <w:pPr>
              <w:spacing w:line="240" w:lineRule="auto"/>
              <w:rPr>
                <w:color w:val="000000"/>
                <w:sz w:val="16"/>
                <w:szCs w:val="16"/>
              </w:rPr>
            </w:pPr>
            <w:r>
              <w:rPr>
                <w:color w:val="000000"/>
                <w:sz w:val="16"/>
                <w:szCs w:val="16"/>
              </w:rPr>
              <w:t>ČR a SR rostly za roky 1998-2004 v průměru rychleji než EU, kterou ovlivnila slabší aktivitou Německa v letech 2002-2004</w:t>
            </w:r>
          </w:p>
        </w:tc>
        <w:tc>
          <w:tcPr>
            <w:tcW w:w="139" w:type="pct"/>
          </w:tcPr>
          <w:p w:rsidR="0008794F" w:rsidRDefault="0008794F" w:rsidP="002A4360">
            <w:pPr>
              <w:pStyle w:val="Textpoznpodarou"/>
              <w:jc w:val="both"/>
            </w:pPr>
          </w:p>
        </w:tc>
        <w:tc>
          <w:tcPr>
            <w:tcW w:w="3819" w:type="pct"/>
          </w:tcPr>
          <w:p w:rsidR="0008794F" w:rsidRPr="00997EEB" w:rsidRDefault="0008794F" w:rsidP="002A4360">
            <w:pPr>
              <w:pStyle w:val="Textpoznpodarou"/>
              <w:jc w:val="both"/>
              <w:rPr>
                <w:color w:val="000000"/>
                <w:spacing w:val="-6"/>
              </w:rPr>
            </w:pPr>
            <w:r>
              <w:rPr>
                <w:color w:val="000000"/>
                <w:spacing w:val="-6"/>
              </w:rPr>
              <w:t>Tabulka 1 ukazuje, že už v letech 1998-2004 byl průměrný růst ekonomiky Slovenska rychlejší než ostatních dvou zemí. ČR docílila příznivějších přírůstků HDP než Unie jako celek (+2,5 %), kde růst ovlivnila především faktická stagnace největší evropské ekonomiky v letech 2002-2004</w:t>
            </w:r>
            <w:r w:rsidR="00322B77">
              <w:rPr>
                <w:color w:val="000000"/>
                <w:spacing w:val="-6"/>
              </w:rPr>
              <w:t>.</w:t>
            </w:r>
            <w:r>
              <w:rPr>
                <w:color w:val="000000"/>
                <w:spacing w:val="-6"/>
              </w:rPr>
              <w:t xml:space="preserve"> Německo tehdy rostlo v průměru ročně jen o 0,2 % (Itálie srovnatelně +0,7 %, Francie +1,7 %). </w:t>
            </w:r>
          </w:p>
          <w:p w:rsidR="0008794F" w:rsidRPr="003D78A5" w:rsidRDefault="0008794F" w:rsidP="002A4360">
            <w:pPr>
              <w:pStyle w:val="Textpoznpodarou"/>
              <w:jc w:val="both"/>
              <w:rPr>
                <w:color w:val="000000"/>
                <w:spacing w:val="-6"/>
              </w:rPr>
            </w:pPr>
          </w:p>
        </w:tc>
      </w:tr>
    </w:tbl>
    <w:p w:rsidR="0008794F" w:rsidRDefault="0008794F" w:rsidP="00D34225"/>
    <w:p w:rsidR="0008794F" w:rsidRDefault="0008794F" w:rsidP="00D34225">
      <w:r w:rsidRPr="00DA43C2">
        <w:rPr>
          <w:b/>
        </w:rPr>
        <w:lastRenderedPageBreak/>
        <w:t>Tab</w:t>
      </w:r>
      <w:r>
        <w:rPr>
          <w:b/>
        </w:rPr>
        <w:t>ulka</w:t>
      </w:r>
      <w:r w:rsidRPr="00DA43C2">
        <w:rPr>
          <w:b/>
        </w:rPr>
        <w:t xml:space="preserve"> 2</w:t>
      </w:r>
      <w:r w:rsidRPr="004A332A">
        <w:rPr>
          <w:b/>
        </w:rPr>
        <w:t>: Průměrná mez</w:t>
      </w:r>
      <w:r>
        <w:rPr>
          <w:b/>
        </w:rPr>
        <w:t xml:space="preserve">iroční tempa růstu HDP </w:t>
      </w:r>
      <w:r w:rsidRPr="004A332A">
        <w:rPr>
          <w:b/>
        </w:rPr>
        <w:t>ekonomik ČR, S</w:t>
      </w:r>
      <w:r>
        <w:rPr>
          <w:b/>
        </w:rPr>
        <w:t>lovenska</w:t>
      </w:r>
      <w:r w:rsidRPr="004A332A">
        <w:rPr>
          <w:b/>
        </w:rPr>
        <w:t>, Rakouska a EU 28 za roky 1998-2004</w:t>
      </w:r>
      <w:r>
        <w:rPr>
          <w:b/>
        </w:rPr>
        <w:t>,</w:t>
      </w:r>
      <w:r w:rsidRPr="004A332A">
        <w:rPr>
          <w:b/>
        </w:rPr>
        <w:t xml:space="preserve"> 2004-</w:t>
      </w:r>
      <w:r w:rsidRPr="004F0E46">
        <w:rPr>
          <w:b/>
        </w:rPr>
        <w:t>2014 a 1998-2014</w:t>
      </w:r>
      <w:r>
        <w:t xml:space="preserve"> (reálně, v %)</w:t>
      </w:r>
    </w:p>
    <w:p w:rsidR="0008794F" w:rsidRPr="00EB6406" w:rsidRDefault="0008794F" w:rsidP="00D3422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85"/>
        <w:gridCol w:w="825"/>
        <w:gridCol w:w="851"/>
        <w:gridCol w:w="709"/>
        <w:gridCol w:w="992"/>
        <w:gridCol w:w="850"/>
        <w:gridCol w:w="851"/>
        <w:gridCol w:w="709"/>
        <w:gridCol w:w="850"/>
      </w:tblGrid>
      <w:tr w:rsidR="0008794F" w:rsidTr="00AA2B03">
        <w:tc>
          <w:tcPr>
            <w:tcW w:w="2685" w:type="dxa"/>
          </w:tcPr>
          <w:p w:rsidR="0008794F" w:rsidRDefault="0008794F" w:rsidP="00AA2B03">
            <w:pPr>
              <w:jc w:val="center"/>
              <w:rPr>
                <w:lang w:eastAsia="en-US"/>
              </w:rPr>
            </w:pPr>
            <w:r>
              <w:rPr>
                <w:lang w:eastAsia="en-US"/>
              </w:rPr>
              <w:t>1998-2004 v průměru ročně</w:t>
            </w:r>
          </w:p>
        </w:tc>
        <w:tc>
          <w:tcPr>
            <w:tcW w:w="825" w:type="dxa"/>
          </w:tcPr>
          <w:p w:rsidR="0008794F" w:rsidRDefault="0008794F" w:rsidP="002A4360">
            <w:pPr>
              <w:jc w:val="center"/>
              <w:rPr>
                <w:lang w:eastAsia="en-US"/>
              </w:rPr>
            </w:pPr>
            <w:r>
              <w:rPr>
                <w:lang w:eastAsia="en-US"/>
              </w:rPr>
              <w:t>ČR</w:t>
            </w:r>
          </w:p>
        </w:tc>
        <w:tc>
          <w:tcPr>
            <w:tcW w:w="851" w:type="dxa"/>
          </w:tcPr>
          <w:p w:rsidR="0008794F" w:rsidRDefault="0008794F" w:rsidP="002A4360">
            <w:pPr>
              <w:jc w:val="center"/>
              <w:rPr>
                <w:lang w:eastAsia="en-US"/>
              </w:rPr>
            </w:pPr>
            <w:r>
              <w:rPr>
                <w:lang w:eastAsia="en-US"/>
              </w:rPr>
              <w:t>2,7 %</w:t>
            </w:r>
          </w:p>
        </w:tc>
        <w:tc>
          <w:tcPr>
            <w:tcW w:w="709" w:type="dxa"/>
          </w:tcPr>
          <w:p w:rsidR="0008794F" w:rsidRDefault="0008794F" w:rsidP="002A4360">
            <w:pPr>
              <w:jc w:val="center"/>
              <w:rPr>
                <w:lang w:eastAsia="en-US"/>
              </w:rPr>
            </w:pPr>
            <w:r>
              <w:rPr>
                <w:lang w:eastAsia="en-US"/>
              </w:rPr>
              <w:t>SR</w:t>
            </w:r>
          </w:p>
        </w:tc>
        <w:tc>
          <w:tcPr>
            <w:tcW w:w="992" w:type="dxa"/>
          </w:tcPr>
          <w:p w:rsidR="0008794F" w:rsidRDefault="0008794F" w:rsidP="002A4360">
            <w:pPr>
              <w:jc w:val="center"/>
              <w:rPr>
                <w:lang w:eastAsia="en-US"/>
              </w:rPr>
            </w:pPr>
            <w:r>
              <w:rPr>
                <w:lang w:eastAsia="en-US"/>
              </w:rPr>
              <w:t>3,4 %</w:t>
            </w:r>
          </w:p>
        </w:tc>
        <w:tc>
          <w:tcPr>
            <w:tcW w:w="850" w:type="dxa"/>
          </w:tcPr>
          <w:p w:rsidR="0008794F" w:rsidRDefault="0008794F" w:rsidP="002A4360">
            <w:pPr>
              <w:jc w:val="center"/>
              <w:rPr>
                <w:lang w:eastAsia="en-US"/>
              </w:rPr>
            </w:pPr>
            <w:r>
              <w:rPr>
                <w:lang w:eastAsia="en-US"/>
              </w:rPr>
              <w:t>AT</w:t>
            </w:r>
          </w:p>
        </w:tc>
        <w:tc>
          <w:tcPr>
            <w:tcW w:w="851" w:type="dxa"/>
          </w:tcPr>
          <w:p w:rsidR="0008794F" w:rsidRDefault="0008794F" w:rsidP="002A4360">
            <w:pPr>
              <w:jc w:val="center"/>
              <w:rPr>
                <w:lang w:eastAsia="en-US"/>
              </w:rPr>
            </w:pPr>
            <w:r>
              <w:rPr>
                <w:lang w:eastAsia="en-US"/>
              </w:rPr>
              <w:t>2,5 %</w:t>
            </w:r>
          </w:p>
        </w:tc>
        <w:tc>
          <w:tcPr>
            <w:tcW w:w="709" w:type="dxa"/>
          </w:tcPr>
          <w:p w:rsidR="0008794F" w:rsidRDefault="0008794F" w:rsidP="002A4360">
            <w:pPr>
              <w:jc w:val="center"/>
              <w:rPr>
                <w:lang w:eastAsia="en-US"/>
              </w:rPr>
            </w:pPr>
            <w:r>
              <w:rPr>
                <w:lang w:eastAsia="en-US"/>
              </w:rPr>
              <w:t>EU</w:t>
            </w:r>
          </w:p>
        </w:tc>
        <w:tc>
          <w:tcPr>
            <w:tcW w:w="850" w:type="dxa"/>
          </w:tcPr>
          <w:p w:rsidR="0008794F" w:rsidRDefault="0008794F" w:rsidP="002A4360">
            <w:pPr>
              <w:jc w:val="center"/>
              <w:rPr>
                <w:lang w:eastAsia="en-US"/>
              </w:rPr>
            </w:pPr>
            <w:r>
              <w:rPr>
                <w:lang w:eastAsia="en-US"/>
              </w:rPr>
              <w:t>2,5 %</w:t>
            </w:r>
          </w:p>
        </w:tc>
      </w:tr>
      <w:tr w:rsidR="0008794F" w:rsidTr="00AA2B03">
        <w:tc>
          <w:tcPr>
            <w:tcW w:w="2685" w:type="dxa"/>
          </w:tcPr>
          <w:p w:rsidR="0008794F" w:rsidRDefault="0008794F" w:rsidP="00AA2B03">
            <w:pPr>
              <w:jc w:val="center"/>
              <w:rPr>
                <w:lang w:eastAsia="en-US"/>
              </w:rPr>
            </w:pPr>
            <w:r>
              <w:rPr>
                <w:lang w:eastAsia="en-US"/>
              </w:rPr>
              <w:t>2004-2014 v průměru ročně</w:t>
            </w:r>
          </w:p>
        </w:tc>
        <w:tc>
          <w:tcPr>
            <w:tcW w:w="825" w:type="dxa"/>
          </w:tcPr>
          <w:p w:rsidR="0008794F" w:rsidRDefault="0008794F" w:rsidP="00AA2B03">
            <w:pPr>
              <w:jc w:val="center"/>
              <w:rPr>
                <w:lang w:eastAsia="en-US"/>
              </w:rPr>
            </w:pPr>
            <w:r>
              <w:rPr>
                <w:lang w:eastAsia="en-US"/>
              </w:rPr>
              <w:t>ČR</w:t>
            </w:r>
          </w:p>
        </w:tc>
        <w:tc>
          <w:tcPr>
            <w:tcW w:w="851" w:type="dxa"/>
          </w:tcPr>
          <w:p w:rsidR="0008794F" w:rsidRDefault="0008794F" w:rsidP="00AA2B03">
            <w:pPr>
              <w:jc w:val="center"/>
              <w:rPr>
                <w:lang w:eastAsia="en-US"/>
              </w:rPr>
            </w:pPr>
            <w:r>
              <w:rPr>
                <w:lang w:eastAsia="en-US"/>
              </w:rPr>
              <w:t>2,4 %</w:t>
            </w:r>
          </w:p>
        </w:tc>
        <w:tc>
          <w:tcPr>
            <w:tcW w:w="709" w:type="dxa"/>
          </w:tcPr>
          <w:p w:rsidR="0008794F" w:rsidRDefault="0008794F" w:rsidP="00AA2B03">
            <w:pPr>
              <w:jc w:val="center"/>
              <w:rPr>
                <w:lang w:eastAsia="en-US"/>
              </w:rPr>
            </w:pPr>
            <w:r>
              <w:rPr>
                <w:lang w:eastAsia="en-US"/>
              </w:rPr>
              <w:t>SR</w:t>
            </w:r>
          </w:p>
        </w:tc>
        <w:tc>
          <w:tcPr>
            <w:tcW w:w="992" w:type="dxa"/>
          </w:tcPr>
          <w:p w:rsidR="0008794F" w:rsidRDefault="0008794F" w:rsidP="00AA2B03">
            <w:pPr>
              <w:jc w:val="center"/>
              <w:rPr>
                <w:lang w:eastAsia="en-US"/>
              </w:rPr>
            </w:pPr>
            <w:r>
              <w:rPr>
                <w:lang w:eastAsia="en-US"/>
              </w:rPr>
              <w:t>4,0 %</w:t>
            </w:r>
          </w:p>
        </w:tc>
        <w:tc>
          <w:tcPr>
            <w:tcW w:w="850" w:type="dxa"/>
          </w:tcPr>
          <w:p w:rsidR="0008794F" w:rsidRDefault="0008794F" w:rsidP="00AA2B03">
            <w:pPr>
              <w:jc w:val="center"/>
              <w:rPr>
                <w:lang w:eastAsia="en-US"/>
              </w:rPr>
            </w:pPr>
            <w:r>
              <w:rPr>
                <w:lang w:eastAsia="en-US"/>
              </w:rPr>
              <w:t>AT</w:t>
            </w:r>
          </w:p>
        </w:tc>
        <w:tc>
          <w:tcPr>
            <w:tcW w:w="851" w:type="dxa"/>
          </w:tcPr>
          <w:p w:rsidR="0008794F" w:rsidRDefault="0008794F" w:rsidP="00AA2B03">
            <w:pPr>
              <w:jc w:val="center"/>
              <w:rPr>
                <w:lang w:eastAsia="en-US"/>
              </w:rPr>
            </w:pPr>
            <w:r>
              <w:rPr>
                <w:lang w:eastAsia="en-US"/>
              </w:rPr>
              <w:t>1,4 %</w:t>
            </w:r>
          </w:p>
        </w:tc>
        <w:tc>
          <w:tcPr>
            <w:tcW w:w="709" w:type="dxa"/>
          </w:tcPr>
          <w:p w:rsidR="0008794F" w:rsidRDefault="0008794F" w:rsidP="00AA2B03">
            <w:pPr>
              <w:jc w:val="center"/>
              <w:rPr>
                <w:lang w:eastAsia="en-US"/>
              </w:rPr>
            </w:pPr>
            <w:r>
              <w:rPr>
                <w:lang w:eastAsia="en-US"/>
              </w:rPr>
              <w:t>EU</w:t>
            </w:r>
          </w:p>
        </w:tc>
        <w:tc>
          <w:tcPr>
            <w:tcW w:w="850" w:type="dxa"/>
          </w:tcPr>
          <w:p w:rsidR="0008794F" w:rsidRDefault="0008794F" w:rsidP="00AA2B03">
            <w:pPr>
              <w:jc w:val="center"/>
              <w:rPr>
                <w:lang w:eastAsia="en-US"/>
              </w:rPr>
            </w:pPr>
            <w:r>
              <w:rPr>
                <w:lang w:eastAsia="en-US"/>
              </w:rPr>
              <w:t>1,1 %</w:t>
            </w:r>
          </w:p>
        </w:tc>
      </w:tr>
      <w:tr w:rsidR="0008794F" w:rsidTr="00AA2B03">
        <w:tc>
          <w:tcPr>
            <w:tcW w:w="2685" w:type="dxa"/>
          </w:tcPr>
          <w:p w:rsidR="0008794F" w:rsidRPr="0006500C" w:rsidRDefault="0008794F" w:rsidP="00AA2B03">
            <w:pPr>
              <w:jc w:val="center"/>
              <w:rPr>
                <w:lang w:eastAsia="en-US"/>
              </w:rPr>
            </w:pPr>
            <w:r w:rsidRPr="0006500C">
              <w:rPr>
                <w:lang w:eastAsia="en-US"/>
              </w:rPr>
              <w:t>1998-2014 v průměru ročně</w:t>
            </w:r>
          </w:p>
        </w:tc>
        <w:tc>
          <w:tcPr>
            <w:tcW w:w="825" w:type="dxa"/>
          </w:tcPr>
          <w:p w:rsidR="0008794F" w:rsidRPr="0006500C" w:rsidRDefault="0008794F" w:rsidP="002A4360">
            <w:pPr>
              <w:jc w:val="center"/>
              <w:rPr>
                <w:b/>
                <w:lang w:eastAsia="en-US"/>
              </w:rPr>
            </w:pPr>
            <w:r w:rsidRPr="0006500C">
              <w:rPr>
                <w:b/>
                <w:lang w:eastAsia="en-US"/>
              </w:rPr>
              <w:t>ČR</w:t>
            </w:r>
          </w:p>
        </w:tc>
        <w:tc>
          <w:tcPr>
            <w:tcW w:w="851" w:type="dxa"/>
          </w:tcPr>
          <w:p w:rsidR="0008794F" w:rsidRPr="0006500C" w:rsidRDefault="0008794F" w:rsidP="002A4360">
            <w:pPr>
              <w:jc w:val="center"/>
              <w:rPr>
                <w:b/>
                <w:lang w:eastAsia="en-US"/>
              </w:rPr>
            </w:pPr>
            <w:r w:rsidRPr="0006500C">
              <w:rPr>
                <w:b/>
                <w:lang w:eastAsia="en-US"/>
              </w:rPr>
              <w:t>2,4 %</w:t>
            </w:r>
          </w:p>
        </w:tc>
        <w:tc>
          <w:tcPr>
            <w:tcW w:w="709" w:type="dxa"/>
          </w:tcPr>
          <w:p w:rsidR="0008794F" w:rsidRPr="0006500C" w:rsidRDefault="0008794F" w:rsidP="002A4360">
            <w:pPr>
              <w:jc w:val="center"/>
              <w:rPr>
                <w:b/>
                <w:lang w:eastAsia="en-US"/>
              </w:rPr>
            </w:pPr>
            <w:r w:rsidRPr="0006500C">
              <w:rPr>
                <w:b/>
                <w:lang w:eastAsia="en-US"/>
              </w:rPr>
              <w:t>SR</w:t>
            </w:r>
          </w:p>
        </w:tc>
        <w:tc>
          <w:tcPr>
            <w:tcW w:w="992" w:type="dxa"/>
          </w:tcPr>
          <w:p w:rsidR="0008794F" w:rsidRPr="0006500C" w:rsidRDefault="0008794F" w:rsidP="002A4360">
            <w:pPr>
              <w:jc w:val="center"/>
              <w:rPr>
                <w:b/>
                <w:lang w:eastAsia="en-US"/>
              </w:rPr>
            </w:pPr>
            <w:r w:rsidRPr="0006500C">
              <w:rPr>
                <w:b/>
                <w:lang w:eastAsia="en-US"/>
              </w:rPr>
              <w:t>3,7 %</w:t>
            </w:r>
          </w:p>
        </w:tc>
        <w:tc>
          <w:tcPr>
            <w:tcW w:w="850" w:type="dxa"/>
          </w:tcPr>
          <w:p w:rsidR="0008794F" w:rsidRPr="0006500C" w:rsidRDefault="0008794F" w:rsidP="002A4360">
            <w:pPr>
              <w:jc w:val="center"/>
              <w:rPr>
                <w:b/>
                <w:lang w:eastAsia="en-US"/>
              </w:rPr>
            </w:pPr>
            <w:r w:rsidRPr="0006500C">
              <w:rPr>
                <w:b/>
                <w:lang w:eastAsia="en-US"/>
              </w:rPr>
              <w:t>AT</w:t>
            </w:r>
          </w:p>
        </w:tc>
        <w:tc>
          <w:tcPr>
            <w:tcW w:w="851" w:type="dxa"/>
          </w:tcPr>
          <w:p w:rsidR="0008794F" w:rsidRPr="0006500C" w:rsidRDefault="0008794F" w:rsidP="002A4360">
            <w:pPr>
              <w:jc w:val="center"/>
              <w:rPr>
                <w:b/>
                <w:lang w:eastAsia="en-US"/>
              </w:rPr>
            </w:pPr>
            <w:r w:rsidRPr="0006500C">
              <w:rPr>
                <w:b/>
                <w:lang w:eastAsia="en-US"/>
              </w:rPr>
              <w:t>1,8 %</w:t>
            </w:r>
          </w:p>
        </w:tc>
        <w:tc>
          <w:tcPr>
            <w:tcW w:w="709" w:type="dxa"/>
          </w:tcPr>
          <w:p w:rsidR="0008794F" w:rsidRPr="0006500C" w:rsidRDefault="0008794F" w:rsidP="002A4360">
            <w:pPr>
              <w:jc w:val="center"/>
              <w:rPr>
                <w:b/>
                <w:lang w:eastAsia="en-US"/>
              </w:rPr>
            </w:pPr>
            <w:r w:rsidRPr="0006500C">
              <w:rPr>
                <w:b/>
                <w:lang w:eastAsia="en-US"/>
              </w:rPr>
              <w:t>EU</w:t>
            </w:r>
          </w:p>
        </w:tc>
        <w:tc>
          <w:tcPr>
            <w:tcW w:w="850" w:type="dxa"/>
          </w:tcPr>
          <w:p w:rsidR="0008794F" w:rsidRPr="0006500C" w:rsidRDefault="0008794F" w:rsidP="002A4360">
            <w:pPr>
              <w:jc w:val="center"/>
              <w:rPr>
                <w:b/>
                <w:lang w:eastAsia="en-US"/>
              </w:rPr>
            </w:pPr>
            <w:r w:rsidRPr="0006500C">
              <w:rPr>
                <w:b/>
                <w:lang w:eastAsia="en-US"/>
              </w:rPr>
              <w:t>1,6 %</w:t>
            </w:r>
          </w:p>
        </w:tc>
      </w:tr>
    </w:tbl>
    <w:p w:rsidR="0008794F" w:rsidRPr="004131C3" w:rsidRDefault="0008794F" w:rsidP="004A332A">
      <w:pPr>
        <w:jc w:val="right"/>
        <w:rPr>
          <w:sz w:val="6"/>
          <w:szCs w:val="6"/>
        </w:rPr>
      </w:pPr>
    </w:p>
    <w:p w:rsidR="0008794F" w:rsidRDefault="0008794F" w:rsidP="00A92D0B">
      <w:pPr>
        <w:jc w:val="right"/>
        <w:rPr>
          <w:sz w:val="18"/>
          <w:szCs w:val="18"/>
        </w:rPr>
      </w:pPr>
      <w:r w:rsidRPr="00DA43AC">
        <w:rPr>
          <w:sz w:val="18"/>
          <w:szCs w:val="18"/>
        </w:rPr>
        <w:t xml:space="preserve">Pramen: </w:t>
      </w:r>
      <w:proofErr w:type="spellStart"/>
      <w:r w:rsidRPr="00DA43AC">
        <w:rPr>
          <w:sz w:val="18"/>
          <w:szCs w:val="18"/>
        </w:rPr>
        <w:t>Eurostat</w:t>
      </w:r>
      <w:proofErr w:type="spellEnd"/>
      <w:r>
        <w:rPr>
          <w:sz w:val="18"/>
          <w:szCs w:val="18"/>
        </w:rPr>
        <w:t>, vlastní propočty</w:t>
      </w:r>
    </w:p>
    <w:p w:rsidR="0008794F" w:rsidRPr="00A92D0B" w:rsidRDefault="0008794F" w:rsidP="00A92D0B">
      <w:pPr>
        <w:jc w:val="right"/>
        <w:rPr>
          <w:sz w:val="18"/>
          <w:szCs w:val="18"/>
        </w:rPr>
      </w:pPr>
    </w:p>
    <w:tbl>
      <w:tblPr>
        <w:tblW w:w="5043" w:type="pct"/>
        <w:tblInd w:w="-42" w:type="dxa"/>
        <w:tblCellMar>
          <w:left w:w="28" w:type="dxa"/>
          <w:right w:w="28" w:type="dxa"/>
        </w:tblCellMar>
        <w:tblLook w:val="00A0"/>
      </w:tblPr>
      <w:tblGrid>
        <w:gridCol w:w="2037"/>
        <w:gridCol w:w="272"/>
        <w:gridCol w:w="7468"/>
      </w:tblGrid>
      <w:tr w:rsidR="0008794F" w:rsidRPr="003D78A5" w:rsidTr="001045E3">
        <w:tc>
          <w:tcPr>
            <w:tcW w:w="1042" w:type="pct"/>
          </w:tcPr>
          <w:p w:rsidR="0008794F" w:rsidRDefault="0008794F" w:rsidP="002A4360">
            <w:pPr>
              <w:spacing w:line="240" w:lineRule="auto"/>
              <w:rPr>
                <w:color w:val="000000"/>
                <w:sz w:val="16"/>
                <w:szCs w:val="16"/>
              </w:rPr>
            </w:pPr>
            <w:r>
              <w:rPr>
                <w:color w:val="000000"/>
                <w:sz w:val="16"/>
                <w:szCs w:val="16"/>
              </w:rPr>
              <w:t xml:space="preserve">Rakousko v letech 1998-2004 s průměrným meziročním růstem </w:t>
            </w:r>
            <w:proofErr w:type="gramStart"/>
            <w:r>
              <w:rPr>
                <w:color w:val="000000"/>
                <w:sz w:val="16"/>
                <w:szCs w:val="16"/>
              </w:rPr>
              <w:t>2,5 %...</w:t>
            </w:r>
            <w:proofErr w:type="gramEnd"/>
            <w:r>
              <w:rPr>
                <w:color w:val="000000"/>
                <w:sz w:val="16"/>
                <w:szCs w:val="16"/>
              </w:rPr>
              <w:t xml:space="preserve"> </w:t>
            </w:r>
          </w:p>
          <w:p w:rsidR="0008794F" w:rsidRDefault="0008794F" w:rsidP="002A4360">
            <w:pPr>
              <w:spacing w:line="240" w:lineRule="auto"/>
              <w:rPr>
                <w:color w:val="000000"/>
                <w:sz w:val="16"/>
                <w:szCs w:val="16"/>
              </w:rPr>
            </w:pPr>
          </w:p>
          <w:p w:rsidR="0008794F" w:rsidRDefault="0008794F" w:rsidP="002A4360">
            <w:pPr>
              <w:spacing w:line="240" w:lineRule="auto"/>
              <w:rPr>
                <w:color w:val="000000"/>
                <w:sz w:val="16"/>
                <w:szCs w:val="16"/>
              </w:rPr>
            </w:pPr>
          </w:p>
          <w:p w:rsidR="0008794F" w:rsidRDefault="0008794F" w:rsidP="002A4360">
            <w:pPr>
              <w:spacing w:line="240" w:lineRule="auto"/>
              <w:rPr>
                <w:color w:val="000000"/>
                <w:sz w:val="16"/>
                <w:szCs w:val="16"/>
              </w:rPr>
            </w:pPr>
          </w:p>
          <w:p w:rsidR="0008794F" w:rsidRPr="00602D1D" w:rsidRDefault="0008794F" w:rsidP="002A4360">
            <w:pPr>
              <w:spacing w:line="240" w:lineRule="auto"/>
              <w:rPr>
                <w:color w:val="000000"/>
                <w:sz w:val="16"/>
                <w:szCs w:val="16"/>
              </w:rPr>
            </w:pPr>
            <w:r>
              <w:rPr>
                <w:color w:val="000000"/>
                <w:sz w:val="16"/>
                <w:szCs w:val="16"/>
              </w:rPr>
              <w:t xml:space="preserve">… zatímco HDP ČR rostl oproti Rakousku v </w:t>
            </w:r>
            <w:proofErr w:type="gramStart"/>
            <w:r>
              <w:rPr>
                <w:color w:val="000000"/>
                <w:sz w:val="16"/>
                <w:szCs w:val="16"/>
              </w:rPr>
              <w:t>průměru  jen</w:t>
            </w:r>
            <w:proofErr w:type="gramEnd"/>
            <w:r>
              <w:rPr>
                <w:color w:val="000000"/>
                <w:sz w:val="16"/>
                <w:szCs w:val="16"/>
              </w:rPr>
              <w:t xml:space="preserve"> mírně rychleji, tj. +2,7 % ročně vlivem recese v roce 1998 a slabších let 1999 a 2002</w:t>
            </w:r>
          </w:p>
        </w:tc>
        <w:tc>
          <w:tcPr>
            <w:tcW w:w="139" w:type="pct"/>
          </w:tcPr>
          <w:p w:rsidR="0008794F" w:rsidRDefault="0008794F" w:rsidP="002A4360">
            <w:pPr>
              <w:pStyle w:val="Textpoznpodarou"/>
              <w:jc w:val="both"/>
            </w:pPr>
          </w:p>
        </w:tc>
        <w:tc>
          <w:tcPr>
            <w:tcW w:w="3819" w:type="pct"/>
          </w:tcPr>
          <w:p w:rsidR="0008794F" w:rsidRDefault="0008794F" w:rsidP="00AB02AE">
            <w:pPr>
              <w:pStyle w:val="Textpoznpodarou"/>
              <w:jc w:val="both"/>
              <w:rPr>
                <w:color w:val="000000"/>
                <w:spacing w:val="-6"/>
              </w:rPr>
            </w:pPr>
            <w:r>
              <w:rPr>
                <w:color w:val="000000"/>
                <w:spacing w:val="-6"/>
              </w:rPr>
              <w:t xml:space="preserve">Rakousko rostlo v letech 1998-2004 v průměru ročně o 2,5 %, tedy stejně jako rostla v té době ekonomika EU 28 a mírně rychleji než „staré“ země Unie, tj. EU 15 (+2,4 %) i uskupení zemí, které odpovídá současné struktuře a počtu zemí </w:t>
            </w:r>
            <w:proofErr w:type="spellStart"/>
            <w:r>
              <w:rPr>
                <w:color w:val="000000"/>
                <w:spacing w:val="-6"/>
              </w:rPr>
              <w:t>eurozóny</w:t>
            </w:r>
            <w:proofErr w:type="spellEnd"/>
            <w:r>
              <w:rPr>
                <w:color w:val="000000"/>
                <w:spacing w:val="-6"/>
              </w:rPr>
              <w:t xml:space="preserve"> (+2,3 %). </w:t>
            </w:r>
          </w:p>
          <w:p w:rsidR="0008794F" w:rsidRPr="00EF48E7" w:rsidRDefault="0008794F" w:rsidP="00AB02AE">
            <w:pPr>
              <w:pStyle w:val="Textpoznpodarou"/>
              <w:jc w:val="both"/>
              <w:rPr>
                <w:color w:val="000000"/>
                <w:spacing w:val="-6"/>
                <w:sz w:val="12"/>
                <w:szCs w:val="12"/>
              </w:rPr>
            </w:pPr>
          </w:p>
          <w:p w:rsidR="0008794F" w:rsidRPr="00997EEB" w:rsidRDefault="0008794F" w:rsidP="00AB02AE">
            <w:pPr>
              <w:pStyle w:val="Textpoznpodarou"/>
              <w:jc w:val="both"/>
              <w:rPr>
                <w:color w:val="000000"/>
                <w:spacing w:val="-6"/>
              </w:rPr>
            </w:pPr>
            <w:r>
              <w:rPr>
                <w:color w:val="000000"/>
                <w:spacing w:val="-6"/>
              </w:rPr>
              <w:t>Česká republika s výrazným odstupem od ekonomické úrovně Rakouska - což by ji mělo favorizovat z pohledu nižší výchozí „</w:t>
            </w:r>
            <w:proofErr w:type="spellStart"/>
            <w:r>
              <w:rPr>
                <w:color w:val="000000"/>
                <w:spacing w:val="-6"/>
              </w:rPr>
              <w:t>vyspělostní</w:t>
            </w:r>
            <w:proofErr w:type="spellEnd"/>
            <w:r>
              <w:rPr>
                <w:color w:val="000000"/>
                <w:spacing w:val="-6"/>
              </w:rPr>
              <w:t xml:space="preserve">“ báze - vykázala za roky 1998-2004 průměrný roční růst ve výši +2,7 %. Zapůsobil především velmi slušný růst české ekonomiky v letech 2003 a 2004 (+3,6 %, resp. +4,9 %). Svou “daň“ si však vybrala již zmiňovaná recese 1997-1998, neboť „abstrahujeme-li“ od těchto dvou let, rostl HDP ČR za roky 1999-2004 v průměru o 3,2 % ročně, což už bylo prakticky stejně, jako činil za tu dobu růst </w:t>
            </w:r>
            <w:r>
              <w:rPr>
                <w:vanish/>
                <w:color w:val="000000"/>
                <w:spacing w:val="-6"/>
              </w:rPr>
              <w:t>DP SlosS</w:t>
            </w:r>
            <w:r>
              <w:rPr>
                <w:color w:val="000000"/>
                <w:spacing w:val="-6"/>
              </w:rPr>
              <w:t xml:space="preserve"> </w:t>
            </w:r>
            <w:r>
              <w:rPr>
                <w:vanish/>
                <w:color w:val="000000"/>
                <w:spacing w:val="-6"/>
              </w:rPr>
              <w:t>D</w:t>
            </w:r>
            <w:r>
              <w:rPr>
                <w:color w:val="000000"/>
                <w:spacing w:val="-6"/>
              </w:rPr>
              <w:t xml:space="preserve">HDP Slovenska (+3,3 %). </w:t>
            </w:r>
          </w:p>
          <w:p w:rsidR="0008794F" w:rsidRPr="003D78A5" w:rsidRDefault="0008794F" w:rsidP="00AB02AE">
            <w:pPr>
              <w:pStyle w:val="Textpoznpodarou"/>
              <w:jc w:val="both"/>
              <w:rPr>
                <w:color w:val="000000"/>
                <w:spacing w:val="-6"/>
              </w:rPr>
            </w:pPr>
          </w:p>
        </w:tc>
      </w:tr>
      <w:tr w:rsidR="0008794F" w:rsidRPr="003D78A5" w:rsidTr="001045E3">
        <w:tc>
          <w:tcPr>
            <w:tcW w:w="1042" w:type="pct"/>
          </w:tcPr>
          <w:p w:rsidR="0008794F" w:rsidRPr="00602D1D" w:rsidRDefault="0008794F" w:rsidP="001045E3">
            <w:pPr>
              <w:spacing w:line="240" w:lineRule="auto"/>
              <w:rPr>
                <w:color w:val="000000"/>
                <w:sz w:val="16"/>
                <w:szCs w:val="16"/>
              </w:rPr>
            </w:pPr>
            <w:r>
              <w:rPr>
                <w:color w:val="000000"/>
                <w:sz w:val="16"/>
                <w:szCs w:val="16"/>
              </w:rPr>
              <w:t xml:space="preserve">Slovensko bylo zhruba v polovině žebříčku průměrných růstů HDP evropských zemí za roky 1998-2004 s tempem +3,7 %, což bylo nejvíce z trojice ČR, SR, Rakousko </w:t>
            </w:r>
          </w:p>
        </w:tc>
        <w:tc>
          <w:tcPr>
            <w:tcW w:w="139" w:type="pct"/>
          </w:tcPr>
          <w:p w:rsidR="0008794F" w:rsidRDefault="0008794F" w:rsidP="001045E3">
            <w:pPr>
              <w:pStyle w:val="Textpoznpodarou"/>
              <w:jc w:val="both"/>
            </w:pPr>
          </w:p>
        </w:tc>
        <w:tc>
          <w:tcPr>
            <w:tcW w:w="3819" w:type="pct"/>
          </w:tcPr>
          <w:p w:rsidR="0008794F" w:rsidRDefault="0008794F" w:rsidP="00AB02AE">
            <w:pPr>
              <w:spacing w:line="240" w:lineRule="auto"/>
              <w:jc w:val="both"/>
              <w:rPr>
                <w:color w:val="000000"/>
                <w:spacing w:val="-6"/>
              </w:rPr>
            </w:pPr>
            <w:r>
              <w:rPr>
                <w:color w:val="000000"/>
                <w:spacing w:val="-6"/>
              </w:rPr>
              <w:t>Ekonomika Slovenské republiky neprošla recesí z počátku druhé poloviny 90. let, jako ekonomika Č</w:t>
            </w:r>
            <w:r w:rsidR="00F36F92">
              <w:rPr>
                <w:color w:val="000000"/>
                <w:spacing w:val="-6"/>
              </w:rPr>
              <w:t>eské republiky</w:t>
            </w:r>
            <w:r>
              <w:rPr>
                <w:color w:val="000000"/>
                <w:spacing w:val="-6"/>
              </w:rPr>
              <w:t xml:space="preserve"> a její silná dynamika v letech 2002-2004 (+4,5 %, +5,4 % a +5,3 %) vedl</w:t>
            </w:r>
            <w:r w:rsidR="00F36F92">
              <w:rPr>
                <w:color w:val="000000"/>
                <w:spacing w:val="-6"/>
              </w:rPr>
              <w:t>a</w:t>
            </w:r>
            <w:r>
              <w:rPr>
                <w:color w:val="000000"/>
                <w:spacing w:val="-6"/>
              </w:rPr>
              <w:t xml:space="preserve"> k průměrnému tempu ročních přírůstků slovenského HDP o 3,4 % v „</w:t>
            </w:r>
            <w:proofErr w:type="spellStart"/>
            <w:r>
              <w:rPr>
                <w:color w:val="000000"/>
                <w:spacing w:val="-6"/>
              </w:rPr>
              <w:t>předvstupním</w:t>
            </w:r>
            <w:proofErr w:type="spellEnd"/>
            <w:r>
              <w:rPr>
                <w:color w:val="000000"/>
                <w:spacing w:val="-6"/>
              </w:rPr>
              <w:t xml:space="preserve"> období“ 1998-2004. To pro slovenskou ekonomiku sice znamenalo první místo v trojici zemí sledovaných v této analýze, ovšem v žebříčku zemí EU </w:t>
            </w:r>
            <w:r w:rsidR="00322B77">
              <w:rPr>
                <w:color w:val="000000"/>
                <w:spacing w:val="-6"/>
              </w:rPr>
              <w:t xml:space="preserve">sledovaných </w:t>
            </w:r>
            <w:proofErr w:type="spellStart"/>
            <w:r w:rsidR="00322B77">
              <w:rPr>
                <w:color w:val="000000"/>
                <w:spacing w:val="-6"/>
              </w:rPr>
              <w:t>Eurostatem</w:t>
            </w:r>
            <w:proofErr w:type="spellEnd"/>
            <w:r w:rsidR="00322B77">
              <w:rPr>
                <w:color w:val="000000"/>
                <w:spacing w:val="-6"/>
              </w:rPr>
              <w:t xml:space="preserve"> v datech zmíněného období </w:t>
            </w:r>
            <w:r>
              <w:rPr>
                <w:color w:val="000000"/>
                <w:spacing w:val="-6"/>
              </w:rPr>
              <w:t>bylo Slovensko až v</w:t>
            </w:r>
            <w:r w:rsidR="00322B77">
              <w:rPr>
                <w:color w:val="000000"/>
                <w:spacing w:val="-6"/>
              </w:rPr>
              <w:t> </w:t>
            </w:r>
            <w:r>
              <w:rPr>
                <w:color w:val="000000"/>
                <w:spacing w:val="-6"/>
              </w:rPr>
              <w:t>polovině</w:t>
            </w:r>
            <w:r w:rsidR="00322B77">
              <w:rPr>
                <w:color w:val="000000"/>
                <w:spacing w:val="-6"/>
              </w:rPr>
              <w:t>.</w:t>
            </w:r>
            <w:r>
              <w:rPr>
                <w:color w:val="000000"/>
                <w:spacing w:val="-6"/>
              </w:rPr>
              <w:t xml:space="preserve"> </w:t>
            </w:r>
          </w:p>
          <w:p w:rsidR="0008794F" w:rsidRPr="000E3023" w:rsidRDefault="0008794F" w:rsidP="00AB02AE">
            <w:pPr>
              <w:spacing w:line="240" w:lineRule="auto"/>
              <w:jc w:val="both"/>
              <w:rPr>
                <w:color w:val="000000"/>
                <w:spacing w:val="-6"/>
                <w:sz w:val="12"/>
                <w:szCs w:val="12"/>
              </w:rPr>
            </w:pPr>
          </w:p>
          <w:p w:rsidR="0008794F" w:rsidRDefault="0008794F" w:rsidP="00AB02AE">
            <w:pPr>
              <w:spacing w:line="240" w:lineRule="auto"/>
              <w:jc w:val="both"/>
              <w:rPr>
                <w:color w:val="000000"/>
                <w:spacing w:val="-6"/>
              </w:rPr>
            </w:pPr>
            <w:r>
              <w:rPr>
                <w:color w:val="000000"/>
                <w:spacing w:val="-6"/>
              </w:rPr>
              <w:t>Rychleji rostly nejen pobaltské a balkánské země vlivem své n</w:t>
            </w:r>
            <w:r w:rsidR="00F36F92">
              <w:rPr>
                <w:color w:val="000000"/>
                <w:spacing w:val="-6"/>
              </w:rPr>
              <w:t xml:space="preserve">ízké ekonomické základny, ale </w:t>
            </w:r>
            <w:r>
              <w:rPr>
                <w:color w:val="000000"/>
                <w:spacing w:val="-6"/>
              </w:rPr>
              <w:t xml:space="preserve">např. </w:t>
            </w:r>
            <w:r w:rsidR="00F36F92">
              <w:rPr>
                <w:color w:val="000000"/>
                <w:spacing w:val="-6"/>
              </w:rPr>
              <w:t xml:space="preserve">i </w:t>
            </w:r>
            <w:r>
              <w:rPr>
                <w:color w:val="000000"/>
                <w:spacing w:val="-6"/>
              </w:rPr>
              <w:t xml:space="preserve">Španělsko, Švédsko anebo Finsko a ze zemí Visegrádské čtyřky rovněž Maďarsko a Polsko. Nejvyšší ekonomickou výkonnost ukázalo za roky 1998-2004 Irsko, nejmenší průměrný přírůstek pak měla největší evropská ekonomika - německý HDP rostl v průměru ročně jen o 1,3 % (graf 17).  </w:t>
            </w:r>
          </w:p>
          <w:p w:rsidR="0008794F" w:rsidRPr="003D78A5" w:rsidRDefault="0008794F" w:rsidP="00AB02AE">
            <w:pPr>
              <w:pStyle w:val="Textpoznpodarou"/>
              <w:jc w:val="both"/>
              <w:rPr>
                <w:color w:val="000000"/>
                <w:spacing w:val="-6"/>
              </w:rPr>
            </w:pPr>
            <w:r>
              <w:rPr>
                <w:vanish/>
                <w:color w:val="000000"/>
                <w:spacing w:val="-6"/>
              </w:rPr>
              <w:t xml:space="preserve">DP o 3,78 </w:t>
            </w:r>
          </w:p>
        </w:tc>
      </w:tr>
    </w:tbl>
    <w:p w:rsidR="0008794F" w:rsidRDefault="0008794F" w:rsidP="00D34225">
      <w:r>
        <w:rPr>
          <w:b/>
        </w:rPr>
        <w:t xml:space="preserve">Graf 17: Průměrný meziroční přírůstek HDP reálně v letech 1998-2004 </w:t>
      </w:r>
      <w:r w:rsidRPr="00A14EDC">
        <w:t>(v %)</w:t>
      </w:r>
    </w:p>
    <w:p w:rsidR="0008794F" w:rsidRPr="002C1F9D" w:rsidRDefault="00306F79" w:rsidP="002C1F9D">
      <w:pPr>
        <w:jc w:val="center"/>
      </w:pPr>
      <w:r>
        <w:pict>
          <v:shape id="_x0000_i1041" type="#_x0000_t75" style="width:410.25pt;height:185.25pt">
            <v:imagedata r:id="rId29" o:title=""/>
          </v:shape>
        </w:pict>
      </w:r>
    </w:p>
    <w:p w:rsidR="0008794F" w:rsidRDefault="0008794F" w:rsidP="002C1F9D">
      <w:pPr>
        <w:jc w:val="right"/>
        <w:rPr>
          <w:sz w:val="18"/>
          <w:szCs w:val="18"/>
        </w:rPr>
      </w:pPr>
      <w:r w:rsidRPr="00A14EDC">
        <w:rPr>
          <w:sz w:val="18"/>
          <w:szCs w:val="18"/>
        </w:rPr>
        <w:t xml:space="preserve">Pramen: </w:t>
      </w:r>
      <w:proofErr w:type="spellStart"/>
      <w:r w:rsidRPr="00A14EDC">
        <w:rPr>
          <w:sz w:val="18"/>
          <w:szCs w:val="18"/>
        </w:rPr>
        <w:t>Eurostat</w:t>
      </w:r>
      <w:proofErr w:type="spellEnd"/>
    </w:p>
    <w:p w:rsidR="0008794F" w:rsidRPr="001873E2" w:rsidRDefault="0008794F" w:rsidP="00356033">
      <w:pPr>
        <w:jc w:val="both"/>
        <w:rPr>
          <w:sz w:val="16"/>
          <w:szCs w:val="16"/>
        </w:rPr>
      </w:pPr>
    </w:p>
    <w:p w:rsidR="0008794F" w:rsidRPr="001873E2" w:rsidRDefault="0008794F" w:rsidP="001873E2">
      <w:pPr>
        <w:numPr>
          <w:ilvl w:val="3"/>
          <w:numId w:val="24"/>
        </w:numPr>
        <w:spacing w:line="240" w:lineRule="auto"/>
        <w:rPr>
          <w:b/>
          <w:color w:val="000000"/>
          <w:spacing w:val="-2"/>
          <w:sz w:val="22"/>
          <w:szCs w:val="22"/>
        </w:rPr>
      </w:pPr>
      <w:r w:rsidRPr="001873E2">
        <w:rPr>
          <w:b/>
          <w:sz w:val="22"/>
          <w:szCs w:val="22"/>
        </w:rPr>
        <w:t xml:space="preserve"> </w:t>
      </w:r>
      <w:r w:rsidRPr="001873E2">
        <w:rPr>
          <w:b/>
          <w:color w:val="000000"/>
          <w:spacing w:val="-2"/>
          <w:sz w:val="22"/>
          <w:szCs w:val="22"/>
        </w:rPr>
        <w:t>Průměrné meziroční růsty ekono</w:t>
      </w:r>
      <w:r>
        <w:rPr>
          <w:b/>
          <w:color w:val="000000"/>
          <w:spacing w:val="-2"/>
          <w:sz w:val="22"/>
          <w:szCs w:val="22"/>
        </w:rPr>
        <w:t xml:space="preserve">mik ČR, SR a Rakouska v letech </w:t>
      </w:r>
      <w:r w:rsidRPr="001873E2">
        <w:rPr>
          <w:b/>
          <w:color w:val="000000"/>
          <w:spacing w:val="-2"/>
          <w:sz w:val="22"/>
          <w:szCs w:val="22"/>
        </w:rPr>
        <w:t>2004</w:t>
      </w:r>
      <w:r>
        <w:rPr>
          <w:b/>
          <w:color w:val="000000"/>
          <w:spacing w:val="-2"/>
          <w:sz w:val="22"/>
          <w:szCs w:val="22"/>
        </w:rPr>
        <w:t>-2014</w:t>
      </w:r>
      <w:r>
        <w:rPr>
          <w:b/>
          <w:vanish/>
        </w:rPr>
        <w:t>DP ČR, SR a Rakouska HH</w:t>
      </w:r>
    </w:p>
    <w:p w:rsidR="0008794F" w:rsidRPr="00AE1A78" w:rsidRDefault="0008794F" w:rsidP="001873E2">
      <w:pPr>
        <w:jc w:val="both"/>
        <w:rPr>
          <w:b/>
          <w:sz w:val="16"/>
          <w:szCs w:val="16"/>
        </w:rPr>
      </w:pPr>
    </w:p>
    <w:tbl>
      <w:tblPr>
        <w:tblW w:w="5043" w:type="pct"/>
        <w:tblInd w:w="-42" w:type="dxa"/>
        <w:tblCellMar>
          <w:left w:w="28" w:type="dxa"/>
          <w:right w:w="28" w:type="dxa"/>
        </w:tblCellMar>
        <w:tblLook w:val="00A0"/>
      </w:tblPr>
      <w:tblGrid>
        <w:gridCol w:w="2037"/>
        <w:gridCol w:w="272"/>
        <w:gridCol w:w="7468"/>
      </w:tblGrid>
      <w:tr w:rsidR="0008794F" w:rsidRPr="003D78A5" w:rsidTr="002A4360">
        <w:tc>
          <w:tcPr>
            <w:tcW w:w="1042" w:type="pct"/>
          </w:tcPr>
          <w:p w:rsidR="0008794F" w:rsidRPr="00602D1D" w:rsidRDefault="00322B77" w:rsidP="002A4360">
            <w:pPr>
              <w:spacing w:line="240" w:lineRule="auto"/>
              <w:rPr>
                <w:color w:val="000000"/>
                <w:sz w:val="16"/>
                <w:szCs w:val="16"/>
              </w:rPr>
            </w:pPr>
            <w:r>
              <w:rPr>
                <w:color w:val="000000"/>
                <w:sz w:val="16"/>
                <w:szCs w:val="16"/>
              </w:rPr>
              <w:t xml:space="preserve">Slovensko rostlo </w:t>
            </w:r>
            <w:r w:rsidR="0008794F">
              <w:rPr>
                <w:color w:val="000000"/>
                <w:sz w:val="16"/>
                <w:szCs w:val="16"/>
              </w:rPr>
              <w:t>v průměru ročně v letech 2004-2014 nejrychleji v Evropě…</w:t>
            </w:r>
          </w:p>
        </w:tc>
        <w:tc>
          <w:tcPr>
            <w:tcW w:w="139" w:type="pct"/>
          </w:tcPr>
          <w:p w:rsidR="0008794F" w:rsidRDefault="0008794F" w:rsidP="002A4360">
            <w:pPr>
              <w:pStyle w:val="Textpoznpodarou"/>
              <w:jc w:val="both"/>
            </w:pPr>
          </w:p>
        </w:tc>
        <w:tc>
          <w:tcPr>
            <w:tcW w:w="3819" w:type="pct"/>
          </w:tcPr>
          <w:p w:rsidR="0008794F" w:rsidRPr="00997EEB" w:rsidRDefault="0008794F" w:rsidP="00F256F6">
            <w:pPr>
              <w:pStyle w:val="Textpoznpodarou"/>
              <w:jc w:val="both"/>
              <w:rPr>
                <w:color w:val="000000"/>
                <w:spacing w:val="-6"/>
              </w:rPr>
            </w:pPr>
            <w:r>
              <w:rPr>
                <w:color w:val="000000"/>
                <w:spacing w:val="-6"/>
              </w:rPr>
              <w:t xml:space="preserve">Slovenská ekonomika rostla nejrychleji oproti ČR a Rakousku zejména po roce 2004, kdy se její HDP každoročně až do roku 2014 zvyšoval o 4 %. Během těchto let byla z pohledu růstové dynamiky HDP vůbec nejrychlejší evropskou zemí (graf 18). </w:t>
            </w:r>
          </w:p>
          <w:p w:rsidR="0008794F" w:rsidRPr="003D78A5" w:rsidRDefault="0008794F" w:rsidP="00F256F6">
            <w:pPr>
              <w:pStyle w:val="Textpoznpodarou"/>
              <w:jc w:val="both"/>
              <w:rPr>
                <w:color w:val="000000"/>
                <w:spacing w:val="-6"/>
              </w:rPr>
            </w:pPr>
          </w:p>
        </w:tc>
      </w:tr>
      <w:tr w:rsidR="0008794F" w:rsidRPr="003D78A5" w:rsidTr="00C32552">
        <w:tc>
          <w:tcPr>
            <w:tcW w:w="1042" w:type="pct"/>
          </w:tcPr>
          <w:p w:rsidR="0008794F" w:rsidRPr="00602D1D" w:rsidRDefault="0008794F" w:rsidP="00F256F6">
            <w:pPr>
              <w:spacing w:line="240" w:lineRule="auto"/>
              <w:rPr>
                <w:color w:val="000000"/>
                <w:sz w:val="16"/>
                <w:szCs w:val="16"/>
              </w:rPr>
            </w:pPr>
            <w:r>
              <w:rPr>
                <w:color w:val="000000"/>
                <w:sz w:val="16"/>
                <w:szCs w:val="16"/>
              </w:rPr>
              <w:t>…díky vstupu do EI v kombinaci s uskutečněnými reformami</w:t>
            </w:r>
          </w:p>
        </w:tc>
        <w:tc>
          <w:tcPr>
            <w:tcW w:w="139" w:type="pct"/>
          </w:tcPr>
          <w:p w:rsidR="0008794F" w:rsidRDefault="0008794F" w:rsidP="00F256F6">
            <w:pPr>
              <w:pStyle w:val="Textpoznpodarou"/>
              <w:jc w:val="both"/>
            </w:pPr>
          </w:p>
        </w:tc>
        <w:tc>
          <w:tcPr>
            <w:tcW w:w="3819" w:type="pct"/>
          </w:tcPr>
          <w:p w:rsidR="0008794F" w:rsidRPr="00997EEB" w:rsidRDefault="0008794F" w:rsidP="00F256F6">
            <w:pPr>
              <w:pStyle w:val="Textpoznpodarou"/>
              <w:jc w:val="both"/>
              <w:rPr>
                <w:color w:val="000000"/>
                <w:spacing w:val="-6"/>
              </w:rPr>
            </w:pPr>
            <w:r>
              <w:rPr>
                <w:color w:val="000000"/>
                <w:spacing w:val="-6"/>
              </w:rPr>
              <w:t>Podle růstové dynamiky za roky členství Slovenska v</w:t>
            </w:r>
            <w:r w:rsidR="004C5160">
              <w:rPr>
                <w:color w:val="000000"/>
                <w:spacing w:val="-6"/>
              </w:rPr>
              <w:t> </w:t>
            </w:r>
            <w:r>
              <w:rPr>
                <w:color w:val="000000"/>
                <w:spacing w:val="-6"/>
              </w:rPr>
              <w:t>EU</w:t>
            </w:r>
            <w:r w:rsidR="004C5160">
              <w:rPr>
                <w:color w:val="000000"/>
                <w:spacing w:val="-6"/>
              </w:rPr>
              <w:t xml:space="preserve">, která  </w:t>
            </w:r>
            <w:proofErr w:type="gramStart"/>
            <w:r w:rsidR="004C5160">
              <w:rPr>
                <w:color w:val="000000"/>
                <w:spacing w:val="-6"/>
              </w:rPr>
              <w:t>byla</w:t>
            </w:r>
            <w:proofErr w:type="gramEnd"/>
            <w:r>
              <w:rPr>
                <w:color w:val="000000"/>
                <w:spacing w:val="-6"/>
              </w:rPr>
              <w:t xml:space="preserve"> </w:t>
            </w:r>
            <w:r w:rsidR="004C5160">
              <w:rPr>
                <w:color w:val="000000"/>
                <w:spacing w:val="-6"/>
              </w:rPr>
              <w:t xml:space="preserve">nejrychlejší v Evropě </w:t>
            </w:r>
            <w:r>
              <w:rPr>
                <w:color w:val="000000"/>
                <w:spacing w:val="-6"/>
              </w:rPr>
              <w:t xml:space="preserve">se </w:t>
            </w:r>
            <w:proofErr w:type="gramStart"/>
            <w:r>
              <w:rPr>
                <w:color w:val="000000"/>
                <w:spacing w:val="-6"/>
              </w:rPr>
              <w:t>může</w:t>
            </w:r>
            <w:proofErr w:type="gramEnd"/>
            <w:r>
              <w:rPr>
                <w:color w:val="000000"/>
                <w:spacing w:val="-6"/>
              </w:rPr>
              <w:t xml:space="preserve"> zdát, že tato země ze vstupu do EU </w:t>
            </w:r>
            <w:r w:rsidR="00322B77">
              <w:rPr>
                <w:color w:val="000000"/>
                <w:spacing w:val="-6"/>
              </w:rPr>
              <w:t>získala</w:t>
            </w:r>
            <w:r>
              <w:rPr>
                <w:color w:val="000000"/>
                <w:spacing w:val="-6"/>
              </w:rPr>
              <w:t xml:space="preserve"> nejvíce. Na Slovensku však </w:t>
            </w:r>
            <w:r>
              <w:rPr>
                <w:color w:val="000000"/>
                <w:spacing w:val="-6"/>
              </w:rPr>
              <w:lastRenderedPageBreak/>
              <w:t>rovněž v tomto období proběhly reformy týkající se zdravotní a penzijní oblasti i celá řada dalších reforem, především daňových či s daněmi spojených (např. zavedení kontroly odv</w:t>
            </w:r>
            <w:r w:rsidR="00AE1A78">
              <w:rPr>
                <w:color w:val="000000"/>
                <w:spacing w:val="-6"/>
              </w:rPr>
              <w:t xml:space="preserve">ádění </w:t>
            </w:r>
            <w:r>
              <w:rPr>
                <w:color w:val="000000"/>
                <w:spacing w:val="-6"/>
              </w:rPr>
              <w:t xml:space="preserve">DPH z tržeb přes tzv. </w:t>
            </w:r>
            <w:r w:rsidR="00322B77">
              <w:rPr>
                <w:color w:val="000000"/>
                <w:spacing w:val="-6"/>
              </w:rPr>
              <w:t>r</w:t>
            </w:r>
            <w:r>
              <w:rPr>
                <w:color w:val="000000"/>
                <w:spacing w:val="-6"/>
              </w:rPr>
              <w:t xml:space="preserve">egistrační pokladny). </w:t>
            </w:r>
          </w:p>
          <w:p w:rsidR="0008794F" w:rsidRPr="00960BD9" w:rsidRDefault="0008794F" w:rsidP="00F256F6">
            <w:pPr>
              <w:pStyle w:val="Textpoznpodarou"/>
              <w:jc w:val="both"/>
              <w:rPr>
                <w:color w:val="000000"/>
                <w:spacing w:val="-6"/>
                <w:sz w:val="16"/>
                <w:szCs w:val="16"/>
              </w:rPr>
            </w:pPr>
          </w:p>
        </w:tc>
      </w:tr>
      <w:tr w:rsidR="0008794F" w:rsidRPr="003D78A5" w:rsidTr="00C32552">
        <w:tc>
          <w:tcPr>
            <w:tcW w:w="1042" w:type="pct"/>
          </w:tcPr>
          <w:p w:rsidR="0008794F" w:rsidRPr="00602D1D" w:rsidRDefault="0008794F" w:rsidP="00F256F6">
            <w:pPr>
              <w:spacing w:line="240" w:lineRule="auto"/>
              <w:rPr>
                <w:color w:val="000000"/>
                <w:sz w:val="16"/>
                <w:szCs w:val="16"/>
              </w:rPr>
            </w:pPr>
            <w:r>
              <w:rPr>
                <w:color w:val="000000"/>
                <w:sz w:val="16"/>
                <w:szCs w:val="16"/>
              </w:rPr>
              <w:lastRenderedPageBreak/>
              <w:t>ČR si za roky 2004-2014 „polepšila“ v pořadí z</w:t>
            </w:r>
            <w:r w:rsidR="00322B77">
              <w:rPr>
                <w:color w:val="000000"/>
                <w:sz w:val="16"/>
                <w:szCs w:val="16"/>
              </w:rPr>
              <w:t>emí EU řazených podle meziroční</w:t>
            </w:r>
            <w:r>
              <w:rPr>
                <w:color w:val="000000"/>
                <w:sz w:val="16"/>
                <w:szCs w:val="16"/>
              </w:rPr>
              <w:t xml:space="preserve"> rychlosti růstu… </w:t>
            </w:r>
          </w:p>
        </w:tc>
        <w:tc>
          <w:tcPr>
            <w:tcW w:w="139" w:type="pct"/>
          </w:tcPr>
          <w:p w:rsidR="0008794F" w:rsidRDefault="0008794F" w:rsidP="00F256F6">
            <w:pPr>
              <w:pStyle w:val="Textpoznpodarou"/>
              <w:jc w:val="both"/>
            </w:pPr>
          </w:p>
        </w:tc>
        <w:tc>
          <w:tcPr>
            <w:tcW w:w="3819" w:type="pct"/>
          </w:tcPr>
          <w:p w:rsidR="0008794F" w:rsidRPr="001873E2" w:rsidRDefault="0008794F" w:rsidP="00F256F6">
            <w:pPr>
              <w:pStyle w:val="Textpoznpodarou"/>
              <w:jc w:val="both"/>
              <w:rPr>
                <w:color w:val="000000"/>
                <w:spacing w:val="-6"/>
              </w:rPr>
            </w:pPr>
            <w:r>
              <w:rPr>
                <w:color w:val="000000"/>
                <w:spacing w:val="-6"/>
              </w:rPr>
              <w:t xml:space="preserve">Česká republika si během let 2004-2014 rovněž polepšila, pokud jde o pozici v žebříčku zemí Evropy seřazených podle meziročních temp růstu. Zatímco v období 1998-2004 byla na 20. místě, za období 2004-2014 na 11. místě. </w:t>
            </w:r>
          </w:p>
          <w:p w:rsidR="0008794F" w:rsidRPr="00960BD9" w:rsidRDefault="0008794F" w:rsidP="00AB02AE">
            <w:pPr>
              <w:pStyle w:val="Textpoznpodarou"/>
              <w:jc w:val="both"/>
              <w:rPr>
                <w:color w:val="000000"/>
                <w:spacing w:val="-6"/>
                <w:sz w:val="18"/>
                <w:szCs w:val="18"/>
              </w:rPr>
            </w:pPr>
          </w:p>
        </w:tc>
      </w:tr>
      <w:tr w:rsidR="0008794F" w:rsidRPr="003D78A5" w:rsidTr="00AB454F">
        <w:tc>
          <w:tcPr>
            <w:tcW w:w="1042" w:type="pct"/>
          </w:tcPr>
          <w:p w:rsidR="0008794F" w:rsidRPr="00602D1D" w:rsidRDefault="0008794F" w:rsidP="00F256F6">
            <w:pPr>
              <w:spacing w:line="240" w:lineRule="auto"/>
              <w:rPr>
                <w:color w:val="000000"/>
                <w:sz w:val="16"/>
                <w:szCs w:val="16"/>
              </w:rPr>
            </w:pPr>
            <w:r>
              <w:rPr>
                <w:color w:val="000000"/>
                <w:sz w:val="16"/>
                <w:szCs w:val="16"/>
              </w:rPr>
              <w:t>… i přesto, že průměrná meziroční dynamika v letech 2004-2014 byla v</w:t>
            </w:r>
            <w:r w:rsidR="00322B77">
              <w:rPr>
                <w:color w:val="000000"/>
                <w:sz w:val="16"/>
                <w:szCs w:val="16"/>
              </w:rPr>
              <w:t xml:space="preserve"> </w:t>
            </w:r>
            <w:r>
              <w:rPr>
                <w:color w:val="000000"/>
                <w:sz w:val="16"/>
                <w:szCs w:val="16"/>
              </w:rPr>
              <w:t xml:space="preserve">ČR pomalejší než za roky 1998-2004 </w:t>
            </w:r>
          </w:p>
        </w:tc>
        <w:tc>
          <w:tcPr>
            <w:tcW w:w="139" w:type="pct"/>
          </w:tcPr>
          <w:p w:rsidR="0008794F" w:rsidRDefault="0008794F" w:rsidP="00F256F6">
            <w:pPr>
              <w:pStyle w:val="Textpoznpodarou"/>
              <w:jc w:val="both"/>
            </w:pPr>
          </w:p>
        </w:tc>
        <w:tc>
          <w:tcPr>
            <w:tcW w:w="3819" w:type="pct"/>
          </w:tcPr>
          <w:p w:rsidR="0008794F" w:rsidRDefault="0008794F" w:rsidP="00AB02AE">
            <w:pPr>
              <w:pStyle w:val="Textpoznpodarou"/>
              <w:jc w:val="both"/>
              <w:rPr>
                <w:color w:val="000000"/>
                <w:spacing w:val="-6"/>
              </w:rPr>
            </w:pPr>
            <w:r>
              <w:rPr>
                <w:color w:val="000000"/>
                <w:spacing w:val="-6"/>
              </w:rPr>
              <w:t>Jistý paradox této pozitivní změny spočívá v tom, že ke zlepšení pozice v žebříčku zemí došlo i přesto, že průměrná růstová dynamika České republiky za období 2004-2014 (+2,4 %) byla mí</w:t>
            </w:r>
            <w:r w:rsidR="004C5160">
              <w:rPr>
                <w:color w:val="000000"/>
                <w:spacing w:val="-6"/>
              </w:rPr>
              <w:t>r</w:t>
            </w:r>
            <w:r>
              <w:rPr>
                <w:color w:val="000000"/>
                <w:spacing w:val="-6"/>
              </w:rPr>
              <w:t xml:space="preserve">ně slabší než růstová dynamika z let 1998-2004 (+2,7 %.). Důvod lze najít v  tom, že země prošla stejně jako drtivá většina zemí EU krizí v roce 2009, a to s dopadem mírně horším než průměr Unie (-4,8 % y/y proti -4,4 % y/y v EU 28). Navíc ale poznamenala ekonomiku ČR recese let 2012-2013, kterou co do délky </w:t>
            </w:r>
            <w:r w:rsidR="0048697B">
              <w:rPr>
                <w:color w:val="000000"/>
                <w:spacing w:val="-6"/>
              </w:rPr>
              <w:t xml:space="preserve">(počtu </w:t>
            </w:r>
            <w:r>
              <w:rPr>
                <w:color w:val="000000"/>
                <w:spacing w:val="-6"/>
              </w:rPr>
              <w:t>čtvrtletí s</w:t>
            </w:r>
            <w:r w:rsidR="0048697B">
              <w:rPr>
                <w:color w:val="000000"/>
                <w:spacing w:val="-6"/>
              </w:rPr>
              <w:t> </w:t>
            </w:r>
            <w:r>
              <w:rPr>
                <w:color w:val="000000"/>
                <w:spacing w:val="-6"/>
              </w:rPr>
              <w:t>poklesy</w:t>
            </w:r>
            <w:r w:rsidR="0048697B">
              <w:rPr>
                <w:color w:val="000000"/>
                <w:spacing w:val="-6"/>
              </w:rPr>
              <w:t>)</w:t>
            </w:r>
            <w:r>
              <w:rPr>
                <w:color w:val="000000"/>
                <w:spacing w:val="-6"/>
              </w:rPr>
              <w:t xml:space="preserve"> také naprostá většina zemí Evropy neznamenala. </w:t>
            </w:r>
          </w:p>
          <w:p w:rsidR="0008794F" w:rsidRPr="00986971" w:rsidRDefault="0008794F" w:rsidP="00AB02AE">
            <w:pPr>
              <w:pStyle w:val="Textpoznpodarou"/>
              <w:jc w:val="both"/>
              <w:rPr>
                <w:color w:val="000000"/>
                <w:spacing w:val="-6"/>
                <w:sz w:val="12"/>
                <w:szCs w:val="12"/>
              </w:rPr>
            </w:pPr>
          </w:p>
          <w:p w:rsidR="0008794F" w:rsidRPr="00986971" w:rsidRDefault="0008794F" w:rsidP="00AB02AE">
            <w:pPr>
              <w:pStyle w:val="Textpoznpodarou"/>
              <w:jc w:val="both"/>
              <w:rPr>
                <w:color w:val="000000"/>
                <w:spacing w:val="-6"/>
              </w:rPr>
            </w:pPr>
            <w:r w:rsidRPr="00986971">
              <w:rPr>
                <w:color w:val="000000"/>
                <w:spacing w:val="-6"/>
              </w:rPr>
              <w:t>Na druhé straně vah pak co se vývoje Č</w:t>
            </w:r>
            <w:r w:rsidR="0048697B">
              <w:rPr>
                <w:color w:val="000000"/>
                <w:spacing w:val="-6"/>
              </w:rPr>
              <w:t xml:space="preserve">R </w:t>
            </w:r>
            <w:r w:rsidRPr="00986971">
              <w:rPr>
                <w:color w:val="000000"/>
                <w:spacing w:val="-6"/>
              </w:rPr>
              <w:t>po roce 2004 týká, stojí eviden</w:t>
            </w:r>
            <w:r>
              <w:rPr>
                <w:color w:val="000000"/>
                <w:spacing w:val="-6"/>
              </w:rPr>
              <w:t>tn</w:t>
            </w:r>
            <w:r w:rsidRPr="00986971">
              <w:rPr>
                <w:color w:val="000000"/>
                <w:spacing w:val="-6"/>
              </w:rPr>
              <w:t>í přínosy ze vstupu země do EU projevující se odbour</w:t>
            </w:r>
            <w:r w:rsidR="0048697B">
              <w:rPr>
                <w:color w:val="000000"/>
                <w:spacing w:val="-6"/>
              </w:rPr>
              <w:t>áním administrativních překážek</w:t>
            </w:r>
            <w:r w:rsidRPr="00986971">
              <w:rPr>
                <w:color w:val="000000"/>
                <w:spacing w:val="-6"/>
              </w:rPr>
              <w:t xml:space="preserve"> obchodu, jeho </w:t>
            </w:r>
            <w:r w:rsidR="0048697B">
              <w:rPr>
                <w:color w:val="000000"/>
                <w:spacing w:val="-6"/>
              </w:rPr>
              <w:t>rychlé tempo růstu (</w:t>
            </w:r>
            <w:r w:rsidRPr="00986971">
              <w:rPr>
                <w:color w:val="000000"/>
                <w:spacing w:val="-6"/>
              </w:rPr>
              <w:t>totéž plat</w:t>
            </w:r>
            <w:r w:rsidR="0048697B">
              <w:rPr>
                <w:color w:val="000000"/>
                <w:spacing w:val="-6"/>
              </w:rPr>
              <w:t>ilo</w:t>
            </w:r>
            <w:r w:rsidRPr="00986971">
              <w:rPr>
                <w:color w:val="000000"/>
                <w:spacing w:val="-6"/>
              </w:rPr>
              <w:t xml:space="preserve"> i pro SR</w:t>
            </w:r>
            <w:r w:rsidR="0048697B">
              <w:rPr>
                <w:color w:val="000000"/>
                <w:spacing w:val="-6"/>
              </w:rPr>
              <w:t>)</w:t>
            </w:r>
            <w:r w:rsidRPr="00986971">
              <w:rPr>
                <w:color w:val="000000"/>
                <w:spacing w:val="-6"/>
              </w:rPr>
              <w:t xml:space="preserve">. </w:t>
            </w:r>
            <w:r w:rsidRPr="0048697B">
              <w:rPr>
                <w:color w:val="000000"/>
              </w:rPr>
              <w:t xml:space="preserve">Přínosem byl po vstupu </w:t>
            </w:r>
            <w:r w:rsidR="0048697B">
              <w:rPr>
                <w:color w:val="000000"/>
              </w:rPr>
              <w:t>(</w:t>
            </w:r>
            <w:r w:rsidRPr="0048697B">
              <w:rPr>
                <w:color w:val="000000"/>
              </w:rPr>
              <w:t>opět jako pro SR</w:t>
            </w:r>
            <w:r w:rsidR="0048697B">
              <w:rPr>
                <w:color w:val="000000"/>
              </w:rPr>
              <w:t>)</w:t>
            </w:r>
            <w:r w:rsidRPr="0048697B">
              <w:rPr>
                <w:color w:val="000000"/>
              </w:rPr>
              <w:t xml:space="preserve"> přístup k rozpočtu EU, kdy čerpání peněz především ze strukturálních evropských fondů získal kromě Prahy každý z regionů NUTS 2 v</w:t>
            </w:r>
            <w:r w:rsidR="0048697B" w:rsidRPr="0048697B">
              <w:rPr>
                <w:color w:val="000000"/>
              </w:rPr>
              <w:t> </w:t>
            </w:r>
            <w:r w:rsidRPr="0048697B">
              <w:rPr>
                <w:color w:val="000000"/>
              </w:rPr>
              <w:t>ČR</w:t>
            </w:r>
            <w:r w:rsidR="0048697B" w:rsidRPr="0048697B">
              <w:rPr>
                <w:color w:val="000000"/>
              </w:rPr>
              <w:t xml:space="preserve"> a pak také pokračující příliv přímých investic reagující na zvýšení atraktivity ČR jako členské země EU.</w:t>
            </w:r>
            <w:r w:rsidRPr="00986971">
              <w:rPr>
                <w:color w:val="000000"/>
                <w:spacing w:val="-6"/>
              </w:rPr>
              <w:t xml:space="preserve"> </w:t>
            </w:r>
          </w:p>
          <w:p w:rsidR="0008794F" w:rsidRPr="00960BD9" w:rsidRDefault="0008794F" w:rsidP="00AB02AE">
            <w:pPr>
              <w:pStyle w:val="Textpoznpodarou"/>
              <w:jc w:val="both"/>
              <w:rPr>
                <w:color w:val="000000"/>
                <w:spacing w:val="-6"/>
                <w:sz w:val="18"/>
                <w:szCs w:val="18"/>
              </w:rPr>
            </w:pPr>
          </w:p>
        </w:tc>
      </w:tr>
      <w:tr w:rsidR="0008794F" w:rsidRPr="003D78A5" w:rsidTr="00AB454F">
        <w:tc>
          <w:tcPr>
            <w:tcW w:w="1042" w:type="pct"/>
          </w:tcPr>
          <w:p w:rsidR="0008794F" w:rsidRDefault="0008794F" w:rsidP="00F256F6">
            <w:pPr>
              <w:spacing w:line="240" w:lineRule="auto"/>
              <w:rPr>
                <w:color w:val="000000"/>
                <w:sz w:val="16"/>
                <w:szCs w:val="16"/>
              </w:rPr>
            </w:pPr>
            <w:r>
              <w:rPr>
                <w:color w:val="000000"/>
                <w:sz w:val="16"/>
                <w:szCs w:val="16"/>
              </w:rPr>
              <w:t xml:space="preserve">Rakousko si vedlo velmi dobře i v situaci, kdy většina starých zemí Unie i skupina EU 15 jako celek v průměru ztrácela dynamiku HDP </w:t>
            </w:r>
          </w:p>
          <w:p w:rsidR="0008794F" w:rsidRDefault="0008794F" w:rsidP="00F256F6">
            <w:pPr>
              <w:spacing w:line="240" w:lineRule="auto"/>
              <w:rPr>
                <w:color w:val="000000"/>
                <w:sz w:val="16"/>
                <w:szCs w:val="16"/>
              </w:rPr>
            </w:pPr>
          </w:p>
          <w:p w:rsidR="0008794F" w:rsidRPr="00602D1D" w:rsidRDefault="0008794F" w:rsidP="00F256F6">
            <w:pPr>
              <w:spacing w:line="240" w:lineRule="auto"/>
              <w:rPr>
                <w:color w:val="000000"/>
                <w:sz w:val="16"/>
                <w:szCs w:val="16"/>
              </w:rPr>
            </w:pPr>
            <w:r>
              <w:rPr>
                <w:color w:val="000000"/>
                <w:sz w:val="16"/>
                <w:szCs w:val="16"/>
              </w:rPr>
              <w:t>Ekonomika Rakouska, stejně jako německá ekonomika těžily zřejmě ze sousedství s novými zeměmi EU - nejen co se týká exportních možností, ale i přílivem pracovníků, kteří v těchto zemích tvořili přidanou hodnotu</w:t>
            </w:r>
          </w:p>
        </w:tc>
        <w:tc>
          <w:tcPr>
            <w:tcW w:w="139" w:type="pct"/>
          </w:tcPr>
          <w:p w:rsidR="0008794F" w:rsidRDefault="0008794F" w:rsidP="00F256F6">
            <w:pPr>
              <w:pStyle w:val="Textpoznpodarou"/>
              <w:jc w:val="both"/>
            </w:pPr>
          </w:p>
        </w:tc>
        <w:tc>
          <w:tcPr>
            <w:tcW w:w="3819" w:type="pct"/>
          </w:tcPr>
          <w:p w:rsidR="0008794F" w:rsidRDefault="0008794F" w:rsidP="00AB02AE">
            <w:pPr>
              <w:pStyle w:val="Textpoznpodarou"/>
              <w:jc w:val="both"/>
              <w:rPr>
                <w:color w:val="000000"/>
                <w:spacing w:val="-6"/>
              </w:rPr>
            </w:pPr>
            <w:r>
              <w:rPr>
                <w:color w:val="000000"/>
                <w:spacing w:val="-6"/>
              </w:rPr>
              <w:t>Výkonnost ekonomiky Rakouska je pozoruhodná v tom, že jak za období po rozšíření Evropské unie o nové země, tak i za celé období 1998-2014, rostl rakouský HDP rychleji než průměr starých zemí</w:t>
            </w:r>
            <w:r w:rsidR="00056451">
              <w:rPr>
                <w:color w:val="000000"/>
                <w:spacing w:val="-6"/>
              </w:rPr>
              <w:t xml:space="preserve"> </w:t>
            </w:r>
            <w:r w:rsidR="00322B77">
              <w:rPr>
                <w:color w:val="000000"/>
                <w:spacing w:val="-6"/>
              </w:rPr>
              <w:t>U</w:t>
            </w:r>
            <w:r>
              <w:rPr>
                <w:color w:val="000000"/>
                <w:spacing w:val="-6"/>
              </w:rPr>
              <w:t xml:space="preserve">nie tj. skupiny EU 15, tak i </w:t>
            </w:r>
            <w:r w:rsidR="00322B77">
              <w:rPr>
                <w:color w:val="000000"/>
                <w:spacing w:val="-6"/>
              </w:rPr>
              <w:t>U</w:t>
            </w:r>
            <w:r>
              <w:rPr>
                <w:color w:val="000000"/>
                <w:spacing w:val="-6"/>
              </w:rPr>
              <w:t xml:space="preserve">nie jako celku tj. EU 28, i když právě </w:t>
            </w:r>
            <w:proofErr w:type="spellStart"/>
            <w:r>
              <w:rPr>
                <w:color w:val="000000"/>
                <w:spacing w:val="-6"/>
              </w:rPr>
              <w:t>celounijní</w:t>
            </w:r>
            <w:proofErr w:type="spellEnd"/>
            <w:r>
              <w:rPr>
                <w:color w:val="000000"/>
                <w:spacing w:val="-6"/>
              </w:rPr>
              <w:t xml:space="preserve"> tempo bylo růstu bylo „podporováno“ rychlou dynamikou vývoje ekonomik nových zemí.</w:t>
            </w:r>
          </w:p>
          <w:p w:rsidR="0008794F" w:rsidRPr="00960BD9" w:rsidRDefault="0008794F" w:rsidP="00AB02AE">
            <w:pPr>
              <w:pStyle w:val="Textpoznpodarou"/>
              <w:jc w:val="both"/>
              <w:rPr>
                <w:color w:val="000000"/>
                <w:spacing w:val="-6"/>
                <w:sz w:val="12"/>
                <w:szCs w:val="12"/>
              </w:rPr>
            </w:pPr>
          </w:p>
          <w:p w:rsidR="0008794F" w:rsidRPr="00997EEB" w:rsidRDefault="0008794F" w:rsidP="00AB02AE">
            <w:pPr>
              <w:pStyle w:val="Textpoznpodarou"/>
              <w:jc w:val="both"/>
              <w:rPr>
                <w:color w:val="000000"/>
                <w:spacing w:val="-6"/>
              </w:rPr>
            </w:pPr>
            <w:r>
              <w:rPr>
                <w:color w:val="000000"/>
                <w:spacing w:val="-6"/>
              </w:rPr>
              <w:t xml:space="preserve">Pozice Rakouska se tak podle průměrných temp růstu za roky 2004-2014 v evropském srovnání rovněž zlepšila. Jestliže za roky 1998-2004 rostl HDP Rakouska průměrným tempem (+2,5 %), které ho řadilo na přelomu druhé a třetí třetiny v pořadí </w:t>
            </w:r>
            <w:r w:rsidR="0048697B">
              <w:rPr>
                <w:color w:val="000000"/>
                <w:spacing w:val="-6"/>
              </w:rPr>
              <w:t xml:space="preserve">dynamiky </w:t>
            </w:r>
            <w:r>
              <w:rPr>
                <w:color w:val="000000"/>
                <w:spacing w:val="-6"/>
              </w:rPr>
              <w:t xml:space="preserve">evropských zemí, pak v letech 2004-2014 se Rakousko dostalo zhruba do jeho poloviny </w:t>
            </w:r>
            <w:r w:rsidR="00322B77">
              <w:rPr>
                <w:color w:val="000000"/>
                <w:spacing w:val="-6"/>
              </w:rPr>
              <w:t xml:space="preserve">tohoto žebříčku </w:t>
            </w:r>
            <w:r>
              <w:rPr>
                <w:color w:val="000000"/>
                <w:spacing w:val="-6"/>
              </w:rPr>
              <w:t>s průměrným tempem růstu 1,4 %.  Patřilo tak spo</w:t>
            </w:r>
            <w:r w:rsidR="004C5160">
              <w:rPr>
                <w:color w:val="000000"/>
                <w:spacing w:val="-6"/>
              </w:rPr>
              <w:t>lu s Německem k několika zemím U</w:t>
            </w:r>
            <w:r>
              <w:rPr>
                <w:color w:val="000000"/>
                <w:spacing w:val="-6"/>
              </w:rPr>
              <w:t xml:space="preserve">nie, kde byl v letech 2006 a 2007 významně dynamizován hospodářský růst a lze soudit, že tomu tak </w:t>
            </w:r>
            <w:r w:rsidR="0048697B">
              <w:rPr>
                <w:color w:val="000000"/>
                <w:spacing w:val="-6"/>
              </w:rPr>
              <w:t>mohlo být</w:t>
            </w:r>
            <w:r>
              <w:rPr>
                <w:color w:val="000000"/>
                <w:spacing w:val="-6"/>
              </w:rPr>
              <w:t xml:space="preserve"> i díky sousedství s novými členskými zeměmi s jejich zesílenou poptávkou po zboží z Německa a Rakouska.  </w:t>
            </w:r>
          </w:p>
          <w:p w:rsidR="0008794F" w:rsidRPr="00960BD9" w:rsidRDefault="0008794F" w:rsidP="00AB02AE">
            <w:pPr>
              <w:pStyle w:val="Textpoznpodarou"/>
              <w:jc w:val="both"/>
              <w:rPr>
                <w:color w:val="000000"/>
                <w:spacing w:val="-6"/>
                <w:sz w:val="18"/>
                <w:szCs w:val="18"/>
              </w:rPr>
            </w:pPr>
          </w:p>
        </w:tc>
      </w:tr>
    </w:tbl>
    <w:p w:rsidR="0008794F" w:rsidRPr="00A14EDC" w:rsidRDefault="0008794F" w:rsidP="002C1F9D">
      <w:r>
        <w:rPr>
          <w:b/>
        </w:rPr>
        <w:t xml:space="preserve">Graf 18: Průměrný meziroční přírůstek HDP reálně v letech 2004-2014 </w:t>
      </w:r>
      <w:r w:rsidRPr="00A14EDC">
        <w:t>(v %)</w:t>
      </w:r>
    </w:p>
    <w:p w:rsidR="0008794F" w:rsidRDefault="00306F79" w:rsidP="002A4360">
      <w:pPr>
        <w:jc w:val="center"/>
      </w:pPr>
      <w:r>
        <w:pict>
          <v:shape id="_x0000_i1042" type="#_x0000_t75" style="width:416.25pt;height:169.5pt">
            <v:imagedata r:id="rId30" o:title=""/>
          </v:shape>
        </w:pict>
      </w:r>
    </w:p>
    <w:p w:rsidR="0008794F" w:rsidRDefault="0008794F" w:rsidP="002A4360">
      <w:pPr>
        <w:jc w:val="right"/>
        <w:rPr>
          <w:sz w:val="18"/>
          <w:szCs w:val="18"/>
        </w:rPr>
      </w:pPr>
      <w:r w:rsidRPr="00A14EDC">
        <w:rPr>
          <w:sz w:val="18"/>
          <w:szCs w:val="18"/>
        </w:rPr>
        <w:t xml:space="preserve">Pramen: </w:t>
      </w:r>
      <w:proofErr w:type="spellStart"/>
      <w:r w:rsidRPr="00A14EDC">
        <w:rPr>
          <w:sz w:val="18"/>
          <w:szCs w:val="18"/>
        </w:rPr>
        <w:t>Eurostat</w:t>
      </w:r>
      <w:proofErr w:type="spellEnd"/>
    </w:p>
    <w:p w:rsidR="0008794F" w:rsidRDefault="0008794F" w:rsidP="00960BD9">
      <w:pPr>
        <w:jc w:val="both"/>
        <w:rPr>
          <w:sz w:val="18"/>
          <w:szCs w:val="18"/>
        </w:rPr>
      </w:pPr>
    </w:p>
    <w:p w:rsidR="0008794F" w:rsidRPr="00960BD9" w:rsidRDefault="0008794F" w:rsidP="00C17DDE">
      <w:pPr>
        <w:numPr>
          <w:ilvl w:val="2"/>
          <w:numId w:val="24"/>
        </w:numPr>
        <w:spacing w:line="240" w:lineRule="auto"/>
        <w:rPr>
          <w:b/>
          <w:color w:val="000000"/>
          <w:spacing w:val="-2"/>
          <w:sz w:val="24"/>
        </w:rPr>
      </w:pPr>
      <w:r w:rsidRPr="00960BD9">
        <w:rPr>
          <w:b/>
          <w:color w:val="000000"/>
          <w:spacing w:val="-2"/>
          <w:sz w:val="24"/>
        </w:rPr>
        <w:t>Vývoj růstu ekonomik ČR, SR a Rakouska v letech 1998-2014</w:t>
      </w:r>
    </w:p>
    <w:p w:rsidR="0008794F" w:rsidRPr="00ED118D" w:rsidRDefault="0008794F" w:rsidP="004C557A">
      <w:pPr>
        <w:jc w:val="both"/>
        <w:rPr>
          <w:sz w:val="12"/>
          <w:szCs w:val="12"/>
        </w:rPr>
      </w:pPr>
    </w:p>
    <w:p w:rsidR="0008794F" w:rsidRPr="00972EB7" w:rsidRDefault="0008794F" w:rsidP="002A4360">
      <w:pPr>
        <w:jc w:val="right"/>
        <w:rPr>
          <w:sz w:val="10"/>
          <w:szCs w:val="10"/>
        </w:rPr>
      </w:pPr>
    </w:p>
    <w:tbl>
      <w:tblPr>
        <w:tblW w:w="5043" w:type="pct"/>
        <w:tblInd w:w="-42" w:type="dxa"/>
        <w:tblCellMar>
          <w:left w:w="28" w:type="dxa"/>
          <w:right w:w="28" w:type="dxa"/>
        </w:tblCellMar>
        <w:tblLook w:val="00A0"/>
      </w:tblPr>
      <w:tblGrid>
        <w:gridCol w:w="2037"/>
        <w:gridCol w:w="272"/>
        <w:gridCol w:w="7468"/>
      </w:tblGrid>
      <w:tr w:rsidR="0008794F" w:rsidRPr="003D78A5" w:rsidTr="00972EB7">
        <w:tc>
          <w:tcPr>
            <w:tcW w:w="1042" w:type="pct"/>
          </w:tcPr>
          <w:p w:rsidR="0008794F" w:rsidRPr="00602D1D" w:rsidRDefault="0008794F" w:rsidP="00322B77">
            <w:pPr>
              <w:spacing w:line="240" w:lineRule="auto"/>
              <w:rPr>
                <w:color w:val="000000"/>
                <w:sz w:val="16"/>
                <w:szCs w:val="16"/>
              </w:rPr>
            </w:pPr>
            <w:r>
              <w:rPr>
                <w:color w:val="000000"/>
                <w:sz w:val="16"/>
                <w:szCs w:val="16"/>
              </w:rPr>
              <w:t>Č</w:t>
            </w:r>
            <w:r w:rsidR="00322B77">
              <w:rPr>
                <w:color w:val="000000"/>
                <w:sz w:val="16"/>
                <w:szCs w:val="16"/>
              </w:rPr>
              <w:t>R</w:t>
            </w:r>
            <w:r>
              <w:rPr>
                <w:color w:val="000000"/>
                <w:sz w:val="16"/>
                <w:szCs w:val="16"/>
              </w:rPr>
              <w:t xml:space="preserve"> byla podle průměrného meziročního růstu své ekonomiky za roky 1998-2014 v pořadí zemí EU třináctá - průměrný roční </w:t>
            </w:r>
            <w:r>
              <w:rPr>
                <w:color w:val="000000"/>
                <w:sz w:val="16"/>
                <w:szCs w:val="16"/>
              </w:rPr>
              <w:lastRenderedPageBreak/>
              <w:t>růst byl jak za roky 2004-2014, tak za celé sledované období 1998-2014 stejný, tj. +2,4 %; v naději na příznivější výsledek ji „diskvalifikovaly“ dvě období recese</w:t>
            </w:r>
          </w:p>
        </w:tc>
        <w:tc>
          <w:tcPr>
            <w:tcW w:w="139" w:type="pct"/>
          </w:tcPr>
          <w:p w:rsidR="0008794F" w:rsidRDefault="0008794F" w:rsidP="00F256F6">
            <w:pPr>
              <w:pStyle w:val="Textpoznpodarou"/>
              <w:jc w:val="both"/>
            </w:pPr>
          </w:p>
        </w:tc>
        <w:tc>
          <w:tcPr>
            <w:tcW w:w="3819" w:type="pct"/>
          </w:tcPr>
          <w:p w:rsidR="0008794F" w:rsidRDefault="0008794F" w:rsidP="00B72B1E">
            <w:pPr>
              <w:pStyle w:val="Textpoznpodarou"/>
              <w:jc w:val="both"/>
              <w:rPr>
                <w:color w:val="000000"/>
                <w:spacing w:val="-6"/>
              </w:rPr>
            </w:pPr>
            <w:r>
              <w:rPr>
                <w:color w:val="000000"/>
                <w:spacing w:val="-6"/>
              </w:rPr>
              <w:t>Česká republika si v průběhu času polepšila, pokud jde o pozici v žebříčku zemí Evropy seřazených podle průměrných meziročních temp růstu. V  letech 1998-2014 byla až ve druhé polovině žebříčku zemí Evropy, za ob</w:t>
            </w:r>
            <w:r w:rsidR="0048697B">
              <w:rPr>
                <w:color w:val="000000"/>
                <w:spacing w:val="-6"/>
              </w:rPr>
              <w:t>dobí 2004-2014 pak na 11. místě. V</w:t>
            </w:r>
            <w:r>
              <w:rPr>
                <w:color w:val="000000"/>
                <w:spacing w:val="-6"/>
              </w:rPr>
              <w:t xml:space="preserve"> úhrnu let 1998-2014 </w:t>
            </w:r>
            <w:r w:rsidR="0048697B">
              <w:rPr>
                <w:color w:val="000000"/>
                <w:spacing w:val="-6"/>
              </w:rPr>
              <w:t xml:space="preserve">ji </w:t>
            </w:r>
            <w:r>
              <w:rPr>
                <w:color w:val="000000"/>
                <w:spacing w:val="-6"/>
              </w:rPr>
              <w:t>průměr</w:t>
            </w:r>
            <w:r w:rsidR="0048697B">
              <w:rPr>
                <w:color w:val="000000"/>
                <w:spacing w:val="-6"/>
              </w:rPr>
              <w:t>ný</w:t>
            </w:r>
            <w:r>
              <w:rPr>
                <w:color w:val="000000"/>
                <w:spacing w:val="-6"/>
              </w:rPr>
              <w:t xml:space="preserve"> růst HDP zařadil na 13. místo </w:t>
            </w:r>
            <w:r w:rsidR="0048697B">
              <w:rPr>
                <w:color w:val="000000"/>
                <w:spacing w:val="-6"/>
              </w:rPr>
              <w:t>v</w:t>
            </w:r>
            <w:r>
              <w:rPr>
                <w:color w:val="000000"/>
                <w:spacing w:val="-6"/>
              </w:rPr>
              <w:t xml:space="preserve"> EU 28</w:t>
            </w:r>
            <w:r w:rsidR="0048697B">
              <w:rPr>
                <w:color w:val="000000"/>
                <w:spacing w:val="-6"/>
              </w:rPr>
              <w:t xml:space="preserve"> - </w:t>
            </w:r>
            <w:r>
              <w:rPr>
                <w:color w:val="000000"/>
                <w:spacing w:val="-6"/>
              </w:rPr>
              <w:t xml:space="preserve">zůstal jak za období po </w:t>
            </w:r>
            <w:r>
              <w:rPr>
                <w:color w:val="000000"/>
                <w:spacing w:val="-6"/>
              </w:rPr>
              <w:lastRenderedPageBreak/>
              <w:t xml:space="preserve">vstupu do Unie, tak za celé období 1998-2014 stejný, tj. v průměru +2,4 %. </w:t>
            </w:r>
          </w:p>
          <w:p w:rsidR="0008794F" w:rsidRPr="00960BD9" w:rsidRDefault="0008794F" w:rsidP="00B72B1E">
            <w:pPr>
              <w:pStyle w:val="Textpoznpodarou"/>
              <w:jc w:val="both"/>
              <w:rPr>
                <w:color w:val="000000"/>
                <w:spacing w:val="-6"/>
                <w:sz w:val="12"/>
                <w:szCs w:val="12"/>
              </w:rPr>
            </w:pPr>
          </w:p>
          <w:p w:rsidR="0008794F" w:rsidRPr="00997EEB" w:rsidRDefault="0008794F" w:rsidP="00B72B1E">
            <w:pPr>
              <w:pStyle w:val="Textpoznpodarou"/>
              <w:jc w:val="both"/>
              <w:rPr>
                <w:color w:val="000000"/>
                <w:spacing w:val="-6"/>
              </w:rPr>
            </w:pPr>
            <w:r>
              <w:rPr>
                <w:color w:val="000000"/>
                <w:spacing w:val="-6"/>
              </w:rPr>
              <w:t xml:space="preserve">Přitom jak na počátku, tak i na konci celého sledovaného období 1998-2004  „diskvalifikovaly“ </w:t>
            </w:r>
            <w:r w:rsidR="00322B77">
              <w:rPr>
                <w:color w:val="000000"/>
                <w:spacing w:val="-6"/>
              </w:rPr>
              <w:t xml:space="preserve">ČR </w:t>
            </w:r>
            <w:r>
              <w:rPr>
                <w:color w:val="000000"/>
                <w:spacing w:val="-6"/>
              </w:rPr>
              <w:t>pokud jde o příznivější výsledek dvě recese - ta s přesahem do roku 1997 snížila HDP ČR o 0,7 %, resp. o 0,3 % v roce 2008, recese z let 2012 a 2013 snížila meziročně výkon české ekonomiky o 0,9 % a 0,5 %. Oživení přinesl až rok 2014 (+2 % y/y), po němž následoval výrazn</w:t>
            </w:r>
            <w:r w:rsidR="00322B77">
              <w:rPr>
                <w:color w:val="000000"/>
                <w:spacing w:val="-6"/>
              </w:rPr>
              <w:t>ý</w:t>
            </w:r>
            <w:r>
              <w:rPr>
                <w:color w:val="000000"/>
                <w:spacing w:val="-6"/>
              </w:rPr>
              <w:t xml:space="preserve"> meziroční růst v roce 2015 se tempy HDP ve třech čtvrtletích 2015 vyššími než 4 %.    </w:t>
            </w:r>
          </w:p>
          <w:p w:rsidR="0008794F" w:rsidRPr="00ED118D" w:rsidRDefault="0008794F" w:rsidP="00FC09F4">
            <w:pPr>
              <w:pStyle w:val="Textpoznpodarou"/>
              <w:jc w:val="both"/>
              <w:rPr>
                <w:color w:val="000000"/>
                <w:spacing w:val="-6"/>
                <w:sz w:val="16"/>
                <w:szCs w:val="16"/>
              </w:rPr>
            </w:pPr>
          </w:p>
        </w:tc>
      </w:tr>
      <w:tr w:rsidR="0008794F" w:rsidRPr="003D78A5" w:rsidTr="00675D35">
        <w:tc>
          <w:tcPr>
            <w:tcW w:w="1042" w:type="pct"/>
          </w:tcPr>
          <w:p w:rsidR="0008794F" w:rsidRPr="00602D1D" w:rsidRDefault="0008794F" w:rsidP="00F256F6">
            <w:pPr>
              <w:spacing w:line="240" w:lineRule="auto"/>
              <w:rPr>
                <w:color w:val="000000"/>
                <w:sz w:val="16"/>
                <w:szCs w:val="16"/>
              </w:rPr>
            </w:pPr>
            <w:r>
              <w:rPr>
                <w:color w:val="000000"/>
                <w:sz w:val="16"/>
                <w:szCs w:val="16"/>
              </w:rPr>
              <w:lastRenderedPageBreak/>
              <w:t>Rakousko bylo v letech 1998-2014 jednou z nejstabilnějších zemí Unie - jeho HDP začal významněji zpomalovat až v letech 2013-2014</w:t>
            </w:r>
          </w:p>
        </w:tc>
        <w:tc>
          <w:tcPr>
            <w:tcW w:w="139" w:type="pct"/>
          </w:tcPr>
          <w:p w:rsidR="0008794F" w:rsidRDefault="0008794F" w:rsidP="00F256F6">
            <w:pPr>
              <w:pStyle w:val="Textpoznpodarou"/>
              <w:jc w:val="both"/>
            </w:pPr>
          </w:p>
        </w:tc>
        <w:tc>
          <w:tcPr>
            <w:tcW w:w="3819" w:type="pct"/>
          </w:tcPr>
          <w:p w:rsidR="0008794F" w:rsidRPr="00356033" w:rsidRDefault="0008794F" w:rsidP="00F256F6">
            <w:pPr>
              <w:pStyle w:val="Textpoznpodarou"/>
              <w:jc w:val="both"/>
              <w:rPr>
                <w:color w:val="000000"/>
                <w:spacing w:val="-6"/>
              </w:rPr>
            </w:pPr>
            <w:r w:rsidRPr="00356033">
              <w:rPr>
                <w:color w:val="000000"/>
                <w:spacing w:val="-6"/>
              </w:rPr>
              <w:t>Rakousko patřilo za celé období 1998-2014 k nejstabilnějším zemím Unie s růstem vyšším než kolik či</w:t>
            </w:r>
            <w:r>
              <w:rPr>
                <w:color w:val="000000"/>
                <w:spacing w:val="-6"/>
              </w:rPr>
              <w:t xml:space="preserve">nil </w:t>
            </w:r>
            <w:r w:rsidR="00322B77">
              <w:rPr>
                <w:color w:val="000000"/>
                <w:spacing w:val="-6"/>
              </w:rPr>
              <w:t>unijní</w:t>
            </w:r>
            <w:r>
              <w:rPr>
                <w:color w:val="000000"/>
                <w:spacing w:val="-6"/>
              </w:rPr>
              <w:t xml:space="preserve"> průměr (+1,8 % oproti </w:t>
            </w:r>
            <w:r w:rsidRPr="00356033">
              <w:rPr>
                <w:color w:val="000000"/>
                <w:spacing w:val="-6"/>
              </w:rPr>
              <w:t>+1,6 %). V letech 2013 a 2014 však začala rakouská ekonomika ztrácet na tempu. V </w:t>
            </w:r>
            <w:r>
              <w:rPr>
                <w:color w:val="000000"/>
                <w:spacing w:val="-6"/>
              </w:rPr>
              <w:t xml:space="preserve">roce 2013 vykázala stejně jako </w:t>
            </w:r>
            <w:r w:rsidRPr="00356033">
              <w:rPr>
                <w:color w:val="000000"/>
                <w:spacing w:val="-6"/>
              </w:rPr>
              <w:t xml:space="preserve">EU 28 jen křehký růst (+0,3 % proti +0,2 % v EU 28). V roce </w:t>
            </w:r>
            <w:r>
              <w:rPr>
                <w:color w:val="000000"/>
                <w:spacing w:val="-6"/>
              </w:rPr>
              <w:t>2014 však ji</w:t>
            </w:r>
            <w:r w:rsidRPr="00356033">
              <w:rPr>
                <w:color w:val="000000"/>
                <w:spacing w:val="-6"/>
              </w:rPr>
              <w:t>ž rakouská ekonomika</w:t>
            </w:r>
            <w:r>
              <w:rPr>
                <w:color w:val="000000"/>
                <w:spacing w:val="-6"/>
              </w:rPr>
              <w:t xml:space="preserve"> </w:t>
            </w:r>
            <w:r w:rsidRPr="00356033">
              <w:rPr>
                <w:color w:val="000000"/>
                <w:spacing w:val="-6"/>
              </w:rPr>
              <w:t>nezachytila</w:t>
            </w:r>
            <w:r>
              <w:rPr>
                <w:color w:val="000000"/>
                <w:spacing w:val="-6"/>
              </w:rPr>
              <w:t xml:space="preserve"> </w:t>
            </w:r>
            <w:r w:rsidRPr="00356033">
              <w:rPr>
                <w:color w:val="000000"/>
                <w:spacing w:val="-6"/>
              </w:rPr>
              <w:t>trend mírného ož</w:t>
            </w:r>
            <w:r>
              <w:rPr>
                <w:color w:val="000000"/>
                <w:spacing w:val="-6"/>
              </w:rPr>
              <w:t>i</w:t>
            </w:r>
            <w:r w:rsidRPr="00356033">
              <w:rPr>
                <w:color w:val="000000"/>
                <w:spacing w:val="-6"/>
              </w:rPr>
              <w:t>vení v</w:t>
            </w:r>
            <w:r>
              <w:rPr>
                <w:color w:val="000000"/>
                <w:spacing w:val="-6"/>
              </w:rPr>
              <w:t> </w:t>
            </w:r>
            <w:r w:rsidRPr="00356033">
              <w:rPr>
                <w:color w:val="000000"/>
                <w:spacing w:val="-6"/>
              </w:rPr>
              <w:t>EU</w:t>
            </w:r>
            <w:r>
              <w:rPr>
                <w:color w:val="000000"/>
                <w:spacing w:val="-6"/>
              </w:rPr>
              <w:t xml:space="preserve"> -</w:t>
            </w:r>
            <w:r w:rsidRPr="00356033">
              <w:rPr>
                <w:color w:val="000000"/>
                <w:spacing w:val="-6"/>
              </w:rPr>
              <w:t xml:space="preserve"> jejíž</w:t>
            </w:r>
            <w:r>
              <w:rPr>
                <w:color w:val="000000"/>
                <w:spacing w:val="-6"/>
              </w:rPr>
              <w:t xml:space="preserve"> </w:t>
            </w:r>
            <w:r w:rsidRPr="00356033">
              <w:rPr>
                <w:color w:val="000000"/>
                <w:spacing w:val="-6"/>
              </w:rPr>
              <w:t>HDP se zv</w:t>
            </w:r>
            <w:r>
              <w:rPr>
                <w:color w:val="000000"/>
                <w:spacing w:val="-6"/>
              </w:rPr>
              <w:t>ý</w:t>
            </w:r>
            <w:r w:rsidRPr="00356033">
              <w:rPr>
                <w:color w:val="000000"/>
                <w:spacing w:val="-6"/>
              </w:rPr>
              <w:t>šil o 1,4 %</w:t>
            </w:r>
            <w:r>
              <w:rPr>
                <w:color w:val="000000"/>
                <w:spacing w:val="-6"/>
              </w:rPr>
              <w:t>. Z</w:t>
            </w:r>
            <w:r w:rsidRPr="00356033">
              <w:rPr>
                <w:color w:val="000000"/>
                <w:spacing w:val="-6"/>
              </w:rPr>
              <w:t>ůstala s +0,3</w:t>
            </w:r>
            <w:r>
              <w:rPr>
                <w:color w:val="000000"/>
                <w:spacing w:val="-6"/>
              </w:rPr>
              <w:t>  % růstu HDP šest</w:t>
            </w:r>
            <w:r w:rsidRPr="00356033">
              <w:rPr>
                <w:color w:val="000000"/>
                <w:spacing w:val="-6"/>
              </w:rPr>
              <w:t xml:space="preserve">ou </w:t>
            </w:r>
            <w:r>
              <w:rPr>
                <w:color w:val="000000"/>
                <w:spacing w:val="-6"/>
              </w:rPr>
              <w:t xml:space="preserve">nejméně úspěšnou </w:t>
            </w:r>
            <w:r w:rsidRPr="00356033">
              <w:rPr>
                <w:color w:val="000000"/>
                <w:spacing w:val="-6"/>
              </w:rPr>
              <w:t>ev</w:t>
            </w:r>
            <w:r>
              <w:rPr>
                <w:color w:val="000000"/>
                <w:spacing w:val="-6"/>
              </w:rPr>
              <w:t>r</w:t>
            </w:r>
            <w:r w:rsidRPr="00356033">
              <w:rPr>
                <w:color w:val="000000"/>
                <w:spacing w:val="-6"/>
              </w:rPr>
              <w:t>opskou zemí (po Francii a kle</w:t>
            </w:r>
            <w:r>
              <w:rPr>
                <w:color w:val="000000"/>
                <w:spacing w:val="-6"/>
              </w:rPr>
              <w:t>s</w:t>
            </w:r>
            <w:r w:rsidRPr="00356033">
              <w:rPr>
                <w:color w:val="000000"/>
                <w:spacing w:val="-6"/>
              </w:rPr>
              <w:t>ajících ekonomikách Chorvatska, Itálie</w:t>
            </w:r>
            <w:r>
              <w:rPr>
                <w:color w:val="000000"/>
                <w:spacing w:val="-6"/>
              </w:rPr>
              <w:t>,</w:t>
            </w:r>
            <w:r w:rsidRPr="00356033">
              <w:rPr>
                <w:color w:val="000000"/>
                <w:spacing w:val="-6"/>
              </w:rPr>
              <w:t xml:space="preserve"> Finska a</w:t>
            </w:r>
            <w:r>
              <w:rPr>
                <w:color w:val="000000"/>
                <w:spacing w:val="-6"/>
              </w:rPr>
              <w:t xml:space="preserve"> </w:t>
            </w:r>
            <w:r w:rsidRPr="00356033">
              <w:rPr>
                <w:color w:val="000000"/>
                <w:spacing w:val="-6"/>
              </w:rPr>
              <w:t xml:space="preserve">Kypru).  </w:t>
            </w:r>
          </w:p>
          <w:p w:rsidR="0008794F" w:rsidRPr="00ED118D" w:rsidRDefault="0008794F" w:rsidP="00F256F6">
            <w:pPr>
              <w:pStyle w:val="Textpoznpodarou"/>
              <w:jc w:val="both"/>
              <w:rPr>
                <w:color w:val="000000"/>
                <w:spacing w:val="-6"/>
                <w:sz w:val="16"/>
                <w:szCs w:val="16"/>
              </w:rPr>
            </w:pPr>
          </w:p>
        </w:tc>
      </w:tr>
      <w:tr w:rsidR="0008794F" w:rsidRPr="003D78A5" w:rsidTr="004C557A">
        <w:tc>
          <w:tcPr>
            <w:tcW w:w="1042" w:type="pct"/>
          </w:tcPr>
          <w:p w:rsidR="0008794F" w:rsidRPr="00602D1D" w:rsidRDefault="0008794F" w:rsidP="00F256F6">
            <w:pPr>
              <w:spacing w:line="240" w:lineRule="auto"/>
              <w:rPr>
                <w:color w:val="000000"/>
                <w:sz w:val="16"/>
                <w:szCs w:val="16"/>
              </w:rPr>
            </w:pPr>
            <w:r>
              <w:rPr>
                <w:color w:val="000000"/>
                <w:sz w:val="16"/>
                <w:szCs w:val="16"/>
              </w:rPr>
              <w:t xml:space="preserve">Úspěch Slovenska – příliv zahraničního kapitálu do konjunkturních odvětví, provedené klíčové reformy a uvolněná fiskální politika  </w:t>
            </w:r>
          </w:p>
        </w:tc>
        <w:tc>
          <w:tcPr>
            <w:tcW w:w="139" w:type="pct"/>
          </w:tcPr>
          <w:p w:rsidR="0008794F" w:rsidRDefault="0008794F" w:rsidP="00F256F6">
            <w:pPr>
              <w:pStyle w:val="Textpoznpodarou"/>
              <w:jc w:val="both"/>
            </w:pPr>
          </w:p>
        </w:tc>
        <w:tc>
          <w:tcPr>
            <w:tcW w:w="3819" w:type="pct"/>
          </w:tcPr>
          <w:p w:rsidR="0008794F" w:rsidRDefault="0008794F" w:rsidP="00F256F6">
            <w:pPr>
              <w:pStyle w:val="Textpoznpodarou"/>
              <w:jc w:val="both"/>
              <w:rPr>
                <w:color w:val="000000"/>
                <w:spacing w:val="-6"/>
              </w:rPr>
            </w:pPr>
            <w:r>
              <w:rPr>
                <w:color w:val="000000"/>
                <w:spacing w:val="-6"/>
              </w:rPr>
              <w:t>Slovensko je jednou z nejúspěšnějších evropských ekonomik, co se vývoje HDP týká. Těžilo podob</w:t>
            </w:r>
            <w:r w:rsidR="004C5160">
              <w:rPr>
                <w:color w:val="000000"/>
                <w:spacing w:val="-6"/>
              </w:rPr>
              <w:t>n</w:t>
            </w:r>
            <w:r>
              <w:rPr>
                <w:color w:val="000000"/>
                <w:spacing w:val="-6"/>
              </w:rPr>
              <w:t>ě jako pobaltské země z relativně nižší výchozí báze ekonomické vyspělosti, oproti nim však bylo i co se týká výše roz</w:t>
            </w:r>
            <w:r w:rsidR="00322B77">
              <w:rPr>
                <w:color w:val="000000"/>
                <w:spacing w:val="-6"/>
              </w:rPr>
              <w:t>e</w:t>
            </w:r>
            <w:r>
              <w:rPr>
                <w:color w:val="000000"/>
                <w:spacing w:val="-6"/>
              </w:rPr>
              <w:t>bíraného HDP na obyvatele v paritě kupní síly</w:t>
            </w:r>
            <w:r w:rsidR="004C5160">
              <w:rPr>
                <w:color w:val="000000"/>
                <w:spacing w:val="-6"/>
              </w:rPr>
              <w:t xml:space="preserve"> na vyšší úrovni</w:t>
            </w:r>
            <w:r>
              <w:rPr>
                <w:color w:val="000000"/>
                <w:spacing w:val="-6"/>
              </w:rPr>
              <w:t xml:space="preserve">. Mohlo těžit – podobně jako Česká republika – z přílivu zahraničního kapitálu do konjunkturních odvětví. Mezi ně patří především výroba aut a její struktura podle typů, resp. tříd těchto vozů a značek, což umožnilo bez ještě hlubší újmy přečkat krizi v roce 2009, která se projevovala i významně oslabenou poptávkou po těchto typech komodit.  </w:t>
            </w:r>
          </w:p>
          <w:p w:rsidR="0008794F" w:rsidRPr="008828CE" w:rsidRDefault="0008794F" w:rsidP="00F256F6">
            <w:pPr>
              <w:pStyle w:val="Textpoznpodarou"/>
              <w:jc w:val="both"/>
              <w:rPr>
                <w:color w:val="000000"/>
                <w:spacing w:val="-6"/>
                <w:sz w:val="12"/>
                <w:szCs w:val="12"/>
              </w:rPr>
            </w:pPr>
          </w:p>
          <w:p w:rsidR="0008794F" w:rsidRPr="003D78A5" w:rsidRDefault="0008794F" w:rsidP="00322B77">
            <w:pPr>
              <w:pStyle w:val="Textpoznpodarou"/>
              <w:jc w:val="both"/>
              <w:rPr>
                <w:color w:val="000000"/>
                <w:spacing w:val="-6"/>
              </w:rPr>
            </w:pPr>
            <w:r>
              <w:rPr>
                <w:color w:val="000000"/>
                <w:spacing w:val="-6"/>
              </w:rPr>
              <w:t>Spolu s provedenými reformami</w:t>
            </w:r>
            <w:r>
              <w:rPr>
                <w:rStyle w:val="Znakapoznpodarou"/>
                <w:color w:val="000000"/>
                <w:spacing w:val="-6"/>
              </w:rPr>
              <w:footnoteReference w:id="8"/>
            </w:r>
            <w:r>
              <w:rPr>
                <w:color w:val="000000"/>
                <w:spacing w:val="-6"/>
              </w:rPr>
              <w:t xml:space="preserve"> a relativně uvolněnou fiskální politikou (jak bude z dalšího rozboru zřejmé) umožňovaly peníze </w:t>
            </w:r>
            <w:r w:rsidR="00322B77">
              <w:rPr>
                <w:color w:val="000000"/>
                <w:spacing w:val="-6"/>
              </w:rPr>
              <w:t>vkládané</w:t>
            </w:r>
            <w:r>
              <w:rPr>
                <w:color w:val="000000"/>
                <w:spacing w:val="-6"/>
              </w:rPr>
              <w:t xml:space="preserve"> státem do slovenské ekonomiky dynamizovat i její růst. </w:t>
            </w:r>
          </w:p>
        </w:tc>
      </w:tr>
    </w:tbl>
    <w:p w:rsidR="0008794F" w:rsidRPr="0048697B" w:rsidRDefault="0008794F" w:rsidP="00D34225">
      <w:pPr>
        <w:rPr>
          <w:b/>
          <w:sz w:val="12"/>
          <w:szCs w:val="12"/>
        </w:rPr>
      </w:pPr>
    </w:p>
    <w:p w:rsidR="0008794F" w:rsidRPr="00D2002A" w:rsidRDefault="0008794F" w:rsidP="00D34225">
      <w:pPr>
        <w:rPr>
          <w:b/>
        </w:rPr>
      </w:pPr>
      <w:r>
        <w:rPr>
          <w:b/>
        </w:rPr>
        <w:t xml:space="preserve">Graf 19: Průměrný meziroční přírůstek HDP reálně v letech 1998-2014 </w:t>
      </w:r>
      <w:r w:rsidRPr="00A14EDC">
        <w:t>(v %)</w:t>
      </w:r>
      <w:r w:rsidRPr="00997EEB">
        <w:rPr>
          <w:color w:val="000000"/>
          <w:spacing w:val="-6"/>
        </w:rPr>
        <w:t>.</w:t>
      </w:r>
    </w:p>
    <w:p w:rsidR="0008794F" w:rsidRDefault="00306F79" w:rsidP="00A14EDC">
      <w:pPr>
        <w:jc w:val="center"/>
      </w:pPr>
      <w:r>
        <w:pict>
          <v:shape id="_x0000_i1043" type="#_x0000_t75" style="width:413.25pt;height:174.75pt">
            <v:imagedata r:id="rId31" o:title=""/>
          </v:shape>
        </w:pict>
      </w:r>
    </w:p>
    <w:p w:rsidR="0008794F" w:rsidRDefault="0008794F" w:rsidP="00DA2CE4">
      <w:pPr>
        <w:jc w:val="right"/>
        <w:rPr>
          <w:sz w:val="18"/>
          <w:szCs w:val="18"/>
        </w:rPr>
      </w:pPr>
      <w:r>
        <w:rPr>
          <w:sz w:val="18"/>
          <w:szCs w:val="18"/>
        </w:rPr>
        <w:t xml:space="preserve">Pramen: </w:t>
      </w:r>
      <w:proofErr w:type="spellStart"/>
      <w:r>
        <w:rPr>
          <w:sz w:val="18"/>
          <w:szCs w:val="18"/>
        </w:rPr>
        <w:t>Eurostat</w:t>
      </w:r>
      <w:proofErr w:type="spellEnd"/>
    </w:p>
    <w:p w:rsidR="0008794F" w:rsidRPr="00DA2CE4" w:rsidRDefault="0008794F" w:rsidP="00DA2CE4">
      <w:pPr>
        <w:jc w:val="both"/>
        <w:rPr>
          <w:sz w:val="18"/>
          <w:szCs w:val="18"/>
        </w:rPr>
      </w:pPr>
    </w:p>
    <w:p w:rsidR="0008794F" w:rsidRPr="00C17DDE" w:rsidRDefault="0008794F" w:rsidP="00D34225">
      <w:pPr>
        <w:rPr>
          <w:b/>
          <w:sz w:val="22"/>
          <w:szCs w:val="22"/>
        </w:rPr>
      </w:pPr>
      <w:r w:rsidRPr="00C17DDE">
        <w:rPr>
          <w:b/>
          <w:sz w:val="22"/>
          <w:szCs w:val="22"/>
        </w:rPr>
        <w:lastRenderedPageBreak/>
        <w:t xml:space="preserve">3.3.3. Výkonnost ekonomik ČR, SR, Rakouska k bázím let 1998 a 2004 </w:t>
      </w:r>
    </w:p>
    <w:p w:rsidR="0008794F" w:rsidRPr="00077E6A" w:rsidRDefault="0008794F" w:rsidP="00D34225">
      <w:pPr>
        <w:rPr>
          <w:b/>
          <w:vanish/>
        </w:rPr>
      </w:pPr>
      <w:r>
        <w:rPr>
          <w:b/>
          <w:vanish/>
        </w:rPr>
        <w:t>DP ČR, SR a Rakouska HH</w:t>
      </w:r>
    </w:p>
    <w:p w:rsidR="0008794F" w:rsidRDefault="0008794F" w:rsidP="00D34225">
      <w:pPr>
        <w:rPr>
          <w:b/>
        </w:rPr>
      </w:pPr>
    </w:p>
    <w:tbl>
      <w:tblPr>
        <w:tblW w:w="5043" w:type="pct"/>
        <w:tblInd w:w="-42" w:type="dxa"/>
        <w:tblCellMar>
          <w:left w:w="28" w:type="dxa"/>
          <w:right w:w="28" w:type="dxa"/>
        </w:tblCellMar>
        <w:tblLook w:val="00A0"/>
      </w:tblPr>
      <w:tblGrid>
        <w:gridCol w:w="2037"/>
        <w:gridCol w:w="272"/>
        <w:gridCol w:w="7468"/>
      </w:tblGrid>
      <w:tr w:rsidR="0008794F" w:rsidRPr="003D78A5" w:rsidTr="00742D7C">
        <w:tc>
          <w:tcPr>
            <w:tcW w:w="1042" w:type="pct"/>
          </w:tcPr>
          <w:p w:rsidR="0008794F" w:rsidRPr="00602D1D" w:rsidRDefault="0008794F" w:rsidP="004C5160">
            <w:pPr>
              <w:spacing w:line="240" w:lineRule="auto"/>
              <w:rPr>
                <w:color w:val="000000"/>
                <w:sz w:val="16"/>
                <w:szCs w:val="16"/>
              </w:rPr>
            </w:pPr>
            <w:r>
              <w:rPr>
                <w:color w:val="000000"/>
                <w:sz w:val="16"/>
                <w:szCs w:val="16"/>
              </w:rPr>
              <w:t>Z</w:t>
            </w:r>
            <w:r w:rsidR="0048697B">
              <w:rPr>
                <w:color w:val="000000"/>
                <w:sz w:val="16"/>
                <w:szCs w:val="16"/>
              </w:rPr>
              <w:t xml:space="preserve"> porovnání </w:t>
            </w:r>
            <w:proofErr w:type="gramStart"/>
            <w:r w:rsidR="0048697B">
              <w:rPr>
                <w:color w:val="000000"/>
                <w:sz w:val="16"/>
                <w:szCs w:val="16"/>
              </w:rPr>
              <w:t>vývoje</w:t>
            </w:r>
            <w:r w:rsidR="004C5160">
              <w:rPr>
                <w:color w:val="000000"/>
                <w:sz w:val="16"/>
                <w:szCs w:val="16"/>
              </w:rPr>
              <w:t xml:space="preserve"> k</w:t>
            </w:r>
            <w:r w:rsidR="0048697B">
              <w:rPr>
                <w:color w:val="000000"/>
                <w:sz w:val="16"/>
                <w:szCs w:val="16"/>
              </w:rPr>
              <w:t xml:space="preserve">  základu</w:t>
            </w:r>
            <w:proofErr w:type="gramEnd"/>
            <w:r w:rsidR="0048697B">
              <w:rPr>
                <w:color w:val="000000"/>
                <w:sz w:val="16"/>
                <w:szCs w:val="16"/>
              </w:rPr>
              <w:t xml:space="preserve"> roku </w:t>
            </w:r>
            <w:r>
              <w:rPr>
                <w:color w:val="000000"/>
                <w:sz w:val="16"/>
                <w:szCs w:val="16"/>
              </w:rPr>
              <w:t xml:space="preserve">1998 vyplývá,… </w:t>
            </w:r>
          </w:p>
        </w:tc>
        <w:tc>
          <w:tcPr>
            <w:tcW w:w="139" w:type="pct"/>
          </w:tcPr>
          <w:p w:rsidR="0008794F" w:rsidRDefault="0008794F" w:rsidP="00742D7C">
            <w:pPr>
              <w:pStyle w:val="Textpoznpodarou"/>
            </w:pPr>
          </w:p>
        </w:tc>
        <w:tc>
          <w:tcPr>
            <w:tcW w:w="3819" w:type="pct"/>
          </w:tcPr>
          <w:p w:rsidR="0008794F" w:rsidRPr="00997EEB" w:rsidRDefault="0008794F" w:rsidP="007824A8">
            <w:pPr>
              <w:pStyle w:val="Textpoznpodarou"/>
              <w:jc w:val="both"/>
              <w:rPr>
                <w:color w:val="000000"/>
                <w:spacing w:val="-6"/>
              </w:rPr>
            </w:pPr>
            <w:r>
              <w:rPr>
                <w:color w:val="000000"/>
                <w:spacing w:val="-6"/>
              </w:rPr>
              <w:t>Kromě rozboru meziroční dynamiky a jejích průměrných hodnot za HDP České republiky, Slovenska a Rakouska existuje i možnost hodnotit úspěšnost jejich ekonomického vývoje sledované tímto ukazatelem také přírůstkem k určitému období. Zachovejme tedy způsob analýzy z předchozí kapitoly a pokusme se zjistit přírůstky HDP tří sledovaných zemí (spolu s porovnáním k přírůstkům za EU 28) k základu let 1998 a 2004. Výsledky ukazuje tabulka 3.</w:t>
            </w:r>
          </w:p>
          <w:p w:rsidR="0008794F" w:rsidRPr="003D78A5" w:rsidRDefault="0008794F" w:rsidP="007824A8">
            <w:pPr>
              <w:pStyle w:val="Textpoznpodarou"/>
              <w:jc w:val="both"/>
              <w:rPr>
                <w:color w:val="000000"/>
                <w:spacing w:val="-6"/>
              </w:rPr>
            </w:pPr>
          </w:p>
        </w:tc>
      </w:tr>
      <w:tr w:rsidR="0008794F" w:rsidRPr="003D78A5" w:rsidTr="007824A8">
        <w:tc>
          <w:tcPr>
            <w:tcW w:w="1042" w:type="pct"/>
          </w:tcPr>
          <w:p w:rsidR="0008794F" w:rsidRPr="00602D1D" w:rsidRDefault="0008794F" w:rsidP="00742D7C">
            <w:pPr>
              <w:spacing w:line="240" w:lineRule="auto"/>
              <w:rPr>
                <w:color w:val="000000"/>
                <w:sz w:val="16"/>
                <w:szCs w:val="16"/>
              </w:rPr>
            </w:pPr>
            <w:r>
              <w:rPr>
                <w:color w:val="000000"/>
                <w:sz w:val="16"/>
                <w:szCs w:val="16"/>
              </w:rPr>
              <w:t xml:space="preserve">… že výkonnost ČR, SR i Rakouska byla do roku 2014 lepší než výkonnost EU 28 jako celku </w:t>
            </w:r>
          </w:p>
        </w:tc>
        <w:tc>
          <w:tcPr>
            <w:tcW w:w="139" w:type="pct"/>
          </w:tcPr>
          <w:p w:rsidR="0008794F" w:rsidRDefault="0008794F" w:rsidP="00742D7C">
            <w:pPr>
              <w:pStyle w:val="Textpoznpodarou"/>
            </w:pPr>
          </w:p>
        </w:tc>
        <w:tc>
          <w:tcPr>
            <w:tcW w:w="3819" w:type="pct"/>
          </w:tcPr>
          <w:p w:rsidR="0008794F" w:rsidRPr="00997EEB" w:rsidRDefault="0008794F" w:rsidP="007824A8">
            <w:pPr>
              <w:pStyle w:val="Textpoznpodarou"/>
              <w:jc w:val="both"/>
              <w:rPr>
                <w:color w:val="000000"/>
                <w:spacing w:val="-6"/>
              </w:rPr>
            </w:pPr>
            <w:r>
              <w:rPr>
                <w:color w:val="000000"/>
                <w:spacing w:val="-6"/>
              </w:rPr>
              <w:t xml:space="preserve">Jestliže hospodářství EU 28 zvýšilo svůj výkon v roce 2014 proti výkonu v roce 1998 o více než čtvrtinu (+26,3 %), pak všechny tři země sledované v této analýze tento procentní přírůstek překonaly. Nejvíce Slovensko, jehož HDP byl v roce 2014 vyšší proti roku 1998 o plné tři čtvrtiny (+76,3 %). Tempo celé </w:t>
            </w:r>
            <w:r w:rsidR="00322B77">
              <w:rPr>
                <w:color w:val="000000"/>
                <w:spacing w:val="-6"/>
              </w:rPr>
              <w:t>U</w:t>
            </w:r>
            <w:r>
              <w:rPr>
                <w:color w:val="000000"/>
                <w:spacing w:val="-6"/>
              </w:rPr>
              <w:t xml:space="preserve">nie tedy slovenský HDP svoji a dynamikou překonal třikrát.  </w:t>
            </w:r>
          </w:p>
          <w:p w:rsidR="0008794F" w:rsidRPr="003D78A5" w:rsidRDefault="0008794F" w:rsidP="007824A8">
            <w:pPr>
              <w:pStyle w:val="Textpoznpodarou"/>
              <w:jc w:val="both"/>
              <w:rPr>
                <w:color w:val="000000"/>
                <w:spacing w:val="-6"/>
              </w:rPr>
            </w:pPr>
          </w:p>
        </w:tc>
      </w:tr>
      <w:tr w:rsidR="0008794F" w:rsidRPr="003D78A5" w:rsidTr="001942A8">
        <w:tc>
          <w:tcPr>
            <w:tcW w:w="1042" w:type="pct"/>
          </w:tcPr>
          <w:p w:rsidR="0008794F" w:rsidRPr="00602D1D" w:rsidRDefault="0008794F" w:rsidP="00742D7C">
            <w:pPr>
              <w:spacing w:line="240" w:lineRule="auto"/>
              <w:rPr>
                <w:color w:val="000000"/>
                <w:sz w:val="16"/>
                <w:szCs w:val="16"/>
              </w:rPr>
            </w:pPr>
            <w:r>
              <w:rPr>
                <w:color w:val="000000"/>
                <w:sz w:val="16"/>
                <w:szCs w:val="16"/>
              </w:rPr>
              <w:t xml:space="preserve">Slovenský HDP byl v roce 2014 o tři čtvrtiny vyšší než v roce 1998 a český HDP o polovinu </w:t>
            </w:r>
          </w:p>
        </w:tc>
        <w:tc>
          <w:tcPr>
            <w:tcW w:w="139" w:type="pct"/>
          </w:tcPr>
          <w:p w:rsidR="0008794F" w:rsidRDefault="0008794F" w:rsidP="00742D7C">
            <w:pPr>
              <w:pStyle w:val="Textpoznpodarou"/>
            </w:pPr>
          </w:p>
        </w:tc>
        <w:tc>
          <w:tcPr>
            <w:tcW w:w="3819" w:type="pct"/>
          </w:tcPr>
          <w:p w:rsidR="0008794F" w:rsidRDefault="0008794F" w:rsidP="001E5C6D">
            <w:pPr>
              <w:pStyle w:val="Textpoznpodarou"/>
              <w:jc w:val="both"/>
              <w:rPr>
                <w:color w:val="000000"/>
                <w:spacing w:val="-6"/>
              </w:rPr>
            </w:pPr>
            <w:r>
              <w:rPr>
                <w:color w:val="000000"/>
                <w:spacing w:val="-6"/>
              </w:rPr>
              <w:t xml:space="preserve">Výkonnost České republiky stoupla během let 1998-2014 také velmi výrazně, i když ne s takovou intenzitou jako v případě Slovenska. Její HDP byl v koncovém roce 2014 o téměř polovinu vyšší (+48,3 %) než v roce 1998 a jeho přírůstek byl v porovnání s přírůstkem za EU 28 vyšší dvakrát. </w:t>
            </w:r>
          </w:p>
          <w:p w:rsidR="0008794F" w:rsidRPr="003D78A5" w:rsidRDefault="0008794F" w:rsidP="001E5C6D">
            <w:pPr>
              <w:pStyle w:val="Textpoznpodarou"/>
              <w:jc w:val="both"/>
              <w:rPr>
                <w:color w:val="000000"/>
                <w:spacing w:val="-6"/>
              </w:rPr>
            </w:pPr>
          </w:p>
        </w:tc>
      </w:tr>
      <w:tr w:rsidR="0008794F" w:rsidRPr="003D78A5" w:rsidTr="001942A8">
        <w:tc>
          <w:tcPr>
            <w:tcW w:w="1042" w:type="pct"/>
          </w:tcPr>
          <w:p w:rsidR="0008794F" w:rsidRPr="00602D1D" w:rsidRDefault="0008794F" w:rsidP="0080673A">
            <w:pPr>
              <w:spacing w:line="240" w:lineRule="auto"/>
              <w:rPr>
                <w:color w:val="000000"/>
                <w:sz w:val="16"/>
                <w:szCs w:val="16"/>
              </w:rPr>
            </w:pPr>
            <w:r>
              <w:rPr>
                <w:color w:val="000000"/>
                <w:sz w:val="16"/>
                <w:szCs w:val="16"/>
              </w:rPr>
              <w:t xml:space="preserve">Rakousko zvětšilo svůj HDP v roce 2014 proti roku 1998 zhruba o třicet </w:t>
            </w:r>
            <w:proofErr w:type="gramStart"/>
            <w:r>
              <w:rPr>
                <w:color w:val="000000"/>
                <w:sz w:val="16"/>
                <w:szCs w:val="16"/>
              </w:rPr>
              <w:t>procent,  tj.</w:t>
            </w:r>
            <w:proofErr w:type="gramEnd"/>
            <w:r>
              <w:rPr>
                <w:color w:val="000000"/>
                <w:sz w:val="16"/>
                <w:szCs w:val="16"/>
              </w:rPr>
              <w:t xml:space="preserve"> mírně v</w:t>
            </w:r>
            <w:r w:rsidR="0080673A">
              <w:rPr>
                <w:color w:val="000000"/>
                <w:sz w:val="16"/>
                <w:szCs w:val="16"/>
              </w:rPr>
              <w:t>íce</w:t>
            </w:r>
            <w:r>
              <w:rPr>
                <w:color w:val="000000"/>
                <w:sz w:val="16"/>
                <w:szCs w:val="16"/>
              </w:rPr>
              <w:t xml:space="preserve"> než činil přírůstek EU  </w:t>
            </w:r>
          </w:p>
        </w:tc>
        <w:tc>
          <w:tcPr>
            <w:tcW w:w="139" w:type="pct"/>
          </w:tcPr>
          <w:p w:rsidR="0008794F" w:rsidRDefault="0008794F" w:rsidP="00742D7C">
            <w:pPr>
              <w:pStyle w:val="Textpoznpodarou"/>
            </w:pPr>
          </w:p>
        </w:tc>
        <w:tc>
          <w:tcPr>
            <w:tcW w:w="3819" w:type="pct"/>
          </w:tcPr>
          <w:p w:rsidR="0008794F" w:rsidRDefault="0008794F" w:rsidP="00742D7C">
            <w:pPr>
              <w:pStyle w:val="Textpoznpodarou"/>
              <w:jc w:val="both"/>
              <w:rPr>
                <w:color w:val="000000"/>
                <w:spacing w:val="-6"/>
              </w:rPr>
            </w:pPr>
            <w:r>
              <w:rPr>
                <w:color w:val="000000"/>
                <w:spacing w:val="-6"/>
              </w:rPr>
              <w:t xml:space="preserve">Nárůst rakouského HDP v roce 2014 se ve srovnání s rokem 1998 byl vyšší o téměř třetinu (+29,3 %) I když se zdá, že proti nárůstu za celou Evropskou unii 28 (+26,3 %) nejde o zvýšení významné, je při pohledu na </w:t>
            </w:r>
            <w:r w:rsidR="00322B77">
              <w:rPr>
                <w:color w:val="000000"/>
                <w:spacing w:val="-6"/>
              </w:rPr>
              <w:t xml:space="preserve">unijní </w:t>
            </w:r>
            <w:proofErr w:type="gramStart"/>
            <w:r>
              <w:rPr>
                <w:color w:val="000000"/>
                <w:spacing w:val="-6"/>
              </w:rPr>
              <w:t>žebříček  zřetelně</w:t>
            </w:r>
            <w:proofErr w:type="gramEnd"/>
            <w:r>
              <w:rPr>
                <w:color w:val="000000"/>
                <w:spacing w:val="-6"/>
              </w:rPr>
              <w:t xml:space="preserve"> vidět, že Rakousko zvýšilo svůj HDP více než dalších sedm nejvyspělejších zemí skupiny EU 15, jako je např. Německo, Francie, Nizozemí</w:t>
            </w:r>
            <w:r w:rsidR="00322B77">
              <w:rPr>
                <w:color w:val="000000"/>
                <w:spacing w:val="-6"/>
              </w:rPr>
              <w:t xml:space="preserve"> či</w:t>
            </w:r>
            <w:r>
              <w:rPr>
                <w:color w:val="000000"/>
                <w:spacing w:val="-6"/>
              </w:rPr>
              <w:t xml:space="preserve"> Dánsko aj. (naopak méně než např. Irsko s +80 %, Švédsko se 42,9 % anebo Spojené království s 36,1 %). Nárůst výkonnosti Rakouska za zvolné období je stejný, jak</w:t>
            </w:r>
            <w:r w:rsidR="00322B77">
              <w:rPr>
                <w:color w:val="000000"/>
                <w:spacing w:val="-6"/>
              </w:rPr>
              <w:t>o</w:t>
            </w:r>
            <w:r>
              <w:rPr>
                <w:color w:val="000000"/>
                <w:spacing w:val="-6"/>
              </w:rPr>
              <w:t xml:space="preserve"> vykázalo ze skupiny nejvyspělejších evropských zemí např. Finsko (+30 %) nebo Belgie (+29,9 %). </w:t>
            </w:r>
          </w:p>
          <w:p w:rsidR="0008794F" w:rsidRPr="008355C7" w:rsidRDefault="0008794F" w:rsidP="00742D7C">
            <w:pPr>
              <w:pStyle w:val="Textpoznpodarou"/>
              <w:jc w:val="both"/>
              <w:rPr>
                <w:color w:val="000000"/>
                <w:spacing w:val="-6"/>
                <w:sz w:val="12"/>
                <w:szCs w:val="12"/>
              </w:rPr>
            </w:pPr>
          </w:p>
          <w:p w:rsidR="0008794F" w:rsidRDefault="0008794F" w:rsidP="00E736F5">
            <w:pPr>
              <w:pStyle w:val="Textpoznpodarou"/>
              <w:jc w:val="both"/>
              <w:rPr>
                <w:color w:val="000000"/>
                <w:spacing w:val="-6"/>
              </w:rPr>
            </w:pPr>
            <w:r>
              <w:rPr>
                <w:color w:val="000000"/>
                <w:spacing w:val="-6"/>
              </w:rPr>
              <w:t xml:space="preserve">Z tohoto pohledu je tady možno hodnotit zlepšení ekonomické výkonnosti Rakouska za roky 1998-2014 jako významné. </w:t>
            </w:r>
          </w:p>
          <w:p w:rsidR="0008794F" w:rsidRPr="003D78A5" w:rsidRDefault="0008794F" w:rsidP="00E736F5">
            <w:pPr>
              <w:pStyle w:val="Textpoznpodarou"/>
              <w:jc w:val="both"/>
              <w:rPr>
                <w:color w:val="000000"/>
                <w:spacing w:val="-6"/>
              </w:rPr>
            </w:pPr>
          </w:p>
        </w:tc>
      </w:tr>
    </w:tbl>
    <w:p w:rsidR="0008794F" w:rsidRDefault="0008794F" w:rsidP="00D34225">
      <w:r w:rsidRPr="004A332A">
        <w:rPr>
          <w:b/>
        </w:rPr>
        <w:t xml:space="preserve">Tab. 3: Výkonnost ekonomik ČR, SR, Rakouska a EU 28 </w:t>
      </w:r>
      <w:r>
        <w:rPr>
          <w:b/>
        </w:rPr>
        <w:t xml:space="preserve">podle HDP reálně </w:t>
      </w:r>
      <w:r w:rsidRPr="004A332A">
        <w:rPr>
          <w:b/>
        </w:rPr>
        <w:t>v roce 2014 k bázím let 1998 a 2004</w:t>
      </w:r>
      <w:r>
        <w:t xml:space="preserve"> (v %)</w:t>
      </w:r>
    </w:p>
    <w:p w:rsidR="0008794F" w:rsidRPr="00B24545" w:rsidRDefault="0008794F" w:rsidP="00D34225">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85"/>
        <w:gridCol w:w="684"/>
        <w:gridCol w:w="992"/>
        <w:gridCol w:w="709"/>
        <w:gridCol w:w="992"/>
        <w:gridCol w:w="709"/>
        <w:gridCol w:w="992"/>
        <w:gridCol w:w="567"/>
        <w:gridCol w:w="992"/>
      </w:tblGrid>
      <w:tr w:rsidR="0008794F" w:rsidTr="00AA2B03">
        <w:tc>
          <w:tcPr>
            <w:tcW w:w="2685" w:type="dxa"/>
          </w:tcPr>
          <w:p w:rsidR="0008794F" w:rsidRDefault="0008794F" w:rsidP="00AA2B03">
            <w:pPr>
              <w:jc w:val="center"/>
              <w:rPr>
                <w:lang w:eastAsia="en-US"/>
              </w:rPr>
            </w:pPr>
            <w:r>
              <w:rPr>
                <w:lang w:eastAsia="en-US"/>
              </w:rPr>
              <w:t>Index 2014 k 1998</w:t>
            </w:r>
          </w:p>
        </w:tc>
        <w:tc>
          <w:tcPr>
            <w:tcW w:w="684" w:type="dxa"/>
          </w:tcPr>
          <w:p w:rsidR="0008794F" w:rsidRDefault="0008794F" w:rsidP="00AA2B03">
            <w:pPr>
              <w:jc w:val="center"/>
              <w:rPr>
                <w:lang w:eastAsia="en-US"/>
              </w:rPr>
            </w:pPr>
            <w:r>
              <w:rPr>
                <w:lang w:eastAsia="en-US"/>
              </w:rPr>
              <w:t>ČR</w:t>
            </w:r>
          </w:p>
        </w:tc>
        <w:tc>
          <w:tcPr>
            <w:tcW w:w="992" w:type="dxa"/>
          </w:tcPr>
          <w:p w:rsidR="0008794F" w:rsidRDefault="0008794F" w:rsidP="00AA2B03">
            <w:pPr>
              <w:jc w:val="center"/>
              <w:rPr>
                <w:lang w:eastAsia="en-US"/>
              </w:rPr>
            </w:pPr>
            <w:r>
              <w:rPr>
                <w:lang w:eastAsia="en-US"/>
              </w:rPr>
              <w:t>148,3 %</w:t>
            </w:r>
          </w:p>
        </w:tc>
        <w:tc>
          <w:tcPr>
            <w:tcW w:w="709" w:type="dxa"/>
          </w:tcPr>
          <w:p w:rsidR="0008794F" w:rsidRDefault="0008794F" w:rsidP="00AA2B03">
            <w:pPr>
              <w:jc w:val="center"/>
              <w:rPr>
                <w:lang w:eastAsia="en-US"/>
              </w:rPr>
            </w:pPr>
            <w:r>
              <w:rPr>
                <w:lang w:eastAsia="en-US"/>
              </w:rPr>
              <w:t>SR</w:t>
            </w:r>
          </w:p>
        </w:tc>
        <w:tc>
          <w:tcPr>
            <w:tcW w:w="992" w:type="dxa"/>
          </w:tcPr>
          <w:p w:rsidR="0008794F" w:rsidRDefault="0008794F" w:rsidP="00AA2B03">
            <w:pPr>
              <w:jc w:val="center"/>
              <w:rPr>
                <w:lang w:eastAsia="en-US"/>
              </w:rPr>
            </w:pPr>
            <w:r>
              <w:rPr>
                <w:lang w:eastAsia="en-US"/>
              </w:rPr>
              <w:t>176,3 %</w:t>
            </w:r>
          </w:p>
        </w:tc>
        <w:tc>
          <w:tcPr>
            <w:tcW w:w="709" w:type="dxa"/>
          </w:tcPr>
          <w:p w:rsidR="0008794F" w:rsidRDefault="0008794F" w:rsidP="00AA2B03">
            <w:pPr>
              <w:jc w:val="center"/>
              <w:rPr>
                <w:lang w:eastAsia="en-US"/>
              </w:rPr>
            </w:pPr>
            <w:r>
              <w:rPr>
                <w:lang w:eastAsia="en-US"/>
              </w:rPr>
              <w:t>AT</w:t>
            </w:r>
          </w:p>
        </w:tc>
        <w:tc>
          <w:tcPr>
            <w:tcW w:w="992" w:type="dxa"/>
          </w:tcPr>
          <w:p w:rsidR="0008794F" w:rsidRDefault="0008794F" w:rsidP="00AA2B03">
            <w:pPr>
              <w:jc w:val="center"/>
              <w:rPr>
                <w:lang w:eastAsia="en-US"/>
              </w:rPr>
            </w:pPr>
            <w:r>
              <w:rPr>
                <w:lang w:eastAsia="en-US"/>
              </w:rPr>
              <w:t>129,7 %</w:t>
            </w:r>
          </w:p>
        </w:tc>
        <w:tc>
          <w:tcPr>
            <w:tcW w:w="567" w:type="dxa"/>
          </w:tcPr>
          <w:p w:rsidR="0008794F" w:rsidRDefault="0008794F" w:rsidP="00AA2B03">
            <w:pPr>
              <w:jc w:val="center"/>
              <w:rPr>
                <w:lang w:eastAsia="en-US"/>
              </w:rPr>
            </w:pPr>
            <w:r>
              <w:rPr>
                <w:lang w:eastAsia="en-US"/>
              </w:rPr>
              <w:t>EU</w:t>
            </w:r>
          </w:p>
        </w:tc>
        <w:tc>
          <w:tcPr>
            <w:tcW w:w="992" w:type="dxa"/>
          </w:tcPr>
          <w:p w:rsidR="0008794F" w:rsidRDefault="0008794F" w:rsidP="00AA2B03">
            <w:pPr>
              <w:jc w:val="center"/>
              <w:rPr>
                <w:lang w:eastAsia="en-US"/>
              </w:rPr>
            </w:pPr>
            <w:r>
              <w:rPr>
                <w:lang w:eastAsia="en-US"/>
              </w:rPr>
              <w:t>126,3 %</w:t>
            </w:r>
          </w:p>
        </w:tc>
      </w:tr>
      <w:tr w:rsidR="0008794F" w:rsidTr="00AA2B03">
        <w:tc>
          <w:tcPr>
            <w:tcW w:w="2685" w:type="dxa"/>
          </w:tcPr>
          <w:p w:rsidR="0008794F" w:rsidRDefault="0008794F" w:rsidP="00AA2B03">
            <w:pPr>
              <w:jc w:val="center"/>
              <w:rPr>
                <w:lang w:eastAsia="en-US"/>
              </w:rPr>
            </w:pPr>
            <w:r>
              <w:rPr>
                <w:lang w:eastAsia="en-US"/>
              </w:rPr>
              <w:t xml:space="preserve">Index </w:t>
            </w:r>
            <w:proofErr w:type="gramStart"/>
            <w:r>
              <w:rPr>
                <w:lang w:eastAsia="en-US"/>
              </w:rPr>
              <w:t>2014 k 2004</w:t>
            </w:r>
            <w:proofErr w:type="gramEnd"/>
          </w:p>
        </w:tc>
        <w:tc>
          <w:tcPr>
            <w:tcW w:w="684" w:type="dxa"/>
          </w:tcPr>
          <w:p w:rsidR="0008794F" w:rsidRDefault="0008794F" w:rsidP="00AA2B03">
            <w:pPr>
              <w:jc w:val="center"/>
              <w:rPr>
                <w:lang w:eastAsia="en-US"/>
              </w:rPr>
            </w:pPr>
            <w:r>
              <w:rPr>
                <w:lang w:eastAsia="en-US"/>
              </w:rPr>
              <w:t>ČR</w:t>
            </w:r>
          </w:p>
        </w:tc>
        <w:tc>
          <w:tcPr>
            <w:tcW w:w="992" w:type="dxa"/>
          </w:tcPr>
          <w:p w:rsidR="0008794F" w:rsidRDefault="0008794F" w:rsidP="00AA2B03">
            <w:pPr>
              <w:jc w:val="center"/>
              <w:rPr>
                <w:lang w:eastAsia="en-US"/>
              </w:rPr>
            </w:pPr>
            <w:r>
              <w:rPr>
                <w:lang w:eastAsia="en-US"/>
              </w:rPr>
              <w:t>123,0 %</w:t>
            </w:r>
          </w:p>
        </w:tc>
        <w:tc>
          <w:tcPr>
            <w:tcW w:w="709" w:type="dxa"/>
          </w:tcPr>
          <w:p w:rsidR="0008794F" w:rsidRDefault="0008794F" w:rsidP="00AA2B03">
            <w:pPr>
              <w:jc w:val="center"/>
              <w:rPr>
                <w:lang w:eastAsia="en-US"/>
              </w:rPr>
            </w:pPr>
            <w:r>
              <w:rPr>
                <w:lang w:eastAsia="en-US"/>
              </w:rPr>
              <w:t>SR</w:t>
            </w:r>
          </w:p>
        </w:tc>
        <w:tc>
          <w:tcPr>
            <w:tcW w:w="992" w:type="dxa"/>
          </w:tcPr>
          <w:p w:rsidR="0008794F" w:rsidRDefault="0008794F" w:rsidP="00AA2B03">
            <w:pPr>
              <w:jc w:val="center"/>
              <w:rPr>
                <w:lang w:eastAsia="en-US"/>
              </w:rPr>
            </w:pPr>
            <w:r>
              <w:rPr>
                <w:lang w:eastAsia="en-US"/>
              </w:rPr>
              <w:t>145,8 %</w:t>
            </w:r>
          </w:p>
        </w:tc>
        <w:tc>
          <w:tcPr>
            <w:tcW w:w="709" w:type="dxa"/>
          </w:tcPr>
          <w:p w:rsidR="0008794F" w:rsidRDefault="0008794F" w:rsidP="00AA2B03">
            <w:pPr>
              <w:jc w:val="center"/>
              <w:rPr>
                <w:lang w:eastAsia="en-US"/>
              </w:rPr>
            </w:pPr>
            <w:r>
              <w:rPr>
                <w:lang w:eastAsia="en-US"/>
              </w:rPr>
              <w:t>AT</w:t>
            </w:r>
          </w:p>
        </w:tc>
        <w:tc>
          <w:tcPr>
            <w:tcW w:w="992" w:type="dxa"/>
          </w:tcPr>
          <w:p w:rsidR="0008794F" w:rsidRDefault="0008794F" w:rsidP="00AA2B03">
            <w:pPr>
              <w:jc w:val="center"/>
              <w:rPr>
                <w:lang w:eastAsia="en-US"/>
              </w:rPr>
            </w:pPr>
            <w:r>
              <w:rPr>
                <w:lang w:eastAsia="en-US"/>
              </w:rPr>
              <w:t>113,6%</w:t>
            </w:r>
          </w:p>
        </w:tc>
        <w:tc>
          <w:tcPr>
            <w:tcW w:w="567" w:type="dxa"/>
          </w:tcPr>
          <w:p w:rsidR="0008794F" w:rsidRDefault="0008794F" w:rsidP="00AA2B03">
            <w:pPr>
              <w:jc w:val="center"/>
              <w:rPr>
                <w:lang w:eastAsia="en-US"/>
              </w:rPr>
            </w:pPr>
            <w:r>
              <w:rPr>
                <w:lang w:eastAsia="en-US"/>
              </w:rPr>
              <w:t>EU</w:t>
            </w:r>
          </w:p>
        </w:tc>
        <w:tc>
          <w:tcPr>
            <w:tcW w:w="992" w:type="dxa"/>
          </w:tcPr>
          <w:p w:rsidR="0008794F" w:rsidRDefault="0008794F" w:rsidP="00AA2B03">
            <w:pPr>
              <w:jc w:val="center"/>
              <w:rPr>
                <w:lang w:eastAsia="en-US"/>
              </w:rPr>
            </w:pPr>
            <w:r>
              <w:rPr>
                <w:lang w:eastAsia="en-US"/>
              </w:rPr>
              <w:t>109,7 %</w:t>
            </w:r>
          </w:p>
        </w:tc>
      </w:tr>
    </w:tbl>
    <w:p w:rsidR="0008794F" w:rsidRPr="004131C3" w:rsidRDefault="0008794F" w:rsidP="004131C3">
      <w:pPr>
        <w:jc w:val="right"/>
        <w:rPr>
          <w:sz w:val="6"/>
          <w:szCs w:val="6"/>
        </w:rPr>
      </w:pPr>
    </w:p>
    <w:p w:rsidR="0008794F" w:rsidRDefault="0008794F" w:rsidP="004131C3">
      <w:pPr>
        <w:jc w:val="right"/>
        <w:rPr>
          <w:sz w:val="18"/>
          <w:szCs w:val="18"/>
        </w:rPr>
      </w:pPr>
      <w:r w:rsidRPr="00DA43AC">
        <w:rPr>
          <w:sz w:val="18"/>
          <w:szCs w:val="18"/>
        </w:rPr>
        <w:t xml:space="preserve">Pramen: </w:t>
      </w:r>
      <w:proofErr w:type="spellStart"/>
      <w:r w:rsidRPr="00DA43AC">
        <w:rPr>
          <w:sz w:val="18"/>
          <w:szCs w:val="18"/>
        </w:rPr>
        <w:t>Eurostat</w:t>
      </w:r>
      <w:proofErr w:type="spellEnd"/>
      <w:r>
        <w:rPr>
          <w:sz w:val="18"/>
          <w:szCs w:val="18"/>
        </w:rPr>
        <w:t>, vlastní propočty</w:t>
      </w:r>
    </w:p>
    <w:p w:rsidR="0008794F" w:rsidRDefault="0008794F" w:rsidP="00D2002A">
      <w:pPr>
        <w:jc w:val="both"/>
        <w:rPr>
          <w:sz w:val="18"/>
          <w:szCs w:val="18"/>
        </w:rPr>
      </w:pPr>
    </w:p>
    <w:tbl>
      <w:tblPr>
        <w:tblW w:w="5043" w:type="pct"/>
        <w:tblInd w:w="-42" w:type="dxa"/>
        <w:tblCellMar>
          <w:left w:w="28" w:type="dxa"/>
          <w:right w:w="28" w:type="dxa"/>
        </w:tblCellMar>
        <w:tblLook w:val="00A0"/>
      </w:tblPr>
      <w:tblGrid>
        <w:gridCol w:w="2037"/>
        <w:gridCol w:w="272"/>
        <w:gridCol w:w="7468"/>
      </w:tblGrid>
      <w:tr w:rsidR="0008794F" w:rsidRPr="003D78A5" w:rsidTr="00D2002A">
        <w:tc>
          <w:tcPr>
            <w:tcW w:w="1042" w:type="pct"/>
          </w:tcPr>
          <w:p w:rsidR="0008794F" w:rsidRPr="00602D1D" w:rsidRDefault="0008794F" w:rsidP="00ED118D">
            <w:pPr>
              <w:spacing w:line="240" w:lineRule="auto"/>
              <w:rPr>
                <w:color w:val="000000"/>
                <w:sz w:val="16"/>
                <w:szCs w:val="16"/>
              </w:rPr>
            </w:pPr>
            <w:r>
              <w:rPr>
                <w:color w:val="000000"/>
                <w:sz w:val="16"/>
                <w:szCs w:val="16"/>
              </w:rPr>
              <w:t>Rozšíření EU o deset nových zemí v květnu 2004 a následné přijetí Bulharsko, Rumunska a naposledy Chorvatska mělo vliv nejen na nové, ale i na staré země Unie</w:t>
            </w:r>
          </w:p>
        </w:tc>
        <w:tc>
          <w:tcPr>
            <w:tcW w:w="139" w:type="pct"/>
          </w:tcPr>
          <w:p w:rsidR="0008794F" w:rsidRDefault="0008794F" w:rsidP="00D2002A">
            <w:pPr>
              <w:pStyle w:val="Textpoznpodarou"/>
            </w:pPr>
          </w:p>
        </w:tc>
        <w:tc>
          <w:tcPr>
            <w:tcW w:w="3819" w:type="pct"/>
          </w:tcPr>
          <w:p w:rsidR="0008794F" w:rsidRDefault="0008794F" w:rsidP="00785CFB">
            <w:pPr>
              <w:pStyle w:val="Textpoznpodarou"/>
              <w:jc w:val="both"/>
              <w:rPr>
                <w:color w:val="000000"/>
                <w:spacing w:val="-6"/>
              </w:rPr>
            </w:pPr>
            <w:r>
              <w:rPr>
                <w:color w:val="000000"/>
                <w:spacing w:val="-6"/>
              </w:rPr>
              <w:t>Tabulka 3 dále porovnává zlepšení, které vykázaly země v důležitém časové</w:t>
            </w:r>
            <w:r w:rsidR="0080673A">
              <w:rPr>
                <w:color w:val="000000"/>
                <w:spacing w:val="-6"/>
              </w:rPr>
              <w:t>m</w:t>
            </w:r>
            <w:r>
              <w:rPr>
                <w:color w:val="000000"/>
                <w:spacing w:val="-6"/>
              </w:rPr>
              <w:t xml:space="preserve"> úseku pro celou evropskou ekonomiku, a sice období významného zvětšení společné </w:t>
            </w:r>
            <w:proofErr w:type="gramStart"/>
            <w:r>
              <w:rPr>
                <w:color w:val="000000"/>
                <w:spacing w:val="-6"/>
              </w:rPr>
              <w:t>evropského  hospodářského</w:t>
            </w:r>
            <w:proofErr w:type="gramEnd"/>
            <w:r>
              <w:rPr>
                <w:color w:val="000000"/>
                <w:spacing w:val="-6"/>
              </w:rPr>
              <w:t xml:space="preserve"> prostoru o nové země (nepočetnější skupina v květnu 2004 přijetím deseti nových kandidátských zemí, později přijetím Bulharska a Rumunska zatím posledním novým členem EU je Chorvatsko). </w:t>
            </w:r>
          </w:p>
          <w:p w:rsidR="0008794F" w:rsidRPr="00723C09" w:rsidRDefault="0008794F" w:rsidP="00785CFB">
            <w:pPr>
              <w:pStyle w:val="Textpoznpodarou"/>
              <w:jc w:val="both"/>
              <w:rPr>
                <w:color w:val="000000"/>
                <w:spacing w:val="-6"/>
                <w:sz w:val="12"/>
                <w:szCs w:val="12"/>
              </w:rPr>
            </w:pPr>
          </w:p>
          <w:p w:rsidR="0008794F" w:rsidRDefault="0008794F" w:rsidP="008A48AC">
            <w:pPr>
              <w:pStyle w:val="Textpoznpodarou"/>
              <w:jc w:val="both"/>
              <w:rPr>
                <w:color w:val="000000"/>
                <w:spacing w:val="-6"/>
              </w:rPr>
            </w:pPr>
            <w:r>
              <w:rPr>
                <w:color w:val="000000"/>
                <w:spacing w:val="-6"/>
              </w:rPr>
              <w:t xml:space="preserve">Toto rozšíření </w:t>
            </w:r>
            <w:r w:rsidR="00322B77">
              <w:rPr>
                <w:color w:val="000000"/>
                <w:spacing w:val="-6"/>
              </w:rPr>
              <w:t xml:space="preserve">významně </w:t>
            </w:r>
            <w:r>
              <w:rPr>
                <w:color w:val="000000"/>
                <w:spacing w:val="-6"/>
              </w:rPr>
              <w:t xml:space="preserve">ovlivnilo hospodářský vývoj nejen </w:t>
            </w:r>
            <w:r w:rsidR="00E62585">
              <w:rPr>
                <w:color w:val="000000"/>
                <w:spacing w:val="-6"/>
              </w:rPr>
              <w:t>zemí</w:t>
            </w:r>
            <w:r w:rsidR="00322B77">
              <w:rPr>
                <w:color w:val="000000"/>
                <w:spacing w:val="-6"/>
              </w:rPr>
              <w:t>, které do EU čerstvě vstoupily, a to h</w:t>
            </w:r>
            <w:r w:rsidR="00E62585">
              <w:rPr>
                <w:color w:val="000000"/>
                <w:spacing w:val="-6"/>
              </w:rPr>
              <w:t>lavně</w:t>
            </w:r>
            <w:r>
              <w:rPr>
                <w:color w:val="000000"/>
                <w:spacing w:val="-6"/>
              </w:rPr>
              <w:t xml:space="preserve"> podle míry otevřenosti jejich ekonomik</w:t>
            </w:r>
            <w:r w:rsidR="00E62585">
              <w:rPr>
                <w:color w:val="000000"/>
                <w:spacing w:val="-6"/>
              </w:rPr>
              <w:t>. Z</w:t>
            </w:r>
            <w:r>
              <w:rPr>
                <w:color w:val="000000"/>
                <w:spacing w:val="-6"/>
              </w:rPr>
              <w:t xml:space="preserve">apůsobilo také na vývoj ve starších členských zemích Unie. V logice věci tempo vývoje nových zemí narůstalo a v kontrastu k tomu tempo ekonomiky starých zemí v úhrnu velmi mírně klesalo. </w:t>
            </w:r>
          </w:p>
          <w:p w:rsidR="0008794F" w:rsidRPr="003D78A5" w:rsidRDefault="0008794F" w:rsidP="008A48AC">
            <w:pPr>
              <w:pStyle w:val="Textpoznpodarou"/>
              <w:jc w:val="both"/>
              <w:rPr>
                <w:color w:val="000000"/>
                <w:spacing w:val="-6"/>
              </w:rPr>
            </w:pPr>
          </w:p>
        </w:tc>
      </w:tr>
      <w:tr w:rsidR="0008794F" w:rsidRPr="003D78A5" w:rsidTr="00D2002A">
        <w:tc>
          <w:tcPr>
            <w:tcW w:w="1042" w:type="pct"/>
          </w:tcPr>
          <w:p w:rsidR="0008794F" w:rsidRPr="00602D1D" w:rsidRDefault="0008794F" w:rsidP="00ED118D">
            <w:pPr>
              <w:spacing w:line="240" w:lineRule="auto"/>
              <w:rPr>
                <w:color w:val="000000"/>
                <w:sz w:val="16"/>
                <w:szCs w:val="16"/>
              </w:rPr>
            </w:pPr>
            <w:r>
              <w:rPr>
                <w:color w:val="000000"/>
                <w:sz w:val="16"/>
                <w:szCs w:val="16"/>
              </w:rPr>
              <w:t>Pokud jde o největší přírůstky HDP v roce 2014 proti roku 2004, patřilo mezi TOP 10 celkem devět nových členských zemí a nejúspěšnější bylo Slovensko</w:t>
            </w:r>
          </w:p>
        </w:tc>
        <w:tc>
          <w:tcPr>
            <w:tcW w:w="139" w:type="pct"/>
          </w:tcPr>
          <w:p w:rsidR="0008794F" w:rsidRDefault="0008794F" w:rsidP="00AC6A22">
            <w:pPr>
              <w:pStyle w:val="Textpoznpodarou"/>
              <w:jc w:val="both"/>
            </w:pPr>
          </w:p>
        </w:tc>
        <w:tc>
          <w:tcPr>
            <w:tcW w:w="3819" w:type="pct"/>
          </w:tcPr>
          <w:p w:rsidR="0008794F" w:rsidRPr="00997EEB" w:rsidRDefault="00E62585" w:rsidP="00AC6A22">
            <w:pPr>
              <w:pStyle w:val="Textpoznpodarou"/>
              <w:jc w:val="both"/>
              <w:rPr>
                <w:color w:val="000000"/>
                <w:spacing w:val="-6"/>
              </w:rPr>
            </w:pPr>
            <w:r>
              <w:rPr>
                <w:color w:val="000000"/>
                <w:spacing w:val="-6"/>
              </w:rPr>
              <w:t>Avšak o</w:t>
            </w:r>
            <w:r w:rsidR="0008794F">
              <w:rPr>
                <w:color w:val="000000"/>
                <w:spacing w:val="-6"/>
              </w:rPr>
              <w:t xml:space="preserve"> síle efektu, který mělo pro nové země Evropské unie jejich členství od roku 2004, vypovídá pořadí podle přírůstku HDP v roce 2014 proti roku 2004 (graf 20) jen zčásti. V první desítce zemí EU podle výše tohoto přírůstku je devět zemí ze skupiny nových členům Unie. Česká republika tuto desetičlennou skupinu uzavírá s  přírůstkem HDP v roce 2014 proti roku 2004 o +23 %, Slovenská republika dokonce celý žebříček evropských zemí vede s dosaženým přírůstkem ve výši +45,8 %.</w:t>
            </w:r>
          </w:p>
          <w:p w:rsidR="0008794F" w:rsidRPr="003D78A5" w:rsidRDefault="0008794F" w:rsidP="00AC6A22">
            <w:pPr>
              <w:pStyle w:val="Textpoznpodarou"/>
              <w:jc w:val="both"/>
              <w:rPr>
                <w:color w:val="000000"/>
                <w:spacing w:val="-6"/>
              </w:rPr>
            </w:pPr>
          </w:p>
        </w:tc>
      </w:tr>
    </w:tbl>
    <w:p w:rsidR="0008794F" w:rsidRDefault="0008794F" w:rsidP="00CD5912">
      <w:pPr>
        <w:rPr>
          <w:b/>
        </w:rPr>
      </w:pPr>
    </w:p>
    <w:p w:rsidR="00AE1A78" w:rsidRDefault="00AE1A78" w:rsidP="00CD5912">
      <w:pPr>
        <w:rPr>
          <w:b/>
        </w:rPr>
      </w:pPr>
    </w:p>
    <w:p w:rsidR="0008794F" w:rsidRPr="00CD5912" w:rsidRDefault="0008794F" w:rsidP="00CD5912">
      <w:pPr>
        <w:rPr>
          <w:b/>
        </w:rPr>
      </w:pPr>
      <w:r>
        <w:rPr>
          <w:b/>
        </w:rPr>
        <w:lastRenderedPageBreak/>
        <w:t xml:space="preserve">Graf 20: Zlepšení výkonnosti evropských ekonomik podle změny HDP v roce 2014 proti roku 2004 </w:t>
      </w:r>
      <w:r w:rsidRPr="00CD5912">
        <w:t>(index 2004=100)</w:t>
      </w:r>
    </w:p>
    <w:p w:rsidR="0008794F" w:rsidRPr="0081330F" w:rsidRDefault="00306F79" w:rsidP="00CD5912">
      <w:pPr>
        <w:jc w:val="center"/>
      </w:pPr>
      <w:r>
        <w:pict>
          <v:shape id="_x0000_i1044" type="#_x0000_t75" style="width:442.5pt;height:179.25pt">
            <v:imagedata r:id="rId32" o:title=""/>
          </v:shape>
        </w:pict>
      </w:r>
    </w:p>
    <w:p w:rsidR="0008794F" w:rsidRPr="00CD5912" w:rsidRDefault="0008794F" w:rsidP="00CD5912">
      <w:pPr>
        <w:jc w:val="right"/>
        <w:rPr>
          <w:sz w:val="18"/>
          <w:szCs w:val="18"/>
        </w:rPr>
      </w:pPr>
      <w:r w:rsidRPr="00A14EDC">
        <w:rPr>
          <w:sz w:val="18"/>
          <w:szCs w:val="18"/>
        </w:rPr>
        <w:t xml:space="preserve">Pramen: </w:t>
      </w:r>
      <w:proofErr w:type="spellStart"/>
      <w:r w:rsidRPr="00A14EDC">
        <w:rPr>
          <w:sz w:val="18"/>
          <w:szCs w:val="18"/>
        </w:rPr>
        <w:t>Eurostat</w:t>
      </w:r>
      <w:proofErr w:type="spellEnd"/>
    </w:p>
    <w:p w:rsidR="0008794F" w:rsidRPr="00B24545" w:rsidRDefault="0008794F" w:rsidP="00D34225">
      <w:pPr>
        <w:rPr>
          <w:sz w:val="12"/>
          <w:szCs w:val="12"/>
        </w:rPr>
      </w:pPr>
    </w:p>
    <w:tbl>
      <w:tblPr>
        <w:tblW w:w="5043" w:type="pct"/>
        <w:tblInd w:w="-42" w:type="dxa"/>
        <w:tblCellMar>
          <w:left w:w="28" w:type="dxa"/>
          <w:right w:w="28" w:type="dxa"/>
        </w:tblCellMar>
        <w:tblLook w:val="00A0"/>
      </w:tblPr>
      <w:tblGrid>
        <w:gridCol w:w="41"/>
        <w:gridCol w:w="793"/>
        <w:gridCol w:w="1192"/>
        <w:gridCol w:w="272"/>
        <w:gridCol w:w="2532"/>
        <w:gridCol w:w="847"/>
        <w:gridCol w:w="4057"/>
        <w:gridCol w:w="43"/>
      </w:tblGrid>
      <w:tr w:rsidR="0008794F" w:rsidRPr="003D78A5" w:rsidTr="00E94870">
        <w:tc>
          <w:tcPr>
            <w:tcW w:w="1037" w:type="pct"/>
            <w:gridSpan w:val="3"/>
          </w:tcPr>
          <w:p w:rsidR="0008794F" w:rsidRPr="00602D1D" w:rsidRDefault="0008794F" w:rsidP="006741D9">
            <w:pPr>
              <w:spacing w:line="240" w:lineRule="auto"/>
              <w:rPr>
                <w:color w:val="000000"/>
                <w:sz w:val="16"/>
                <w:szCs w:val="16"/>
              </w:rPr>
            </w:pPr>
            <w:r>
              <w:rPr>
                <w:color w:val="000000"/>
                <w:sz w:val="16"/>
                <w:szCs w:val="16"/>
              </w:rPr>
              <w:t>Vysoké průměrné růsty slovenské ekonomiky jsou spojeny s její volatilitou</w:t>
            </w:r>
          </w:p>
        </w:tc>
        <w:tc>
          <w:tcPr>
            <w:tcW w:w="139" w:type="pct"/>
          </w:tcPr>
          <w:p w:rsidR="0008794F" w:rsidRDefault="0008794F" w:rsidP="006741D9">
            <w:pPr>
              <w:pStyle w:val="Textpoznpodarou"/>
              <w:jc w:val="both"/>
            </w:pPr>
          </w:p>
        </w:tc>
        <w:tc>
          <w:tcPr>
            <w:tcW w:w="3824" w:type="pct"/>
            <w:gridSpan w:val="4"/>
          </w:tcPr>
          <w:p w:rsidR="0080673A" w:rsidRDefault="0008794F" w:rsidP="006741D9">
            <w:pPr>
              <w:pStyle w:val="Textpoznpodarou"/>
              <w:jc w:val="both"/>
              <w:rPr>
                <w:color w:val="000000"/>
                <w:spacing w:val="-6"/>
              </w:rPr>
            </w:pPr>
            <w:r>
              <w:rPr>
                <w:color w:val="000000"/>
                <w:spacing w:val="-6"/>
              </w:rPr>
              <w:t>Silnou volatilitu slovenské ekonomiky, ústící však do vysokých průměrných růst</w:t>
            </w:r>
            <w:r w:rsidR="00E62585">
              <w:rPr>
                <w:color w:val="000000"/>
                <w:spacing w:val="-6"/>
              </w:rPr>
              <w:t>ů</w:t>
            </w:r>
            <w:r>
              <w:rPr>
                <w:color w:val="000000"/>
                <w:spacing w:val="-6"/>
              </w:rPr>
              <w:t xml:space="preserve"> za celé období 1998-2014 a zejména letech 2004-2014, ukazuje graf 22.  Je z něj patrná i skutečnost, že Rakousko neprošlo v posledních letech recesí, ani mírnou zaznamenanou v úhrnu za evropská uskupení v roce 2012 (-0,5 % y/y v EU 28, -0,6 % v EU 15 a -0,9 % % v </w:t>
            </w:r>
            <w:proofErr w:type="spellStart"/>
            <w:r>
              <w:rPr>
                <w:color w:val="000000"/>
                <w:spacing w:val="-6"/>
              </w:rPr>
              <w:t>eurozóně</w:t>
            </w:r>
            <w:proofErr w:type="spellEnd"/>
            <w:r>
              <w:rPr>
                <w:color w:val="000000"/>
                <w:spacing w:val="-6"/>
              </w:rPr>
              <w:t xml:space="preserve">), a </w:t>
            </w:r>
            <w:r w:rsidR="0080673A">
              <w:rPr>
                <w:color w:val="000000"/>
                <w:spacing w:val="-6"/>
              </w:rPr>
              <w:t>logicky ani delší, podobnou té,</w:t>
            </w:r>
            <w:r>
              <w:rPr>
                <w:color w:val="000000"/>
                <w:spacing w:val="-6"/>
              </w:rPr>
              <w:t xml:space="preserve"> kterou vykázala česká ekonomika </w:t>
            </w:r>
          </w:p>
          <w:p w:rsidR="0008794F" w:rsidRPr="00997EEB" w:rsidRDefault="0008794F" w:rsidP="006741D9">
            <w:pPr>
              <w:pStyle w:val="Textpoznpodarou"/>
              <w:jc w:val="both"/>
              <w:rPr>
                <w:color w:val="000000"/>
                <w:spacing w:val="-6"/>
              </w:rPr>
            </w:pPr>
            <w:r>
              <w:rPr>
                <w:color w:val="000000"/>
                <w:spacing w:val="-6"/>
              </w:rPr>
              <w:t>(-0,9 % v roce 2012 a -0,5 %v roce 2013).</w:t>
            </w:r>
            <w:r w:rsidRPr="00997EEB">
              <w:rPr>
                <w:color w:val="000000"/>
                <w:spacing w:val="-6"/>
              </w:rPr>
              <w:t xml:space="preserve"> </w:t>
            </w:r>
          </w:p>
          <w:p w:rsidR="0008794F" w:rsidRPr="003D78A5" w:rsidRDefault="0008794F" w:rsidP="006741D9">
            <w:pPr>
              <w:pStyle w:val="Textpoznpodarou"/>
              <w:jc w:val="both"/>
              <w:rPr>
                <w:color w:val="000000"/>
                <w:spacing w:val="-6"/>
              </w:rPr>
            </w:pPr>
          </w:p>
        </w:tc>
      </w:tr>
      <w:tr w:rsidR="0008794F" w:rsidRPr="003D78A5" w:rsidTr="00E94870">
        <w:tc>
          <w:tcPr>
            <w:tcW w:w="1037" w:type="pct"/>
            <w:gridSpan w:val="3"/>
          </w:tcPr>
          <w:p w:rsidR="0008794F" w:rsidRPr="00602D1D" w:rsidRDefault="0008794F" w:rsidP="00742D7C">
            <w:pPr>
              <w:spacing w:line="240" w:lineRule="auto"/>
              <w:rPr>
                <w:color w:val="000000"/>
                <w:sz w:val="16"/>
                <w:szCs w:val="16"/>
              </w:rPr>
            </w:pPr>
            <w:r>
              <w:rPr>
                <w:color w:val="000000"/>
                <w:sz w:val="16"/>
                <w:szCs w:val="16"/>
              </w:rPr>
              <w:t xml:space="preserve">Největší vliv měl vývoj v letech 2004-2014 na celkové přírůstky HDP za roky 1998-2014 v případě Slovenska – jeho celkový přírůstek ovlivnil </w:t>
            </w:r>
            <w:proofErr w:type="gramStart"/>
            <w:r>
              <w:rPr>
                <w:color w:val="000000"/>
                <w:sz w:val="16"/>
                <w:szCs w:val="16"/>
              </w:rPr>
              <w:t>ze</w:t>
            </w:r>
            <w:proofErr w:type="gramEnd"/>
            <w:r>
              <w:rPr>
                <w:color w:val="000000"/>
                <w:sz w:val="16"/>
                <w:szCs w:val="16"/>
              </w:rPr>
              <w:t xml:space="preserve"> 60 % </w:t>
            </w:r>
          </w:p>
        </w:tc>
        <w:tc>
          <w:tcPr>
            <w:tcW w:w="139" w:type="pct"/>
          </w:tcPr>
          <w:p w:rsidR="0008794F" w:rsidRDefault="0008794F" w:rsidP="00742D7C">
            <w:pPr>
              <w:pStyle w:val="Textpoznpodarou"/>
              <w:jc w:val="both"/>
            </w:pPr>
          </w:p>
        </w:tc>
        <w:tc>
          <w:tcPr>
            <w:tcW w:w="3824" w:type="pct"/>
            <w:gridSpan w:val="4"/>
          </w:tcPr>
          <w:p w:rsidR="0008794F" w:rsidRDefault="0008794F" w:rsidP="00742D7C">
            <w:pPr>
              <w:pStyle w:val="Textpoznpodarou"/>
              <w:jc w:val="both"/>
              <w:rPr>
                <w:color w:val="000000"/>
                <w:spacing w:val="-6"/>
              </w:rPr>
            </w:pPr>
            <w:r>
              <w:rPr>
                <w:color w:val="000000"/>
                <w:spacing w:val="-6"/>
              </w:rPr>
              <w:t>Chceme-li vědět, jak participoval vývoj (přírůstky) po roce 2004 na celkovém přírůstku HDP zemí za časovou řadu 1999-2014, a tedy z jiného doplňujícího pohledu zjistit, jak mohlo členství v EU pomoci hospodářskému vývoji v nových zemích s nejrychlejšími přírůstky</w:t>
            </w:r>
            <w:r w:rsidR="000434EF">
              <w:rPr>
                <w:color w:val="000000"/>
                <w:spacing w:val="-6"/>
              </w:rPr>
              <w:t>. J</w:t>
            </w:r>
            <w:r>
              <w:rPr>
                <w:color w:val="000000"/>
                <w:spacing w:val="-6"/>
              </w:rPr>
              <w:t>e však jasné, jako v případě Slovenska, že příčin může být podstatně širší spektrum</w:t>
            </w:r>
            <w:r w:rsidR="000434EF">
              <w:rPr>
                <w:color w:val="000000"/>
                <w:spacing w:val="-6"/>
              </w:rPr>
              <w:t>. P</w:t>
            </w:r>
            <w:r>
              <w:rPr>
                <w:color w:val="000000"/>
                <w:spacing w:val="-6"/>
              </w:rPr>
              <w:t xml:space="preserve">okusme se kvantifikovat tento vliv. </w:t>
            </w:r>
          </w:p>
          <w:p w:rsidR="0008794F" w:rsidRPr="003D78A5" w:rsidRDefault="0008794F" w:rsidP="00F86CBF">
            <w:pPr>
              <w:pStyle w:val="Textpoznpodarou"/>
              <w:jc w:val="both"/>
              <w:rPr>
                <w:color w:val="000000"/>
                <w:spacing w:val="-6"/>
              </w:rPr>
            </w:pPr>
          </w:p>
        </w:tc>
      </w:tr>
      <w:tr w:rsidR="0008794F" w:rsidRPr="003D78A5" w:rsidTr="00E94870">
        <w:tc>
          <w:tcPr>
            <w:tcW w:w="1037" w:type="pct"/>
            <w:gridSpan w:val="3"/>
          </w:tcPr>
          <w:p w:rsidR="0008794F" w:rsidRPr="00602D1D" w:rsidRDefault="0008794F" w:rsidP="00742D7C">
            <w:pPr>
              <w:spacing w:line="240" w:lineRule="auto"/>
              <w:rPr>
                <w:color w:val="000000"/>
                <w:sz w:val="16"/>
                <w:szCs w:val="16"/>
              </w:rPr>
            </w:pPr>
            <w:r>
              <w:rPr>
                <w:color w:val="000000"/>
                <w:sz w:val="16"/>
                <w:szCs w:val="16"/>
              </w:rPr>
              <w:t xml:space="preserve">V případě Polska se podílel  přírůstek HDP za roky 2004-2014 na přírůstku za období 1998-2014 také silnými </w:t>
            </w:r>
            <w:proofErr w:type="gramStart"/>
            <w:r>
              <w:rPr>
                <w:color w:val="000000"/>
                <w:sz w:val="16"/>
                <w:szCs w:val="16"/>
              </w:rPr>
              <w:t>58 %,...</w:t>
            </w:r>
            <w:proofErr w:type="gramEnd"/>
          </w:p>
        </w:tc>
        <w:tc>
          <w:tcPr>
            <w:tcW w:w="139" w:type="pct"/>
          </w:tcPr>
          <w:p w:rsidR="0008794F" w:rsidRDefault="0008794F" w:rsidP="00742D7C">
            <w:pPr>
              <w:pStyle w:val="Textpoznpodarou"/>
              <w:jc w:val="both"/>
            </w:pPr>
          </w:p>
        </w:tc>
        <w:tc>
          <w:tcPr>
            <w:tcW w:w="3824" w:type="pct"/>
            <w:gridSpan w:val="4"/>
          </w:tcPr>
          <w:p w:rsidR="0008794F" w:rsidRDefault="0008794F" w:rsidP="00742D7C">
            <w:pPr>
              <w:pStyle w:val="Textpoznpodarou"/>
              <w:jc w:val="both"/>
              <w:rPr>
                <w:color w:val="000000"/>
                <w:spacing w:val="-6"/>
              </w:rPr>
            </w:pPr>
            <w:r>
              <w:rPr>
                <w:color w:val="000000"/>
                <w:spacing w:val="-6"/>
              </w:rPr>
              <w:t>Největší vliv měl vývoj v období 2004-2014 na celkovém přírůstku HDP za roky 1998-2014 u desítky zemí s největším pozitivním posunem v</w:t>
            </w:r>
            <w:r w:rsidR="000434EF">
              <w:rPr>
                <w:color w:val="000000"/>
                <w:spacing w:val="-6"/>
              </w:rPr>
              <w:t> </w:t>
            </w:r>
            <w:r>
              <w:rPr>
                <w:color w:val="000000"/>
                <w:spacing w:val="-6"/>
              </w:rPr>
              <w:t>HDP</w:t>
            </w:r>
            <w:r w:rsidR="000434EF">
              <w:rPr>
                <w:color w:val="000000"/>
                <w:spacing w:val="-6"/>
              </w:rPr>
              <w:t>,</w:t>
            </w:r>
            <w:r>
              <w:rPr>
                <w:color w:val="000000"/>
                <w:spacing w:val="-6"/>
              </w:rPr>
              <w:t xml:space="preserve"> mezi nimiž je devět nových členských zemí</w:t>
            </w:r>
            <w:r w:rsidR="000434EF">
              <w:rPr>
                <w:color w:val="000000"/>
                <w:spacing w:val="-6"/>
              </w:rPr>
              <w:t>,</w:t>
            </w:r>
            <w:r>
              <w:rPr>
                <w:color w:val="000000"/>
                <w:spacing w:val="-6"/>
              </w:rPr>
              <w:t xml:space="preserve"> v případě Slovenska. Tam se přírůstek po roce </w:t>
            </w:r>
            <w:proofErr w:type="gramStart"/>
            <w:r>
              <w:rPr>
                <w:color w:val="000000"/>
                <w:spacing w:val="-6"/>
              </w:rPr>
              <w:t>2004  podílel</w:t>
            </w:r>
            <w:proofErr w:type="gramEnd"/>
            <w:r>
              <w:rPr>
                <w:color w:val="000000"/>
                <w:spacing w:val="-6"/>
              </w:rPr>
              <w:t xml:space="preserve"> na celkovém přírůstku HDP za roky 1998-2014 plnými třemi pětinami, tj. z 60 %. Vyšší než poloviční byl tento vliv i v Polsku (celkový přírůstek byl posílen vývojem po roce 2004 z 57,5 %). </w:t>
            </w:r>
          </w:p>
          <w:p w:rsidR="0008794F" w:rsidRPr="00D43C1F" w:rsidRDefault="0008794F" w:rsidP="00742D7C">
            <w:pPr>
              <w:pStyle w:val="Textpoznpodarou"/>
              <w:jc w:val="both"/>
              <w:rPr>
                <w:color w:val="000000"/>
                <w:spacing w:val="-6"/>
                <w:sz w:val="12"/>
                <w:szCs w:val="12"/>
              </w:rPr>
            </w:pPr>
          </w:p>
          <w:p w:rsidR="0008794F" w:rsidRDefault="0008794F" w:rsidP="00742D7C">
            <w:pPr>
              <w:pStyle w:val="Textpoznpodarou"/>
              <w:jc w:val="both"/>
              <w:rPr>
                <w:color w:val="000000"/>
                <w:spacing w:val="-6"/>
              </w:rPr>
            </w:pPr>
            <w:r>
              <w:rPr>
                <w:color w:val="000000"/>
                <w:spacing w:val="-6"/>
              </w:rPr>
              <w:t>V Bulharsku, které vstoupilo do EU později, však také z více ne</w:t>
            </w:r>
            <w:r w:rsidR="000434EF">
              <w:rPr>
                <w:color w:val="000000"/>
                <w:spacing w:val="-6"/>
              </w:rPr>
              <w:t>ž poloviny posílil HDP za roky 1</w:t>
            </w:r>
            <w:r>
              <w:rPr>
                <w:color w:val="000000"/>
                <w:spacing w:val="-6"/>
              </w:rPr>
              <w:t>998-2014 právě přírůstek za samotné období 2004-2014 (z 51,5 %). Pro tyto tři země tak byl vývoj po roce</w:t>
            </w:r>
            <w:r w:rsidR="000434EF">
              <w:rPr>
                <w:color w:val="000000"/>
                <w:spacing w:val="-6"/>
              </w:rPr>
              <w:t xml:space="preserve"> </w:t>
            </w:r>
            <w:r>
              <w:rPr>
                <w:color w:val="000000"/>
                <w:spacing w:val="-6"/>
              </w:rPr>
              <w:t xml:space="preserve">2004 rozhodující. </w:t>
            </w:r>
          </w:p>
          <w:p w:rsidR="0008794F" w:rsidRPr="003D78A5" w:rsidRDefault="0008794F" w:rsidP="00742D7C">
            <w:pPr>
              <w:pStyle w:val="Textpoznpodarou"/>
              <w:jc w:val="both"/>
              <w:rPr>
                <w:color w:val="000000"/>
                <w:spacing w:val="-6"/>
              </w:rPr>
            </w:pPr>
          </w:p>
        </w:tc>
      </w:tr>
      <w:tr w:rsidR="0008794F" w:rsidRPr="003D78A5" w:rsidTr="00E94870">
        <w:tc>
          <w:tcPr>
            <w:tcW w:w="1037" w:type="pct"/>
            <w:gridSpan w:val="3"/>
          </w:tcPr>
          <w:p w:rsidR="0008794F" w:rsidRPr="00602D1D" w:rsidRDefault="0008794F" w:rsidP="00742D7C">
            <w:pPr>
              <w:spacing w:line="240" w:lineRule="auto"/>
              <w:rPr>
                <w:color w:val="000000"/>
                <w:sz w:val="16"/>
                <w:szCs w:val="16"/>
              </w:rPr>
            </w:pPr>
            <w:r>
              <w:rPr>
                <w:color w:val="000000"/>
                <w:sz w:val="16"/>
                <w:szCs w:val="16"/>
              </w:rPr>
              <w:t xml:space="preserve">…v ČR necelou polovinou a v pobaltských zemích třetinou </w:t>
            </w:r>
          </w:p>
        </w:tc>
        <w:tc>
          <w:tcPr>
            <w:tcW w:w="139" w:type="pct"/>
          </w:tcPr>
          <w:p w:rsidR="0008794F" w:rsidRDefault="0008794F" w:rsidP="00742D7C">
            <w:pPr>
              <w:pStyle w:val="Textpoznpodarou"/>
              <w:jc w:val="both"/>
            </w:pPr>
          </w:p>
        </w:tc>
        <w:tc>
          <w:tcPr>
            <w:tcW w:w="3824" w:type="pct"/>
            <w:gridSpan w:val="4"/>
          </w:tcPr>
          <w:p w:rsidR="0008794F" w:rsidRDefault="0008794F" w:rsidP="00742D7C">
            <w:pPr>
              <w:spacing w:line="240" w:lineRule="auto"/>
              <w:jc w:val="both"/>
              <w:rPr>
                <w:color w:val="000000"/>
                <w:spacing w:val="-6"/>
              </w:rPr>
            </w:pPr>
            <w:r>
              <w:rPr>
                <w:color w:val="000000"/>
                <w:spacing w:val="-6"/>
              </w:rPr>
              <w:t xml:space="preserve">V ČR se přírůstek HDP v období počínající vstupem do EU podílel na nárůstu za roky 1998-2014 také téměř polovinou (ze 47,5 %). O něco méně pak v Rumunsku (ze 44,1 %). Pro tuto zemi však platí stejně jako pro Bulharsko, že </w:t>
            </w:r>
            <w:proofErr w:type="spellStart"/>
            <w:r w:rsidR="000434EF">
              <w:rPr>
                <w:color w:val="000000"/>
                <w:spacing w:val="-6"/>
              </w:rPr>
              <w:t>benefitů</w:t>
            </w:r>
            <w:proofErr w:type="spellEnd"/>
            <w:r>
              <w:rPr>
                <w:color w:val="000000"/>
                <w:spacing w:val="-6"/>
              </w:rPr>
              <w:t xml:space="preserve"> z členství mělo možnost využít až později. Přesto již po celé období 2004-2014 rostly jejich ekonomiky tak, že vygenerovaly významný příspěvek k celkovém</w:t>
            </w:r>
            <w:r w:rsidR="0080673A">
              <w:rPr>
                <w:color w:val="000000"/>
                <w:spacing w:val="-6"/>
              </w:rPr>
              <w:t>u</w:t>
            </w:r>
            <w:r>
              <w:rPr>
                <w:color w:val="000000"/>
                <w:spacing w:val="-6"/>
              </w:rPr>
              <w:t xml:space="preserve"> přírůstku </w:t>
            </w:r>
            <w:r w:rsidR="0080673A">
              <w:rPr>
                <w:color w:val="000000"/>
                <w:spacing w:val="-6"/>
              </w:rPr>
              <w:t xml:space="preserve">HDP </w:t>
            </w:r>
            <w:r>
              <w:rPr>
                <w:color w:val="000000"/>
                <w:spacing w:val="-6"/>
              </w:rPr>
              <w:t>za roky 1998-2014.</w:t>
            </w:r>
          </w:p>
          <w:p w:rsidR="0008794F" w:rsidRPr="00D43C1F" w:rsidRDefault="0008794F" w:rsidP="00742D7C">
            <w:pPr>
              <w:spacing w:line="240" w:lineRule="auto"/>
              <w:jc w:val="both"/>
              <w:rPr>
                <w:color w:val="000000"/>
                <w:spacing w:val="-6"/>
                <w:sz w:val="12"/>
                <w:szCs w:val="12"/>
              </w:rPr>
            </w:pPr>
          </w:p>
          <w:p w:rsidR="0008794F" w:rsidRDefault="0008794F" w:rsidP="00067478">
            <w:pPr>
              <w:spacing w:line="240" w:lineRule="auto"/>
              <w:jc w:val="both"/>
              <w:rPr>
                <w:color w:val="000000"/>
                <w:spacing w:val="-6"/>
              </w:rPr>
            </w:pPr>
            <w:r>
              <w:rPr>
                <w:color w:val="000000"/>
                <w:spacing w:val="-6"/>
              </w:rPr>
              <w:t xml:space="preserve">Naopak pobaltské země rostly zřejmě rychleji ji v období 1998-2004, neboť u nich byl přírůstek </w:t>
            </w:r>
            <w:r w:rsidR="0080673A">
              <w:rPr>
                <w:color w:val="000000"/>
                <w:spacing w:val="-6"/>
              </w:rPr>
              <w:t xml:space="preserve">HDP </w:t>
            </w:r>
            <w:r>
              <w:rPr>
                <w:color w:val="000000"/>
                <w:spacing w:val="-6"/>
              </w:rPr>
              <w:t>v době po získání členství v EU k celkovému růstu za roky 1998-2014 jen zhruba třetinový - v Estonsku 34,2 %, v Lotyšsku 31,6 %. V Litvě představoval 40,4 %.</w:t>
            </w:r>
          </w:p>
          <w:p w:rsidR="0008794F" w:rsidRPr="00067478" w:rsidRDefault="0008794F" w:rsidP="00067478">
            <w:pPr>
              <w:spacing w:line="240" w:lineRule="auto"/>
              <w:jc w:val="both"/>
              <w:rPr>
                <w:color w:val="000000"/>
                <w:spacing w:val="-6"/>
              </w:rPr>
            </w:pPr>
            <w:r>
              <w:rPr>
                <w:color w:val="000000"/>
                <w:spacing w:val="-6"/>
              </w:rPr>
              <w:t xml:space="preserve"> </w:t>
            </w:r>
          </w:p>
        </w:tc>
      </w:tr>
      <w:tr w:rsidR="0008794F" w:rsidRPr="003D78A5" w:rsidTr="00E94870">
        <w:tc>
          <w:tcPr>
            <w:tcW w:w="1037" w:type="pct"/>
            <w:gridSpan w:val="3"/>
          </w:tcPr>
          <w:p w:rsidR="0008794F" w:rsidRPr="00602D1D" w:rsidRDefault="0008794F" w:rsidP="00AC6A22">
            <w:pPr>
              <w:spacing w:line="240" w:lineRule="auto"/>
              <w:rPr>
                <w:color w:val="000000"/>
                <w:sz w:val="16"/>
                <w:szCs w:val="16"/>
              </w:rPr>
            </w:pPr>
            <w:r>
              <w:rPr>
                <w:color w:val="000000"/>
                <w:sz w:val="16"/>
                <w:szCs w:val="16"/>
              </w:rPr>
              <w:t>Vývoj po roce 2004 byl příznivý nejen pro nové členské země EU, ale překvapivě příznivý i pro Rakousko a zejména Německo</w:t>
            </w:r>
          </w:p>
        </w:tc>
        <w:tc>
          <w:tcPr>
            <w:tcW w:w="139" w:type="pct"/>
          </w:tcPr>
          <w:p w:rsidR="0008794F" w:rsidRDefault="0008794F" w:rsidP="00AC6A22">
            <w:pPr>
              <w:pStyle w:val="Textpoznpodarou"/>
              <w:jc w:val="both"/>
            </w:pPr>
          </w:p>
        </w:tc>
        <w:tc>
          <w:tcPr>
            <w:tcW w:w="3824" w:type="pct"/>
            <w:gridSpan w:val="4"/>
          </w:tcPr>
          <w:p w:rsidR="0008794F" w:rsidRDefault="0008794F" w:rsidP="00AC6A22">
            <w:pPr>
              <w:pStyle w:val="Textpoznpodarou"/>
              <w:jc w:val="both"/>
              <w:rPr>
                <w:color w:val="000000"/>
                <w:spacing w:val="-6"/>
              </w:rPr>
            </w:pPr>
            <w:r>
              <w:rPr>
                <w:color w:val="000000"/>
                <w:spacing w:val="-6"/>
              </w:rPr>
              <w:t>Rakousko je velmi překvapivým příkladem toho, jak vývoj po roce 2004 výrazně ovlivnil ve vyspělé zemi EU celkový přírůstek HDP. Přírůst</w:t>
            </w:r>
            <w:r w:rsidR="0080673A">
              <w:rPr>
                <w:color w:val="000000"/>
                <w:spacing w:val="-6"/>
              </w:rPr>
              <w:t>ek</w:t>
            </w:r>
            <w:r>
              <w:rPr>
                <w:color w:val="000000"/>
                <w:spacing w:val="-6"/>
              </w:rPr>
              <w:t xml:space="preserve"> rakouského HDP za toto poslední desetiletí totiž</w:t>
            </w:r>
            <w:r w:rsidR="0080673A">
              <w:rPr>
                <w:color w:val="000000"/>
                <w:spacing w:val="-6"/>
              </w:rPr>
              <w:t xml:space="preserve"> </w:t>
            </w:r>
            <w:r w:rsidR="000434EF">
              <w:rPr>
                <w:color w:val="000000"/>
                <w:spacing w:val="-6"/>
              </w:rPr>
              <w:t xml:space="preserve">ovlivnil </w:t>
            </w:r>
            <w:r w:rsidR="0080673A">
              <w:rPr>
                <w:color w:val="000000"/>
                <w:spacing w:val="-6"/>
              </w:rPr>
              <w:t>nárůst</w:t>
            </w:r>
            <w:r>
              <w:rPr>
                <w:color w:val="000000"/>
                <w:spacing w:val="-6"/>
              </w:rPr>
              <w:t xml:space="preserve"> za celé období 1998 téměř polovinou (ze 48,5 %), tedy zhruba stejně jako v České republice anebo v Bulharsku. Nelze zde přitom hovořit o vlivu slabší ekonomické základny. Ještě markantnější je příklad Německa, kde činil podíl přírůstku HDP z let 2004-2014 na přírůstku za celé období 1998-2014 plných 62,3 %. Bylo to dokonce více, než v případě Slovenska (60 %) s jeho nejrychleji rostoucí </w:t>
            </w:r>
            <w:r>
              <w:rPr>
                <w:color w:val="000000"/>
                <w:spacing w:val="-6"/>
              </w:rPr>
              <w:lastRenderedPageBreak/>
              <w:t xml:space="preserve">evropskou ekonomikou v letech 2004-2014. </w:t>
            </w:r>
          </w:p>
          <w:p w:rsidR="0008794F" w:rsidRPr="00FB7929" w:rsidRDefault="0008794F" w:rsidP="00AC6A22">
            <w:pPr>
              <w:pStyle w:val="Textpoznpodarou"/>
              <w:jc w:val="both"/>
              <w:rPr>
                <w:color w:val="000000"/>
                <w:spacing w:val="-6"/>
                <w:sz w:val="12"/>
                <w:szCs w:val="12"/>
              </w:rPr>
            </w:pPr>
          </w:p>
          <w:p w:rsidR="0008794F" w:rsidRPr="003D78A5" w:rsidRDefault="0008794F" w:rsidP="000434EF">
            <w:pPr>
              <w:pStyle w:val="Textpoznpodarou"/>
              <w:jc w:val="both"/>
              <w:rPr>
                <w:color w:val="000000"/>
                <w:spacing w:val="-6"/>
              </w:rPr>
            </w:pPr>
            <w:r>
              <w:rPr>
                <w:color w:val="000000"/>
                <w:spacing w:val="-6"/>
              </w:rPr>
              <w:t>Je zřejmé, že rozšíření EU od roku 2004 bylo významně prospěšné pro nové</w:t>
            </w:r>
            <w:r w:rsidR="000434EF">
              <w:rPr>
                <w:color w:val="000000"/>
                <w:spacing w:val="-6"/>
              </w:rPr>
              <w:t xml:space="preserve"> státy</w:t>
            </w:r>
            <w:r>
              <w:rPr>
                <w:color w:val="000000"/>
                <w:spacing w:val="-6"/>
              </w:rPr>
              <w:t xml:space="preserve">. Ale zjištěné proporce za Rakousko a zejména Německo ukazují, jak významný mohla mít tato změna vliv na některé z nejvyspělejších starých zemí Unie. Svou nemalou roli hraje okolnost, že Rakousko a Německo sousedí s novými členskými zeměmi a jejich pracovní trh byl a je tedy pro tyto nové země atraktivní. </w:t>
            </w:r>
          </w:p>
        </w:tc>
      </w:tr>
      <w:tr w:rsidR="0008794F" w:rsidRPr="00C81DE5" w:rsidTr="00C50863">
        <w:trPr>
          <w:gridBefore w:val="1"/>
          <w:gridAfter w:val="1"/>
          <w:wBefore w:w="21" w:type="pct"/>
          <w:wAfter w:w="22" w:type="pct"/>
        </w:trPr>
        <w:tc>
          <w:tcPr>
            <w:tcW w:w="2449" w:type="pct"/>
            <w:gridSpan w:val="4"/>
          </w:tcPr>
          <w:p w:rsidR="0008794F" w:rsidRPr="00DA43AC" w:rsidRDefault="0008794F" w:rsidP="004D04C0">
            <w:pPr>
              <w:pStyle w:val="Textpoznpodarou"/>
              <w:jc w:val="both"/>
              <w:rPr>
                <w:noProof/>
              </w:rPr>
            </w:pPr>
          </w:p>
        </w:tc>
        <w:tc>
          <w:tcPr>
            <w:tcW w:w="2508" w:type="pct"/>
            <w:gridSpan w:val="2"/>
          </w:tcPr>
          <w:p w:rsidR="0008794F" w:rsidRPr="00B72B1E" w:rsidRDefault="0008794F" w:rsidP="004D04C0">
            <w:pPr>
              <w:pStyle w:val="Textpoznpodarou"/>
              <w:jc w:val="both"/>
            </w:pPr>
          </w:p>
        </w:tc>
      </w:tr>
      <w:tr w:rsidR="0008794F" w:rsidRPr="00817C98" w:rsidTr="004E317A">
        <w:tc>
          <w:tcPr>
            <w:tcW w:w="427" w:type="pct"/>
            <w:gridSpan w:val="2"/>
          </w:tcPr>
          <w:p w:rsidR="0008794F" w:rsidRDefault="0008794F" w:rsidP="004D04C0">
            <w:pPr>
              <w:spacing w:line="240" w:lineRule="auto"/>
            </w:pPr>
            <w:proofErr w:type="gramStart"/>
            <w:r>
              <w:t>Graf  21</w:t>
            </w:r>
            <w:proofErr w:type="gramEnd"/>
          </w:p>
        </w:tc>
        <w:tc>
          <w:tcPr>
            <w:tcW w:w="2044" w:type="pct"/>
            <w:gridSpan w:val="3"/>
          </w:tcPr>
          <w:p w:rsidR="0008794F" w:rsidRDefault="0008794F" w:rsidP="004D04C0">
            <w:pPr>
              <w:pStyle w:val="Textpoznpodarou"/>
              <w:rPr>
                <w:rFonts w:cs="Arial"/>
                <w:szCs w:val="24"/>
              </w:rPr>
            </w:pPr>
            <w:r>
              <w:rPr>
                <w:rFonts w:cs="Arial"/>
                <w:b/>
                <w:bCs/>
              </w:rPr>
              <w:t>Přírůstky HDP reálně, index 2010=100</w:t>
            </w:r>
          </w:p>
        </w:tc>
        <w:tc>
          <w:tcPr>
            <w:tcW w:w="433" w:type="pct"/>
          </w:tcPr>
          <w:p w:rsidR="0008794F" w:rsidRDefault="0008794F" w:rsidP="004D04C0">
            <w:pPr>
              <w:spacing w:line="240" w:lineRule="auto"/>
            </w:pPr>
            <w:r>
              <w:t>Graf 22</w:t>
            </w:r>
          </w:p>
        </w:tc>
        <w:tc>
          <w:tcPr>
            <w:tcW w:w="2097" w:type="pct"/>
            <w:gridSpan w:val="2"/>
          </w:tcPr>
          <w:p w:rsidR="0008794F" w:rsidRPr="00817C98" w:rsidRDefault="0008794F" w:rsidP="004D04C0">
            <w:pPr>
              <w:spacing w:line="240" w:lineRule="auto"/>
              <w:rPr>
                <w:rFonts w:cs="Arial"/>
                <w:b/>
                <w:bCs/>
              </w:rPr>
            </w:pPr>
            <w:r>
              <w:rPr>
                <w:rFonts w:cs="Arial"/>
                <w:b/>
                <w:bCs/>
              </w:rPr>
              <w:t xml:space="preserve">Meziroční </w:t>
            </w:r>
            <w:proofErr w:type="gramStart"/>
            <w:r>
              <w:rPr>
                <w:rFonts w:cs="Arial"/>
                <w:b/>
                <w:bCs/>
              </w:rPr>
              <w:t>změny  HDP</w:t>
            </w:r>
            <w:proofErr w:type="gramEnd"/>
            <w:r>
              <w:rPr>
                <w:rFonts w:cs="Arial"/>
                <w:b/>
                <w:bCs/>
              </w:rPr>
              <w:t xml:space="preserve"> </w:t>
            </w:r>
            <w:r w:rsidRPr="000F7C11">
              <w:rPr>
                <w:rFonts w:cs="Arial"/>
                <w:bCs/>
              </w:rPr>
              <w:t>(</w:t>
            </w:r>
            <w:r>
              <w:rPr>
                <w:rFonts w:cs="Arial"/>
                <w:bCs/>
              </w:rPr>
              <w:t>reálně, v %)</w:t>
            </w:r>
            <w:r w:rsidRPr="00BE1C59">
              <w:rPr>
                <w:rFonts w:cs="Arial"/>
                <w:bCs/>
              </w:rPr>
              <w:t xml:space="preserve"> </w:t>
            </w:r>
          </w:p>
        </w:tc>
      </w:tr>
      <w:tr w:rsidR="0008794F" w:rsidRPr="00C81DE5" w:rsidTr="004E317A">
        <w:tc>
          <w:tcPr>
            <w:tcW w:w="2470" w:type="pct"/>
            <w:gridSpan w:val="5"/>
          </w:tcPr>
          <w:p w:rsidR="0008794F" w:rsidRPr="00DA43AC" w:rsidRDefault="00306F79" w:rsidP="004D04C0">
            <w:pPr>
              <w:pStyle w:val="Textpoznpodarou"/>
              <w:jc w:val="both"/>
              <w:rPr>
                <w:noProof/>
              </w:rPr>
            </w:pPr>
            <w:r>
              <w:rPr>
                <w:noProof/>
              </w:rPr>
              <w:pict>
                <v:shape id="_x0000_i1045" type="#_x0000_t75" style="width:235.5pt;height:199.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">
                  <v:imagedata r:id="rId33" o:title=""/>
                  <o:lock v:ext="edit" aspectratio="f"/>
                </v:shape>
              </w:pict>
            </w:r>
          </w:p>
        </w:tc>
        <w:tc>
          <w:tcPr>
            <w:tcW w:w="2530" w:type="pct"/>
            <w:gridSpan w:val="3"/>
          </w:tcPr>
          <w:p w:rsidR="0008794F" w:rsidRPr="00B72B1E" w:rsidRDefault="00306F79" w:rsidP="004D04C0">
            <w:pPr>
              <w:pStyle w:val="Textpoznpodarou"/>
              <w:jc w:val="both"/>
            </w:pPr>
            <w:r>
              <w:pict>
                <v:shape id="_x0000_i1046" type="#_x0000_t75" style="width:242.25pt;height:206.25pt">
                  <v:imagedata r:id="rId34" o:title=""/>
                </v:shape>
              </w:pict>
            </w:r>
          </w:p>
        </w:tc>
      </w:tr>
    </w:tbl>
    <w:p w:rsidR="0008794F" w:rsidRDefault="0008794F" w:rsidP="0053448E">
      <w:pPr>
        <w:jc w:val="right"/>
        <w:rPr>
          <w:sz w:val="18"/>
          <w:szCs w:val="18"/>
        </w:rPr>
      </w:pPr>
      <w:r w:rsidRPr="00CE11A9">
        <w:rPr>
          <w:sz w:val="18"/>
          <w:szCs w:val="18"/>
        </w:rPr>
        <w:t xml:space="preserve">Pramen: </w:t>
      </w:r>
      <w:proofErr w:type="spellStart"/>
      <w:r>
        <w:rPr>
          <w:sz w:val="18"/>
          <w:szCs w:val="18"/>
        </w:rPr>
        <w:t>Eurostat</w:t>
      </w:r>
      <w:proofErr w:type="spellEnd"/>
    </w:p>
    <w:p w:rsidR="0008794F" w:rsidRPr="00C50863" w:rsidRDefault="0008794F" w:rsidP="00C50863">
      <w:pPr>
        <w:jc w:val="both"/>
        <w:rPr>
          <w:sz w:val="12"/>
          <w:szCs w:val="12"/>
        </w:rPr>
      </w:pPr>
    </w:p>
    <w:p w:rsidR="0008794F" w:rsidRPr="0053448E" w:rsidRDefault="0008794F" w:rsidP="0053448E">
      <w:pPr>
        <w:jc w:val="both"/>
        <w:rPr>
          <w:sz w:val="12"/>
          <w:szCs w:val="12"/>
        </w:rPr>
      </w:pPr>
    </w:p>
    <w:tbl>
      <w:tblPr>
        <w:tblW w:w="5043" w:type="pct"/>
        <w:tblInd w:w="-42" w:type="dxa"/>
        <w:tblCellMar>
          <w:left w:w="28" w:type="dxa"/>
          <w:right w:w="28" w:type="dxa"/>
        </w:tblCellMar>
        <w:tblLook w:val="00A0"/>
      </w:tblPr>
      <w:tblGrid>
        <w:gridCol w:w="2037"/>
        <w:gridCol w:w="272"/>
        <w:gridCol w:w="7468"/>
      </w:tblGrid>
      <w:tr w:rsidR="0008794F" w:rsidRPr="003D78A5" w:rsidTr="004D04C0">
        <w:tc>
          <w:tcPr>
            <w:tcW w:w="1042" w:type="pct"/>
          </w:tcPr>
          <w:p w:rsidR="0008794F" w:rsidRPr="00602D1D" w:rsidRDefault="0008794F" w:rsidP="004D04C0">
            <w:pPr>
              <w:spacing w:line="240" w:lineRule="auto"/>
              <w:rPr>
                <w:color w:val="000000"/>
                <w:sz w:val="16"/>
                <w:szCs w:val="16"/>
              </w:rPr>
            </w:pPr>
            <w:r>
              <w:rPr>
                <w:color w:val="000000"/>
                <w:sz w:val="16"/>
                <w:szCs w:val="16"/>
              </w:rPr>
              <w:t>Od roku 2010 do roku 2014 diverzifikované nárůsty HDP – ČR jen +2,5 %, Rakousko +4,3 % a Slovensko +8,6 %;  rok 2015 se silným růstem české ekonomiky může její dosud horší výsledek „narovnat“</w:t>
            </w:r>
          </w:p>
        </w:tc>
        <w:tc>
          <w:tcPr>
            <w:tcW w:w="139" w:type="pct"/>
          </w:tcPr>
          <w:p w:rsidR="0008794F" w:rsidRDefault="0008794F" w:rsidP="004D04C0">
            <w:pPr>
              <w:pStyle w:val="Textpoznpodarou"/>
              <w:jc w:val="both"/>
            </w:pPr>
          </w:p>
        </w:tc>
        <w:tc>
          <w:tcPr>
            <w:tcW w:w="3819" w:type="pct"/>
          </w:tcPr>
          <w:p w:rsidR="0008794F" w:rsidRPr="003653B8" w:rsidRDefault="0008794F" w:rsidP="000434EF">
            <w:pPr>
              <w:pStyle w:val="Textpoznpodarou"/>
              <w:jc w:val="both"/>
              <w:rPr>
                <w:color w:val="000000"/>
                <w:spacing w:val="-6"/>
              </w:rPr>
            </w:pPr>
            <w:r>
              <w:rPr>
                <w:color w:val="000000"/>
                <w:spacing w:val="-6"/>
              </w:rPr>
              <w:t>V závěrečném období z pohledu této analýzy, tj. za poslední čtyři roky od roku 2010, lze pozorovat významnou diverzifikaci růstů v ekonomikách České republiky, Slovenska a Rakouska (graf 21 zachycující vývoj HDP těchto ekonomik k bázi roku 2010). Zatímco slovenský HDP pokračuje po</w:t>
            </w:r>
            <w:r w:rsidR="0080673A">
              <w:rPr>
                <w:color w:val="000000"/>
                <w:spacing w:val="-6"/>
              </w:rPr>
              <w:t xml:space="preserve"> propadu v roce 2009 stabilně v relativně silném </w:t>
            </w:r>
            <w:r>
              <w:rPr>
                <w:color w:val="000000"/>
                <w:spacing w:val="-6"/>
              </w:rPr>
              <w:t xml:space="preserve">růstu a rakouská ekonomika i se znatelným oslabením v letech 2013 a 2014 také, český HDP stoupl proti roku 2010 o pouhá 2,5 %. Rakouský HDP přitom narostl o 4,3 % a slovenský dokonce o 8,6 %. Tyto proporce, pro ČR nelichotivé, zřejmě poněkud narovná příznivý vývoj české ekonomiky v roce 2015. </w:t>
            </w:r>
          </w:p>
        </w:tc>
      </w:tr>
      <w:tr w:rsidR="0008794F" w:rsidRPr="003D78A5" w:rsidTr="004D04C0">
        <w:tc>
          <w:tcPr>
            <w:tcW w:w="1042" w:type="pct"/>
          </w:tcPr>
          <w:p w:rsidR="0008794F" w:rsidRPr="00602D1D" w:rsidRDefault="0008794F" w:rsidP="004D04C0">
            <w:pPr>
              <w:spacing w:line="240" w:lineRule="auto"/>
              <w:rPr>
                <w:color w:val="000000"/>
                <w:sz w:val="16"/>
                <w:szCs w:val="16"/>
              </w:rPr>
            </w:pPr>
          </w:p>
        </w:tc>
        <w:tc>
          <w:tcPr>
            <w:tcW w:w="139" w:type="pct"/>
          </w:tcPr>
          <w:p w:rsidR="0008794F" w:rsidRDefault="0008794F" w:rsidP="004D04C0">
            <w:pPr>
              <w:pStyle w:val="Textpoznpodarou"/>
              <w:jc w:val="both"/>
            </w:pPr>
          </w:p>
        </w:tc>
        <w:tc>
          <w:tcPr>
            <w:tcW w:w="3819" w:type="pct"/>
          </w:tcPr>
          <w:p w:rsidR="0008794F" w:rsidRPr="003D78A5" w:rsidRDefault="0008794F" w:rsidP="004D04C0">
            <w:pPr>
              <w:pStyle w:val="Textpoznpodarou"/>
              <w:jc w:val="both"/>
              <w:rPr>
                <w:color w:val="000000"/>
                <w:spacing w:val="-6"/>
              </w:rPr>
            </w:pPr>
          </w:p>
        </w:tc>
      </w:tr>
      <w:tr w:rsidR="0008794F" w:rsidRPr="0053448E" w:rsidTr="0053448E">
        <w:tc>
          <w:tcPr>
            <w:tcW w:w="1042" w:type="pct"/>
          </w:tcPr>
          <w:p w:rsidR="0008794F" w:rsidRPr="00602D1D" w:rsidRDefault="0008794F" w:rsidP="000434EF">
            <w:pPr>
              <w:spacing w:line="240" w:lineRule="auto"/>
              <w:rPr>
                <w:color w:val="000000"/>
                <w:sz w:val="16"/>
                <w:szCs w:val="16"/>
              </w:rPr>
            </w:pPr>
            <w:r>
              <w:rPr>
                <w:color w:val="000000"/>
                <w:sz w:val="16"/>
                <w:szCs w:val="16"/>
              </w:rPr>
              <w:t xml:space="preserve">Členství v EU dynamizoval růst ekonomik po roce 2004, nemůžeme však </w:t>
            </w:r>
            <w:r w:rsidR="000434EF">
              <w:rPr>
                <w:color w:val="000000"/>
                <w:sz w:val="16"/>
                <w:szCs w:val="16"/>
              </w:rPr>
              <w:t xml:space="preserve">přesně </w:t>
            </w:r>
            <w:r>
              <w:rPr>
                <w:color w:val="000000"/>
                <w:sz w:val="16"/>
                <w:szCs w:val="16"/>
              </w:rPr>
              <w:t>říci, jak na růsty za toto období působil právě tento vliv</w:t>
            </w:r>
          </w:p>
        </w:tc>
        <w:tc>
          <w:tcPr>
            <w:tcW w:w="139" w:type="pct"/>
          </w:tcPr>
          <w:p w:rsidR="0008794F" w:rsidRDefault="0008794F" w:rsidP="00C50863">
            <w:pPr>
              <w:pStyle w:val="Textpoznpodarou"/>
              <w:jc w:val="both"/>
            </w:pPr>
          </w:p>
        </w:tc>
        <w:tc>
          <w:tcPr>
            <w:tcW w:w="3819" w:type="pct"/>
          </w:tcPr>
          <w:p w:rsidR="0008794F" w:rsidRDefault="0008794F" w:rsidP="00555944">
            <w:pPr>
              <w:pStyle w:val="Textpoznpodarou"/>
              <w:jc w:val="both"/>
              <w:rPr>
                <w:color w:val="000000"/>
                <w:spacing w:val="-6"/>
              </w:rPr>
            </w:pPr>
            <w:r>
              <w:rPr>
                <w:color w:val="000000"/>
                <w:spacing w:val="-6"/>
              </w:rPr>
              <w:t>Pokus porovnat ekonomický vývoj v letech 2004-2014 s ekonomickým vývojem za celé období 1998-2014 ukazuje</w:t>
            </w:r>
            <w:r w:rsidRPr="0053448E">
              <w:rPr>
                <w:color w:val="000000"/>
                <w:spacing w:val="-6"/>
              </w:rPr>
              <w:t xml:space="preserve"> </w:t>
            </w:r>
            <w:r>
              <w:rPr>
                <w:color w:val="000000"/>
                <w:spacing w:val="-6"/>
              </w:rPr>
              <w:t>z</w:t>
            </w:r>
            <w:r w:rsidRPr="0053448E">
              <w:rPr>
                <w:color w:val="000000"/>
                <w:spacing w:val="-6"/>
              </w:rPr>
              <w:t xml:space="preserve">ejména na příkladu Rumunska a Bulharska, </w:t>
            </w:r>
            <w:r>
              <w:rPr>
                <w:color w:val="000000"/>
                <w:spacing w:val="-6"/>
              </w:rPr>
              <w:t>že klíčový</w:t>
            </w:r>
            <w:r w:rsidRPr="0053448E">
              <w:rPr>
                <w:color w:val="000000"/>
                <w:spacing w:val="-6"/>
              </w:rPr>
              <w:t xml:space="preserve"> vliv na dynamizaci růstu ekonomik nových členských zemí</w:t>
            </w:r>
            <w:r>
              <w:rPr>
                <w:color w:val="000000"/>
                <w:spacing w:val="-6"/>
              </w:rPr>
              <w:t xml:space="preserve"> nelze přisuzovat jen členství v EU již od roku 2004. Více k tomu poví </w:t>
            </w:r>
            <w:r w:rsidRPr="0053448E">
              <w:rPr>
                <w:color w:val="000000"/>
                <w:spacing w:val="-6"/>
              </w:rPr>
              <w:t>analýz</w:t>
            </w:r>
            <w:r>
              <w:rPr>
                <w:color w:val="000000"/>
                <w:spacing w:val="-6"/>
              </w:rPr>
              <w:t>a</w:t>
            </w:r>
            <w:r w:rsidRPr="0053448E">
              <w:rPr>
                <w:color w:val="000000"/>
                <w:spacing w:val="-6"/>
              </w:rPr>
              <w:t xml:space="preserve"> kapitoly </w:t>
            </w:r>
            <w:r w:rsidR="0080673A">
              <w:rPr>
                <w:color w:val="000000"/>
                <w:spacing w:val="-6"/>
              </w:rPr>
              <w:t xml:space="preserve">4 o struktuře růstu </w:t>
            </w:r>
            <w:r>
              <w:rPr>
                <w:color w:val="000000"/>
                <w:spacing w:val="-6"/>
              </w:rPr>
              <w:t xml:space="preserve">vybraných </w:t>
            </w:r>
            <w:r w:rsidRPr="0053448E">
              <w:rPr>
                <w:color w:val="000000"/>
                <w:spacing w:val="-6"/>
              </w:rPr>
              <w:t>ekonomik ČR, SR a Rakouska podle složek výdajové strany HDP a také kapitol</w:t>
            </w:r>
            <w:r>
              <w:rPr>
                <w:color w:val="000000"/>
                <w:spacing w:val="-6"/>
              </w:rPr>
              <w:t>a</w:t>
            </w:r>
            <w:r w:rsidRPr="0053448E">
              <w:rPr>
                <w:color w:val="000000"/>
                <w:spacing w:val="-6"/>
              </w:rPr>
              <w:t xml:space="preserve"> 5 o struktuře ekonomik </w:t>
            </w:r>
            <w:r w:rsidR="000434EF">
              <w:rPr>
                <w:color w:val="000000"/>
                <w:spacing w:val="-6"/>
              </w:rPr>
              <w:t xml:space="preserve">zmíněných zemí </w:t>
            </w:r>
            <w:r w:rsidRPr="0053448E">
              <w:rPr>
                <w:color w:val="000000"/>
                <w:spacing w:val="-6"/>
              </w:rPr>
              <w:t xml:space="preserve">podle váhy jednotlivých odvětví. </w:t>
            </w:r>
          </w:p>
          <w:p w:rsidR="0008794F" w:rsidRPr="0053448E" w:rsidRDefault="0008794F" w:rsidP="00555944">
            <w:pPr>
              <w:pStyle w:val="Textpoznpodarou"/>
              <w:jc w:val="both"/>
              <w:rPr>
                <w:color w:val="000000"/>
                <w:spacing w:val="-6"/>
              </w:rPr>
            </w:pPr>
          </w:p>
        </w:tc>
      </w:tr>
    </w:tbl>
    <w:p w:rsidR="0008794F" w:rsidRDefault="0008794F" w:rsidP="00D34225"/>
    <w:p w:rsidR="0008794F" w:rsidRDefault="0008794F" w:rsidP="00D34225"/>
    <w:p w:rsidR="0008794F" w:rsidRDefault="0008794F" w:rsidP="00D34225"/>
    <w:p w:rsidR="0008794F" w:rsidRDefault="0008794F" w:rsidP="00D34225"/>
    <w:p w:rsidR="0008794F" w:rsidRDefault="0008794F" w:rsidP="00D34225"/>
    <w:p w:rsidR="0008794F" w:rsidRDefault="0008794F" w:rsidP="00D34225"/>
    <w:p w:rsidR="0008794F" w:rsidRDefault="0008794F" w:rsidP="00D34225"/>
    <w:p w:rsidR="0008794F" w:rsidRDefault="0008794F" w:rsidP="00D34225"/>
    <w:p w:rsidR="0008794F" w:rsidRDefault="0008794F" w:rsidP="00D34225"/>
    <w:p w:rsidR="0008794F" w:rsidRDefault="0008794F" w:rsidP="00D34225"/>
    <w:p w:rsidR="0008794F" w:rsidRDefault="0008794F" w:rsidP="00D34225"/>
    <w:p w:rsidR="0008794F" w:rsidRDefault="0008794F" w:rsidP="00D34225"/>
    <w:p w:rsidR="0008794F" w:rsidRDefault="0008794F" w:rsidP="00D34225"/>
    <w:p w:rsidR="0008794F" w:rsidRDefault="0008794F" w:rsidP="00D34225"/>
    <w:p w:rsidR="0008794F" w:rsidRPr="008109E4" w:rsidRDefault="0008794F" w:rsidP="00D34225">
      <w:pPr>
        <w:rPr>
          <w:b/>
          <w:sz w:val="28"/>
          <w:szCs w:val="28"/>
        </w:rPr>
      </w:pPr>
      <w:r w:rsidRPr="008109E4">
        <w:rPr>
          <w:b/>
          <w:sz w:val="28"/>
          <w:szCs w:val="28"/>
        </w:rPr>
        <w:lastRenderedPageBreak/>
        <w:t xml:space="preserve">4. Příčiny růstů ekonomik ČR, SR a </w:t>
      </w:r>
      <w:r>
        <w:rPr>
          <w:b/>
          <w:sz w:val="28"/>
          <w:szCs w:val="28"/>
        </w:rPr>
        <w:t>Rakouska</w:t>
      </w:r>
      <w:r w:rsidRPr="008109E4">
        <w:rPr>
          <w:b/>
          <w:sz w:val="28"/>
          <w:szCs w:val="28"/>
        </w:rPr>
        <w:t xml:space="preserve"> podle struktury HDP a jejího vývoje</w:t>
      </w:r>
    </w:p>
    <w:p w:rsidR="0008794F" w:rsidRDefault="0008794F" w:rsidP="00D34225"/>
    <w:p w:rsidR="0008794F" w:rsidRDefault="0008794F" w:rsidP="0086078C">
      <w:pPr>
        <w:spacing w:line="240" w:lineRule="auto"/>
        <w:jc w:val="both"/>
      </w:pPr>
      <w:r>
        <w:t xml:space="preserve">Poptávkové impulsy generované složkami výdajové strany HDP si </w:t>
      </w:r>
      <w:r w:rsidR="00D611D3">
        <w:t xml:space="preserve">obecně </w:t>
      </w:r>
      <w:r>
        <w:t>žádají odpovídající reakci na straně nabídky</w:t>
      </w:r>
      <w:r w:rsidR="00D611D3">
        <w:t xml:space="preserve"> v ekonomice</w:t>
      </w:r>
      <w:r>
        <w:t>, ať už jde o potřebné zdroje nasycované z domácí produkce anebo dovozů. Vztah bývá samozřejmě interaktivní.</w:t>
      </w:r>
    </w:p>
    <w:p w:rsidR="0008794F" w:rsidRDefault="0008794F" w:rsidP="00D34225">
      <w:r>
        <w:t xml:space="preserve"> </w:t>
      </w:r>
    </w:p>
    <w:p w:rsidR="0008794F" w:rsidRPr="00214C37" w:rsidRDefault="0008794F" w:rsidP="00D34225">
      <w:pPr>
        <w:rPr>
          <w:b/>
          <w:sz w:val="24"/>
        </w:rPr>
      </w:pPr>
      <w:r w:rsidRPr="00214C37">
        <w:rPr>
          <w:b/>
          <w:sz w:val="24"/>
        </w:rPr>
        <w:t xml:space="preserve">4.1. </w:t>
      </w:r>
      <w:r>
        <w:rPr>
          <w:b/>
          <w:sz w:val="24"/>
        </w:rPr>
        <w:t>Z</w:t>
      </w:r>
      <w:r w:rsidRPr="00214C37">
        <w:rPr>
          <w:b/>
          <w:sz w:val="24"/>
        </w:rPr>
        <w:t>ák</w:t>
      </w:r>
      <w:r>
        <w:rPr>
          <w:b/>
          <w:sz w:val="24"/>
        </w:rPr>
        <w:t>l</w:t>
      </w:r>
      <w:r w:rsidRPr="00214C37">
        <w:rPr>
          <w:b/>
          <w:sz w:val="24"/>
        </w:rPr>
        <w:t>adní slož</w:t>
      </w:r>
      <w:r>
        <w:rPr>
          <w:b/>
          <w:sz w:val="24"/>
        </w:rPr>
        <w:t>ky</w:t>
      </w:r>
      <w:r w:rsidRPr="00214C37">
        <w:rPr>
          <w:b/>
          <w:sz w:val="24"/>
        </w:rPr>
        <w:t xml:space="preserve"> </w:t>
      </w:r>
      <w:r>
        <w:rPr>
          <w:b/>
          <w:sz w:val="24"/>
        </w:rPr>
        <w:t>výdajové</w:t>
      </w:r>
      <w:r w:rsidRPr="00214C37">
        <w:rPr>
          <w:b/>
          <w:sz w:val="24"/>
        </w:rPr>
        <w:t xml:space="preserve"> strany HDP v </w:t>
      </w:r>
      <w:r>
        <w:rPr>
          <w:b/>
          <w:sz w:val="24"/>
        </w:rPr>
        <w:t>ekonomi</w:t>
      </w:r>
      <w:r w:rsidRPr="00214C37">
        <w:rPr>
          <w:b/>
          <w:sz w:val="24"/>
        </w:rPr>
        <w:t>k</w:t>
      </w:r>
      <w:r>
        <w:rPr>
          <w:b/>
          <w:sz w:val="24"/>
        </w:rPr>
        <w:t>ách</w:t>
      </w:r>
      <w:r w:rsidRPr="00214C37">
        <w:rPr>
          <w:b/>
          <w:sz w:val="24"/>
        </w:rPr>
        <w:t xml:space="preserve"> ČR, SR a Rakouska od roku 1998</w:t>
      </w:r>
    </w:p>
    <w:p w:rsidR="0008794F" w:rsidRPr="009949FE" w:rsidRDefault="0008794F" w:rsidP="00D34225">
      <w:pPr>
        <w:rPr>
          <w:sz w:val="16"/>
          <w:szCs w:val="16"/>
        </w:rPr>
      </w:pPr>
    </w:p>
    <w:p w:rsidR="0008794F" w:rsidRDefault="0008794F" w:rsidP="009949FE">
      <w:pPr>
        <w:spacing w:line="240" w:lineRule="auto"/>
        <w:jc w:val="both"/>
      </w:pPr>
      <w:r>
        <w:t xml:space="preserve">Je zřejmé, že země na různém stupni ekonomické vyspělosti mohou mít různé proporce (váhu) složek výdajové strany HDP. Obecně budou mít země investičně poddimenzované (s nízkou úrovní nakumulovaných hmotných aktiv) tendenci tento handicap mírnit. Naopak země s vysokou úrovní spotřeby domácností budou mít tendenci tento atribut materiální kvality života udržovat. V této </w:t>
      </w:r>
      <w:r w:rsidR="00AF55D3">
        <w:t xml:space="preserve">části </w:t>
      </w:r>
      <w:r>
        <w:t>analýz</w:t>
      </w:r>
      <w:r w:rsidR="00AF55D3">
        <w:t>y</w:t>
      </w:r>
      <w:r>
        <w:t xml:space="preserve"> však nepůjde o vhled do struktur úrovňových, ale o </w:t>
      </w:r>
      <w:r w:rsidR="00AF55D3">
        <w:t xml:space="preserve">to, </w:t>
      </w:r>
      <w:r>
        <w:t>s jakou dynamikou se vyvíjely základní složky výdajové strany HDP v ekonomikách České republiky, Slovenska a Rakouska</w:t>
      </w:r>
      <w:r w:rsidR="00AF55D3">
        <w:t xml:space="preserve"> (většinou i pro srovnání oproti EU 28)</w:t>
      </w:r>
      <w:r>
        <w:t xml:space="preserve">. </w:t>
      </w:r>
    </w:p>
    <w:p w:rsidR="0008794F" w:rsidRDefault="0008794F" w:rsidP="009949FE">
      <w:pPr>
        <w:spacing w:line="240" w:lineRule="auto"/>
        <w:jc w:val="both"/>
      </w:pPr>
      <w:r>
        <w:t xml:space="preserve">  </w:t>
      </w:r>
    </w:p>
    <w:p w:rsidR="0008794F" w:rsidRDefault="0008794F" w:rsidP="009949FE">
      <w:pPr>
        <w:spacing w:line="240" w:lineRule="auto"/>
      </w:pPr>
    </w:p>
    <w:p w:rsidR="0008794F" w:rsidRDefault="0008794F" w:rsidP="00D34225">
      <w:r w:rsidRPr="0054268D">
        <w:rPr>
          <w:b/>
          <w:sz w:val="22"/>
          <w:szCs w:val="22"/>
        </w:rPr>
        <w:t xml:space="preserve">4.1.1. </w:t>
      </w:r>
      <w:r>
        <w:rPr>
          <w:b/>
          <w:sz w:val="22"/>
          <w:szCs w:val="22"/>
        </w:rPr>
        <w:t>Po</w:t>
      </w:r>
      <w:r w:rsidRPr="0054268D">
        <w:rPr>
          <w:b/>
          <w:sz w:val="22"/>
          <w:szCs w:val="22"/>
        </w:rPr>
        <w:t>rovnání zemí</w:t>
      </w:r>
      <w:r>
        <w:rPr>
          <w:b/>
          <w:sz w:val="22"/>
          <w:szCs w:val="22"/>
        </w:rPr>
        <w:t xml:space="preserve"> </w:t>
      </w:r>
    </w:p>
    <w:tbl>
      <w:tblPr>
        <w:tblW w:w="5043" w:type="pct"/>
        <w:tblInd w:w="-42" w:type="dxa"/>
        <w:tblCellMar>
          <w:left w:w="28" w:type="dxa"/>
          <w:right w:w="28" w:type="dxa"/>
        </w:tblCellMar>
        <w:tblLook w:val="00A0"/>
      </w:tblPr>
      <w:tblGrid>
        <w:gridCol w:w="33"/>
        <w:gridCol w:w="831"/>
        <w:gridCol w:w="1175"/>
        <w:gridCol w:w="273"/>
        <w:gridCol w:w="2534"/>
        <w:gridCol w:w="832"/>
        <w:gridCol w:w="4099"/>
      </w:tblGrid>
      <w:tr w:rsidR="0008794F" w:rsidRPr="003D78A5" w:rsidTr="00D31866">
        <w:tc>
          <w:tcPr>
            <w:tcW w:w="1042" w:type="pct"/>
            <w:gridSpan w:val="3"/>
          </w:tcPr>
          <w:p w:rsidR="0008794F" w:rsidRPr="00602D1D" w:rsidRDefault="0008794F" w:rsidP="00742D7C">
            <w:pPr>
              <w:spacing w:line="240" w:lineRule="auto"/>
              <w:rPr>
                <w:color w:val="000000"/>
                <w:sz w:val="16"/>
                <w:szCs w:val="16"/>
              </w:rPr>
            </w:pPr>
            <w:r>
              <w:rPr>
                <w:color w:val="000000"/>
                <w:sz w:val="16"/>
                <w:szCs w:val="16"/>
              </w:rPr>
              <w:t>Ekonomiky ČR, SR a Rakouska rychlejší než průměr EU</w:t>
            </w:r>
          </w:p>
        </w:tc>
        <w:tc>
          <w:tcPr>
            <w:tcW w:w="139" w:type="pct"/>
          </w:tcPr>
          <w:p w:rsidR="0008794F" w:rsidRDefault="0008794F" w:rsidP="00742D7C">
            <w:pPr>
              <w:pStyle w:val="Textpoznpodarou"/>
              <w:jc w:val="both"/>
            </w:pPr>
          </w:p>
        </w:tc>
        <w:tc>
          <w:tcPr>
            <w:tcW w:w="3819" w:type="pct"/>
            <w:gridSpan w:val="3"/>
          </w:tcPr>
          <w:p w:rsidR="0008794F" w:rsidRDefault="0008794F" w:rsidP="00742D7C">
            <w:pPr>
              <w:pStyle w:val="Textpoznpodarou"/>
              <w:jc w:val="both"/>
              <w:rPr>
                <w:color w:val="000000"/>
                <w:spacing w:val="-6"/>
              </w:rPr>
            </w:pPr>
            <w:r>
              <w:rPr>
                <w:color w:val="000000"/>
                <w:spacing w:val="-6"/>
              </w:rPr>
              <w:t>Ekonomický vývoj zemí sledovaných v této analýze podle růstu HDP vztaženého k bázi roku 1998 ukazuje (graf 23), že od roku 1999 s</w:t>
            </w:r>
            <w:r w:rsidR="00AF55D3">
              <w:rPr>
                <w:color w:val="000000"/>
                <w:spacing w:val="-6"/>
              </w:rPr>
              <w:t>e</w:t>
            </w:r>
            <w:r>
              <w:rPr>
                <w:color w:val="000000"/>
                <w:spacing w:val="-6"/>
              </w:rPr>
              <w:t> vývojové křivky ekonomik Č</w:t>
            </w:r>
            <w:r w:rsidR="00AF55D3">
              <w:rPr>
                <w:color w:val="000000"/>
                <w:spacing w:val="-6"/>
              </w:rPr>
              <w:t>R</w:t>
            </w:r>
            <w:r>
              <w:rPr>
                <w:color w:val="000000"/>
                <w:spacing w:val="-6"/>
              </w:rPr>
              <w:t xml:space="preserve"> a Rakouska pohybovaly zhruba stejně jako křivka HDP za celou EU. Od roku 2003 je pak již patrné, že rostly rychleji a ekonomika Rakouska prakticky stejně jako v úhrnu HDP EU 28.  Poté od roku 2008 překonalo tempo růstu HDP (podle přírůstku k bázi 1998) v Rakousku růstovou úroveň Unie a až do roku 2014 bylo rychlejší než </w:t>
            </w:r>
            <w:r w:rsidR="00AF55D3">
              <w:rPr>
                <w:color w:val="000000"/>
                <w:spacing w:val="-6"/>
              </w:rPr>
              <w:t xml:space="preserve">v </w:t>
            </w:r>
            <w:r>
              <w:rPr>
                <w:color w:val="000000"/>
                <w:spacing w:val="-6"/>
              </w:rPr>
              <w:t xml:space="preserve">EU (také krizový propad v roce 2009 s -3,8 y/y byl méně hluboký než v EU jako celku s -4,4 % y/y). </w:t>
            </w:r>
          </w:p>
          <w:p w:rsidR="0008794F" w:rsidRPr="00575BE3" w:rsidRDefault="0008794F" w:rsidP="00742D7C">
            <w:pPr>
              <w:pStyle w:val="Textpoznpodarou"/>
              <w:jc w:val="both"/>
              <w:rPr>
                <w:color w:val="000000"/>
                <w:spacing w:val="-6"/>
                <w:sz w:val="12"/>
                <w:szCs w:val="12"/>
              </w:rPr>
            </w:pPr>
          </w:p>
          <w:p w:rsidR="0008794F" w:rsidRPr="00997EEB" w:rsidRDefault="0008794F" w:rsidP="00742D7C">
            <w:pPr>
              <w:pStyle w:val="Textpoznpodarou"/>
              <w:jc w:val="both"/>
              <w:rPr>
                <w:color w:val="000000"/>
                <w:spacing w:val="-6"/>
              </w:rPr>
            </w:pPr>
            <w:r>
              <w:rPr>
                <w:color w:val="000000"/>
                <w:spacing w:val="-6"/>
              </w:rPr>
              <w:t>Od roku 2011 byl - podle grafu 24 s přírůstky k bázi 2010</w:t>
            </w:r>
            <w:r w:rsidR="00AF55D3">
              <w:rPr>
                <w:color w:val="000000"/>
                <w:spacing w:val="-6"/>
              </w:rPr>
              <w:t xml:space="preserve"> -</w:t>
            </w:r>
            <w:r>
              <w:rPr>
                <w:color w:val="000000"/>
                <w:spacing w:val="-6"/>
              </w:rPr>
              <w:t xml:space="preserve"> ekonomický vývoj Rakouska lepší než vývoj v České republice vlivem tuzemské ekonomické recese. </w:t>
            </w:r>
          </w:p>
          <w:p w:rsidR="0008794F" w:rsidRPr="003D78A5" w:rsidRDefault="0008794F" w:rsidP="00742D7C">
            <w:pPr>
              <w:pStyle w:val="Textpoznpodarou"/>
              <w:jc w:val="both"/>
              <w:rPr>
                <w:color w:val="000000"/>
                <w:spacing w:val="-6"/>
              </w:rPr>
            </w:pPr>
          </w:p>
        </w:tc>
      </w:tr>
      <w:tr w:rsidR="0008794F" w:rsidRPr="00817C98" w:rsidTr="00D31866">
        <w:trPr>
          <w:gridBefore w:val="1"/>
          <w:wBefore w:w="21" w:type="pct"/>
        </w:trPr>
        <w:tc>
          <w:tcPr>
            <w:tcW w:w="423" w:type="pct"/>
          </w:tcPr>
          <w:p w:rsidR="0008794F" w:rsidRDefault="0008794F" w:rsidP="006A0A8D">
            <w:pPr>
              <w:spacing w:line="240" w:lineRule="auto"/>
            </w:pPr>
            <w:r>
              <w:t>Graf 23</w:t>
            </w:r>
          </w:p>
        </w:tc>
        <w:tc>
          <w:tcPr>
            <w:tcW w:w="2027" w:type="pct"/>
            <w:gridSpan w:val="3"/>
          </w:tcPr>
          <w:p w:rsidR="0008794F" w:rsidRDefault="0008794F" w:rsidP="003F0E4E">
            <w:pPr>
              <w:pStyle w:val="Textpoznpodarou"/>
              <w:rPr>
                <w:rFonts w:cs="Arial"/>
                <w:szCs w:val="24"/>
              </w:rPr>
            </w:pPr>
            <w:r>
              <w:rPr>
                <w:rFonts w:cs="Arial"/>
                <w:b/>
                <w:bCs/>
              </w:rPr>
              <w:t xml:space="preserve">HDP </w:t>
            </w:r>
            <w:r w:rsidRPr="000F7C11">
              <w:rPr>
                <w:rFonts w:cs="Arial"/>
                <w:bCs/>
              </w:rPr>
              <w:t>(</w:t>
            </w:r>
            <w:r>
              <w:rPr>
                <w:rFonts w:cs="Arial"/>
                <w:bCs/>
              </w:rPr>
              <w:t>reálně, 1998=100)</w:t>
            </w:r>
          </w:p>
        </w:tc>
        <w:tc>
          <w:tcPr>
            <w:tcW w:w="429" w:type="pct"/>
          </w:tcPr>
          <w:p w:rsidR="0008794F" w:rsidRDefault="0008794F" w:rsidP="006A0A8D">
            <w:pPr>
              <w:spacing w:line="240" w:lineRule="auto"/>
            </w:pPr>
            <w:r>
              <w:t>Graf 24</w:t>
            </w:r>
          </w:p>
        </w:tc>
        <w:tc>
          <w:tcPr>
            <w:tcW w:w="2079" w:type="pct"/>
          </w:tcPr>
          <w:p w:rsidR="0008794F" w:rsidRPr="00817C98" w:rsidRDefault="0008794F" w:rsidP="006A0A8D">
            <w:pPr>
              <w:spacing w:line="240" w:lineRule="auto"/>
              <w:rPr>
                <w:rFonts w:cs="Arial"/>
                <w:b/>
                <w:bCs/>
              </w:rPr>
            </w:pPr>
            <w:r>
              <w:rPr>
                <w:rFonts w:cs="Arial"/>
                <w:b/>
                <w:bCs/>
              </w:rPr>
              <w:t xml:space="preserve">HDP </w:t>
            </w:r>
            <w:r w:rsidRPr="00AF2632">
              <w:rPr>
                <w:rFonts w:cs="Arial"/>
                <w:bCs/>
              </w:rPr>
              <w:t>(reálně, 2010=100)</w:t>
            </w:r>
            <w:r w:rsidRPr="00BE1C59">
              <w:rPr>
                <w:rFonts w:cs="Arial"/>
                <w:bCs/>
              </w:rPr>
              <w:t xml:space="preserve"> </w:t>
            </w:r>
          </w:p>
        </w:tc>
      </w:tr>
      <w:tr w:rsidR="0008794F" w:rsidRPr="00C81DE5" w:rsidTr="00D31866">
        <w:trPr>
          <w:gridBefore w:val="1"/>
          <w:wBefore w:w="21" w:type="pct"/>
        </w:trPr>
        <w:tc>
          <w:tcPr>
            <w:tcW w:w="2450" w:type="pct"/>
            <w:gridSpan w:val="4"/>
          </w:tcPr>
          <w:p w:rsidR="0008794F" w:rsidRPr="00805541" w:rsidRDefault="00306F79" w:rsidP="006A0A8D">
            <w:pPr>
              <w:pStyle w:val="Textpoznpodarou"/>
              <w:jc w:val="both"/>
              <w:rPr>
                <w:noProof/>
              </w:rPr>
            </w:pPr>
            <w:r>
              <w:rPr>
                <w:noProof/>
              </w:rPr>
              <w:pict>
                <v:shape id="_x0000_i1047" type="#_x0000_t75" style="width:237.75pt;height:186pt">
                  <v:imagedata r:id="rId35" o:title=""/>
                </v:shape>
              </w:pict>
            </w:r>
          </w:p>
        </w:tc>
        <w:tc>
          <w:tcPr>
            <w:tcW w:w="2508" w:type="pct"/>
            <w:gridSpan w:val="2"/>
          </w:tcPr>
          <w:p w:rsidR="0008794F" w:rsidRPr="00AF2632" w:rsidRDefault="00306F79" w:rsidP="006A0A8D">
            <w:pPr>
              <w:pStyle w:val="Textpoznpodarou"/>
              <w:jc w:val="both"/>
            </w:pPr>
            <w:r>
              <w:pict>
                <v:shape id="_x0000_i1048" type="#_x0000_t75" style="width:242.25pt;height:190.5pt">
                  <v:imagedata r:id="rId36" o:title=""/>
                </v:shape>
              </w:pict>
            </w:r>
          </w:p>
        </w:tc>
      </w:tr>
      <w:tr w:rsidR="0008794F" w:rsidRPr="00C81DE5" w:rsidTr="00D31866">
        <w:trPr>
          <w:gridBefore w:val="1"/>
          <w:wBefore w:w="21" w:type="pct"/>
        </w:trPr>
        <w:tc>
          <w:tcPr>
            <w:tcW w:w="2450" w:type="pct"/>
            <w:gridSpan w:val="4"/>
          </w:tcPr>
          <w:p w:rsidR="0008794F" w:rsidRPr="00AF2632" w:rsidRDefault="0008794F" w:rsidP="006A0A8D">
            <w:pPr>
              <w:pStyle w:val="Textpoznpodarou"/>
              <w:jc w:val="both"/>
              <w:rPr>
                <w:noProof/>
              </w:rPr>
            </w:pPr>
          </w:p>
        </w:tc>
        <w:tc>
          <w:tcPr>
            <w:tcW w:w="2508" w:type="pct"/>
            <w:gridSpan w:val="2"/>
          </w:tcPr>
          <w:p w:rsidR="0008794F" w:rsidRDefault="0008794F" w:rsidP="00D31866">
            <w:pPr>
              <w:pStyle w:val="Textpoznpodarou"/>
              <w:jc w:val="right"/>
              <w:rPr>
                <w:noProof/>
              </w:rPr>
            </w:pPr>
            <w:r w:rsidRPr="00A14EDC">
              <w:rPr>
                <w:sz w:val="18"/>
                <w:szCs w:val="18"/>
              </w:rPr>
              <w:t xml:space="preserve">Pramen: </w:t>
            </w:r>
            <w:proofErr w:type="spellStart"/>
            <w:proofErr w:type="gramStart"/>
            <w:r w:rsidRPr="00A14EDC">
              <w:rPr>
                <w:sz w:val="18"/>
                <w:szCs w:val="18"/>
              </w:rPr>
              <w:t>Eurostat</w:t>
            </w:r>
            <w:proofErr w:type="spellEnd"/>
            <w:r>
              <w:rPr>
                <w:sz w:val="18"/>
                <w:szCs w:val="18"/>
              </w:rPr>
              <w:t>,vlastní</w:t>
            </w:r>
            <w:proofErr w:type="gramEnd"/>
            <w:r>
              <w:rPr>
                <w:sz w:val="18"/>
                <w:szCs w:val="18"/>
              </w:rPr>
              <w:t xml:space="preserve"> propočty</w:t>
            </w:r>
          </w:p>
        </w:tc>
      </w:tr>
    </w:tbl>
    <w:p w:rsidR="0008794F" w:rsidRDefault="0008794F" w:rsidP="00D34225"/>
    <w:tbl>
      <w:tblPr>
        <w:tblW w:w="5043" w:type="pct"/>
        <w:tblInd w:w="-42" w:type="dxa"/>
        <w:tblCellMar>
          <w:left w:w="28" w:type="dxa"/>
          <w:right w:w="28" w:type="dxa"/>
        </w:tblCellMar>
        <w:tblLook w:val="00A0"/>
      </w:tblPr>
      <w:tblGrid>
        <w:gridCol w:w="2037"/>
        <w:gridCol w:w="272"/>
        <w:gridCol w:w="7468"/>
      </w:tblGrid>
      <w:tr w:rsidR="0008794F" w:rsidRPr="003D78A5" w:rsidTr="006A0A8D">
        <w:tc>
          <w:tcPr>
            <w:tcW w:w="1042" w:type="pct"/>
          </w:tcPr>
          <w:p w:rsidR="0008794F" w:rsidRPr="00602D1D" w:rsidRDefault="0008794F" w:rsidP="00AF55D3">
            <w:pPr>
              <w:spacing w:line="240" w:lineRule="auto"/>
              <w:rPr>
                <w:color w:val="000000"/>
                <w:sz w:val="16"/>
                <w:szCs w:val="16"/>
              </w:rPr>
            </w:pPr>
            <w:r>
              <w:rPr>
                <w:color w:val="000000"/>
                <w:sz w:val="16"/>
                <w:szCs w:val="16"/>
              </w:rPr>
              <w:t>R</w:t>
            </w:r>
            <w:r w:rsidR="00AF55D3">
              <w:rPr>
                <w:color w:val="000000"/>
                <w:sz w:val="16"/>
                <w:szCs w:val="16"/>
              </w:rPr>
              <w:t>ychlejší r</w:t>
            </w:r>
            <w:r>
              <w:rPr>
                <w:color w:val="000000"/>
                <w:sz w:val="16"/>
                <w:szCs w:val="16"/>
              </w:rPr>
              <w:t xml:space="preserve">ůst fixních </w:t>
            </w:r>
            <w:proofErr w:type="gramStart"/>
            <w:r>
              <w:rPr>
                <w:color w:val="000000"/>
                <w:sz w:val="16"/>
                <w:szCs w:val="16"/>
              </w:rPr>
              <w:t>investic  v České</w:t>
            </w:r>
            <w:proofErr w:type="gramEnd"/>
            <w:r>
              <w:rPr>
                <w:color w:val="000000"/>
                <w:sz w:val="16"/>
                <w:szCs w:val="16"/>
              </w:rPr>
              <w:t xml:space="preserve"> republice od roku 1998 než v SR i v Rakousku  navozuje otázku, kam se ztrácely jejich multiplikační efekty, když růst české ekonomiky byl slabší než růst ekonomiky slovenské</w:t>
            </w:r>
          </w:p>
        </w:tc>
        <w:tc>
          <w:tcPr>
            <w:tcW w:w="139" w:type="pct"/>
          </w:tcPr>
          <w:p w:rsidR="0008794F" w:rsidRDefault="0008794F" w:rsidP="006A0A8D">
            <w:pPr>
              <w:pStyle w:val="Textpoznpodarou"/>
              <w:jc w:val="both"/>
            </w:pPr>
          </w:p>
        </w:tc>
        <w:tc>
          <w:tcPr>
            <w:tcW w:w="3819" w:type="pct"/>
          </w:tcPr>
          <w:p w:rsidR="0008794F" w:rsidRDefault="0008794F" w:rsidP="006A0A8D">
            <w:pPr>
              <w:pStyle w:val="Textpoznpodarou"/>
              <w:jc w:val="both"/>
              <w:rPr>
                <w:color w:val="000000"/>
                <w:spacing w:val="-6"/>
              </w:rPr>
            </w:pPr>
            <w:r>
              <w:rPr>
                <w:color w:val="000000"/>
                <w:spacing w:val="-6"/>
              </w:rPr>
              <w:t xml:space="preserve">Překvapivé srovnání pokud jde o růst fixních investic (tvorby hrubého fixního kapitálu) v ČR, SR a v Rakousku a také v EU jako celku nabízí graf 27. Podle něj rostly nejvíce investice v ČR – proti roku 1998 v roce 2014 s indexem 139,7, čehož nebylo </w:t>
            </w:r>
            <w:proofErr w:type="gramStart"/>
            <w:r>
              <w:rPr>
                <w:color w:val="000000"/>
                <w:spacing w:val="-6"/>
              </w:rPr>
              <w:t>docíleno  ani</w:t>
            </w:r>
            <w:proofErr w:type="gramEnd"/>
            <w:r>
              <w:rPr>
                <w:color w:val="000000"/>
                <w:spacing w:val="-6"/>
              </w:rPr>
              <w:t xml:space="preserve">  na Slovensku (113,3), ani v Rakousku (112,9). Nárůst investic v ČR byl také významně větší, než jakého dosáhla E</w:t>
            </w:r>
            <w:r w:rsidR="00AF55D3">
              <w:rPr>
                <w:color w:val="000000"/>
                <w:spacing w:val="-6"/>
              </w:rPr>
              <w:t>U</w:t>
            </w:r>
            <w:r>
              <w:rPr>
                <w:color w:val="000000"/>
                <w:spacing w:val="-6"/>
              </w:rPr>
              <w:t xml:space="preserve"> jako celek (116,8). </w:t>
            </w:r>
          </w:p>
          <w:p w:rsidR="0008794F" w:rsidRPr="0085695F" w:rsidRDefault="0008794F" w:rsidP="006A0A8D">
            <w:pPr>
              <w:pStyle w:val="Textpoznpodarou"/>
              <w:jc w:val="both"/>
              <w:rPr>
                <w:color w:val="000000"/>
                <w:spacing w:val="-6"/>
                <w:sz w:val="12"/>
                <w:szCs w:val="12"/>
              </w:rPr>
            </w:pPr>
          </w:p>
          <w:p w:rsidR="0008794F" w:rsidRPr="00997EEB" w:rsidRDefault="0008794F" w:rsidP="006A0A8D">
            <w:pPr>
              <w:pStyle w:val="Textpoznpodarou"/>
              <w:jc w:val="both"/>
              <w:rPr>
                <w:color w:val="000000"/>
                <w:spacing w:val="-6"/>
              </w:rPr>
            </w:pPr>
            <w:r>
              <w:rPr>
                <w:color w:val="000000"/>
                <w:spacing w:val="-6"/>
              </w:rPr>
              <w:t>Je otázka, proč se nedostavil odpovídající multiplikačních efekt těchto investic. Je možno dovozovat, že šlo ve značné míře o investice neproduktivní typu, typicky například o odstraňování škod daných starou ekologickou zátěží</w:t>
            </w:r>
            <w:r w:rsidR="00AE1A78">
              <w:rPr>
                <w:color w:val="000000"/>
                <w:spacing w:val="-6"/>
              </w:rPr>
              <w:t>.</w:t>
            </w:r>
            <w:r>
              <w:rPr>
                <w:color w:val="000000"/>
                <w:spacing w:val="-6"/>
              </w:rPr>
              <w:t xml:space="preserve">  </w:t>
            </w:r>
          </w:p>
          <w:p w:rsidR="0008794F" w:rsidRPr="003D78A5" w:rsidRDefault="0008794F" w:rsidP="006A0A8D">
            <w:pPr>
              <w:pStyle w:val="Textpoznpodarou"/>
              <w:jc w:val="both"/>
              <w:rPr>
                <w:color w:val="000000"/>
                <w:spacing w:val="-6"/>
              </w:rPr>
            </w:pPr>
          </w:p>
        </w:tc>
      </w:tr>
    </w:tbl>
    <w:p w:rsidR="0008794F" w:rsidRPr="00D31866" w:rsidRDefault="0008794F" w:rsidP="00D34225">
      <w:pPr>
        <w:rPr>
          <w:b/>
        </w:rPr>
      </w:pPr>
      <w:r>
        <w:rPr>
          <w:b/>
        </w:rPr>
        <w:lastRenderedPageBreak/>
        <w:t xml:space="preserve">Graf 25: Vývoj tvorby hrubého fixního kapitálu (fixních </w:t>
      </w:r>
      <w:proofErr w:type="gramStart"/>
      <w:r>
        <w:rPr>
          <w:b/>
        </w:rPr>
        <w:t xml:space="preserve">investic) </w:t>
      </w:r>
      <w:r w:rsidRPr="00D31866">
        <w:t>(1998=100</w:t>
      </w:r>
      <w:proofErr w:type="gramEnd"/>
      <w:r w:rsidRPr="00D31866">
        <w:t>)</w:t>
      </w:r>
      <w:r>
        <w:rPr>
          <w:b/>
        </w:rPr>
        <w:t xml:space="preserve"> </w:t>
      </w:r>
    </w:p>
    <w:p w:rsidR="0008794F" w:rsidRPr="00805541" w:rsidRDefault="00306F79" w:rsidP="00D31866">
      <w:pPr>
        <w:jc w:val="center"/>
        <w:rPr>
          <w:sz w:val="18"/>
          <w:szCs w:val="18"/>
        </w:rPr>
      </w:pPr>
      <w:r>
        <w:pict>
          <v:shape id="_x0000_i1049" type="#_x0000_t75" style="width:408pt;height:169.5pt">
            <v:imagedata r:id="rId37" o:title=""/>
          </v:shape>
        </w:pict>
      </w:r>
    </w:p>
    <w:p w:rsidR="0008794F" w:rsidRPr="00D31866" w:rsidRDefault="0008794F" w:rsidP="00D31866">
      <w:pPr>
        <w:jc w:val="right"/>
      </w:pPr>
      <w:r w:rsidRPr="00A14EDC">
        <w:rPr>
          <w:sz w:val="18"/>
          <w:szCs w:val="18"/>
        </w:rPr>
        <w:t xml:space="preserve">Pramen: </w:t>
      </w:r>
      <w:proofErr w:type="spellStart"/>
      <w:proofErr w:type="gramStart"/>
      <w:r w:rsidRPr="00A14EDC">
        <w:rPr>
          <w:sz w:val="18"/>
          <w:szCs w:val="18"/>
        </w:rPr>
        <w:t>Eurostat</w:t>
      </w:r>
      <w:proofErr w:type="spellEnd"/>
      <w:r>
        <w:rPr>
          <w:sz w:val="18"/>
          <w:szCs w:val="18"/>
        </w:rPr>
        <w:t>,vlastní</w:t>
      </w:r>
      <w:proofErr w:type="gramEnd"/>
      <w:r>
        <w:rPr>
          <w:sz w:val="18"/>
          <w:szCs w:val="18"/>
        </w:rPr>
        <w:t xml:space="preserve"> propočty</w:t>
      </w:r>
    </w:p>
    <w:p w:rsidR="0008794F" w:rsidRPr="00AE1A78" w:rsidRDefault="0008794F" w:rsidP="00AE1A78">
      <w:pPr>
        <w:jc w:val="both"/>
        <w:rPr>
          <w:sz w:val="16"/>
          <w:szCs w:val="16"/>
        </w:rPr>
      </w:pPr>
    </w:p>
    <w:tbl>
      <w:tblPr>
        <w:tblW w:w="5043" w:type="pct"/>
        <w:tblInd w:w="-42" w:type="dxa"/>
        <w:tblCellMar>
          <w:left w:w="28" w:type="dxa"/>
          <w:right w:w="28" w:type="dxa"/>
        </w:tblCellMar>
        <w:tblLook w:val="00A0"/>
      </w:tblPr>
      <w:tblGrid>
        <w:gridCol w:w="2037"/>
        <w:gridCol w:w="272"/>
        <w:gridCol w:w="7468"/>
      </w:tblGrid>
      <w:tr w:rsidR="0008794F" w:rsidRPr="003D78A5" w:rsidTr="006A0A8D">
        <w:tc>
          <w:tcPr>
            <w:tcW w:w="1042" w:type="pct"/>
          </w:tcPr>
          <w:p w:rsidR="0008794F" w:rsidRPr="00602D1D" w:rsidRDefault="0008794F" w:rsidP="006A0A8D">
            <w:pPr>
              <w:spacing w:line="240" w:lineRule="auto"/>
              <w:rPr>
                <w:color w:val="000000"/>
                <w:sz w:val="16"/>
                <w:szCs w:val="16"/>
              </w:rPr>
            </w:pPr>
            <w:r>
              <w:rPr>
                <w:color w:val="000000"/>
                <w:sz w:val="16"/>
                <w:szCs w:val="16"/>
              </w:rPr>
              <w:t xml:space="preserve">Spotřeba slovenských domácností rostla rychleji než v ČR i v Rakousku, kde se vyvíjela zhruba stejně jako v průměru za EU 28 </w:t>
            </w:r>
          </w:p>
        </w:tc>
        <w:tc>
          <w:tcPr>
            <w:tcW w:w="139" w:type="pct"/>
          </w:tcPr>
          <w:p w:rsidR="0008794F" w:rsidRDefault="0008794F" w:rsidP="006A0A8D">
            <w:pPr>
              <w:pStyle w:val="Textpoznpodarou"/>
              <w:jc w:val="both"/>
            </w:pPr>
          </w:p>
        </w:tc>
        <w:tc>
          <w:tcPr>
            <w:tcW w:w="3819" w:type="pct"/>
          </w:tcPr>
          <w:p w:rsidR="0008794F" w:rsidRPr="00997EEB" w:rsidRDefault="0008794F" w:rsidP="006A0A8D">
            <w:pPr>
              <w:pStyle w:val="Textpoznpodarou"/>
              <w:jc w:val="both"/>
              <w:rPr>
                <w:color w:val="000000"/>
                <w:spacing w:val="-6"/>
              </w:rPr>
            </w:pPr>
            <w:r>
              <w:rPr>
                <w:color w:val="000000"/>
                <w:spacing w:val="-6"/>
              </w:rPr>
              <w:t>Vcelku logický růst výdajů na konečnou spotřebu domácností v ČR a na Slovensku (graf 26) daný růstem jejich disponibilních příjmů</w:t>
            </w:r>
            <w:r w:rsidR="00E62585">
              <w:rPr>
                <w:color w:val="000000"/>
                <w:spacing w:val="-6"/>
              </w:rPr>
              <w:t xml:space="preserve"> (</w:t>
            </w:r>
            <w:r>
              <w:rPr>
                <w:color w:val="000000"/>
                <w:spacing w:val="-6"/>
              </w:rPr>
              <w:t>ještě i ve druhé polovině 90. let relativně nízkou míru nezaměstnanosti, což ale platilo pro ČR, nikoli pro Slovensko</w:t>
            </w:r>
            <w:r w:rsidR="00E62585">
              <w:rPr>
                <w:color w:val="000000"/>
                <w:spacing w:val="-6"/>
              </w:rPr>
              <w:t>)</w:t>
            </w:r>
            <w:r>
              <w:rPr>
                <w:color w:val="000000"/>
                <w:spacing w:val="-6"/>
              </w:rPr>
              <w:t>, dále počínající nabídka úvěrových bankovních produktů zaměřených na spotřebu a její obecně otevřené</w:t>
            </w:r>
            <w:r w:rsidR="00AF55D3">
              <w:rPr>
                <w:color w:val="000000"/>
                <w:spacing w:val="-6"/>
              </w:rPr>
              <w:t xml:space="preserve"> horizonty</w:t>
            </w:r>
            <w:r>
              <w:rPr>
                <w:color w:val="000000"/>
                <w:spacing w:val="-6"/>
              </w:rPr>
              <w:t>, to vše stál</w:t>
            </w:r>
            <w:r w:rsidR="00AF55D3">
              <w:rPr>
                <w:color w:val="000000"/>
                <w:spacing w:val="-6"/>
              </w:rPr>
              <w:t>o</w:t>
            </w:r>
            <w:r>
              <w:rPr>
                <w:color w:val="000000"/>
                <w:spacing w:val="-6"/>
              </w:rPr>
              <w:t xml:space="preserve"> za pokračujícím růstem spotřeby českých a zejména slovenských domácností.</w:t>
            </w:r>
            <w:r w:rsidRPr="00997EEB">
              <w:rPr>
                <w:color w:val="000000"/>
                <w:spacing w:val="-6"/>
              </w:rPr>
              <w:t xml:space="preserve"> </w:t>
            </w:r>
          </w:p>
          <w:p w:rsidR="0008794F" w:rsidRPr="003D78A5" w:rsidRDefault="0008794F" w:rsidP="006A0A8D">
            <w:pPr>
              <w:pStyle w:val="Textpoznpodarou"/>
              <w:jc w:val="both"/>
              <w:rPr>
                <w:color w:val="000000"/>
                <w:spacing w:val="-6"/>
              </w:rPr>
            </w:pPr>
          </w:p>
        </w:tc>
      </w:tr>
      <w:tr w:rsidR="0008794F" w:rsidRPr="003D78A5" w:rsidTr="00700B14">
        <w:tc>
          <w:tcPr>
            <w:tcW w:w="1042" w:type="pct"/>
          </w:tcPr>
          <w:p w:rsidR="0008794F" w:rsidRPr="00602D1D" w:rsidRDefault="0008794F" w:rsidP="006A0A8D">
            <w:pPr>
              <w:spacing w:line="240" w:lineRule="auto"/>
              <w:rPr>
                <w:color w:val="000000"/>
                <w:sz w:val="16"/>
                <w:szCs w:val="16"/>
              </w:rPr>
            </w:pPr>
            <w:r>
              <w:rPr>
                <w:color w:val="000000"/>
                <w:sz w:val="16"/>
                <w:szCs w:val="16"/>
              </w:rPr>
              <w:t>Podle Historické ročenky národních účtů spotřeba slovenských domácností dosáhla úrovně roku 1990 až v roce 2002</w:t>
            </w:r>
          </w:p>
        </w:tc>
        <w:tc>
          <w:tcPr>
            <w:tcW w:w="139" w:type="pct"/>
          </w:tcPr>
          <w:p w:rsidR="0008794F" w:rsidRDefault="0008794F" w:rsidP="006A0A8D">
            <w:pPr>
              <w:pStyle w:val="Textpoznpodarou"/>
              <w:jc w:val="both"/>
            </w:pPr>
          </w:p>
        </w:tc>
        <w:tc>
          <w:tcPr>
            <w:tcW w:w="3819" w:type="pct"/>
          </w:tcPr>
          <w:p w:rsidR="0008794F" w:rsidRPr="00997EEB" w:rsidRDefault="0008794F" w:rsidP="006A0A8D">
            <w:pPr>
              <w:pStyle w:val="Textpoznpodarou"/>
              <w:jc w:val="both"/>
              <w:rPr>
                <w:color w:val="000000"/>
                <w:spacing w:val="-6"/>
              </w:rPr>
            </w:pPr>
            <w:r>
              <w:rPr>
                <w:color w:val="000000"/>
                <w:spacing w:val="-6"/>
              </w:rPr>
              <w:t>Na Slovensku však po rozpadu federace trvalo velmi dlouho</w:t>
            </w:r>
            <w:r w:rsidR="00AF55D3">
              <w:rPr>
                <w:color w:val="000000"/>
                <w:spacing w:val="-6"/>
              </w:rPr>
              <w:t>,</w:t>
            </w:r>
            <w:r>
              <w:rPr>
                <w:color w:val="000000"/>
                <w:spacing w:val="-6"/>
              </w:rPr>
              <w:t xml:space="preserve"> než spotřeba vůbec </w:t>
            </w:r>
            <w:r w:rsidR="00AF55D3">
              <w:rPr>
                <w:color w:val="000000"/>
                <w:spacing w:val="-6"/>
              </w:rPr>
              <w:t>dosáhla</w:t>
            </w:r>
            <w:r>
              <w:rPr>
                <w:color w:val="000000"/>
                <w:spacing w:val="-6"/>
              </w:rPr>
              <w:t xml:space="preserve"> úrov</w:t>
            </w:r>
            <w:r w:rsidR="00AF55D3">
              <w:rPr>
                <w:color w:val="000000"/>
                <w:spacing w:val="-6"/>
              </w:rPr>
              <w:t>ně</w:t>
            </w:r>
            <w:r>
              <w:rPr>
                <w:color w:val="000000"/>
                <w:spacing w:val="-6"/>
              </w:rPr>
              <w:t xml:space="preserve"> roku 1990. Podle dat z Historické ročenky národních účtů </w:t>
            </w:r>
            <w:r w:rsidR="00AF55D3">
              <w:rPr>
                <w:color w:val="000000"/>
                <w:spacing w:val="-6"/>
              </w:rPr>
              <w:t xml:space="preserve">ČSÚ a SSÚ </w:t>
            </w:r>
            <w:r>
              <w:rPr>
                <w:color w:val="000000"/>
                <w:spacing w:val="-6"/>
              </w:rPr>
              <w:t xml:space="preserve">(grafy v další v další </w:t>
            </w:r>
            <w:proofErr w:type="spellStart"/>
            <w:r>
              <w:rPr>
                <w:color w:val="000000"/>
                <w:spacing w:val="-6"/>
              </w:rPr>
              <w:t>subkapitole</w:t>
            </w:r>
            <w:proofErr w:type="spellEnd"/>
            <w:r>
              <w:rPr>
                <w:color w:val="000000"/>
                <w:spacing w:val="-6"/>
              </w:rPr>
              <w:t xml:space="preserve">) se spotřeba slovenských domácností dostala na úroveň roku 1990 dokonce až v roce 2002. </w:t>
            </w:r>
          </w:p>
          <w:p w:rsidR="0008794F" w:rsidRPr="003D78A5" w:rsidRDefault="0008794F" w:rsidP="006A0A8D">
            <w:pPr>
              <w:pStyle w:val="Textpoznpodarou"/>
              <w:jc w:val="both"/>
              <w:rPr>
                <w:color w:val="000000"/>
                <w:spacing w:val="-6"/>
              </w:rPr>
            </w:pPr>
          </w:p>
        </w:tc>
      </w:tr>
      <w:tr w:rsidR="0008794F" w:rsidRPr="003D78A5" w:rsidTr="003771E5">
        <w:tc>
          <w:tcPr>
            <w:tcW w:w="1042" w:type="pct"/>
          </w:tcPr>
          <w:p w:rsidR="0008794F" w:rsidRPr="00602D1D" w:rsidRDefault="0008794F" w:rsidP="006A0A8D">
            <w:pPr>
              <w:spacing w:line="240" w:lineRule="auto"/>
              <w:rPr>
                <w:color w:val="000000"/>
                <w:sz w:val="16"/>
                <w:szCs w:val="16"/>
              </w:rPr>
            </w:pPr>
            <w:r>
              <w:rPr>
                <w:color w:val="000000"/>
                <w:sz w:val="16"/>
                <w:szCs w:val="16"/>
              </w:rPr>
              <w:t>V Rakousku narostla spotřeba domácností za roky 1998-2014 o necelou čtvrtinu, v ČR o dvě pětiny a na Slovensku o téměř tři pětiny</w:t>
            </w:r>
          </w:p>
        </w:tc>
        <w:tc>
          <w:tcPr>
            <w:tcW w:w="139" w:type="pct"/>
          </w:tcPr>
          <w:p w:rsidR="0008794F" w:rsidRDefault="0008794F" w:rsidP="006A0A8D">
            <w:pPr>
              <w:pStyle w:val="Textpoznpodarou"/>
              <w:jc w:val="both"/>
            </w:pPr>
          </w:p>
        </w:tc>
        <w:tc>
          <w:tcPr>
            <w:tcW w:w="3819" w:type="pct"/>
          </w:tcPr>
          <w:p w:rsidR="0008794F" w:rsidRPr="003D78A5" w:rsidRDefault="0008794F" w:rsidP="00AE1A78">
            <w:pPr>
              <w:pStyle w:val="Textpoznpodarou"/>
              <w:jc w:val="both"/>
              <w:rPr>
                <w:color w:val="000000"/>
                <w:spacing w:val="-6"/>
              </w:rPr>
            </w:pPr>
            <w:r>
              <w:rPr>
                <w:color w:val="000000"/>
                <w:spacing w:val="-6"/>
              </w:rPr>
              <w:t>Relativně nízké přírůstky spotřeby rakouských domácností byly patrné po celé období 1999-2012</w:t>
            </w:r>
            <w:r w:rsidR="00E62585">
              <w:rPr>
                <w:color w:val="000000"/>
                <w:spacing w:val="-6"/>
              </w:rPr>
              <w:t xml:space="preserve"> (</w:t>
            </w:r>
            <w:r>
              <w:rPr>
                <w:color w:val="000000"/>
                <w:spacing w:val="-6"/>
              </w:rPr>
              <w:t>rakouské domácnosti utrácely</w:t>
            </w:r>
            <w:r w:rsidR="00AF55D3">
              <w:rPr>
                <w:color w:val="000000"/>
                <w:spacing w:val="-6"/>
              </w:rPr>
              <w:t>,</w:t>
            </w:r>
            <w:r>
              <w:rPr>
                <w:color w:val="000000"/>
                <w:spacing w:val="-6"/>
              </w:rPr>
              <w:t xml:space="preserve"> co se dynamiky spotřeby týká</w:t>
            </w:r>
            <w:r w:rsidR="00AF55D3">
              <w:rPr>
                <w:color w:val="000000"/>
                <w:spacing w:val="-6"/>
              </w:rPr>
              <w:t>, méně než kolik činil průměr EU</w:t>
            </w:r>
            <w:r w:rsidR="00E62585">
              <w:rPr>
                <w:color w:val="000000"/>
                <w:spacing w:val="-6"/>
              </w:rPr>
              <w:t>)</w:t>
            </w:r>
            <w:r w:rsidR="00AF55D3">
              <w:rPr>
                <w:color w:val="000000"/>
                <w:spacing w:val="-6"/>
              </w:rPr>
              <w:t>. P</w:t>
            </w:r>
            <w:r>
              <w:rPr>
                <w:color w:val="000000"/>
                <w:spacing w:val="-6"/>
              </w:rPr>
              <w:t xml:space="preserve">oté </w:t>
            </w:r>
            <w:r w:rsidR="00AF55D3">
              <w:rPr>
                <w:color w:val="000000"/>
                <w:spacing w:val="-6"/>
              </w:rPr>
              <w:t>t</w:t>
            </w:r>
            <w:r>
              <w:rPr>
                <w:color w:val="000000"/>
                <w:spacing w:val="-6"/>
              </w:rPr>
              <w:t>o</w:t>
            </w:r>
            <w:r w:rsidR="00AF55D3">
              <w:rPr>
                <w:color w:val="000000"/>
                <w:spacing w:val="-6"/>
              </w:rPr>
              <w:t>hoto průměrného tempa</w:t>
            </w:r>
            <w:r>
              <w:rPr>
                <w:color w:val="000000"/>
                <w:spacing w:val="-6"/>
              </w:rPr>
              <w:t xml:space="preserve"> zhruba dosáhly. V roce 2014 narostla proti roku 1998 spotřeba rak</w:t>
            </w:r>
            <w:r w:rsidR="00AF55D3">
              <w:rPr>
                <w:color w:val="000000"/>
                <w:spacing w:val="-6"/>
              </w:rPr>
              <w:t>ouských domácností o 23,5 %, v U</w:t>
            </w:r>
            <w:r>
              <w:rPr>
                <w:color w:val="000000"/>
                <w:spacing w:val="-6"/>
              </w:rPr>
              <w:t>nii o 24,5 %. V České republice výdaje domácností na konečnou spotřebu narostly o téměř dvě pětiny (+39,5</w:t>
            </w:r>
            <w:r w:rsidR="00AE1A78">
              <w:rPr>
                <w:color w:val="000000"/>
                <w:spacing w:val="-6"/>
              </w:rPr>
              <w:t> </w:t>
            </w:r>
            <w:r>
              <w:rPr>
                <w:color w:val="000000"/>
                <w:spacing w:val="-6"/>
              </w:rPr>
              <w:t>%), na Slovensku o více než polovinu (+57,5 %)</w:t>
            </w:r>
          </w:p>
        </w:tc>
      </w:tr>
    </w:tbl>
    <w:p w:rsidR="0008794F" w:rsidRPr="00B84D64" w:rsidRDefault="0008794F" w:rsidP="00B84D64"/>
    <w:tbl>
      <w:tblPr>
        <w:tblW w:w="5000" w:type="pct"/>
        <w:tblLayout w:type="fixed"/>
        <w:tblCellMar>
          <w:left w:w="28" w:type="dxa"/>
          <w:right w:w="28" w:type="dxa"/>
        </w:tblCellMar>
        <w:tblLook w:val="00A0"/>
      </w:tblPr>
      <w:tblGrid>
        <w:gridCol w:w="827"/>
        <w:gridCol w:w="3963"/>
        <w:gridCol w:w="838"/>
        <w:gridCol w:w="4066"/>
      </w:tblGrid>
      <w:tr w:rsidR="0008794F" w:rsidRPr="00817C98" w:rsidTr="006A0A8D">
        <w:tc>
          <w:tcPr>
            <w:tcW w:w="427" w:type="pct"/>
          </w:tcPr>
          <w:p w:rsidR="0008794F" w:rsidRDefault="0008794F" w:rsidP="006A0A8D">
            <w:pPr>
              <w:spacing w:line="240" w:lineRule="auto"/>
            </w:pPr>
            <w:r>
              <w:t>Graf 26</w:t>
            </w:r>
          </w:p>
        </w:tc>
        <w:tc>
          <w:tcPr>
            <w:tcW w:w="2044" w:type="pct"/>
          </w:tcPr>
          <w:p w:rsidR="0008794F" w:rsidRDefault="0008794F" w:rsidP="006A0A8D">
            <w:pPr>
              <w:pStyle w:val="Textpoznpodarou"/>
              <w:rPr>
                <w:rFonts w:cs="Arial"/>
                <w:szCs w:val="24"/>
              </w:rPr>
            </w:pPr>
            <w:r>
              <w:rPr>
                <w:rFonts w:cs="Arial"/>
                <w:b/>
                <w:bCs/>
              </w:rPr>
              <w:t xml:space="preserve">Výdaje domácností vč. NISD na konečnou spotřebu </w:t>
            </w:r>
            <w:r w:rsidRPr="000F7C11">
              <w:rPr>
                <w:rFonts w:cs="Arial"/>
                <w:bCs/>
              </w:rPr>
              <w:t>(</w:t>
            </w:r>
            <w:r>
              <w:rPr>
                <w:rFonts w:cs="Arial"/>
                <w:bCs/>
              </w:rPr>
              <w:t>1998=100</w:t>
            </w:r>
            <w:r w:rsidRPr="000F7C11">
              <w:rPr>
                <w:rFonts w:cs="Arial"/>
                <w:bCs/>
              </w:rPr>
              <w:t>)</w:t>
            </w:r>
            <w:r w:rsidRPr="00BE1C59">
              <w:rPr>
                <w:rFonts w:cs="Arial"/>
                <w:bCs/>
              </w:rPr>
              <w:t xml:space="preserve"> </w:t>
            </w:r>
          </w:p>
        </w:tc>
        <w:tc>
          <w:tcPr>
            <w:tcW w:w="432" w:type="pct"/>
          </w:tcPr>
          <w:p w:rsidR="0008794F" w:rsidRDefault="0008794F" w:rsidP="006A0A8D">
            <w:pPr>
              <w:spacing w:line="240" w:lineRule="auto"/>
            </w:pPr>
            <w:r>
              <w:t>Graf 27</w:t>
            </w:r>
          </w:p>
        </w:tc>
        <w:tc>
          <w:tcPr>
            <w:tcW w:w="2097" w:type="pct"/>
          </w:tcPr>
          <w:p w:rsidR="0008794F" w:rsidRPr="00817C98" w:rsidRDefault="0008794F" w:rsidP="006A0A8D">
            <w:pPr>
              <w:spacing w:line="240" w:lineRule="auto"/>
              <w:rPr>
                <w:rFonts w:cs="Arial"/>
                <w:b/>
                <w:bCs/>
              </w:rPr>
            </w:pPr>
            <w:r>
              <w:rPr>
                <w:rFonts w:cs="Arial"/>
                <w:b/>
                <w:bCs/>
              </w:rPr>
              <w:t xml:space="preserve">Výdaje vládních institucí na konečnou spotřebu </w:t>
            </w:r>
            <w:r w:rsidRPr="000F7C11">
              <w:rPr>
                <w:rFonts w:cs="Arial"/>
                <w:bCs/>
              </w:rPr>
              <w:t>(</w:t>
            </w:r>
            <w:r>
              <w:rPr>
                <w:rFonts w:cs="Arial"/>
                <w:bCs/>
              </w:rPr>
              <w:t>1998=100</w:t>
            </w:r>
            <w:r w:rsidRPr="000F7C11">
              <w:rPr>
                <w:rFonts w:cs="Arial"/>
                <w:bCs/>
              </w:rPr>
              <w:t>)</w:t>
            </w:r>
            <w:r w:rsidRPr="00BE1C59">
              <w:rPr>
                <w:rFonts w:cs="Arial"/>
                <w:bCs/>
              </w:rPr>
              <w:t xml:space="preserve"> </w:t>
            </w:r>
          </w:p>
        </w:tc>
      </w:tr>
      <w:tr w:rsidR="0008794F" w:rsidRPr="00C81DE5" w:rsidTr="006A0A8D">
        <w:tc>
          <w:tcPr>
            <w:tcW w:w="2471" w:type="pct"/>
            <w:gridSpan w:val="2"/>
          </w:tcPr>
          <w:p w:rsidR="0008794F" w:rsidRPr="00805541" w:rsidRDefault="00306F79" w:rsidP="006A0A8D">
            <w:pPr>
              <w:pStyle w:val="Textpoznpodarou"/>
              <w:jc w:val="both"/>
              <w:rPr>
                <w:noProof/>
              </w:rPr>
            </w:pPr>
            <w:r>
              <w:rPr>
                <w:noProof/>
              </w:rPr>
              <w:pict>
                <v:shape id="_x0000_i1050" type="#_x0000_t75" style="width:237pt;height:191.25pt">
                  <v:imagedata r:id="rId38" o:title=""/>
                </v:shape>
              </w:pict>
            </w:r>
          </w:p>
        </w:tc>
        <w:tc>
          <w:tcPr>
            <w:tcW w:w="2529" w:type="pct"/>
            <w:gridSpan w:val="2"/>
          </w:tcPr>
          <w:p w:rsidR="0008794F" w:rsidRPr="00805541" w:rsidRDefault="00306F79" w:rsidP="006A0A8D">
            <w:pPr>
              <w:pStyle w:val="Textpoznpodarou"/>
              <w:jc w:val="both"/>
            </w:pPr>
            <w:r>
              <w:pict>
                <v:shape id="_x0000_i1051" type="#_x0000_t75" style="width:241.5pt;height:191.25pt">
                  <v:imagedata r:id="rId39" o:title=""/>
                </v:shape>
              </w:pict>
            </w:r>
          </w:p>
        </w:tc>
      </w:tr>
    </w:tbl>
    <w:p w:rsidR="0008794F" w:rsidRPr="00D31866" w:rsidRDefault="0008794F" w:rsidP="00CD70C9">
      <w:pPr>
        <w:jc w:val="right"/>
      </w:pPr>
      <w:r w:rsidRPr="00A14EDC">
        <w:rPr>
          <w:sz w:val="18"/>
          <w:szCs w:val="18"/>
        </w:rPr>
        <w:t xml:space="preserve">Pramen: </w:t>
      </w:r>
      <w:proofErr w:type="spellStart"/>
      <w:proofErr w:type="gramStart"/>
      <w:r w:rsidRPr="00A14EDC">
        <w:rPr>
          <w:sz w:val="18"/>
          <w:szCs w:val="18"/>
        </w:rPr>
        <w:t>Eurostat</w:t>
      </w:r>
      <w:proofErr w:type="spellEnd"/>
      <w:r>
        <w:rPr>
          <w:sz w:val="18"/>
          <w:szCs w:val="18"/>
        </w:rPr>
        <w:t>,vlastní</w:t>
      </w:r>
      <w:proofErr w:type="gramEnd"/>
      <w:r>
        <w:rPr>
          <w:sz w:val="18"/>
          <w:szCs w:val="18"/>
        </w:rPr>
        <w:t xml:space="preserve"> propočty</w:t>
      </w:r>
    </w:p>
    <w:p w:rsidR="0008794F" w:rsidRPr="00AF55D3" w:rsidRDefault="0008794F" w:rsidP="00CD70C9">
      <w:pPr>
        <w:jc w:val="right"/>
        <w:rPr>
          <w:sz w:val="12"/>
          <w:szCs w:val="12"/>
        </w:rPr>
      </w:pPr>
    </w:p>
    <w:tbl>
      <w:tblPr>
        <w:tblW w:w="5043" w:type="pct"/>
        <w:tblInd w:w="-42" w:type="dxa"/>
        <w:tblCellMar>
          <w:left w:w="28" w:type="dxa"/>
          <w:right w:w="28" w:type="dxa"/>
        </w:tblCellMar>
        <w:tblLook w:val="00A0"/>
      </w:tblPr>
      <w:tblGrid>
        <w:gridCol w:w="24"/>
        <w:gridCol w:w="836"/>
        <w:gridCol w:w="1182"/>
        <w:gridCol w:w="275"/>
        <w:gridCol w:w="2549"/>
        <w:gridCol w:w="822"/>
        <w:gridCol w:w="4089"/>
      </w:tblGrid>
      <w:tr w:rsidR="0008794F" w:rsidRPr="003D78A5" w:rsidTr="00D74941">
        <w:tc>
          <w:tcPr>
            <w:tcW w:w="1042" w:type="pct"/>
            <w:gridSpan w:val="3"/>
          </w:tcPr>
          <w:p w:rsidR="0008794F" w:rsidRPr="00602D1D" w:rsidRDefault="0008794F" w:rsidP="006A0A8D">
            <w:pPr>
              <w:spacing w:line="240" w:lineRule="auto"/>
              <w:rPr>
                <w:color w:val="000000"/>
                <w:sz w:val="16"/>
                <w:szCs w:val="16"/>
              </w:rPr>
            </w:pPr>
            <w:r>
              <w:rPr>
                <w:color w:val="000000"/>
                <w:sz w:val="16"/>
                <w:szCs w:val="16"/>
              </w:rPr>
              <w:t>Velmi silná spotřeba vládních institucí na Slovensku stála zřejmě za silnou dynamikou jeho HDP</w:t>
            </w:r>
          </w:p>
        </w:tc>
        <w:tc>
          <w:tcPr>
            <w:tcW w:w="139" w:type="pct"/>
          </w:tcPr>
          <w:p w:rsidR="0008794F" w:rsidRDefault="0008794F" w:rsidP="006A0A8D">
            <w:pPr>
              <w:pStyle w:val="Textpoznpodarou"/>
              <w:jc w:val="both"/>
            </w:pPr>
          </w:p>
        </w:tc>
        <w:tc>
          <w:tcPr>
            <w:tcW w:w="3819" w:type="pct"/>
            <w:gridSpan w:val="3"/>
          </w:tcPr>
          <w:p w:rsidR="0008794F" w:rsidRPr="00997EEB" w:rsidRDefault="0008794F" w:rsidP="006A0A8D">
            <w:pPr>
              <w:pStyle w:val="Textpoznpodarou"/>
              <w:jc w:val="both"/>
              <w:rPr>
                <w:color w:val="000000"/>
                <w:spacing w:val="-6"/>
              </w:rPr>
            </w:pPr>
            <w:r>
              <w:rPr>
                <w:color w:val="000000"/>
                <w:spacing w:val="-6"/>
              </w:rPr>
              <w:t>Podob</w:t>
            </w:r>
            <w:r w:rsidR="00AF55D3">
              <w:rPr>
                <w:color w:val="000000"/>
                <w:spacing w:val="-6"/>
              </w:rPr>
              <w:t>n</w:t>
            </w:r>
            <w:r>
              <w:rPr>
                <w:color w:val="000000"/>
                <w:spacing w:val="-6"/>
              </w:rPr>
              <w:t>ě jako u spotřeby domácností, zaznamenává Slovensko velmi silný růst výdajů svých vládních institucí na konečnou spotřebu (graf 27). Tyto výdaje jsou ve srovnání s ČR, Rakouskem anebo i Unií jako celkem v procentním vyjádření tak vysoké, že lze vyslovit hypotézu, že slovenský ekonomický růst byl v</w:t>
            </w:r>
            <w:r w:rsidR="00AF55D3">
              <w:rPr>
                <w:color w:val="000000"/>
                <w:spacing w:val="-6"/>
              </w:rPr>
              <w:t xml:space="preserve">e velmi vysoké </w:t>
            </w:r>
            <w:r>
              <w:rPr>
                <w:color w:val="000000"/>
                <w:spacing w:val="-6"/>
              </w:rPr>
              <w:t xml:space="preserve">míře financován </w:t>
            </w:r>
            <w:r>
              <w:rPr>
                <w:color w:val="000000"/>
                <w:spacing w:val="-6"/>
              </w:rPr>
              <w:lastRenderedPageBreak/>
              <w:t xml:space="preserve">dluhem vládních institucí. </w:t>
            </w:r>
          </w:p>
          <w:p w:rsidR="0008794F" w:rsidRPr="00C15336" w:rsidRDefault="0008794F" w:rsidP="006A0A8D">
            <w:pPr>
              <w:pStyle w:val="Textpoznpodarou"/>
              <w:jc w:val="both"/>
              <w:rPr>
                <w:color w:val="000000"/>
                <w:spacing w:val="-6"/>
                <w:sz w:val="12"/>
                <w:szCs w:val="12"/>
              </w:rPr>
            </w:pPr>
          </w:p>
        </w:tc>
      </w:tr>
      <w:tr w:rsidR="0008794F" w:rsidRPr="003D78A5" w:rsidTr="00D74941">
        <w:trPr>
          <w:trHeight w:val="1470"/>
        </w:trPr>
        <w:tc>
          <w:tcPr>
            <w:tcW w:w="1042" w:type="pct"/>
            <w:gridSpan w:val="3"/>
          </w:tcPr>
          <w:p w:rsidR="0008794F" w:rsidRPr="00602D1D" w:rsidRDefault="0008794F" w:rsidP="006A0A8D">
            <w:pPr>
              <w:spacing w:line="240" w:lineRule="auto"/>
              <w:rPr>
                <w:color w:val="000000"/>
                <w:sz w:val="16"/>
                <w:szCs w:val="16"/>
              </w:rPr>
            </w:pPr>
            <w:r>
              <w:rPr>
                <w:color w:val="000000"/>
                <w:sz w:val="16"/>
                <w:szCs w:val="16"/>
              </w:rPr>
              <w:lastRenderedPageBreak/>
              <w:t xml:space="preserve">Příčiny „šetření“ vládních institucí České republiky; rakouská rozpočtová střídmost větší než v EU jako celku  </w:t>
            </w:r>
          </w:p>
        </w:tc>
        <w:tc>
          <w:tcPr>
            <w:tcW w:w="139" w:type="pct"/>
          </w:tcPr>
          <w:p w:rsidR="0008794F" w:rsidRDefault="0008794F" w:rsidP="006A0A8D">
            <w:pPr>
              <w:pStyle w:val="Textpoznpodarou"/>
              <w:jc w:val="both"/>
            </w:pPr>
          </w:p>
        </w:tc>
        <w:tc>
          <w:tcPr>
            <w:tcW w:w="3819" w:type="pct"/>
            <w:gridSpan w:val="3"/>
          </w:tcPr>
          <w:p w:rsidR="00DC472A" w:rsidRDefault="0008794F" w:rsidP="00D74941">
            <w:pPr>
              <w:pStyle w:val="Textpoznpodarou"/>
              <w:jc w:val="both"/>
              <w:rPr>
                <w:color w:val="000000"/>
                <w:spacing w:val="-6"/>
              </w:rPr>
            </w:pPr>
            <w:r>
              <w:rPr>
                <w:color w:val="000000"/>
                <w:spacing w:val="-6"/>
              </w:rPr>
              <w:t>V České republice omezily růst výdajů vládních institucí od roku 2004 přijímané reformy</w:t>
            </w:r>
            <w:r w:rsidR="00AF55D3">
              <w:rPr>
                <w:color w:val="000000"/>
                <w:spacing w:val="-6"/>
              </w:rPr>
              <w:t xml:space="preserve">, které tehdy reagovaly mimo </w:t>
            </w:r>
            <w:proofErr w:type="gramStart"/>
            <w:r w:rsidR="00AF55D3">
              <w:rPr>
                <w:color w:val="000000"/>
                <w:spacing w:val="-6"/>
              </w:rPr>
              <w:t>jiné i  na</w:t>
            </w:r>
            <w:proofErr w:type="gramEnd"/>
            <w:r w:rsidR="00AF55D3">
              <w:rPr>
                <w:color w:val="000000"/>
                <w:spacing w:val="-6"/>
              </w:rPr>
              <w:t xml:space="preserve"> </w:t>
            </w:r>
            <w:r>
              <w:rPr>
                <w:color w:val="000000"/>
                <w:spacing w:val="-6"/>
              </w:rPr>
              <w:t xml:space="preserve"> </w:t>
            </w:r>
            <w:r w:rsidR="00AF55D3">
              <w:rPr>
                <w:color w:val="000000"/>
                <w:spacing w:val="-6"/>
              </w:rPr>
              <w:t xml:space="preserve">předchozí </w:t>
            </w:r>
            <w:r>
              <w:rPr>
                <w:color w:val="000000"/>
                <w:spacing w:val="-6"/>
              </w:rPr>
              <w:t xml:space="preserve">zátěž </w:t>
            </w:r>
            <w:r w:rsidR="00AF55D3">
              <w:rPr>
                <w:color w:val="000000"/>
                <w:spacing w:val="-6"/>
              </w:rPr>
              <w:t xml:space="preserve">veřejných </w:t>
            </w:r>
            <w:r>
              <w:rPr>
                <w:color w:val="000000"/>
                <w:spacing w:val="-6"/>
              </w:rPr>
              <w:t xml:space="preserve">rozpočtů </w:t>
            </w:r>
            <w:r w:rsidR="00AF55D3">
              <w:rPr>
                <w:color w:val="000000"/>
                <w:spacing w:val="-6"/>
              </w:rPr>
              <w:t>vyvolávanou</w:t>
            </w:r>
            <w:r>
              <w:rPr>
                <w:color w:val="000000"/>
                <w:spacing w:val="-6"/>
              </w:rPr>
              <w:t xml:space="preserve"> „očišťováním“ </w:t>
            </w:r>
            <w:r w:rsidR="00AF55D3">
              <w:rPr>
                <w:color w:val="000000"/>
                <w:spacing w:val="-6"/>
              </w:rPr>
              <w:t>úv</w:t>
            </w:r>
            <w:r w:rsidR="00DC472A">
              <w:rPr>
                <w:color w:val="000000"/>
                <w:spacing w:val="-6"/>
              </w:rPr>
              <w:t>ě</w:t>
            </w:r>
            <w:r w:rsidR="00AF55D3">
              <w:rPr>
                <w:color w:val="000000"/>
                <w:spacing w:val="-6"/>
              </w:rPr>
              <w:t>rových portfolií největších bank</w:t>
            </w:r>
            <w:r>
              <w:rPr>
                <w:color w:val="000000"/>
                <w:spacing w:val="-6"/>
              </w:rPr>
              <w:t xml:space="preserve"> od špatných půjček</w:t>
            </w:r>
            <w:r w:rsidR="00DC472A">
              <w:rPr>
                <w:color w:val="000000"/>
                <w:spacing w:val="-6"/>
              </w:rPr>
              <w:t>. O</w:t>
            </w:r>
            <w:r>
              <w:rPr>
                <w:color w:val="000000"/>
                <w:spacing w:val="-6"/>
              </w:rPr>
              <w:t>d roku 2011 pak</w:t>
            </w:r>
            <w:r w:rsidR="00DC472A">
              <w:rPr>
                <w:color w:val="000000"/>
                <w:spacing w:val="-6"/>
              </w:rPr>
              <w:t xml:space="preserve"> byly výdaje vládních institucí omezovány</w:t>
            </w:r>
            <w:r>
              <w:rPr>
                <w:color w:val="000000"/>
                <w:spacing w:val="-6"/>
              </w:rPr>
              <w:t xml:space="preserve"> tvrd</w:t>
            </w:r>
            <w:r w:rsidR="00DC472A">
              <w:rPr>
                <w:color w:val="000000"/>
                <w:spacing w:val="-6"/>
              </w:rPr>
              <w:t>ou</w:t>
            </w:r>
            <w:r>
              <w:rPr>
                <w:color w:val="000000"/>
                <w:spacing w:val="-6"/>
              </w:rPr>
              <w:t xml:space="preserve"> konsolidac</w:t>
            </w:r>
            <w:r w:rsidR="00DC472A">
              <w:rPr>
                <w:color w:val="000000"/>
                <w:spacing w:val="-6"/>
              </w:rPr>
              <w:t>í</w:t>
            </w:r>
            <w:r>
              <w:rPr>
                <w:color w:val="000000"/>
                <w:spacing w:val="-6"/>
              </w:rPr>
              <w:t xml:space="preserve"> veřejných rozpočtů. </w:t>
            </w:r>
          </w:p>
          <w:p w:rsidR="00DC472A" w:rsidRDefault="00DC472A" w:rsidP="00D74941">
            <w:pPr>
              <w:pStyle w:val="Textpoznpodarou"/>
              <w:jc w:val="both"/>
              <w:rPr>
                <w:color w:val="000000"/>
                <w:spacing w:val="-6"/>
              </w:rPr>
            </w:pPr>
          </w:p>
          <w:p w:rsidR="0008794F" w:rsidRDefault="0008794F" w:rsidP="00D74941">
            <w:pPr>
              <w:pStyle w:val="Textpoznpodarou"/>
              <w:jc w:val="both"/>
              <w:rPr>
                <w:color w:val="000000"/>
                <w:spacing w:val="-6"/>
              </w:rPr>
            </w:pPr>
            <w:r>
              <w:rPr>
                <w:color w:val="000000"/>
                <w:spacing w:val="-6"/>
              </w:rPr>
              <w:t xml:space="preserve">Rakousko </w:t>
            </w:r>
            <w:r w:rsidR="00DC472A">
              <w:rPr>
                <w:color w:val="000000"/>
                <w:spacing w:val="-6"/>
              </w:rPr>
              <w:t xml:space="preserve">naopak </w:t>
            </w:r>
            <w:r>
              <w:rPr>
                <w:color w:val="000000"/>
                <w:spacing w:val="-6"/>
              </w:rPr>
              <w:t>uplatňovalo relativně střídmou politiku rozpočtových vydání, takže přírůstky výdajů vládních institucí na konečnou spotřebu tam byly po téměř celé sledované</w:t>
            </w:r>
            <w:r w:rsidR="00DC472A">
              <w:rPr>
                <w:color w:val="000000"/>
                <w:spacing w:val="-6"/>
              </w:rPr>
              <w:t xml:space="preserve"> nižší než za EU jako celek.  </w:t>
            </w:r>
            <w:r>
              <w:rPr>
                <w:color w:val="000000"/>
                <w:spacing w:val="-6"/>
              </w:rPr>
              <w:t>Zatímco v EU činil přírůst</w:t>
            </w:r>
            <w:r w:rsidR="00DC472A">
              <w:rPr>
                <w:color w:val="000000"/>
                <w:spacing w:val="-6"/>
              </w:rPr>
              <w:t xml:space="preserve">ek výdajů vládních institucí </w:t>
            </w:r>
            <w:r>
              <w:rPr>
                <w:color w:val="000000"/>
                <w:spacing w:val="-6"/>
              </w:rPr>
              <w:t>za roky 1998-2014 celkem +28,7 %, v Rakousku +23,5 %. V ČR vlivem zmíněných příčin utrácely vládní instituce v tempu, které představovalo přírůstek o čtvrtinu (+25,9 %), na Slovensku však o celou polovinu (+50,7 %).</w:t>
            </w:r>
          </w:p>
          <w:p w:rsidR="0008794F" w:rsidRPr="003D78A5" w:rsidRDefault="0008794F" w:rsidP="00D74941">
            <w:pPr>
              <w:pStyle w:val="Textpoznpodarou"/>
              <w:jc w:val="both"/>
              <w:rPr>
                <w:color w:val="000000"/>
                <w:spacing w:val="-6"/>
              </w:rPr>
            </w:pPr>
            <w:r>
              <w:rPr>
                <w:color w:val="000000"/>
                <w:spacing w:val="-6"/>
              </w:rPr>
              <w:t xml:space="preserve"> </w:t>
            </w:r>
          </w:p>
        </w:tc>
      </w:tr>
      <w:tr w:rsidR="0008794F" w:rsidRPr="00817C98" w:rsidTr="00D74941">
        <w:trPr>
          <w:gridBefore w:val="1"/>
          <w:wBefore w:w="21" w:type="pct"/>
        </w:trPr>
        <w:tc>
          <w:tcPr>
            <w:tcW w:w="423" w:type="pct"/>
          </w:tcPr>
          <w:p w:rsidR="0008794F" w:rsidRDefault="0008794F" w:rsidP="006A0A8D">
            <w:pPr>
              <w:spacing w:line="240" w:lineRule="auto"/>
            </w:pPr>
            <w:r>
              <w:t>Graf 28</w:t>
            </w:r>
          </w:p>
        </w:tc>
        <w:tc>
          <w:tcPr>
            <w:tcW w:w="2027" w:type="pct"/>
            <w:gridSpan w:val="3"/>
          </w:tcPr>
          <w:p w:rsidR="0008794F" w:rsidRDefault="0008794F" w:rsidP="006A0A8D">
            <w:pPr>
              <w:pStyle w:val="Textpoznpodarou"/>
              <w:rPr>
                <w:rFonts w:cs="Arial"/>
                <w:szCs w:val="24"/>
              </w:rPr>
            </w:pPr>
            <w:r>
              <w:rPr>
                <w:rFonts w:cs="Arial"/>
                <w:b/>
                <w:bCs/>
              </w:rPr>
              <w:t xml:space="preserve">Export zboží a služeb </w:t>
            </w:r>
            <w:r w:rsidRPr="000F7C11">
              <w:rPr>
                <w:rFonts w:cs="Arial"/>
                <w:bCs/>
              </w:rPr>
              <w:t>(</w:t>
            </w:r>
            <w:r>
              <w:rPr>
                <w:rFonts w:cs="Arial"/>
                <w:bCs/>
              </w:rPr>
              <w:t>1998=100)</w:t>
            </w:r>
          </w:p>
        </w:tc>
        <w:tc>
          <w:tcPr>
            <w:tcW w:w="429" w:type="pct"/>
          </w:tcPr>
          <w:p w:rsidR="0008794F" w:rsidRDefault="0008794F" w:rsidP="006A0A8D">
            <w:pPr>
              <w:spacing w:line="240" w:lineRule="auto"/>
            </w:pPr>
            <w:r>
              <w:t>Graf 29</w:t>
            </w:r>
          </w:p>
        </w:tc>
        <w:tc>
          <w:tcPr>
            <w:tcW w:w="2079" w:type="pct"/>
          </w:tcPr>
          <w:p w:rsidR="0008794F" w:rsidRPr="00817C98" w:rsidRDefault="0008794F" w:rsidP="006A0A8D">
            <w:pPr>
              <w:spacing w:line="240" w:lineRule="auto"/>
              <w:rPr>
                <w:rFonts w:cs="Arial"/>
                <w:b/>
                <w:bCs/>
              </w:rPr>
            </w:pPr>
            <w:r>
              <w:rPr>
                <w:rFonts w:cs="Arial"/>
                <w:b/>
                <w:bCs/>
              </w:rPr>
              <w:t xml:space="preserve">Import zboží a služeb </w:t>
            </w:r>
            <w:r w:rsidRPr="000F7C11">
              <w:rPr>
                <w:rFonts w:cs="Arial"/>
                <w:bCs/>
              </w:rPr>
              <w:t>(</w:t>
            </w:r>
            <w:r>
              <w:rPr>
                <w:rFonts w:cs="Arial"/>
                <w:bCs/>
              </w:rPr>
              <w:t xml:space="preserve">1998=100) </w:t>
            </w:r>
          </w:p>
        </w:tc>
      </w:tr>
      <w:tr w:rsidR="0008794F" w:rsidRPr="00C81DE5" w:rsidTr="00D74941">
        <w:trPr>
          <w:gridBefore w:val="1"/>
          <w:wBefore w:w="21" w:type="pct"/>
        </w:trPr>
        <w:tc>
          <w:tcPr>
            <w:tcW w:w="2450" w:type="pct"/>
            <w:gridSpan w:val="4"/>
          </w:tcPr>
          <w:p w:rsidR="0008794F" w:rsidRPr="00313694" w:rsidRDefault="00306F79" w:rsidP="006A0A8D">
            <w:pPr>
              <w:pStyle w:val="Textpoznpodarou"/>
              <w:jc w:val="both"/>
              <w:rPr>
                <w:noProof/>
              </w:rPr>
            </w:pPr>
            <w:r>
              <w:rPr>
                <w:noProof/>
              </w:rPr>
              <w:pict>
                <v:shape id="_x0000_i1052" type="#_x0000_t75" style="width:239.25pt;height:203.25pt">
                  <v:imagedata r:id="rId40" o:title=""/>
                </v:shape>
              </w:pict>
            </w:r>
          </w:p>
        </w:tc>
        <w:tc>
          <w:tcPr>
            <w:tcW w:w="2508" w:type="pct"/>
            <w:gridSpan w:val="2"/>
          </w:tcPr>
          <w:p w:rsidR="0008794F" w:rsidRPr="00313694" w:rsidRDefault="00306F79" w:rsidP="006A0A8D">
            <w:pPr>
              <w:pStyle w:val="Textpoznpodarou"/>
              <w:jc w:val="both"/>
            </w:pPr>
            <w:r>
              <w:pict>
                <v:shape id="_x0000_i1053" type="#_x0000_t75" style="width:235.5pt;height:203.25pt">
                  <v:imagedata r:id="rId41" o:title=""/>
                </v:shape>
              </w:pict>
            </w:r>
          </w:p>
        </w:tc>
      </w:tr>
    </w:tbl>
    <w:p w:rsidR="0008794F" w:rsidRPr="00D31866" w:rsidRDefault="0008794F" w:rsidP="00CD70C9">
      <w:pPr>
        <w:jc w:val="right"/>
      </w:pPr>
      <w:r w:rsidRPr="00A14EDC">
        <w:rPr>
          <w:sz w:val="18"/>
          <w:szCs w:val="18"/>
        </w:rPr>
        <w:t xml:space="preserve">Pramen: </w:t>
      </w:r>
      <w:proofErr w:type="spellStart"/>
      <w:proofErr w:type="gramStart"/>
      <w:r w:rsidRPr="00A14EDC">
        <w:rPr>
          <w:sz w:val="18"/>
          <w:szCs w:val="18"/>
        </w:rPr>
        <w:t>Eurostat</w:t>
      </w:r>
      <w:proofErr w:type="spellEnd"/>
      <w:r>
        <w:rPr>
          <w:sz w:val="18"/>
          <w:szCs w:val="18"/>
        </w:rPr>
        <w:t>,vlastní</w:t>
      </w:r>
      <w:proofErr w:type="gramEnd"/>
      <w:r>
        <w:rPr>
          <w:sz w:val="18"/>
          <w:szCs w:val="18"/>
        </w:rPr>
        <w:t xml:space="preserve"> propočty</w:t>
      </w:r>
    </w:p>
    <w:p w:rsidR="0008794F" w:rsidRDefault="0008794F" w:rsidP="00CD70C9">
      <w:pPr>
        <w:jc w:val="right"/>
      </w:pPr>
    </w:p>
    <w:tbl>
      <w:tblPr>
        <w:tblW w:w="5043" w:type="pct"/>
        <w:tblInd w:w="-42" w:type="dxa"/>
        <w:tblCellMar>
          <w:left w:w="28" w:type="dxa"/>
          <w:right w:w="28" w:type="dxa"/>
        </w:tblCellMar>
        <w:tblLook w:val="00A0"/>
      </w:tblPr>
      <w:tblGrid>
        <w:gridCol w:w="2037"/>
        <w:gridCol w:w="272"/>
        <w:gridCol w:w="7468"/>
      </w:tblGrid>
      <w:tr w:rsidR="0008794F" w:rsidRPr="003D78A5" w:rsidTr="006A0A8D">
        <w:tc>
          <w:tcPr>
            <w:tcW w:w="1042" w:type="pct"/>
          </w:tcPr>
          <w:p w:rsidR="0008794F" w:rsidRPr="00602D1D" w:rsidRDefault="0008794F" w:rsidP="00DC472A">
            <w:pPr>
              <w:spacing w:line="240" w:lineRule="auto"/>
              <w:rPr>
                <w:color w:val="000000"/>
                <w:sz w:val="16"/>
                <w:szCs w:val="16"/>
              </w:rPr>
            </w:pPr>
            <w:r>
              <w:rPr>
                <w:color w:val="000000"/>
                <w:sz w:val="16"/>
                <w:szCs w:val="16"/>
              </w:rPr>
              <w:t>Exporty i z České republiky</w:t>
            </w:r>
            <w:r w:rsidR="00DC472A">
              <w:rPr>
                <w:color w:val="000000"/>
                <w:sz w:val="16"/>
                <w:szCs w:val="16"/>
              </w:rPr>
              <w:t xml:space="preserve"> a ze Slovenska </w:t>
            </w:r>
            <w:r>
              <w:rPr>
                <w:color w:val="000000"/>
                <w:sz w:val="16"/>
                <w:szCs w:val="16"/>
              </w:rPr>
              <w:t>byly v</w:t>
            </w:r>
            <w:r w:rsidR="00DC472A">
              <w:rPr>
                <w:color w:val="000000"/>
                <w:sz w:val="16"/>
                <w:szCs w:val="16"/>
              </w:rPr>
              <w:t> </w:t>
            </w:r>
            <w:r>
              <w:rPr>
                <w:color w:val="000000"/>
                <w:sz w:val="16"/>
                <w:szCs w:val="16"/>
              </w:rPr>
              <w:t>roce</w:t>
            </w:r>
            <w:r w:rsidR="00DC472A">
              <w:rPr>
                <w:color w:val="000000"/>
                <w:sz w:val="16"/>
                <w:szCs w:val="16"/>
              </w:rPr>
              <w:t xml:space="preserve"> </w:t>
            </w:r>
            <w:r>
              <w:rPr>
                <w:color w:val="000000"/>
                <w:sz w:val="16"/>
                <w:szCs w:val="16"/>
              </w:rPr>
              <w:t xml:space="preserve">2014 </w:t>
            </w:r>
            <w:r w:rsidR="00DC472A">
              <w:rPr>
                <w:color w:val="000000"/>
                <w:sz w:val="16"/>
                <w:szCs w:val="16"/>
              </w:rPr>
              <w:t>zhruba třikrát až čtyřikrát vyšší,</w:t>
            </w:r>
            <w:r>
              <w:rPr>
                <w:color w:val="000000"/>
                <w:sz w:val="16"/>
                <w:szCs w:val="16"/>
              </w:rPr>
              <w:t xml:space="preserve"> než v roce </w:t>
            </w:r>
            <w:proofErr w:type="gramStart"/>
            <w:r>
              <w:rPr>
                <w:color w:val="000000"/>
                <w:sz w:val="16"/>
                <w:szCs w:val="16"/>
              </w:rPr>
              <w:t>1998,,,</w:t>
            </w:r>
            <w:r w:rsidR="00DC472A">
              <w:rPr>
                <w:color w:val="000000"/>
                <w:sz w:val="16"/>
                <w:szCs w:val="16"/>
              </w:rPr>
              <w:t>,</w:t>
            </w:r>
            <w:proofErr w:type="gramEnd"/>
          </w:p>
        </w:tc>
        <w:tc>
          <w:tcPr>
            <w:tcW w:w="139" w:type="pct"/>
          </w:tcPr>
          <w:p w:rsidR="0008794F" w:rsidRDefault="0008794F" w:rsidP="006A0A8D">
            <w:pPr>
              <w:pStyle w:val="Textpoznpodarou"/>
              <w:jc w:val="both"/>
            </w:pPr>
          </w:p>
        </w:tc>
        <w:tc>
          <w:tcPr>
            <w:tcW w:w="3819" w:type="pct"/>
          </w:tcPr>
          <w:p w:rsidR="0008794F" w:rsidRPr="00997EEB" w:rsidRDefault="0008794F" w:rsidP="006A0A8D">
            <w:pPr>
              <w:pStyle w:val="Textpoznpodarou"/>
              <w:jc w:val="both"/>
              <w:rPr>
                <w:color w:val="000000"/>
                <w:spacing w:val="-6"/>
              </w:rPr>
            </w:pPr>
            <w:r>
              <w:rPr>
                <w:color w:val="000000"/>
                <w:spacing w:val="-6"/>
              </w:rPr>
              <w:t>Nejvýrazněji se v „pohybech“ jednotlivých složek výdajové strany HDP projevil v případě České republiky a Slovenska jejich zahraniční obchod</w:t>
            </w:r>
            <w:r w:rsidR="00DC472A">
              <w:rPr>
                <w:color w:val="000000"/>
                <w:spacing w:val="-6"/>
              </w:rPr>
              <w:t xml:space="preserve"> (</w:t>
            </w:r>
            <w:r>
              <w:rPr>
                <w:color w:val="000000"/>
                <w:spacing w:val="-6"/>
              </w:rPr>
              <w:t>graf</w:t>
            </w:r>
            <w:r w:rsidR="00DC472A">
              <w:rPr>
                <w:color w:val="000000"/>
                <w:spacing w:val="-6"/>
              </w:rPr>
              <w:t>y</w:t>
            </w:r>
            <w:r>
              <w:rPr>
                <w:color w:val="000000"/>
                <w:spacing w:val="-6"/>
              </w:rPr>
              <w:t xml:space="preserve"> 28 a 29 s exporty a importy zboží a služeb</w:t>
            </w:r>
            <w:r w:rsidR="00DC472A">
              <w:rPr>
                <w:color w:val="000000"/>
                <w:spacing w:val="-6"/>
              </w:rPr>
              <w:t>)</w:t>
            </w:r>
            <w:r>
              <w:rPr>
                <w:color w:val="000000"/>
                <w:spacing w:val="-6"/>
              </w:rPr>
              <w:t>. Je zde vidět výrazná akcelerace růstu vývozů ze Slovenska, které se za roky 1998-2014 zvýšily čtyřikrát (+327 %) a překonaly tak i velmi silnou dynamiku exportů z České republiky (+278 %). Zrychlení</w:t>
            </w:r>
            <w:r>
              <w:rPr>
                <w:vanish/>
                <w:color w:val="000000"/>
                <w:spacing w:val="-6"/>
              </w:rPr>
              <w:t>DP pohybovaly za roky 1998-2014 toky zboeží a služeb.</w:t>
            </w:r>
            <w:r>
              <w:rPr>
                <w:color w:val="000000"/>
                <w:spacing w:val="-6"/>
              </w:rPr>
              <w:t xml:space="preserve"> po roce 2004 dokládá sílící ekonomickou „otevřenost“ obou zemí po vstupu do Evropské unie. Rakouský export zboží a služeb narůstal stejným tempem, jako byla průměrná dynamika těchto exportů za EU (+195,9 %, resp. +196,3 %)</w:t>
            </w:r>
          </w:p>
          <w:p w:rsidR="0008794F" w:rsidRPr="003D78A5" w:rsidRDefault="0008794F" w:rsidP="006A0A8D">
            <w:pPr>
              <w:pStyle w:val="Textpoznpodarou"/>
              <w:jc w:val="both"/>
              <w:rPr>
                <w:color w:val="000000"/>
                <w:spacing w:val="-6"/>
              </w:rPr>
            </w:pPr>
          </w:p>
        </w:tc>
      </w:tr>
      <w:tr w:rsidR="0008794F" w:rsidRPr="003D78A5" w:rsidTr="006A0A8D">
        <w:tc>
          <w:tcPr>
            <w:tcW w:w="1042" w:type="pct"/>
          </w:tcPr>
          <w:p w:rsidR="0008794F" w:rsidRDefault="0008794F" w:rsidP="006A0A8D">
            <w:pPr>
              <w:spacing w:line="240" w:lineRule="auto"/>
              <w:rPr>
                <w:color w:val="000000"/>
                <w:sz w:val="16"/>
                <w:szCs w:val="16"/>
              </w:rPr>
            </w:pPr>
            <w:r>
              <w:rPr>
                <w:color w:val="000000"/>
                <w:sz w:val="16"/>
                <w:szCs w:val="16"/>
              </w:rPr>
              <w:t xml:space="preserve">… ale dovozy do ČR rostly rychleji než dovozy na Slovensko, což ovlivňovalo výkonovou bilanci a dokládalo </w:t>
            </w:r>
            <w:r w:rsidR="00DC472A">
              <w:rPr>
                <w:color w:val="000000"/>
                <w:sz w:val="16"/>
                <w:szCs w:val="16"/>
              </w:rPr>
              <w:t xml:space="preserve">to </w:t>
            </w:r>
            <w:r>
              <w:rPr>
                <w:color w:val="000000"/>
                <w:sz w:val="16"/>
                <w:szCs w:val="16"/>
              </w:rPr>
              <w:t>více</w:t>
            </w:r>
            <w:r w:rsidR="00DC472A">
              <w:rPr>
                <w:color w:val="000000"/>
                <w:sz w:val="16"/>
                <w:szCs w:val="16"/>
              </w:rPr>
              <w:t xml:space="preserve"> </w:t>
            </w:r>
            <w:proofErr w:type="spellStart"/>
            <w:r>
              <w:rPr>
                <w:color w:val="000000"/>
                <w:sz w:val="16"/>
                <w:szCs w:val="16"/>
              </w:rPr>
              <w:t>přepracovatelský</w:t>
            </w:r>
            <w:proofErr w:type="spellEnd"/>
            <w:r>
              <w:rPr>
                <w:color w:val="000000"/>
                <w:sz w:val="16"/>
                <w:szCs w:val="16"/>
              </w:rPr>
              <w:t xml:space="preserve"> charakter české ekonomiky daný silnějším zastoupením zahraničního kapitálu v podobě přímých </w:t>
            </w:r>
            <w:proofErr w:type="gramStart"/>
            <w:r>
              <w:rPr>
                <w:color w:val="000000"/>
                <w:sz w:val="16"/>
                <w:szCs w:val="16"/>
              </w:rPr>
              <w:t xml:space="preserve">investic </w:t>
            </w:r>
            <w:r w:rsidR="00DC472A">
              <w:rPr>
                <w:color w:val="000000"/>
                <w:sz w:val="16"/>
                <w:szCs w:val="16"/>
              </w:rPr>
              <w:t>;</w:t>
            </w:r>
            <w:r>
              <w:rPr>
                <w:color w:val="000000"/>
                <w:sz w:val="16"/>
                <w:szCs w:val="16"/>
              </w:rPr>
              <w:t xml:space="preserve"> </w:t>
            </w:r>
            <w:r w:rsidR="00DC472A">
              <w:rPr>
                <w:color w:val="000000"/>
                <w:sz w:val="16"/>
                <w:szCs w:val="16"/>
              </w:rPr>
              <w:t>tato</w:t>
            </w:r>
            <w:proofErr w:type="gramEnd"/>
            <w:r w:rsidR="00DC472A">
              <w:rPr>
                <w:color w:val="000000"/>
                <w:sz w:val="16"/>
                <w:szCs w:val="16"/>
              </w:rPr>
              <w:t xml:space="preserve"> skutečnost se </w:t>
            </w:r>
            <w:r>
              <w:rPr>
                <w:color w:val="000000"/>
                <w:sz w:val="16"/>
                <w:szCs w:val="16"/>
              </w:rPr>
              <w:t xml:space="preserve">projevuje i v saldu s nerezidenty </w:t>
            </w:r>
          </w:p>
          <w:p w:rsidR="0008794F" w:rsidRPr="00602D1D" w:rsidRDefault="0008794F" w:rsidP="006A0A8D">
            <w:pPr>
              <w:spacing w:line="240" w:lineRule="auto"/>
              <w:rPr>
                <w:color w:val="000000"/>
                <w:sz w:val="16"/>
                <w:szCs w:val="16"/>
              </w:rPr>
            </w:pPr>
          </w:p>
        </w:tc>
        <w:tc>
          <w:tcPr>
            <w:tcW w:w="139" w:type="pct"/>
          </w:tcPr>
          <w:p w:rsidR="0008794F" w:rsidRDefault="0008794F" w:rsidP="006A0A8D">
            <w:pPr>
              <w:pStyle w:val="Textpoznpodarou"/>
              <w:jc w:val="both"/>
            </w:pPr>
          </w:p>
        </w:tc>
        <w:tc>
          <w:tcPr>
            <w:tcW w:w="3819" w:type="pct"/>
          </w:tcPr>
          <w:p w:rsidR="0008794F" w:rsidRDefault="0008794F" w:rsidP="006A0A8D">
            <w:pPr>
              <w:pStyle w:val="Textpoznpodarou"/>
              <w:jc w:val="both"/>
              <w:rPr>
                <w:color w:val="000000"/>
                <w:spacing w:val="-6"/>
              </w:rPr>
            </w:pPr>
            <w:r>
              <w:rPr>
                <w:color w:val="000000"/>
                <w:spacing w:val="-6"/>
              </w:rPr>
              <w:t>Dovoz zboží a služeb stoupl nejvíce v případě České republiky. Lze soudit, že oproti Slovensku je dovozně</w:t>
            </w:r>
            <w:r w:rsidR="00DC472A">
              <w:rPr>
                <w:color w:val="000000"/>
                <w:spacing w:val="-6"/>
              </w:rPr>
              <w:t>-</w:t>
            </w:r>
            <w:r>
              <w:rPr>
                <w:color w:val="000000"/>
                <w:spacing w:val="-6"/>
              </w:rPr>
              <w:t>vývozní orientace ČR ješt</w:t>
            </w:r>
            <w:r w:rsidR="00DC472A">
              <w:rPr>
                <w:color w:val="000000"/>
                <w:spacing w:val="-6"/>
              </w:rPr>
              <w:t>ě vyšší, stejně jako je zřejmě</w:t>
            </w:r>
            <w:r>
              <w:rPr>
                <w:color w:val="000000"/>
                <w:spacing w:val="-6"/>
              </w:rPr>
              <w:t xml:space="preserve"> vyšší </w:t>
            </w:r>
            <w:r w:rsidR="00DC472A">
              <w:rPr>
                <w:color w:val="000000"/>
                <w:spacing w:val="-6"/>
              </w:rPr>
              <w:t xml:space="preserve">i </w:t>
            </w:r>
            <w:r>
              <w:rPr>
                <w:color w:val="000000"/>
                <w:spacing w:val="-6"/>
              </w:rPr>
              <w:t xml:space="preserve">podíl firem pod zahraniční kontrolou v ekonomice ČR.  </w:t>
            </w:r>
            <w:r w:rsidR="00DC472A">
              <w:rPr>
                <w:color w:val="000000"/>
                <w:spacing w:val="-6"/>
              </w:rPr>
              <w:t xml:space="preserve">Hovoří pro to skutečnost, </w:t>
            </w:r>
            <w:r>
              <w:rPr>
                <w:color w:val="000000"/>
                <w:spacing w:val="-6"/>
              </w:rPr>
              <w:t>že intenzita vztahů s nerezidenty je v případě České republiky silnější, což se projevuje v</w:t>
            </w:r>
            <w:r w:rsidR="00DC472A">
              <w:rPr>
                <w:color w:val="000000"/>
                <w:spacing w:val="-6"/>
              </w:rPr>
              <w:t>e větším</w:t>
            </w:r>
            <w:r>
              <w:rPr>
                <w:color w:val="000000"/>
                <w:spacing w:val="-6"/>
              </w:rPr>
              <w:t xml:space="preserve"> přelévání (odlivu) prvotních dů</w:t>
            </w:r>
            <w:r w:rsidR="00E62585">
              <w:rPr>
                <w:color w:val="000000"/>
                <w:spacing w:val="-6"/>
              </w:rPr>
              <w:t>ch</w:t>
            </w:r>
            <w:r>
              <w:rPr>
                <w:color w:val="000000"/>
                <w:spacing w:val="-6"/>
              </w:rPr>
              <w:t>odů (dividendy, „mzdové“ sa</w:t>
            </w:r>
            <w:r w:rsidR="00E62585">
              <w:rPr>
                <w:color w:val="000000"/>
                <w:spacing w:val="-6"/>
              </w:rPr>
              <w:t>ldo mezi náhradami zaměstnanců-</w:t>
            </w:r>
            <w:r>
              <w:rPr>
                <w:color w:val="000000"/>
                <w:spacing w:val="-6"/>
              </w:rPr>
              <w:t xml:space="preserve">rezidentů v zahraničí a zahraničních pracovníků-nerezidentů v České republice). </w:t>
            </w:r>
            <w:r w:rsidRPr="00997EEB">
              <w:rPr>
                <w:color w:val="000000"/>
                <w:spacing w:val="-6"/>
              </w:rPr>
              <w:t xml:space="preserve"> </w:t>
            </w:r>
          </w:p>
          <w:p w:rsidR="0008794F" w:rsidRPr="0051032E" w:rsidRDefault="0008794F" w:rsidP="006A0A8D">
            <w:pPr>
              <w:pStyle w:val="Textpoznpodarou"/>
              <w:jc w:val="both"/>
              <w:rPr>
                <w:color w:val="000000"/>
                <w:spacing w:val="-6"/>
                <w:sz w:val="12"/>
                <w:szCs w:val="12"/>
              </w:rPr>
            </w:pPr>
          </w:p>
          <w:p w:rsidR="0008794F" w:rsidRDefault="0008794F" w:rsidP="006A0A8D">
            <w:pPr>
              <w:pStyle w:val="Textpoznpodarou"/>
              <w:jc w:val="both"/>
              <w:rPr>
                <w:color w:val="000000"/>
                <w:spacing w:val="-6"/>
              </w:rPr>
            </w:pPr>
            <w:r>
              <w:rPr>
                <w:color w:val="000000"/>
                <w:spacing w:val="-6"/>
              </w:rPr>
              <w:t xml:space="preserve">Saldo s nerezidenty má totiž ČR již dlouhou dobu podstatně vyšší než SR, to jak absolutně, což </w:t>
            </w:r>
            <w:r w:rsidR="00DC472A">
              <w:rPr>
                <w:color w:val="000000"/>
                <w:spacing w:val="-6"/>
              </w:rPr>
              <w:t>lze</w:t>
            </w:r>
            <w:r>
              <w:rPr>
                <w:color w:val="000000"/>
                <w:spacing w:val="-6"/>
              </w:rPr>
              <w:t xml:space="preserve"> zdůvodnit větší velikostí ekonomiky, tak ale i relativně. V roce 2014 bylo saldo </w:t>
            </w:r>
            <w:r w:rsidR="00DC472A">
              <w:rPr>
                <w:color w:val="000000"/>
                <w:spacing w:val="-6"/>
              </w:rPr>
              <w:t xml:space="preserve">České republiky </w:t>
            </w:r>
            <w:r>
              <w:rPr>
                <w:color w:val="000000"/>
                <w:spacing w:val="-6"/>
              </w:rPr>
              <w:t xml:space="preserve">s nerezidenty záporné ve výši 10,46 mld. eur, na Slovensku ve výši 2,36 mld. eur. </w:t>
            </w:r>
          </w:p>
          <w:p w:rsidR="0008794F" w:rsidRPr="0051032E" w:rsidRDefault="0008794F" w:rsidP="006A0A8D">
            <w:pPr>
              <w:pStyle w:val="Textpoznpodarou"/>
              <w:jc w:val="both"/>
              <w:rPr>
                <w:color w:val="000000"/>
                <w:spacing w:val="-6"/>
                <w:sz w:val="12"/>
                <w:szCs w:val="12"/>
              </w:rPr>
            </w:pPr>
          </w:p>
          <w:p w:rsidR="0008794F" w:rsidRPr="003D78A5" w:rsidRDefault="0008794F" w:rsidP="008E1A5A">
            <w:pPr>
              <w:pStyle w:val="Textpoznpodarou"/>
              <w:jc w:val="both"/>
              <w:rPr>
                <w:color w:val="000000"/>
                <w:spacing w:val="-6"/>
              </w:rPr>
            </w:pPr>
            <w:r>
              <w:rPr>
                <w:color w:val="000000"/>
                <w:spacing w:val="-6"/>
              </w:rPr>
              <w:t xml:space="preserve">Česká ekonomika je tedy v daleko větší míře ekonomikou „exportně-dovozního typu“ než Slovensko nebo Rakousko a její </w:t>
            </w:r>
            <w:proofErr w:type="spellStart"/>
            <w:r>
              <w:rPr>
                <w:color w:val="000000"/>
                <w:spacing w:val="-6"/>
              </w:rPr>
              <w:t>přepracovatelský</w:t>
            </w:r>
            <w:proofErr w:type="spellEnd"/>
            <w:r>
              <w:rPr>
                <w:color w:val="000000"/>
                <w:spacing w:val="-6"/>
              </w:rPr>
              <w:t xml:space="preserve"> charakter v kombinaci s významnou vahou firem zahraničních investorů v ekonomice ČR je tím také zřetelnější.  </w:t>
            </w:r>
          </w:p>
        </w:tc>
      </w:tr>
    </w:tbl>
    <w:p w:rsidR="0008794F" w:rsidRDefault="0008794F" w:rsidP="00D34225"/>
    <w:p w:rsidR="00AE1A78" w:rsidRDefault="00AE1A78" w:rsidP="00D34225"/>
    <w:tbl>
      <w:tblPr>
        <w:tblW w:w="5000" w:type="pct"/>
        <w:tblLayout w:type="fixed"/>
        <w:tblCellMar>
          <w:left w:w="28" w:type="dxa"/>
          <w:right w:w="28" w:type="dxa"/>
        </w:tblCellMar>
        <w:tblLook w:val="00A0"/>
      </w:tblPr>
      <w:tblGrid>
        <w:gridCol w:w="827"/>
        <w:gridCol w:w="3963"/>
        <w:gridCol w:w="838"/>
        <w:gridCol w:w="4066"/>
      </w:tblGrid>
      <w:tr w:rsidR="0008794F" w:rsidRPr="00817C98" w:rsidTr="006A0A8D">
        <w:tc>
          <w:tcPr>
            <w:tcW w:w="427" w:type="pct"/>
          </w:tcPr>
          <w:p w:rsidR="0008794F" w:rsidRDefault="0008794F" w:rsidP="006A0A8D">
            <w:pPr>
              <w:spacing w:line="240" w:lineRule="auto"/>
            </w:pPr>
            <w:r>
              <w:lastRenderedPageBreak/>
              <w:t>Graf 30</w:t>
            </w:r>
          </w:p>
        </w:tc>
        <w:tc>
          <w:tcPr>
            <w:tcW w:w="2044" w:type="pct"/>
          </w:tcPr>
          <w:p w:rsidR="0008794F" w:rsidRDefault="0008794F" w:rsidP="006A0A8D">
            <w:pPr>
              <w:pStyle w:val="Textpoznpodarou"/>
              <w:rPr>
                <w:rFonts w:cs="Arial"/>
                <w:szCs w:val="24"/>
              </w:rPr>
            </w:pPr>
            <w:r>
              <w:rPr>
                <w:rFonts w:cs="Arial"/>
                <w:b/>
                <w:bCs/>
              </w:rPr>
              <w:t xml:space="preserve">Vývoz </w:t>
            </w:r>
            <w:proofErr w:type="gramStart"/>
            <w:r>
              <w:rPr>
                <w:rFonts w:cs="Arial"/>
                <w:b/>
                <w:bCs/>
              </w:rPr>
              <w:t>zboží</w:t>
            </w:r>
            <w:r>
              <w:rPr>
                <w:rFonts w:cs="Arial"/>
                <w:bCs/>
              </w:rPr>
              <w:t xml:space="preserve">  (1998=100</w:t>
            </w:r>
            <w:proofErr w:type="gramEnd"/>
            <w:r>
              <w:rPr>
                <w:rFonts w:cs="Arial"/>
                <w:bCs/>
              </w:rPr>
              <w:t>)</w:t>
            </w:r>
          </w:p>
        </w:tc>
        <w:tc>
          <w:tcPr>
            <w:tcW w:w="432" w:type="pct"/>
          </w:tcPr>
          <w:p w:rsidR="0008794F" w:rsidRDefault="0008794F" w:rsidP="006A0A8D">
            <w:pPr>
              <w:spacing w:line="240" w:lineRule="auto"/>
            </w:pPr>
            <w:r>
              <w:t>Graf 31</w:t>
            </w:r>
          </w:p>
        </w:tc>
        <w:tc>
          <w:tcPr>
            <w:tcW w:w="2097" w:type="pct"/>
          </w:tcPr>
          <w:p w:rsidR="0008794F" w:rsidRPr="00817C98" w:rsidRDefault="0008794F" w:rsidP="006A0A8D">
            <w:pPr>
              <w:spacing w:line="240" w:lineRule="auto"/>
              <w:rPr>
                <w:rFonts w:cs="Arial"/>
                <w:b/>
                <w:bCs/>
              </w:rPr>
            </w:pPr>
            <w:proofErr w:type="gramStart"/>
            <w:r>
              <w:rPr>
                <w:rFonts w:cs="Arial"/>
                <w:b/>
                <w:bCs/>
              </w:rPr>
              <w:t>Vývoz  služeb</w:t>
            </w:r>
            <w:proofErr w:type="gramEnd"/>
            <w:r>
              <w:rPr>
                <w:rFonts w:cs="Arial"/>
                <w:bCs/>
              </w:rPr>
              <w:t xml:space="preserve">  (1998=100) </w:t>
            </w:r>
          </w:p>
        </w:tc>
      </w:tr>
      <w:tr w:rsidR="0008794F" w:rsidRPr="00C81DE5" w:rsidTr="006A0A8D">
        <w:tc>
          <w:tcPr>
            <w:tcW w:w="2471" w:type="pct"/>
            <w:gridSpan w:val="2"/>
          </w:tcPr>
          <w:p w:rsidR="0008794F" w:rsidRPr="00313694" w:rsidRDefault="00306F79" w:rsidP="00854536">
            <w:pPr>
              <w:pStyle w:val="Textpoznpodarou"/>
              <w:jc w:val="both"/>
              <w:rPr>
                <w:noProof/>
              </w:rPr>
            </w:pPr>
            <w:r>
              <w:rPr>
                <w:noProof/>
              </w:rPr>
              <w:pict>
                <v:shape id="_x0000_i1054" type="#_x0000_t75" style="width:237pt;height:203.25pt">
                  <v:imagedata r:id="rId42" o:title=""/>
                </v:shape>
              </w:pict>
            </w:r>
          </w:p>
        </w:tc>
        <w:tc>
          <w:tcPr>
            <w:tcW w:w="2529" w:type="pct"/>
            <w:gridSpan w:val="2"/>
          </w:tcPr>
          <w:p w:rsidR="0008794F" w:rsidRPr="00313694" w:rsidRDefault="00306F79" w:rsidP="006A0A8D">
            <w:pPr>
              <w:pStyle w:val="Textpoznpodarou"/>
              <w:jc w:val="both"/>
            </w:pPr>
            <w:r>
              <w:pict>
                <v:shape id="_x0000_i1055" type="#_x0000_t75" style="width:242.25pt;height:203.25pt">
                  <v:imagedata r:id="rId43" o:title=""/>
                </v:shape>
              </w:pict>
            </w:r>
          </w:p>
        </w:tc>
      </w:tr>
    </w:tbl>
    <w:p w:rsidR="0008794F" w:rsidRPr="00D31866" w:rsidRDefault="0008794F" w:rsidP="00854536">
      <w:pPr>
        <w:jc w:val="right"/>
      </w:pPr>
      <w:r w:rsidRPr="00A14EDC">
        <w:rPr>
          <w:sz w:val="18"/>
          <w:szCs w:val="18"/>
        </w:rPr>
        <w:t xml:space="preserve">Pramen: </w:t>
      </w:r>
      <w:proofErr w:type="spellStart"/>
      <w:proofErr w:type="gramStart"/>
      <w:r w:rsidRPr="00A14EDC">
        <w:rPr>
          <w:sz w:val="18"/>
          <w:szCs w:val="18"/>
        </w:rPr>
        <w:t>Eurostat</w:t>
      </w:r>
      <w:proofErr w:type="spellEnd"/>
      <w:r>
        <w:rPr>
          <w:sz w:val="18"/>
          <w:szCs w:val="18"/>
        </w:rPr>
        <w:t>,vlastní</w:t>
      </w:r>
      <w:proofErr w:type="gramEnd"/>
      <w:r>
        <w:rPr>
          <w:sz w:val="18"/>
          <w:szCs w:val="18"/>
        </w:rPr>
        <w:t xml:space="preserve"> propočty</w:t>
      </w:r>
    </w:p>
    <w:p w:rsidR="0008794F" w:rsidRDefault="0008794F" w:rsidP="00854536">
      <w:pPr>
        <w:jc w:val="right"/>
      </w:pPr>
    </w:p>
    <w:tbl>
      <w:tblPr>
        <w:tblW w:w="5043" w:type="pct"/>
        <w:tblInd w:w="-42" w:type="dxa"/>
        <w:tblCellMar>
          <w:left w:w="28" w:type="dxa"/>
          <w:right w:w="28" w:type="dxa"/>
        </w:tblCellMar>
        <w:tblLook w:val="00A0"/>
      </w:tblPr>
      <w:tblGrid>
        <w:gridCol w:w="2037"/>
        <w:gridCol w:w="272"/>
        <w:gridCol w:w="7468"/>
      </w:tblGrid>
      <w:tr w:rsidR="0008794F" w:rsidRPr="003D78A5" w:rsidTr="006A0A8D">
        <w:tc>
          <w:tcPr>
            <w:tcW w:w="1042" w:type="pct"/>
          </w:tcPr>
          <w:p w:rsidR="0008794F" w:rsidRPr="00602D1D" w:rsidRDefault="0008794F" w:rsidP="006A0A8D">
            <w:pPr>
              <w:spacing w:line="240" w:lineRule="auto"/>
              <w:rPr>
                <w:color w:val="000000"/>
                <w:sz w:val="16"/>
                <w:szCs w:val="16"/>
              </w:rPr>
            </w:pPr>
            <w:r>
              <w:rPr>
                <w:color w:val="000000"/>
                <w:sz w:val="16"/>
                <w:szCs w:val="16"/>
              </w:rPr>
              <w:t>Proporce v obchodu se zbožím a službami dokládají, že ČR ani SR dosud „ekonomikami služeb“ nejsou</w:t>
            </w:r>
          </w:p>
        </w:tc>
        <w:tc>
          <w:tcPr>
            <w:tcW w:w="139" w:type="pct"/>
          </w:tcPr>
          <w:p w:rsidR="0008794F" w:rsidRDefault="0008794F" w:rsidP="006A0A8D">
            <w:pPr>
              <w:pStyle w:val="Textpoznpodarou"/>
              <w:jc w:val="both"/>
            </w:pPr>
          </w:p>
        </w:tc>
        <w:tc>
          <w:tcPr>
            <w:tcW w:w="3819" w:type="pct"/>
          </w:tcPr>
          <w:p w:rsidR="0008794F" w:rsidRPr="003D78A5" w:rsidRDefault="0008794F" w:rsidP="000434EF">
            <w:pPr>
              <w:pStyle w:val="Textpoznpodarou"/>
              <w:jc w:val="both"/>
              <w:rPr>
                <w:color w:val="000000"/>
                <w:spacing w:val="-6"/>
              </w:rPr>
            </w:pPr>
            <w:r>
              <w:rPr>
                <w:color w:val="000000"/>
                <w:spacing w:val="-6"/>
              </w:rPr>
              <w:t xml:space="preserve">ČR ani Slovensko „ekonomikami služeb“ nejsou. Alespoň co se týká zahraničního obchodu s nimi. </w:t>
            </w:r>
            <w:r w:rsidR="000434EF">
              <w:rPr>
                <w:color w:val="000000"/>
                <w:spacing w:val="-6"/>
              </w:rPr>
              <w:t>Pokud jde o export, g</w:t>
            </w:r>
            <w:r>
              <w:rPr>
                <w:color w:val="000000"/>
                <w:spacing w:val="-6"/>
              </w:rPr>
              <w:t>rafy 30-33 dokazují, že ekonomiky ČR a SR</w:t>
            </w:r>
            <w:r w:rsidR="000434EF">
              <w:rPr>
                <w:color w:val="000000"/>
                <w:spacing w:val="-6"/>
              </w:rPr>
              <w:t xml:space="preserve"> </w:t>
            </w:r>
            <w:r w:rsidR="00DC472A">
              <w:rPr>
                <w:color w:val="000000"/>
                <w:spacing w:val="-6"/>
              </w:rPr>
              <w:t>se</w:t>
            </w:r>
            <w:r>
              <w:rPr>
                <w:color w:val="000000"/>
                <w:spacing w:val="-6"/>
              </w:rPr>
              <w:t xml:space="preserve"> orient</w:t>
            </w:r>
            <w:r w:rsidR="00DC472A">
              <w:rPr>
                <w:color w:val="000000"/>
                <w:spacing w:val="-6"/>
              </w:rPr>
              <w:t>ují</w:t>
            </w:r>
            <w:r>
              <w:rPr>
                <w:color w:val="000000"/>
                <w:spacing w:val="-6"/>
              </w:rPr>
              <w:t xml:space="preserve"> především „zbožově“. Vývozy služeb z obou zemí rostou výrazně méně, než je tomu v případě Rakouska anebo zejména </w:t>
            </w:r>
            <w:r w:rsidR="00DC472A">
              <w:rPr>
                <w:color w:val="000000"/>
                <w:spacing w:val="-6"/>
              </w:rPr>
              <w:t>u</w:t>
            </w:r>
            <w:r>
              <w:rPr>
                <w:color w:val="000000"/>
                <w:spacing w:val="-6"/>
              </w:rPr>
              <w:t xml:space="preserve"> exportu služeb za EU jako celek. </w:t>
            </w:r>
            <w:r w:rsidRPr="00997EEB">
              <w:rPr>
                <w:color w:val="000000"/>
                <w:spacing w:val="-6"/>
              </w:rPr>
              <w:t xml:space="preserve"> </w:t>
            </w:r>
          </w:p>
        </w:tc>
      </w:tr>
    </w:tbl>
    <w:p w:rsidR="0008794F" w:rsidRDefault="0008794F" w:rsidP="00D34225"/>
    <w:tbl>
      <w:tblPr>
        <w:tblW w:w="5000" w:type="pct"/>
        <w:tblLayout w:type="fixed"/>
        <w:tblCellMar>
          <w:left w:w="28" w:type="dxa"/>
          <w:right w:w="28" w:type="dxa"/>
        </w:tblCellMar>
        <w:tblLook w:val="00A0"/>
      </w:tblPr>
      <w:tblGrid>
        <w:gridCol w:w="827"/>
        <w:gridCol w:w="3963"/>
        <w:gridCol w:w="838"/>
        <w:gridCol w:w="4066"/>
      </w:tblGrid>
      <w:tr w:rsidR="0008794F" w:rsidRPr="00817C98" w:rsidTr="006A0A8D">
        <w:tc>
          <w:tcPr>
            <w:tcW w:w="427" w:type="pct"/>
          </w:tcPr>
          <w:p w:rsidR="0008794F" w:rsidRDefault="0008794F" w:rsidP="006A0A8D">
            <w:pPr>
              <w:spacing w:line="240" w:lineRule="auto"/>
            </w:pPr>
            <w:r>
              <w:t>Graf 32</w:t>
            </w:r>
          </w:p>
        </w:tc>
        <w:tc>
          <w:tcPr>
            <w:tcW w:w="2044" w:type="pct"/>
          </w:tcPr>
          <w:p w:rsidR="0008794F" w:rsidRDefault="0008794F" w:rsidP="006A0A8D">
            <w:pPr>
              <w:pStyle w:val="Textpoznpodarou"/>
              <w:rPr>
                <w:rFonts w:cs="Arial"/>
                <w:szCs w:val="24"/>
              </w:rPr>
            </w:pPr>
            <w:r>
              <w:rPr>
                <w:rFonts w:cs="Arial"/>
                <w:b/>
                <w:bCs/>
              </w:rPr>
              <w:t>Dovoz zboží</w:t>
            </w:r>
            <w:r>
              <w:rPr>
                <w:rFonts w:cs="Arial"/>
                <w:bCs/>
              </w:rPr>
              <w:t xml:space="preserve"> (1998=100) </w:t>
            </w:r>
          </w:p>
        </w:tc>
        <w:tc>
          <w:tcPr>
            <w:tcW w:w="432" w:type="pct"/>
          </w:tcPr>
          <w:p w:rsidR="0008794F" w:rsidRDefault="0008794F" w:rsidP="006A0A8D">
            <w:pPr>
              <w:spacing w:line="240" w:lineRule="auto"/>
            </w:pPr>
            <w:r>
              <w:t>Graf 33</w:t>
            </w:r>
          </w:p>
        </w:tc>
        <w:tc>
          <w:tcPr>
            <w:tcW w:w="2097" w:type="pct"/>
          </w:tcPr>
          <w:p w:rsidR="0008794F" w:rsidRPr="00817C98" w:rsidRDefault="0008794F" w:rsidP="006A0A8D">
            <w:pPr>
              <w:spacing w:line="240" w:lineRule="auto"/>
              <w:rPr>
                <w:rFonts w:cs="Arial"/>
                <w:b/>
                <w:bCs/>
              </w:rPr>
            </w:pPr>
            <w:r>
              <w:rPr>
                <w:rFonts w:cs="Arial"/>
                <w:b/>
                <w:bCs/>
              </w:rPr>
              <w:t>Dovoz služeb</w:t>
            </w:r>
            <w:r>
              <w:rPr>
                <w:rFonts w:cs="Arial"/>
                <w:bCs/>
              </w:rPr>
              <w:t xml:space="preserve"> (1998=100) </w:t>
            </w:r>
          </w:p>
        </w:tc>
      </w:tr>
      <w:tr w:rsidR="0008794F" w:rsidRPr="00C81DE5" w:rsidTr="006A0A8D">
        <w:tc>
          <w:tcPr>
            <w:tcW w:w="2471" w:type="pct"/>
            <w:gridSpan w:val="2"/>
          </w:tcPr>
          <w:p w:rsidR="0008794F" w:rsidRPr="00313694" w:rsidRDefault="00306F79" w:rsidP="006A0A8D">
            <w:pPr>
              <w:pStyle w:val="Textpoznpodarou"/>
              <w:jc w:val="both"/>
              <w:rPr>
                <w:noProof/>
              </w:rPr>
            </w:pPr>
            <w:r>
              <w:rPr>
                <w:noProof/>
              </w:rPr>
              <w:pict>
                <v:shape id="_x0000_i1056" type="#_x0000_t75" style="width:235.5pt;height:207pt">
                  <v:imagedata r:id="rId44" o:title=""/>
                </v:shape>
              </w:pict>
            </w:r>
          </w:p>
        </w:tc>
        <w:tc>
          <w:tcPr>
            <w:tcW w:w="2529" w:type="pct"/>
            <w:gridSpan w:val="2"/>
          </w:tcPr>
          <w:p w:rsidR="0008794F" w:rsidRPr="00313694" w:rsidRDefault="00306F79" w:rsidP="006A0A8D">
            <w:pPr>
              <w:pStyle w:val="Textpoznpodarou"/>
              <w:jc w:val="both"/>
            </w:pPr>
            <w:r>
              <w:pict>
                <v:shape id="_x0000_i1057" type="#_x0000_t75" style="width:241.5pt;height:207.75pt">
                  <v:imagedata r:id="rId45" o:title=""/>
                </v:shape>
              </w:pict>
            </w:r>
          </w:p>
        </w:tc>
      </w:tr>
    </w:tbl>
    <w:p w:rsidR="0008794F" w:rsidRDefault="0008794F" w:rsidP="00385839">
      <w:pPr>
        <w:jc w:val="right"/>
        <w:rPr>
          <w:sz w:val="18"/>
          <w:szCs w:val="18"/>
        </w:rPr>
      </w:pPr>
      <w:r w:rsidRPr="00A14EDC">
        <w:rPr>
          <w:sz w:val="18"/>
          <w:szCs w:val="18"/>
        </w:rPr>
        <w:t xml:space="preserve">Pramen: </w:t>
      </w:r>
      <w:proofErr w:type="spellStart"/>
      <w:r w:rsidRPr="00A14EDC">
        <w:rPr>
          <w:sz w:val="18"/>
          <w:szCs w:val="18"/>
        </w:rPr>
        <w:t>Eurostat</w:t>
      </w:r>
      <w:proofErr w:type="spellEnd"/>
      <w:r>
        <w:rPr>
          <w:sz w:val="18"/>
          <w:szCs w:val="18"/>
        </w:rPr>
        <w:t>, vlastní propočty</w:t>
      </w:r>
    </w:p>
    <w:p w:rsidR="0008794F" w:rsidRDefault="0008794F" w:rsidP="00385839">
      <w:pPr>
        <w:jc w:val="right"/>
      </w:pPr>
    </w:p>
    <w:p w:rsidR="0008794F" w:rsidRPr="0051032E" w:rsidRDefault="0008794F" w:rsidP="00D34225">
      <w:pPr>
        <w:rPr>
          <w:sz w:val="12"/>
          <w:szCs w:val="12"/>
        </w:rPr>
      </w:pPr>
    </w:p>
    <w:p w:rsidR="00C91671" w:rsidRPr="0051032E" w:rsidRDefault="00C91671" w:rsidP="00C91671">
      <w:pPr>
        <w:rPr>
          <w:b/>
          <w:sz w:val="24"/>
        </w:rPr>
      </w:pPr>
      <w:r w:rsidRPr="0051032E">
        <w:rPr>
          <w:b/>
          <w:sz w:val="24"/>
        </w:rPr>
        <w:t>4.1.2. Vývoj struktury výdajové strany v každé ze sledovaných zemí</w:t>
      </w:r>
    </w:p>
    <w:p w:rsidR="00C91671" w:rsidRPr="00C91671" w:rsidRDefault="00C91671" w:rsidP="00C91671">
      <w:pPr>
        <w:rPr>
          <w:sz w:val="12"/>
          <w:szCs w:val="12"/>
        </w:rPr>
      </w:pPr>
    </w:p>
    <w:tbl>
      <w:tblPr>
        <w:tblW w:w="5043" w:type="pct"/>
        <w:tblInd w:w="-42" w:type="dxa"/>
        <w:tblCellMar>
          <w:left w:w="28" w:type="dxa"/>
          <w:right w:w="28" w:type="dxa"/>
        </w:tblCellMar>
        <w:tblLook w:val="00A0"/>
      </w:tblPr>
      <w:tblGrid>
        <w:gridCol w:w="2037"/>
        <w:gridCol w:w="272"/>
        <w:gridCol w:w="7468"/>
      </w:tblGrid>
      <w:tr w:rsidR="00C91671" w:rsidRPr="003D78A5" w:rsidTr="00541E59">
        <w:tc>
          <w:tcPr>
            <w:tcW w:w="1042" w:type="pct"/>
          </w:tcPr>
          <w:p w:rsidR="00C91671" w:rsidRPr="00602D1D" w:rsidRDefault="00C91671" w:rsidP="00541E59">
            <w:pPr>
              <w:spacing w:line="240" w:lineRule="auto"/>
              <w:rPr>
                <w:color w:val="000000"/>
                <w:sz w:val="16"/>
                <w:szCs w:val="16"/>
              </w:rPr>
            </w:pPr>
            <w:r>
              <w:rPr>
                <w:color w:val="000000"/>
                <w:sz w:val="16"/>
                <w:szCs w:val="16"/>
              </w:rPr>
              <w:t>Zahraniční obchod, výdaje domácností či vládních institucí na konečnou spotřebu a vývoj fixních investic v letech 1998-2014 podle jednotlivých zemí</w:t>
            </w:r>
          </w:p>
        </w:tc>
        <w:tc>
          <w:tcPr>
            <w:tcW w:w="139" w:type="pct"/>
          </w:tcPr>
          <w:p w:rsidR="00C91671" w:rsidRDefault="00C91671" w:rsidP="00541E59">
            <w:pPr>
              <w:pStyle w:val="Textpoznpodarou"/>
              <w:jc w:val="both"/>
            </w:pPr>
          </w:p>
        </w:tc>
        <w:tc>
          <w:tcPr>
            <w:tcW w:w="3819" w:type="pct"/>
          </w:tcPr>
          <w:p w:rsidR="00C91671" w:rsidRDefault="00C91671" w:rsidP="00541E59">
            <w:pPr>
              <w:pStyle w:val="Textpoznpodarou"/>
              <w:jc w:val="both"/>
              <w:rPr>
                <w:color w:val="000000"/>
                <w:spacing w:val="-6"/>
              </w:rPr>
            </w:pPr>
            <w:r>
              <w:rPr>
                <w:color w:val="000000"/>
                <w:spacing w:val="-6"/>
              </w:rPr>
              <w:t xml:space="preserve">V předchozí </w:t>
            </w:r>
            <w:proofErr w:type="spellStart"/>
            <w:r>
              <w:rPr>
                <w:color w:val="000000"/>
                <w:spacing w:val="-6"/>
              </w:rPr>
              <w:t>subkapitole</w:t>
            </w:r>
            <w:proofErr w:type="spellEnd"/>
            <w:r>
              <w:rPr>
                <w:color w:val="000000"/>
                <w:spacing w:val="-6"/>
              </w:rPr>
              <w:t xml:space="preserve"> jsme porovnávali ekonomiky Č</w:t>
            </w:r>
            <w:r w:rsidR="00DB18D9">
              <w:rPr>
                <w:color w:val="000000"/>
                <w:spacing w:val="-6"/>
              </w:rPr>
              <w:t>eské republiky,</w:t>
            </w:r>
            <w:r>
              <w:rPr>
                <w:color w:val="000000"/>
                <w:spacing w:val="-6"/>
              </w:rPr>
              <w:t xml:space="preserve"> Slovenska a Rakouska (resp. pro orientaci i vývoj za EU 28 jako celek) tak, že každá složka poptávkové strany HDP ukazovala, jak si v jejím vývoji za roky 1998-2014 stojí jednotlivé sledované země. Následující skupina grafů se zabývá rovněž výdaji na HDP, ovšem právě podle zemí. </w:t>
            </w:r>
          </w:p>
          <w:p w:rsidR="00C91671" w:rsidRPr="00E65FE2" w:rsidRDefault="00C91671" w:rsidP="00541E59">
            <w:pPr>
              <w:pStyle w:val="Textpoznpodarou"/>
              <w:jc w:val="both"/>
              <w:rPr>
                <w:color w:val="000000"/>
                <w:spacing w:val="-6"/>
                <w:sz w:val="12"/>
                <w:szCs w:val="12"/>
              </w:rPr>
            </w:pPr>
          </w:p>
          <w:p w:rsidR="00C91671" w:rsidRPr="003D78A5" w:rsidRDefault="00C91671" w:rsidP="00541E59">
            <w:pPr>
              <w:pStyle w:val="Textpoznpodarou"/>
              <w:jc w:val="both"/>
              <w:rPr>
                <w:color w:val="000000"/>
                <w:spacing w:val="-6"/>
              </w:rPr>
            </w:pPr>
            <w:r>
              <w:rPr>
                <w:color w:val="000000"/>
                <w:spacing w:val="-6"/>
              </w:rPr>
              <w:t>Z grafů 34-37 je patrná skutečnost, ve které fázi se nacházely ekonomiky ČR a SR na počátku sledovaného období oproti fázi ekonomiky Rakouska a také oproti průměru za EU 28 jako celek. Zřetelné jsou zejména růsty zahraničního obchodu u všech zemí. Je z nich patrný i vývoj čistého exportu v jednotlivých zemích a tedy jeho potenciální vliv na dynamiku HDP.</w:t>
            </w:r>
          </w:p>
        </w:tc>
      </w:tr>
    </w:tbl>
    <w:p w:rsidR="00C91671" w:rsidRPr="006F12A8" w:rsidRDefault="00C91671" w:rsidP="00C91671">
      <w:pPr>
        <w:rPr>
          <w:sz w:val="12"/>
          <w:szCs w:val="12"/>
        </w:rPr>
      </w:pPr>
    </w:p>
    <w:p w:rsidR="00F80B71" w:rsidRDefault="00F80B71" w:rsidP="00C91671">
      <w:pPr>
        <w:rPr>
          <w:b/>
        </w:rPr>
      </w:pPr>
    </w:p>
    <w:p w:rsidR="00C91671" w:rsidRDefault="00C91671" w:rsidP="000677C9">
      <w:pPr>
        <w:spacing w:line="240" w:lineRule="auto"/>
      </w:pPr>
      <w:r>
        <w:rPr>
          <w:b/>
        </w:rPr>
        <w:t>Graf</w:t>
      </w:r>
      <w:r w:rsidR="00F80B71">
        <w:rPr>
          <w:b/>
        </w:rPr>
        <w:t>y</w:t>
      </w:r>
      <w:r>
        <w:rPr>
          <w:b/>
        </w:rPr>
        <w:t xml:space="preserve"> 34</w:t>
      </w:r>
      <w:r w:rsidR="00F80B71">
        <w:rPr>
          <w:b/>
        </w:rPr>
        <w:t>-37</w:t>
      </w:r>
      <w:r>
        <w:rPr>
          <w:b/>
        </w:rPr>
        <w:t>:</w:t>
      </w:r>
      <w:r w:rsidR="00F80B71">
        <w:rPr>
          <w:b/>
        </w:rPr>
        <w:t xml:space="preserve"> V</w:t>
      </w:r>
      <w:r w:rsidRPr="00CD1484">
        <w:rPr>
          <w:b/>
        </w:rPr>
        <w:t xml:space="preserve">ývoj struktury výdajové strany </w:t>
      </w:r>
      <w:r w:rsidRPr="00E72D50">
        <w:rPr>
          <w:b/>
        </w:rPr>
        <w:t xml:space="preserve">HDP </w:t>
      </w:r>
      <w:r w:rsidR="00E72D50" w:rsidRPr="00E72D50">
        <w:rPr>
          <w:b/>
        </w:rPr>
        <w:t>podle jednotlivých položek výdajů na konečnou spotřebu domácností a vlády, fixních investic, exportu a importu zboží a služeb</w:t>
      </w:r>
      <w:r w:rsidR="00E72D50">
        <w:t xml:space="preserve"> </w:t>
      </w:r>
      <w:r>
        <w:t>(přírůstky za roky 1998-2014)</w:t>
      </w:r>
    </w:p>
    <w:p w:rsidR="00F80B71" w:rsidRDefault="00F80B71" w:rsidP="00C91671">
      <w:pPr>
        <w:rPr>
          <w:b/>
        </w:rPr>
      </w:pPr>
    </w:p>
    <w:p w:rsidR="00F80B71" w:rsidRDefault="00F80B71" w:rsidP="00C91671">
      <w:pPr>
        <w:rPr>
          <w:b/>
        </w:rPr>
      </w:pPr>
      <w:r w:rsidRPr="00F80B71">
        <w:rPr>
          <w:b/>
        </w:rPr>
        <w:t xml:space="preserve">Graf 34: Česká republika </w:t>
      </w:r>
      <w:r w:rsidRPr="00F80B71">
        <w:rPr>
          <w:b/>
        </w:rPr>
        <w:tab/>
      </w:r>
      <w:r w:rsidRPr="00F80B71">
        <w:rPr>
          <w:b/>
        </w:rPr>
        <w:tab/>
      </w:r>
      <w:r w:rsidRPr="00F80B71">
        <w:rPr>
          <w:b/>
        </w:rPr>
        <w:tab/>
      </w:r>
      <w:r w:rsidRPr="00F80B71">
        <w:rPr>
          <w:b/>
        </w:rPr>
        <w:tab/>
        <w:t>Graf 35: EU 28</w:t>
      </w:r>
    </w:p>
    <w:p w:rsidR="00F80B71" w:rsidRPr="00F80B71" w:rsidRDefault="00F80B71" w:rsidP="00C91671">
      <w:pPr>
        <w:rPr>
          <w:b/>
        </w:rPr>
      </w:pPr>
    </w:p>
    <w:tbl>
      <w:tblPr>
        <w:tblW w:w="5000" w:type="pct"/>
        <w:tblLayout w:type="fixed"/>
        <w:tblCellMar>
          <w:left w:w="28" w:type="dxa"/>
          <w:right w:w="28" w:type="dxa"/>
        </w:tblCellMar>
        <w:tblLook w:val="00A0"/>
      </w:tblPr>
      <w:tblGrid>
        <w:gridCol w:w="4791"/>
        <w:gridCol w:w="4903"/>
      </w:tblGrid>
      <w:tr w:rsidR="00F80B71" w:rsidRPr="00313694" w:rsidTr="00F80B71">
        <w:tc>
          <w:tcPr>
            <w:tcW w:w="2471" w:type="pct"/>
          </w:tcPr>
          <w:p w:rsidR="00F80B71" w:rsidRPr="00313694" w:rsidRDefault="00F80B71" w:rsidP="00F80B71">
            <w:pPr>
              <w:pStyle w:val="Textpoznpodarou"/>
              <w:jc w:val="both"/>
              <w:rPr>
                <w:noProof/>
              </w:rPr>
            </w:pPr>
            <w:r w:rsidRPr="00526F02">
              <w:rPr>
                <w:noProof/>
              </w:rPr>
              <w:pict>
                <v:shape id="_x0000_i1074" type="#_x0000_t75" style="width:222pt;height:21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">
                  <v:imagedata r:id="rId46" o:title=""/>
                  <o:lock v:ext="edit" aspectratio="f"/>
                </v:shape>
              </w:pict>
            </w:r>
          </w:p>
        </w:tc>
        <w:tc>
          <w:tcPr>
            <w:tcW w:w="2529" w:type="pct"/>
          </w:tcPr>
          <w:p w:rsidR="00F80B71" w:rsidRPr="00313694" w:rsidRDefault="00F80B71" w:rsidP="00F80B71">
            <w:pPr>
              <w:pStyle w:val="Textpoznpodarou"/>
              <w:jc w:val="both"/>
            </w:pPr>
            <w:r w:rsidRPr="00526F02">
              <w:rPr>
                <w:noProof/>
              </w:rPr>
              <w:pict>
                <v:shape id="Graf 2" o:spid="_x0000_i1075" type="#_x0000_t75" style="width:231.75pt;height:21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">
                  <v:imagedata r:id="rId47" o:title=""/>
                  <o:lock v:ext="edit" aspectratio="f"/>
                </v:shape>
              </w:pict>
            </w:r>
          </w:p>
        </w:tc>
      </w:tr>
    </w:tbl>
    <w:p w:rsidR="00F80B71" w:rsidRPr="00E72D50" w:rsidRDefault="00DB18D9" w:rsidP="00E72D50">
      <w:pPr>
        <w:jc w:val="right"/>
        <w:rPr>
          <w:sz w:val="18"/>
          <w:szCs w:val="18"/>
        </w:rPr>
      </w:pPr>
      <w:r w:rsidRPr="00A14EDC">
        <w:rPr>
          <w:sz w:val="18"/>
          <w:szCs w:val="18"/>
        </w:rPr>
        <w:t xml:space="preserve">Pramen: </w:t>
      </w:r>
      <w:proofErr w:type="spellStart"/>
      <w:r w:rsidRPr="00A14EDC">
        <w:rPr>
          <w:sz w:val="18"/>
          <w:szCs w:val="18"/>
        </w:rPr>
        <w:t>Eurostat</w:t>
      </w:r>
      <w:proofErr w:type="spellEnd"/>
      <w:r>
        <w:rPr>
          <w:sz w:val="18"/>
          <w:szCs w:val="18"/>
        </w:rPr>
        <w:t>, vlastní propočty</w:t>
      </w:r>
    </w:p>
    <w:p w:rsidR="00C91671" w:rsidRDefault="00C91671" w:rsidP="00C91671">
      <w:pPr>
        <w:jc w:val="center"/>
      </w:pPr>
    </w:p>
    <w:p w:rsidR="00F80B71" w:rsidRDefault="00F80B71" w:rsidP="00F80B71">
      <w:pPr>
        <w:rPr>
          <w:b/>
        </w:rPr>
      </w:pPr>
      <w:r w:rsidRPr="00F80B71">
        <w:rPr>
          <w:b/>
        </w:rPr>
        <w:t>Graf 36: Slovensko</w:t>
      </w:r>
      <w:r w:rsidRPr="00F80B71">
        <w:rPr>
          <w:b/>
        </w:rPr>
        <w:tab/>
      </w:r>
      <w:r w:rsidRPr="00F80B71">
        <w:rPr>
          <w:b/>
        </w:rPr>
        <w:tab/>
      </w:r>
      <w:r w:rsidRPr="00F80B71">
        <w:rPr>
          <w:b/>
        </w:rPr>
        <w:tab/>
      </w:r>
      <w:r w:rsidRPr="00F80B71">
        <w:rPr>
          <w:b/>
        </w:rPr>
        <w:tab/>
      </w:r>
      <w:r w:rsidRPr="00F80B71">
        <w:rPr>
          <w:b/>
        </w:rPr>
        <w:tab/>
        <w:t>Graf 37: Rakousko</w:t>
      </w:r>
    </w:p>
    <w:p w:rsidR="00DB18D9" w:rsidRDefault="00DB18D9" w:rsidP="00F80B71">
      <w:pPr>
        <w:rPr>
          <w:b/>
        </w:rPr>
      </w:pPr>
    </w:p>
    <w:tbl>
      <w:tblPr>
        <w:tblW w:w="5000" w:type="pct"/>
        <w:tblLayout w:type="fixed"/>
        <w:tblCellMar>
          <w:left w:w="28" w:type="dxa"/>
          <w:right w:w="28" w:type="dxa"/>
        </w:tblCellMar>
        <w:tblLook w:val="00A0"/>
      </w:tblPr>
      <w:tblGrid>
        <w:gridCol w:w="4791"/>
        <w:gridCol w:w="4903"/>
      </w:tblGrid>
      <w:tr w:rsidR="00DB18D9" w:rsidRPr="00313694" w:rsidTr="00856631">
        <w:tc>
          <w:tcPr>
            <w:tcW w:w="2471" w:type="pct"/>
          </w:tcPr>
          <w:p w:rsidR="00DB18D9" w:rsidRPr="00313694" w:rsidRDefault="00DB18D9" w:rsidP="00856631">
            <w:pPr>
              <w:pStyle w:val="Textpoznpodarou"/>
              <w:jc w:val="both"/>
              <w:rPr>
                <w:noProof/>
              </w:rPr>
            </w:pPr>
            <w:r w:rsidRPr="00526F02">
              <w:rPr>
                <w:noProof/>
              </w:rPr>
              <w:pict>
                <v:shape id="_x0000_i1077" type="#_x0000_t75" style="width:240pt;height:204.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">
                  <v:imagedata r:id="rId48" o:title=""/>
                  <o:lock v:ext="edit" aspectratio="f"/>
                </v:shape>
              </w:pict>
            </w:r>
          </w:p>
        </w:tc>
        <w:tc>
          <w:tcPr>
            <w:tcW w:w="2529" w:type="pct"/>
          </w:tcPr>
          <w:p w:rsidR="00DB18D9" w:rsidRPr="00313694" w:rsidRDefault="00DB18D9" w:rsidP="00856631">
            <w:pPr>
              <w:pStyle w:val="Textpoznpodarou"/>
              <w:jc w:val="both"/>
            </w:pPr>
            <w:r w:rsidRPr="00526F02">
              <w:rPr>
                <w:noProof/>
              </w:rPr>
              <w:pict>
                <v:shape id="_x0000_i1076" type="#_x0000_t75" style="width:230.25pt;height:205.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">
                  <v:imagedata r:id="rId49" o:title="" cropbottom="-16f"/>
                  <o:lock v:ext="edit" aspectratio="f"/>
                </v:shape>
              </w:pict>
            </w:r>
          </w:p>
        </w:tc>
      </w:tr>
    </w:tbl>
    <w:p w:rsidR="00DB18D9" w:rsidRDefault="00DB18D9" w:rsidP="00F80B71">
      <w:pPr>
        <w:rPr>
          <w:b/>
        </w:rPr>
      </w:pPr>
    </w:p>
    <w:p w:rsidR="00DB18D9" w:rsidRDefault="00DB18D9" w:rsidP="00DB18D9">
      <w:pPr>
        <w:jc w:val="right"/>
        <w:rPr>
          <w:sz w:val="18"/>
          <w:szCs w:val="18"/>
        </w:rPr>
      </w:pPr>
      <w:r w:rsidRPr="00A14EDC">
        <w:rPr>
          <w:sz w:val="18"/>
          <w:szCs w:val="18"/>
        </w:rPr>
        <w:t xml:space="preserve">Pramen: </w:t>
      </w:r>
      <w:proofErr w:type="spellStart"/>
      <w:r w:rsidRPr="00A14EDC">
        <w:rPr>
          <w:sz w:val="18"/>
          <w:szCs w:val="18"/>
        </w:rPr>
        <w:t>Eurostat</w:t>
      </w:r>
      <w:proofErr w:type="spellEnd"/>
      <w:r>
        <w:rPr>
          <w:sz w:val="18"/>
          <w:szCs w:val="18"/>
        </w:rPr>
        <w:t>, vlastní propočty</w:t>
      </w:r>
    </w:p>
    <w:p w:rsidR="00F80B71" w:rsidRDefault="00F80B71" w:rsidP="00DB18D9">
      <w:r>
        <w:tab/>
      </w:r>
    </w:p>
    <w:p w:rsidR="0008794F" w:rsidRPr="002D61B1" w:rsidRDefault="00627F84" w:rsidP="007177F5">
      <w:pPr>
        <w:spacing w:line="240" w:lineRule="auto"/>
        <w:jc w:val="both"/>
        <w:rPr>
          <w:spacing w:val="-2"/>
        </w:rPr>
      </w:pPr>
      <w:r>
        <w:rPr>
          <w:spacing w:val="-2"/>
        </w:rPr>
        <w:t>Př</w:t>
      </w:r>
      <w:r w:rsidR="00904D96">
        <w:rPr>
          <w:spacing w:val="-2"/>
        </w:rPr>
        <w:t>esnějším pohled</w:t>
      </w:r>
      <w:r>
        <w:rPr>
          <w:spacing w:val="-2"/>
        </w:rPr>
        <w:t>em</w:t>
      </w:r>
      <w:r w:rsidR="0008794F" w:rsidRPr="002D61B1">
        <w:rPr>
          <w:spacing w:val="-2"/>
        </w:rPr>
        <w:t xml:space="preserve"> na vývojové křivky (bez </w:t>
      </w:r>
      <w:r w:rsidR="00E72D50">
        <w:rPr>
          <w:spacing w:val="-2"/>
        </w:rPr>
        <w:t xml:space="preserve">zahrnutí vývoje </w:t>
      </w:r>
      <w:r w:rsidR="0008794F" w:rsidRPr="002D61B1">
        <w:rPr>
          <w:spacing w:val="-2"/>
        </w:rPr>
        <w:t xml:space="preserve">exportu a </w:t>
      </w:r>
      <w:r w:rsidR="00E72D50">
        <w:rPr>
          <w:spacing w:val="-2"/>
        </w:rPr>
        <w:t xml:space="preserve">vývoje </w:t>
      </w:r>
      <w:r w:rsidR="0008794F" w:rsidRPr="002D61B1">
        <w:rPr>
          <w:spacing w:val="-2"/>
        </w:rPr>
        <w:t>importu</w:t>
      </w:r>
      <w:r>
        <w:rPr>
          <w:spacing w:val="-2"/>
        </w:rPr>
        <w:t xml:space="preserve"> zkreslujících </w:t>
      </w:r>
      <w:r w:rsidR="0008794F" w:rsidRPr="002D61B1">
        <w:rPr>
          <w:spacing w:val="-2"/>
        </w:rPr>
        <w:t>proporce v grafech 34</w:t>
      </w:r>
      <w:r>
        <w:rPr>
          <w:spacing w:val="-2"/>
        </w:rPr>
        <w:t>-</w:t>
      </w:r>
      <w:r w:rsidR="0008794F" w:rsidRPr="002D61B1">
        <w:rPr>
          <w:spacing w:val="-2"/>
        </w:rPr>
        <w:t>37</w:t>
      </w:r>
      <w:r w:rsidR="0008794F">
        <w:rPr>
          <w:spacing w:val="-2"/>
        </w:rPr>
        <w:t>)</w:t>
      </w:r>
      <w:r w:rsidR="0008794F" w:rsidRPr="002D61B1">
        <w:rPr>
          <w:spacing w:val="-2"/>
        </w:rPr>
        <w:t xml:space="preserve"> </w:t>
      </w:r>
      <w:r w:rsidR="00E72D50">
        <w:rPr>
          <w:spacing w:val="-2"/>
        </w:rPr>
        <w:t xml:space="preserve">je možné </w:t>
      </w:r>
      <w:r>
        <w:rPr>
          <w:spacing w:val="-2"/>
        </w:rPr>
        <w:t>pos</w:t>
      </w:r>
      <w:r w:rsidR="00E72D50">
        <w:rPr>
          <w:spacing w:val="-2"/>
        </w:rPr>
        <w:t>oudit z obrázků v</w:t>
      </w:r>
      <w:r w:rsidR="0008794F" w:rsidRPr="002D61B1">
        <w:rPr>
          <w:spacing w:val="-2"/>
        </w:rPr>
        <w:t xml:space="preserve"> </w:t>
      </w:r>
      <w:proofErr w:type="spellStart"/>
      <w:r w:rsidR="0008794F" w:rsidRPr="002D61B1">
        <w:rPr>
          <w:spacing w:val="-2"/>
        </w:rPr>
        <w:t>čtyřgraf</w:t>
      </w:r>
      <w:r w:rsidR="00E72D50">
        <w:rPr>
          <w:spacing w:val="-2"/>
        </w:rPr>
        <w:t>u</w:t>
      </w:r>
      <w:proofErr w:type="spellEnd"/>
      <w:r w:rsidR="0008794F" w:rsidRPr="002D61B1">
        <w:rPr>
          <w:spacing w:val="-2"/>
        </w:rPr>
        <w:t xml:space="preserve"> 38 vývoj výdajů domácností i vlád</w:t>
      </w:r>
      <w:r>
        <w:rPr>
          <w:spacing w:val="-2"/>
        </w:rPr>
        <w:t>y</w:t>
      </w:r>
      <w:r w:rsidR="00E72D50">
        <w:rPr>
          <w:spacing w:val="-2"/>
        </w:rPr>
        <w:t xml:space="preserve"> na konečnou spotřebu</w:t>
      </w:r>
      <w:r>
        <w:rPr>
          <w:spacing w:val="-2"/>
        </w:rPr>
        <w:t xml:space="preserve">, </w:t>
      </w:r>
      <w:r w:rsidR="00E72D50">
        <w:rPr>
          <w:spacing w:val="-2"/>
        </w:rPr>
        <w:t xml:space="preserve">vývoj tvorby hrubého fixního kapitálu (fixních investic </w:t>
      </w:r>
      <w:r w:rsidR="0008794F">
        <w:rPr>
          <w:spacing w:val="-2"/>
        </w:rPr>
        <w:t>a</w:t>
      </w:r>
      <w:r w:rsidR="0008794F" w:rsidRPr="002D61B1">
        <w:rPr>
          <w:spacing w:val="-2"/>
        </w:rPr>
        <w:t xml:space="preserve"> </w:t>
      </w:r>
      <w:r>
        <w:rPr>
          <w:spacing w:val="-2"/>
        </w:rPr>
        <w:t xml:space="preserve">HDP </w:t>
      </w:r>
      <w:r w:rsidR="0008794F" w:rsidRPr="002D61B1">
        <w:rPr>
          <w:spacing w:val="-2"/>
        </w:rPr>
        <w:t>ekonomik Č</w:t>
      </w:r>
      <w:r w:rsidR="00DB18D9">
        <w:rPr>
          <w:spacing w:val="-2"/>
        </w:rPr>
        <w:t>eské republiky, Slovenska,</w:t>
      </w:r>
      <w:r w:rsidR="0008794F" w:rsidRPr="002D61B1">
        <w:rPr>
          <w:spacing w:val="-2"/>
        </w:rPr>
        <w:t xml:space="preserve"> Rakouska a EU 28.</w:t>
      </w:r>
    </w:p>
    <w:p w:rsidR="0008794F" w:rsidRDefault="0008794F" w:rsidP="007177F5">
      <w:pPr>
        <w:spacing w:line="240" w:lineRule="auto"/>
        <w:jc w:val="both"/>
      </w:pPr>
    </w:p>
    <w:tbl>
      <w:tblPr>
        <w:tblW w:w="5043" w:type="pct"/>
        <w:tblInd w:w="-42" w:type="dxa"/>
        <w:tblCellMar>
          <w:left w:w="28" w:type="dxa"/>
          <w:right w:w="28" w:type="dxa"/>
        </w:tblCellMar>
        <w:tblLook w:val="00A0"/>
      </w:tblPr>
      <w:tblGrid>
        <w:gridCol w:w="2037"/>
        <w:gridCol w:w="272"/>
        <w:gridCol w:w="7468"/>
      </w:tblGrid>
      <w:tr w:rsidR="0008794F" w:rsidRPr="003D78A5" w:rsidTr="00BD0ED0">
        <w:tc>
          <w:tcPr>
            <w:tcW w:w="1042" w:type="pct"/>
          </w:tcPr>
          <w:p w:rsidR="0008794F" w:rsidRPr="00602D1D" w:rsidRDefault="0008794F" w:rsidP="00BD0ED0">
            <w:pPr>
              <w:spacing w:line="240" w:lineRule="auto"/>
              <w:rPr>
                <w:color w:val="000000"/>
                <w:sz w:val="16"/>
                <w:szCs w:val="16"/>
              </w:rPr>
            </w:pPr>
            <w:r>
              <w:rPr>
                <w:color w:val="000000"/>
                <w:sz w:val="16"/>
                <w:szCs w:val="16"/>
              </w:rPr>
              <w:t>Slabá výchozí báze roku 1998…</w:t>
            </w:r>
          </w:p>
        </w:tc>
        <w:tc>
          <w:tcPr>
            <w:tcW w:w="139" w:type="pct"/>
          </w:tcPr>
          <w:p w:rsidR="0008794F" w:rsidRDefault="0008794F" w:rsidP="00BD0ED0">
            <w:pPr>
              <w:pStyle w:val="Textpoznpodarou"/>
              <w:jc w:val="both"/>
            </w:pPr>
          </w:p>
        </w:tc>
        <w:tc>
          <w:tcPr>
            <w:tcW w:w="3819" w:type="pct"/>
          </w:tcPr>
          <w:p w:rsidR="0008794F" w:rsidRPr="00B9381E" w:rsidRDefault="0008794F" w:rsidP="00BD0ED0">
            <w:pPr>
              <w:spacing w:line="240" w:lineRule="auto"/>
              <w:jc w:val="both"/>
            </w:pPr>
            <w:r>
              <w:t>Celkově podstatně slabší ekonomický základ a výchozí báze v roce 1998</w:t>
            </w:r>
            <w:r w:rsidR="00DB18D9">
              <w:t xml:space="preserve"> v případě České republiky a Slovenska oproti výkonnosti ekonomik Rakouska a EU 28 jako celku ej zřejmou skutečností</w:t>
            </w:r>
            <w:r>
              <w:t xml:space="preserve">, </w:t>
            </w:r>
            <w:r w:rsidR="00DB18D9">
              <w:t xml:space="preserve">ověřenou rozborem v kapitole o HDP na obyvatele v paritě kupní síly. Právě z toho </w:t>
            </w:r>
            <w:r>
              <w:t xml:space="preserve">pak mimo jiné plynula výrazně větší akcelerace </w:t>
            </w:r>
            <w:r>
              <w:lastRenderedPageBreak/>
              <w:t xml:space="preserve">růstu především zahraničního obchodu ekonomik České republiky a Slovenska, jsou patrné z grafů 34 a 36 ilustrujících vývoj hlavních složek výdajů na HDP </w:t>
            </w:r>
            <w:r w:rsidR="00DB18D9">
              <w:t>v průběhu let</w:t>
            </w:r>
            <w:r>
              <w:t xml:space="preserve"> 1998</w:t>
            </w:r>
            <w:r w:rsidR="00DB18D9">
              <w:t xml:space="preserve"> až </w:t>
            </w:r>
            <w:r>
              <w:t>2014.</w:t>
            </w:r>
          </w:p>
          <w:p w:rsidR="0008794F" w:rsidRPr="00B9381E" w:rsidRDefault="0008794F" w:rsidP="00B9381E">
            <w:pPr>
              <w:spacing w:line="240" w:lineRule="auto"/>
              <w:jc w:val="both"/>
              <w:rPr>
                <w:color w:val="000000"/>
                <w:spacing w:val="-6"/>
                <w:sz w:val="12"/>
                <w:szCs w:val="12"/>
              </w:rPr>
            </w:pPr>
          </w:p>
        </w:tc>
      </w:tr>
      <w:tr w:rsidR="0008794F" w:rsidRPr="003D78A5" w:rsidTr="00DB6361">
        <w:tc>
          <w:tcPr>
            <w:tcW w:w="1042" w:type="pct"/>
          </w:tcPr>
          <w:p w:rsidR="0008794F" w:rsidRPr="00602D1D" w:rsidRDefault="0008794F" w:rsidP="00BD0ED0">
            <w:pPr>
              <w:spacing w:line="240" w:lineRule="auto"/>
              <w:rPr>
                <w:color w:val="000000"/>
                <w:sz w:val="16"/>
                <w:szCs w:val="16"/>
              </w:rPr>
            </w:pPr>
            <w:r>
              <w:rPr>
                <w:color w:val="000000"/>
                <w:sz w:val="16"/>
                <w:szCs w:val="16"/>
              </w:rPr>
              <w:lastRenderedPageBreak/>
              <w:t xml:space="preserve">…podporovala výrazné zrychlení vývozu ze Slovenska a zvětšování přebytků výkonové bilance, které dynamizovaly hospodářský růst Slovenské republiky… </w:t>
            </w:r>
          </w:p>
        </w:tc>
        <w:tc>
          <w:tcPr>
            <w:tcW w:w="139" w:type="pct"/>
          </w:tcPr>
          <w:p w:rsidR="0008794F" w:rsidRDefault="0008794F" w:rsidP="00BD0ED0">
            <w:pPr>
              <w:pStyle w:val="Textpoznpodarou"/>
              <w:jc w:val="both"/>
            </w:pPr>
          </w:p>
        </w:tc>
        <w:tc>
          <w:tcPr>
            <w:tcW w:w="3819" w:type="pct"/>
          </w:tcPr>
          <w:p w:rsidR="0008794F" w:rsidRDefault="0008794F" w:rsidP="00B9381E">
            <w:pPr>
              <w:spacing w:line="240" w:lineRule="auto"/>
              <w:jc w:val="both"/>
            </w:pPr>
            <w:r>
              <w:t>Zejména v případě Slovenska je zrychlení vývozu a dovozu proti roku 1998 jasně zřetelné (graf 36). Stejně jako i skutečnost, že toto zrychlování k bázi roku 1998 bylo za uvedené období ze všech čtyř sledovaných ekonomických celků největší (a ovlivňující tak velikost i tvar grafu 36 oproti grafům zpracovaným za dvě ostatní sledované ekonomiky i EU 28).</w:t>
            </w:r>
          </w:p>
          <w:p w:rsidR="0008794F" w:rsidRPr="006836E2" w:rsidRDefault="0008794F" w:rsidP="00B9381E">
            <w:pPr>
              <w:spacing w:line="240" w:lineRule="auto"/>
              <w:jc w:val="both"/>
              <w:rPr>
                <w:sz w:val="12"/>
                <w:szCs w:val="12"/>
              </w:rPr>
            </w:pPr>
          </w:p>
          <w:p w:rsidR="0008794F" w:rsidRDefault="0008794F" w:rsidP="00B9381E">
            <w:pPr>
              <w:spacing w:line="240" w:lineRule="auto"/>
              <w:jc w:val="both"/>
            </w:pPr>
            <w:r>
              <w:t xml:space="preserve">Co je však ještě důležitější, je vzájemný tvar křivek vývoje dovozu a vývoje vývozu, který ukazuje u Slovenska zvětšování přebytků výkonové bilance zhruba už od roku 2006, které bylo v relaci </w:t>
            </w:r>
            <w:r w:rsidR="00DB18D9">
              <w:t xml:space="preserve">podstatně </w:t>
            </w:r>
            <w:r>
              <w:t>větší než u České republiky či Rakouska, ale i EU</w:t>
            </w:r>
            <w:r w:rsidR="00DB18D9">
              <w:t xml:space="preserve"> 28</w:t>
            </w:r>
            <w:r>
              <w:t xml:space="preserve">. </w:t>
            </w:r>
          </w:p>
          <w:p w:rsidR="0008794F" w:rsidRPr="00DB6361" w:rsidRDefault="0008794F" w:rsidP="00DD1278">
            <w:pPr>
              <w:spacing w:line="240" w:lineRule="auto"/>
              <w:jc w:val="both"/>
            </w:pPr>
          </w:p>
        </w:tc>
      </w:tr>
      <w:tr w:rsidR="0008794F" w:rsidRPr="003D78A5" w:rsidTr="00DB6361">
        <w:tc>
          <w:tcPr>
            <w:tcW w:w="1042" w:type="pct"/>
          </w:tcPr>
          <w:p w:rsidR="0008794F" w:rsidRPr="00602D1D" w:rsidRDefault="0008794F" w:rsidP="00BD0ED0">
            <w:pPr>
              <w:spacing w:line="240" w:lineRule="auto"/>
              <w:rPr>
                <w:color w:val="000000"/>
                <w:sz w:val="16"/>
                <w:szCs w:val="16"/>
              </w:rPr>
            </w:pPr>
            <w:r>
              <w:rPr>
                <w:color w:val="000000"/>
                <w:sz w:val="16"/>
                <w:szCs w:val="16"/>
              </w:rPr>
              <w:t>…v podstatně větší míře, než čistý export v ČR, Rakousku anebo v</w:t>
            </w:r>
            <w:r w:rsidR="00904D96">
              <w:rPr>
                <w:color w:val="000000"/>
                <w:sz w:val="16"/>
                <w:szCs w:val="16"/>
              </w:rPr>
              <w:t> </w:t>
            </w:r>
            <w:r>
              <w:rPr>
                <w:color w:val="000000"/>
                <w:sz w:val="16"/>
                <w:szCs w:val="16"/>
              </w:rPr>
              <w:t>EU</w:t>
            </w:r>
            <w:r w:rsidR="00904D96">
              <w:rPr>
                <w:color w:val="000000"/>
                <w:sz w:val="16"/>
                <w:szCs w:val="16"/>
              </w:rPr>
              <w:t xml:space="preserve"> 28</w:t>
            </w:r>
          </w:p>
        </w:tc>
        <w:tc>
          <w:tcPr>
            <w:tcW w:w="139" w:type="pct"/>
          </w:tcPr>
          <w:p w:rsidR="0008794F" w:rsidRDefault="0008794F" w:rsidP="00BD0ED0">
            <w:pPr>
              <w:pStyle w:val="Textpoznpodarou"/>
              <w:jc w:val="both"/>
            </w:pPr>
          </w:p>
        </w:tc>
        <w:tc>
          <w:tcPr>
            <w:tcW w:w="3819" w:type="pct"/>
          </w:tcPr>
          <w:p w:rsidR="0008794F" w:rsidRDefault="0008794F" w:rsidP="00BD0ED0">
            <w:pPr>
              <w:spacing w:line="240" w:lineRule="auto"/>
              <w:jc w:val="both"/>
            </w:pPr>
            <w:r>
              <w:t xml:space="preserve">Znamená to, že čistý export zboží a služeb jako výdajová složka HDP hrál v ekonomice Slovenska zejména v letech 2009-2014 výraznější roli, než tomu bylo u zbylých dvou zemí sledovaných v této analýze, i než </w:t>
            </w:r>
            <w:r w:rsidR="00627F84">
              <w:t>u EU</w:t>
            </w:r>
            <w:r>
              <w:t xml:space="preserve"> jako celku. Ta díky exportní síle Německa rovněž již zhruba od roku 2010 vytváří - z grafu 37 patrné - větší přebytky v zahraničním obchodě se zbožím a službami.     </w:t>
            </w:r>
          </w:p>
          <w:p w:rsidR="0008794F" w:rsidRPr="00DB6361" w:rsidRDefault="0008794F" w:rsidP="00DD1278">
            <w:pPr>
              <w:spacing w:line="240" w:lineRule="auto"/>
              <w:jc w:val="both"/>
            </w:pPr>
          </w:p>
        </w:tc>
      </w:tr>
      <w:tr w:rsidR="0008794F" w:rsidRPr="003D78A5" w:rsidTr="00DB6361">
        <w:tc>
          <w:tcPr>
            <w:tcW w:w="1042" w:type="pct"/>
          </w:tcPr>
          <w:p w:rsidR="0008794F" w:rsidRPr="00602D1D" w:rsidRDefault="0008794F" w:rsidP="00BD0ED0">
            <w:pPr>
              <w:spacing w:line="240" w:lineRule="auto"/>
              <w:rPr>
                <w:color w:val="000000"/>
                <w:sz w:val="16"/>
                <w:szCs w:val="16"/>
              </w:rPr>
            </w:pPr>
            <w:r>
              <w:rPr>
                <w:color w:val="000000"/>
                <w:sz w:val="16"/>
                <w:szCs w:val="16"/>
              </w:rPr>
              <w:t>Význam, jaký má pro ekonomiku výsledek zahraniční obchodu, je pro Rakousko s jeho neustále vykazovanými přebytky v celém období 1998-2014 větší, než význam za Unii jako celek – Rakousko tak těží ze své silné ekonomické vazby na německou ekonomiku</w:t>
            </w:r>
          </w:p>
        </w:tc>
        <w:tc>
          <w:tcPr>
            <w:tcW w:w="139" w:type="pct"/>
          </w:tcPr>
          <w:p w:rsidR="0008794F" w:rsidRDefault="0008794F" w:rsidP="00BD0ED0">
            <w:pPr>
              <w:pStyle w:val="Textpoznpodarou"/>
              <w:jc w:val="both"/>
            </w:pPr>
          </w:p>
        </w:tc>
        <w:tc>
          <w:tcPr>
            <w:tcW w:w="3819" w:type="pct"/>
          </w:tcPr>
          <w:p w:rsidR="0008794F" w:rsidRPr="00613EF5" w:rsidRDefault="0008794F" w:rsidP="00BD0ED0">
            <w:pPr>
              <w:spacing w:line="240" w:lineRule="auto"/>
              <w:jc w:val="both"/>
            </w:pPr>
            <w:r>
              <w:t>V dosahované proporci čistého vývozu v ekonomice EU jako celku na jedné straně a ekonomice Rakouska na straně druhé dokládají grafy 35 a 37, že podle „významu“, jaký má výsledek zahraničního obchodu se z</w:t>
            </w:r>
            <w:r w:rsidR="00904D96">
              <w:t>božím a službami pro vývoj HDP,</w:t>
            </w:r>
            <w:r>
              <w:t xml:space="preserve"> hraje tento obchod větší roli v ekonomice Rakouska než v ekonomice EU jako celku. Prakticky již od roku 1999 jsou z grafu 35, zachycujícího vývoj základních složek výdajové strany rakouského HDP, jasně patrné přebytky výkonové bilance (export zboží a služeb roste rychleji než jejich import). Těchto přebytků docilovalo Rakousko i po celé sledované období až do roku 2014. Souvisí to bezesporu </w:t>
            </w:r>
            <w:r w:rsidR="00904D96">
              <w:t>s</w:t>
            </w:r>
            <w:r w:rsidR="00DB18D9">
              <w:t> tradiční a</w:t>
            </w:r>
            <w:r w:rsidR="00904D96">
              <w:t xml:space="preserve"> </w:t>
            </w:r>
            <w:r>
              <w:t xml:space="preserve">silnou ekonomickou vazbou Rakouska na </w:t>
            </w:r>
            <w:r w:rsidR="00DB18D9">
              <w:t xml:space="preserve">německou ekonomiku. </w:t>
            </w:r>
          </w:p>
          <w:p w:rsidR="0008794F" w:rsidRPr="00613EF5" w:rsidRDefault="0008794F" w:rsidP="00613EF5">
            <w:pPr>
              <w:spacing w:line="240" w:lineRule="auto"/>
              <w:jc w:val="both"/>
              <w:rPr>
                <w:szCs w:val="20"/>
              </w:rPr>
            </w:pPr>
          </w:p>
        </w:tc>
      </w:tr>
      <w:tr w:rsidR="0008794F" w:rsidRPr="00DB6361" w:rsidTr="00DD1278">
        <w:tc>
          <w:tcPr>
            <w:tcW w:w="1042" w:type="pct"/>
          </w:tcPr>
          <w:p w:rsidR="0008794F" w:rsidRPr="00602D1D" w:rsidRDefault="0008794F" w:rsidP="00BD0ED0">
            <w:pPr>
              <w:spacing w:line="240" w:lineRule="auto"/>
              <w:rPr>
                <w:color w:val="000000"/>
                <w:sz w:val="16"/>
                <w:szCs w:val="16"/>
              </w:rPr>
            </w:pPr>
            <w:r>
              <w:rPr>
                <w:color w:val="000000"/>
                <w:sz w:val="16"/>
                <w:szCs w:val="16"/>
              </w:rPr>
              <w:t>Všechny tři „malé“ ekonomiky mohly těžit z výsledků svého zahraničního obchodu ovlivňujícího jejich růst</w:t>
            </w:r>
          </w:p>
        </w:tc>
        <w:tc>
          <w:tcPr>
            <w:tcW w:w="139" w:type="pct"/>
          </w:tcPr>
          <w:p w:rsidR="0008794F" w:rsidRDefault="0008794F" w:rsidP="00BD0ED0">
            <w:pPr>
              <w:pStyle w:val="Textpoznpodarou"/>
              <w:jc w:val="both"/>
            </w:pPr>
          </w:p>
        </w:tc>
        <w:tc>
          <w:tcPr>
            <w:tcW w:w="3819" w:type="pct"/>
          </w:tcPr>
          <w:p w:rsidR="0008794F" w:rsidRDefault="0008794F" w:rsidP="00613EF5">
            <w:pPr>
              <w:spacing w:line="240" w:lineRule="auto"/>
              <w:jc w:val="both"/>
            </w:pPr>
            <w:r>
              <w:t>I pro rakouskou ekonomiku tedy platí, stejně jako pro Slovensko a Č</w:t>
            </w:r>
            <w:r w:rsidR="00DB18D9">
              <w:t>eskou republiku</w:t>
            </w:r>
            <w:r>
              <w:t xml:space="preserve"> (jak plyne z křivek dovozu a vývozu v grafu 34), že čistý export zboží a služeb měl - po celé sledované období v Rakousku a po většinu tohoto období na Slovensku a v ČR – pozitivní vliv na vývoj jejich HDP. Jak však již bylo řečeno, ve srovnání s ČR a Rakouskem, byl tento vliv daleko významnější v případě ekonomiky Slovenska.   </w:t>
            </w:r>
          </w:p>
          <w:p w:rsidR="0008794F" w:rsidRPr="00DB6361" w:rsidRDefault="0008794F" w:rsidP="00613EF5">
            <w:pPr>
              <w:spacing w:line="240" w:lineRule="auto"/>
              <w:jc w:val="both"/>
            </w:pPr>
          </w:p>
        </w:tc>
      </w:tr>
      <w:tr w:rsidR="0008794F" w:rsidRPr="00DB6361" w:rsidTr="00DD1278">
        <w:tc>
          <w:tcPr>
            <w:tcW w:w="1042" w:type="pct"/>
          </w:tcPr>
          <w:p w:rsidR="0008794F" w:rsidRPr="00602D1D" w:rsidRDefault="0008794F" w:rsidP="00904D96">
            <w:pPr>
              <w:spacing w:line="240" w:lineRule="auto"/>
              <w:rPr>
                <w:color w:val="000000"/>
                <w:sz w:val="16"/>
                <w:szCs w:val="16"/>
              </w:rPr>
            </w:pPr>
            <w:r>
              <w:rPr>
                <w:color w:val="000000"/>
                <w:sz w:val="16"/>
                <w:szCs w:val="16"/>
              </w:rPr>
              <w:t xml:space="preserve">„Silné“ investice v české ekonomice, slabší na Slovensku a v Rakousku, </w:t>
            </w:r>
            <w:r w:rsidR="00904D96">
              <w:rPr>
                <w:color w:val="000000"/>
                <w:sz w:val="16"/>
                <w:szCs w:val="16"/>
              </w:rPr>
              <w:t xml:space="preserve">kde </w:t>
            </w:r>
            <w:proofErr w:type="gramStart"/>
            <w:r w:rsidR="00904D96">
              <w:rPr>
                <w:color w:val="000000"/>
                <w:sz w:val="16"/>
                <w:szCs w:val="16"/>
              </w:rPr>
              <w:t xml:space="preserve">hrály </w:t>
            </w:r>
            <w:r>
              <w:rPr>
                <w:color w:val="000000"/>
                <w:sz w:val="16"/>
                <w:szCs w:val="16"/>
              </w:rPr>
              <w:t xml:space="preserve"> větší</w:t>
            </w:r>
            <w:proofErr w:type="gramEnd"/>
            <w:r>
              <w:rPr>
                <w:color w:val="000000"/>
                <w:sz w:val="16"/>
                <w:szCs w:val="16"/>
              </w:rPr>
              <w:t xml:space="preserve"> roli výdaje na konečnou spotřebu</w:t>
            </w:r>
          </w:p>
        </w:tc>
        <w:tc>
          <w:tcPr>
            <w:tcW w:w="139" w:type="pct"/>
          </w:tcPr>
          <w:p w:rsidR="0008794F" w:rsidRDefault="0008794F" w:rsidP="00BD0ED0">
            <w:pPr>
              <w:pStyle w:val="Textpoznpodarou"/>
              <w:jc w:val="both"/>
            </w:pPr>
          </w:p>
        </w:tc>
        <w:tc>
          <w:tcPr>
            <w:tcW w:w="3819" w:type="pct"/>
          </w:tcPr>
          <w:p w:rsidR="0008794F" w:rsidRDefault="0008794F" w:rsidP="00613EF5">
            <w:pPr>
              <w:spacing w:line="240" w:lineRule="auto"/>
              <w:jc w:val="both"/>
            </w:pPr>
            <w:r>
              <w:t>Co se dalších složek výdajů na HDP ilustrovaných v grafech 34 až 37 týká, stojí za zmínku z pohledu vývojových disproporcí zejména investice. Tvorba hrubého fixního kapitálu hrála totiž podle dynamiky svého růstu větší roli v ekonomikách EU 28 a zejména v ekonomice České republiky. Patrné to bylo hlavně v letech 2007 a 2008, kdy jak v</w:t>
            </w:r>
            <w:r w:rsidR="00904D96">
              <w:t> </w:t>
            </w:r>
            <w:r>
              <w:t>ČR</w:t>
            </w:r>
            <w:r w:rsidR="00904D96">
              <w:t xml:space="preserve"> (vrcholící vlna pořizování domů a bytů i konjunkturou hnaná investiční aktivita firem)</w:t>
            </w:r>
            <w:r>
              <w:t xml:space="preserve">, tak v EU 28 rostly investice rychleji než výdaje na konečnou spotřebu i než samotný HDP. Naopak jiná struktura růstu podle vývoje hlavních výdajových složek HDP je vidět u Slovenska, kde kupodivu investice  - i přes zřejmou investiční </w:t>
            </w:r>
            <w:proofErr w:type="spellStart"/>
            <w:r>
              <w:t>poddimenzovanost</w:t>
            </w:r>
            <w:proofErr w:type="spellEnd"/>
            <w:r>
              <w:t xml:space="preserve"> už z počátku sledovaného období - nehrály v růstu ekonomiky takovou roli jako složky ostatní</w:t>
            </w:r>
            <w:r w:rsidR="00DB18D9">
              <w:t>, jak je patrné z </w:t>
            </w:r>
            <w:proofErr w:type="gramStart"/>
            <w:r w:rsidR="00DB18D9">
              <w:t xml:space="preserve">grafu </w:t>
            </w:r>
            <w:r>
              <w:t xml:space="preserve"> 36</w:t>
            </w:r>
            <w:proofErr w:type="gramEnd"/>
            <w:r>
              <w:t xml:space="preserve">).  </w:t>
            </w:r>
          </w:p>
          <w:p w:rsidR="0008794F" w:rsidRPr="00904D96" w:rsidRDefault="0008794F" w:rsidP="00BD0ED0">
            <w:pPr>
              <w:spacing w:line="240" w:lineRule="auto"/>
              <w:jc w:val="both"/>
              <w:rPr>
                <w:sz w:val="16"/>
                <w:szCs w:val="16"/>
              </w:rPr>
            </w:pPr>
          </w:p>
        </w:tc>
      </w:tr>
      <w:tr w:rsidR="0008794F" w:rsidRPr="00DB6361" w:rsidTr="00613EF5">
        <w:tc>
          <w:tcPr>
            <w:tcW w:w="1042" w:type="pct"/>
          </w:tcPr>
          <w:p w:rsidR="0008794F" w:rsidRPr="00602D1D" w:rsidRDefault="0008794F" w:rsidP="00AA7738">
            <w:pPr>
              <w:spacing w:line="240" w:lineRule="auto"/>
              <w:rPr>
                <w:color w:val="000000"/>
                <w:sz w:val="16"/>
                <w:szCs w:val="16"/>
              </w:rPr>
            </w:pPr>
            <w:r>
              <w:rPr>
                <w:color w:val="000000"/>
                <w:sz w:val="16"/>
                <w:szCs w:val="16"/>
              </w:rPr>
              <w:t>Spotřeba domácností v ČR a SR po roce 2009 spíše jen stagnuje na rozdíl od Rakouska, kde zaznamenává mírný růst</w:t>
            </w:r>
          </w:p>
        </w:tc>
        <w:tc>
          <w:tcPr>
            <w:tcW w:w="139" w:type="pct"/>
          </w:tcPr>
          <w:p w:rsidR="0008794F" w:rsidRDefault="0008794F" w:rsidP="00AA7738">
            <w:pPr>
              <w:pStyle w:val="Textpoznpodarou"/>
              <w:jc w:val="both"/>
            </w:pPr>
          </w:p>
        </w:tc>
        <w:tc>
          <w:tcPr>
            <w:tcW w:w="3819" w:type="pct"/>
          </w:tcPr>
          <w:p w:rsidR="0008794F" w:rsidRPr="00DB6361" w:rsidRDefault="0008794F" w:rsidP="00DB18D9">
            <w:pPr>
              <w:spacing w:line="240" w:lineRule="auto"/>
              <w:jc w:val="both"/>
            </w:pPr>
            <w:r>
              <w:t>Zjištění o slabší roli investic v růstu slovenské ekonomiku podporují jasně vývojové křivky za tuto zemi</w:t>
            </w:r>
            <w:r w:rsidR="00DB18D9">
              <w:t>, jak je zřejmé z</w:t>
            </w:r>
            <w:r>
              <w:t xml:space="preserve"> grafu 38.  Ten by měl pro jednotlivé sledované země ukazovat zřetelněji </w:t>
            </w:r>
            <w:r w:rsidR="009C3690">
              <w:t xml:space="preserve">(s ohledem na zvolené měřítko v grafech za jednotlivé země) </w:t>
            </w:r>
            <w:r>
              <w:t xml:space="preserve">vývoj výdajů na konečnou spotřebu domácností a také vládních institucí vč. vývoje fixních investic a vztah těchto výdajových složek k vývoji HDP - tedy bez deformace prudkými vývojovými křivkami zahraničního obchodu uváděných v grafech 34-38. </w:t>
            </w:r>
          </w:p>
        </w:tc>
      </w:tr>
    </w:tbl>
    <w:p w:rsidR="0008794F" w:rsidRPr="00904D96" w:rsidRDefault="0008794F" w:rsidP="007177F5">
      <w:pPr>
        <w:spacing w:line="240" w:lineRule="auto"/>
        <w:jc w:val="both"/>
        <w:rPr>
          <w:sz w:val="16"/>
          <w:szCs w:val="16"/>
        </w:rPr>
      </w:pPr>
    </w:p>
    <w:p w:rsidR="00C91671" w:rsidRDefault="00C91671" w:rsidP="00D34225">
      <w:pPr>
        <w:rPr>
          <w:b/>
        </w:rPr>
      </w:pPr>
    </w:p>
    <w:p w:rsidR="00C91671" w:rsidRDefault="00C91671" w:rsidP="00D34225">
      <w:pPr>
        <w:rPr>
          <w:b/>
        </w:rPr>
      </w:pPr>
    </w:p>
    <w:p w:rsidR="00C91671" w:rsidRDefault="00C91671" w:rsidP="00D34225">
      <w:pPr>
        <w:rPr>
          <w:b/>
        </w:rPr>
      </w:pPr>
    </w:p>
    <w:p w:rsidR="0008794F" w:rsidRDefault="0008794F" w:rsidP="00D34225">
      <w:r w:rsidRPr="002C6AE7">
        <w:rPr>
          <w:b/>
        </w:rPr>
        <w:lastRenderedPageBreak/>
        <w:t>Graf 38: Vývoj základních složek výdajové strany HDP bez zahraničního obchodu</w:t>
      </w:r>
      <w:r>
        <w:t xml:space="preserve"> (1998=100)</w:t>
      </w:r>
    </w:p>
    <w:p w:rsidR="0008794F" w:rsidRPr="00C83333" w:rsidRDefault="0008794F" w:rsidP="00D34225">
      <w:pPr>
        <w:rPr>
          <w:sz w:val="8"/>
          <w:szCs w:val="8"/>
        </w:rPr>
      </w:pPr>
    </w:p>
    <w:tbl>
      <w:tblPr>
        <w:tblW w:w="5000" w:type="pct"/>
        <w:tblLayout w:type="fixed"/>
        <w:tblCellMar>
          <w:left w:w="28" w:type="dxa"/>
          <w:right w:w="28" w:type="dxa"/>
        </w:tblCellMar>
        <w:tblLook w:val="00A0"/>
      </w:tblPr>
      <w:tblGrid>
        <w:gridCol w:w="1527"/>
        <w:gridCol w:w="1093"/>
        <w:gridCol w:w="2170"/>
        <w:gridCol w:w="838"/>
        <w:gridCol w:w="801"/>
        <w:gridCol w:w="3265"/>
      </w:tblGrid>
      <w:tr w:rsidR="0008794F" w:rsidRPr="00817C98" w:rsidTr="007177F5">
        <w:tc>
          <w:tcPr>
            <w:tcW w:w="1352" w:type="pct"/>
            <w:gridSpan w:val="2"/>
          </w:tcPr>
          <w:p w:rsidR="0008794F" w:rsidRPr="007177F5" w:rsidRDefault="0008794F" w:rsidP="00C0118D">
            <w:pPr>
              <w:spacing w:line="240" w:lineRule="auto"/>
              <w:rPr>
                <w:b/>
              </w:rPr>
            </w:pPr>
            <w:r w:rsidRPr="007177F5">
              <w:rPr>
                <w:b/>
              </w:rPr>
              <w:t>Česká republika</w:t>
            </w:r>
          </w:p>
        </w:tc>
        <w:tc>
          <w:tcPr>
            <w:tcW w:w="1118" w:type="pct"/>
          </w:tcPr>
          <w:p w:rsidR="0008794F" w:rsidRDefault="0008794F" w:rsidP="00C0118D">
            <w:pPr>
              <w:pStyle w:val="Textpoznpodarou"/>
              <w:rPr>
                <w:rFonts w:cs="Arial"/>
                <w:szCs w:val="24"/>
              </w:rPr>
            </w:pPr>
            <w:r>
              <w:rPr>
                <w:rFonts w:cs="Arial"/>
                <w:bCs/>
              </w:rPr>
              <w:t xml:space="preserve"> </w:t>
            </w:r>
          </w:p>
        </w:tc>
        <w:tc>
          <w:tcPr>
            <w:tcW w:w="845" w:type="pct"/>
            <w:gridSpan w:val="2"/>
          </w:tcPr>
          <w:p w:rsidR="0008794F" w:rsidRPr="007177F5" w:rsidRDefault="0008794F" w:rsidP="00C0118D">
            <w:pPr>
              <w:spacing w:line="240" w:lineRule="auto"/>
              <w:rPr>
                <w:b/>
              </w:rPr>
            </w:pPr>
            <w:r w:rsidRPr="007177F5">
              <w:rPr>
                <w:b/>
              </w:rPr>
              <w:t>Slovensko</w:t>
            </w:r>
          </w:p>
        </w:tc>
        <w:tc>
          <w:tcPr>
            <w:tcW w:w="1684" w:type="pct"/>
          </w:tcPr>
          <w:p w:rsidR="0008794F" w:rsidRPr="00817C98" w:rsidRDefault="0008794F" w:rsidP="00C0118D">
            <w:pPr>
              <w:spacing w:line="240" w:lineRule="auto"/>
              <w:rPr>
                <w:rFonts w:cs="Arial"/>
                <w:b/>
                <w:bCs/>
              </w:rPr>
            </w:pPr>
          </w:p>
        </w:tc>
      </w:tr>
      <w:tr w:rsidR="0008794F" w:rsidRPr="00D4327D" w:rsidTr="00C0118D">
        <w:tc>
          <w:tcPr>
            <w:tcW w:w="2471" w:type="pct"/>
            <w:gridSpan w:val="3"/>
          </w:tcPr>
          <w:p w:rsidR="0008794F" w:rsidRPr="00732475" w:rsidRDefault="00306F79" w:rsidP="00C0118D">
            <w:pPr>
              <w:pStyle w:val="Textpoznpodarou"/>
              <w:jc w:val="both"/>
              <w:rPr>
                <w:noProof/>
              </w:rPr>
            </w:pPr>
            <w:r>
              <w:rPr>
                <w:noProof/>
              </w:rPr>
              <w:pict>
                <v:shape id="_x0000_i1058" type="#_x0000_t75" style="width:234pt;height:174.75pt">
                  <v:imagedata r:id="rId50" o:title=""/>
                </v:shape>
              </w:pict>
            </w:r>
          </w:p>
        </w:tc>
        <w:tc>
          <w:tcPr>
            <w:tcW w:w="2529" w:type="pct"/>
            <w:gridSpan w:val="3"/>
          </w:tcPr>
          <w:p w:rsidR="0008794F" w:rsidRPr="00732475" w:rsidRDefault="00306F79" w:rsidP="00C0118D">
            <w:pPr>
              <w:pStyle w:val="Textpoznpodarou"/>
              <w:jc w:val="both"/>
            </w:pPr>
            <w:r>
              <w:pict>
                <v:shape id="_x0000_i1059" type="#_x0000_t75" style="width:240pt;height:174.75pt">
                  <v:imagedata r:id="rId51" o:title=""/>
                </v:shape>
              </w:pict>
            </w:r>
          </w:p>
        </w:tc>
      </w:tr>
      <w:tr w:rsidR="0008794F" w:rsidRPr="00817C98" w:rsidTr="007177F5">
        <w:tc>
          <w:tcPr>
            <w:tcW w:w="788" w:type="pct"/>
          </w:tcPr>
          <w:p w:rsidR="00C91671" w:rsidRPr="00C91671" w:rsidRDefault="00C91671" w:rsidP="00C0118D">
            <w:pPr>
              <w:spacing w:line="240" w:lineRule="auto"/>
              <w:rPr>
                <w:b/>
                <w:sz w:val="10"/>
                <w:szCs w:val="10"/>
              </w:rPr>
            </w:pPr>
          </w:p>
          <w:p w:rsidR="0008794F" w:rsidRPr="007177F5" w:rsidRDefault="0008794F" w:rsidP="00C0118D">
            <w:pPr>
              <w:spacing w:line="240" w:lineRule="auto"/>
              <w:rPr>
                <w:b/>
              </w:rPr>
            </w:pPr>
            <w:r w:rsidRPr="007177F5">
              <w:rPr>
                <w:b/>
              </w:rPr>
              <w:t>Rakousko</w:t>
            </w:r>
          </w:p>
        </w:tc>
        <w:tc>
          <w:tcPr>
            <w:tcW w:w="1683" w:type="pct"/>
            <w:gridSpan w:val="2"/>
          </w:tcPr>
          <w:p w:rsidR="0008794F" w:rsidRDefault="0008794F" w:rsidP="00C0118D">
            <w:pPr>
              <w:pStyle w:val="Textpoznpodarou"/>
              <w:rPr>
                <w:rFonts w:cs="Arial"/>
                <w:szCs w:val="24"/>
              </w:rPr>
            </w:pPr>
          </w:p>
        </w:tc>
        <w:tc>
          <w:tcPr>
            <w:tcW w:w="432" w:type="pct"/>
          </w:tcPr>
          <w:p w:rsidR="00AE1A78" w:rsidRPr="00C91671" w:rsidRDefault="00AE1A78" w:rsidP="00C0118D">
            <w:pPr>
              <w:spacing w:line="240" w:lineRule="auto"/>
              <w:rPr>
                <w:b/>
                <w:sz w:val="10"/>
                <w:szCs w:val="10"/>
              </w:rPr>
            </w:pPr>
          </w:p>
          <w:p w:rsidR="0008794F" w:rsidRPr="007177F5" w:rsidRDefault="0008794F" w:rsidP="00C0118D">
            <w:pPr>
              <w:spacing w:line="240" w:lineRule="auto"/>
              <w:rPr>
                <w:b/>
              </w:rPr>
            </w:pPr>
            <w:r w:rsidRPr="007177F5">
              <w:rPr>
                <w:b/>
              </w:rPr>
              <w:t>EU 28</w:t>
            </w:r>
          </w:p>
        </w:tc>
        <w:tc>
          <w:tcPr>
            <w:tcW w:w="2097" w:type="pct"/>
            <w:gridSpan w:val="2"/>
          </w:tcPr>
          <w:p w:rsidR="0008794F" w:rsidRPr="00817C98" w:rsidRDefault="0008794F" w:rsidP="00C0118D">
            <w:pPr>
              <w:spacing w:line="240" w:lineRule="auto"/>
              <w:rPr>
                <w:rFonts w:cs="Arial"/>
                <w:b/>
                <w:bCs/>
              </w:rPr>
            </w:pPr>
          </w:p>
        </w:tc>
      </w:tr>
      <w:tr w:rsidR="0008794F" w:rsidRPr="00D4327D" w:rsidTr="00C0118D">
        <w:tc>
          <w:tcPr>
            <w:tcW w:w="2471" w:type="pct"/>
            <w:gridSpan w:val="3"/>
          </w:tcPr>
          <w:p w:rsidR="0008794F" w:rsidRPr="00732475" w:rsidRDefault="00306F79" w:rsidP="00C0118D">
            <w:pPr>
              <w:pStyle w:val="Textpoznpodarou"/>
              <w:jc w:val="both"/>
              <w:rPr>
                <w:noProof/>
              </w:rPr>
            </w:pPr>
            <w:r>
              <w:rPr>
                <w:noProof/>
              </w:rPr>
              <w:pict>
                <v:shape id="_x0000_i1060" type="#_x0000_t75" style="width:234.75pt;height:190.5pt">
                  <v:imagedata r:id="rId52" o:title=""/>
                </v:shape>
              </w:pict>
            </w:r>
          </w:p>
        </w:tc>
        <w:tc>
          <w:tcPr>
            <w:tcW w:w="2529" w:type="pct"/>
            <w:gridSpan w:val="3"/>
          </w:tcPr>
          <w:p w:rsidR="0008794F" w:rsidRPr="00732475" w:rsidRDefault="00306F79" w:rsidP="00C0118D">
            <w:pPr>
              <w:pStyle w:val="Textpoznpodarou"/>
              <w:jc w:val="both"/>
            </w:pPr>
            <w:r>
              <w:pict>
                <v:shape id="_x0000_i1061" type="#_x0000_t75" style="width:241.5pt;height:186pt">
                  <v:imagedata r:id="rId53" o:title=""/>
                </v:shape>
              </w:pict>
            </w:r>
          </w:p>
        </w:tc>
      </w:tr>
    </w:tbl>
    <w:p w:rsidR="0008794F" w:rsidRDefault="0008794F" w:rsidP="006031A6">
      <w:pPr>
        <w:jc w:val="right"/>
        <w:rPr>
          <w:sz w:val="18"/>
          <w:szCs w:val="18"/>
        </w:rPr>
      </w:pPr>
      <w:r w:rsidRPr="00A14EDC">
        <w:rPr>
          <w:sz w:val="18"/>
          <w:szCs w:val="18"/>
        </w:rPr>
        <w:t xml:space="preserve">Pramen: </w:t>
      </w:r>
      <w:proofErr w:type="spellStart"/>
      <w:r w:rsidRPr="00A14EDC">
        <w:rPr>
          <w:sz w:val="18"/>
          <w:szCs w:val="18"/>
        </w:rPr>
        <w:t>Eurostat</w:t>
      </w:r>
      <w:proofErr w:type="spellEnd"/>
      <w:r>
        <w:rPr>
          <w:sz w:val="18"/>
          <w:szCs w:val="18"/>
        </w:rPr>
        <w:t>, vlastní propočty</w:t>
      </w:r>
    </w:p>
    <w:p w:rsidR="0008794F" w:rsidRPr="00C91671" w:rsidRDefault="0008794F" w:rsidP="006031A6">
      <w:pPr>
        <w:jc w:val="right"/>
        <w:rPr>
          <w:sz w:val="10"/>
          <w:szCs w:val="10"/>
        </w:rPr>
      </w:pPr>
    </w:p>
    <w:tbl>
      <w:tblPr>
        <w:tblW w:w="5043" w:type="pct"/>
        <w:tblInd w:w="-42" w:type="dxa"/>
        <w:tblCellMar>
          <w:left w:w="28" w:type="dxa"/>
          <w:right w:w="28" w:type="dxa"/>
        </w:tblCellMar>
        <w:tblLook w:val="00A0"/>
      </w:tblPr>
      <w:tblGrid>
        <w:gridCol w:w="2037"/>
        <w:gridCol w:w="272"/>
        <w:gridCol w:w="7468"/>
      </w:tblGrid>
      <w:tr w:rsidR="0008794F" w:rsidRPr="00DB6361" w:rsidTr="00AA7738">
        <w:tc>
          <w:tcPr>
            <w:tcW w:w="1042" w:type="pct"/>
          </w:tcPr>
          <w:p w:rsidR="0008794F" w:rsidRPr="00602D1D" w:rsidRDefault="0008794F" w:rsidP="0078134E">
            <w:pPr>
              <w:spacing w:line="240" w:lineRule="auto"/>
              <w:rPr>
                <w:color w:val="000000"/>
                <w:sz w:val="16"/>
                <w:szCs w:val="16"/>
              </w:rPr>
            </w:pPr>
            <w:r>
              <w:rPr>
                <w:color w:val="000000"/>
                <w:sz w:val="16"/>
                <w:szCs w:val="16"/>
              </w:rPr>
              <w:t>Růst ekonomiky E</w:t>
            </w:r>
            <w:r w:rsidR="0078134E">
              <w:rPr>
                <w:color w:val="000000"/>
                <w:sz w:val="16"/>
                <w:szCs w:val="16"/>
              </w:rPr>
              <w:t>U</w:t>
            </w:r>
            <w:r>
              <w:rPr>
                <w:color w:val="000000"/>
                <w:sz w:val="16"/>
                <w:szCs w:val="16"/>
              </w:rPr>
              <w:t>28 táhnou od roku 2010 stále intenzivněji výdaje vládních institucí</w:t>
            </w:r>
          </w:p>
        </w:tc>
        <w:tc>
          <w:tcPr>
            <w:tcW w:w="139" w:type="pct"/>
          </w:tcPr>
          <w:p w:rsidR="0008794F" w:rsidRDefault="0008794F" w:rsidP="00AA7738">
            <w:pPr>
              <w:pStyle w:val="Textpoznpodarou"/>
              <w:jc w:val="both"/>
            </w:pPr>
          </w:p>
        </w:tc>
        <w:tc>
          <w:tcPr>
            <w:tcW w:w="3819" w:type="pct"/>
          </w:tcPr>
          <w:p w:rsidR="00EF5B51" w:rsidRDefault="0008794F" w:rsidP="00AA7738">
            <w:pPr>
              <w:spacing w:line="240" w:lineRule="auto"/>
              <w:jc w:val="both"/>
            </w:pPr>
            <w:r>
              <w:t xml:space="preserve">Právě zahraniční obchod, resp. jeho výsledek, ukazuje svůj významný vliv na růst ekonomik SR, ČR a Rakouska (HDP u nich narůstal rychleji než kterákoli z dalších výdajových složek uvedených v grafu 38). Naopak růst HDP celé EU 28 táhly od roku 2009 především výdaje vládních institucí. </w:t>
            </w:r>
          </w:p>
          <w:p w:rsidR="0008794F" w:rsidRPr="00DB6361" w:rsidRDefault="0008794F" w:rsidP="00AA7738">
            <w:pPr>
              <w:spacing w:line="240" w:lineRule="auto"/>
              <w:jc w:val="both"/>
            </w:pPr>
            <w:r>
              <w:t xml:space="preserve"> </w:t>
            </w:r>
          </w:p>
        </w:tc>
      </w:tr>
    </w:tbl>
    <w:p w:rsidR="00C91671" w:rsidRPr="005E5E2D" w:rsidRDefault="00C91671" w:rsidP="00C91671">
      <w:pPr>
        <w:rPr>
          <w:b/>
          <w:sz w:val="22"/>
          <w:szCs w:val="22"/>
        </w:rPr>
      </w:pPr>
      <w:r w:rsidRPr="005E5E2D">
        <w:rPr>
          <w:b/>
          <w:sz w:val="22"/>
          <w:szCs w:val="22"/>
        </w:rPr>
        <w:t>4.1.</w:t>
      </w:r>
      <w:r>
        <w:rPr>
          <w:b/>
          <w:sz w:val="22"/>
          <w:szCs w:val="22"/>
        </w:rPr>
        <w:t>2.1</w:t>
      </w:r>
      <w:r w:rsidRPr="005E5E2D">
        <w:rPr>
          <w:b/>
          <w:sz w:val="22"/>
          <w:szCs w:val="22"/>
        </w:rPr>
        <w:t xml:space="preserve">. Vybrané aspekty </w:t>
      </w:r>
      <w:r>
        <w:rPr>
          <w:b/>
          <w:sz w:val="22"/>
          <w:szCs w:val="22"/>
        </w:rPr>
        <w:t xml:space="preserve">vývoje </w:t>
      </w:r>
      <w:r w:rsidRPr="005E5E2D">
        <w:rPr>
          <w:b/>
          <w:sz w:val="22"/>
          <w:szCs w:val="22"/>
        </w:rPr>
        <w:t xml:space="preserve">ekonomiky ČR a Slovenska počínaje rokem 1990 </w:t>
      </w:r>
    </w:p>
    <w:p w:rsidR="00C91671" w:rsidRPr="006F12A8" w:rsidRDefault="00C91671" w:rsidP="00C91671">
      <w:pPr>
        <w:rPr>
          <w:sz w:val="12"/>
          <w:szCs w:val="12"/>
        </w:rPr>
      </w:pPr>
    </w:p>
    <w:tbl>
      <w:tblPr>
        <w:tblW w:w="5043" w:type="pct"/>
        <w:tblInd w:w="-42" w:type="dxa"/>
        <w:tblCellMar>
          <w:left w:w="28" w:type="dxa"/>
          <w:right w:w="28" w:type="dxa"/>
        </w:tblCellMar>
        <w:tblLook w:val="00A0"/>
      </w:tblPr>
      <w:tblGrid>
        <w:gridCol w:w="42"/>
        <w:gridCol w:w="827"/>
        <w:gridCol w:w="1169"/>
        <w:gridCol w:w="272"/>
        <w:gridCol w:w="2522"/>
        <w:gridCol w:w="839"/>
        <w:gridCol w:w="4065"/>
        <w:gridCol w:w="41"/>
      </w:tblGrid>
      <w:tr w:rsidR="00C91671" w:rsidRPr="003D78A5" w:rsidTr="00541E59">
        <w:tc>
          <w:tcPr>
            <w:tcW w:w="1042" w:type="pct"/>
            <w:gridSpan w:val="3"/>
          </w:tcPr>
          <w:p w:rsidR="00C91671" w:rsidRPr="00602D1D" w:rsidRDefault="00C91671" w:rsidP="00541E59">
            <w:pPr>
              <w:spacing w:line="240" w:lineRule="auto"/>
              <w:rPr>
                <w:color w:val="000000"/>
                <w:sz w:val="16"/>
                <w:szCs w:val="16"/>
              </w:rPr>
            </w:pPr>
            <w:r>
              <w:rPr>
                <w:color w:val="000000"/>
                <w:sz w:val="16"/>
                <w:szCs w:val="16"/>
              </w:rPr>
              <w:t xml:space="preserve">Vliv prvních roků dekády 90. let na výchozí bázi ekonomik ČR a Slovenska umožní posoudit data z Historické ročenky národních účtů zpracované ČSÚ a SSÚ </w:t>
            </w:r>
          </w:p>
        </w:tc>
        <w:tc>
          <w:tcPr>
            <w:tcW w:w="139" w:type="pct"/>
          </w:tcPr>
          <w:p w:rsidR="00C91671" w:rsidRDefault="00C91671" w:rsidP="00541E59">
            <w:pPr>
              <w:pStyle w:val="Textpoznpodarou"/>
              <w:jc w:val="both"/>
            </w:pPr>
          </w:p>
        </w:tc>
        <w:tc>
          <w:tcPr>
            <w:tcW w:w="3819" w:type="pct"/>
            <w:gridSpan w:val="4"/>
          </w:tcPr>
          <w:p w:rsidR="00C91671" w:rsidRDefault="00C91671" w:rsidP="00541E59">
            <w:pPr>
              <w:pStyle w:val="Textpoznpodarou"/>
              <w:jc w:val="both"/>
              <w:rPr>
                <w:color w:val="000000"/>
                <w:spacing w:val="-6"/>
              </w:rPr>
            </w:pPr>
            <w:r>
              <w:rPr>
                <w:color w:val="000000"/>
                <w:spacing w:val="-6"/>
              </w:rPr>
              <w:t xml:space="preserve">Jak bylo z předchozího zřejmé, na celkový vývoj v ČR a na Slovensku oproti vývoji ekonomiky Rakouska měla významný vliv první léta srovnávaného období 1998-2014. Ovšem výchozí situace po většinu srovnávaného období v této analýze, tj. zpravidla od roku 1998, byla samozřejmě ovlivněna co se České republiky a Slovenska týká, vývojem v období na počátku 90. let minulého století, kdy byly obě země ještě součástí federace (více již zmíněno v kapitole 2) a také prvními roky po rozdělení na samostatné státy. </w:t>
            </w:r>
          </w:p>
          <w:p w:rsidR="00C91671" w:rsidRPr="00F7293D" w:rsidRDefault="00C91671" w:rsidP="00541E59">
            <w:pPr>
              <w:pStyle w:val="Textpoznpodarou"/>
              <w:jc w:val="both"/>
              <w:rPr>
                <w:color w:val="000000"/>
                <w:spacing w:val="-6"/>
                <w:sz w:val="12"/>
                <w:szCs w:val="12"/>
              </w:rPr>
            </w:pPr>
          </w:p>
          <w:p w:rsidR="00C91671" w:rsidRDefault="00C91671" w:rsidP="00541E59">
            <w:pPr>
              <w:pStyle w:val="Textpoznpodarou"/>
              <w:jc w:val="both"/>
              <w:rPr>
                <w:color w:val="000000"/>
                <w:spacing w:val="-6"/>
              </w:rPr>
            </w:pPr>
            <w:r>
              <w:rPr>
                <w:color w:val="000000"/>
                <w:spacing w:val="-6"/>
              </w:rPr>
              <w:t xml:space="preserve">Protože jsou k dispozici data zpracovaná v rámci Historické ročenky národních účtů (podle metodiky ESA </w:t>
            </w:r>
            <w:r w:rsidR="000677C9">
              <w:rPr>
                <w:color w:val="000000"/>
                <w:spacing w:val="-6"/>
              </w:rPr>
              <w:t>19</w:t>
            </w:r>
            <w:r>
              <w:rPr>
                <w:color w:val="000000"/>
                <w:spacing w:val="-6"/>
              </w:rPr>
              <w:t>95), kterou vytvářeli odborníci z útvaru národního účetnictví Č</w:t>
            </w:r>
            <w:r w:rsidR="00541E59">
              <w:rPr>
                <w:color w:val="000000"/>
                <w:spacing w:val="-6"/>
              </w:rPr>
              <w:t>SÚ</w:t>
            </w:r>
            <w:r>
              <w:rPr>
                <w:color w:val="000000"/>
                <w:spacing w:val="-6"/>
              </w:rPr>
              <w:t xml:space="preserve"> a S</w:t>
            </w:r>
            <w:r w:rsidR="00541E59">
              <w:rPr>
                <w:color w:val="000000"/>
                <w:spacing w:val="-6"/>
              </w:rPr>
              <w:t>SÚ</w:t>
            </w:r>
            <w:r>
              <w:rPr>
                <w:color w:val="000000"/>
                <w:spacing w:val="-6"/>
              </w:rPr>
              <w:t>, použijeme tyto výsledky spolu s doplněním časové řady a porovnáme vývoj České republiky a Slovenska k bázi roku 1990 pro základní složky výdajové strany HDP</w:t>
            </w:r>
            <w:r>
              <w:rPr>
                <w:rStyle w:val="Znakapoznpodarou"/>
                <w:color w:val="000000"/>
                <w:spacing w:val="-6"/>
              </w:rPr>
              <w:footnoteReference w:id="9"/>
            </w:r>
            <w:r>
              <w:rPr>
                <w:color w:val="000000"/>
                <w:spacing w:val="-6"/>
              </w:rPr>
              <w:t xml:space="preserve">.   </w:t>
            </w:r>
          </w:p>
          <w:p w:rsidR="00C91671" w:rsidRPr="003D78A5" w:rsidRDefault="00C91671" w:rsidP="00541E59">
            <w:pPr>
              <w:pStyle w:val="Textpoznpodarou"/>
              <w:jc w:val="both"/>
              <w:rPr>
                <w:color w:val="000000"/>
                <w:spacing w:val="-6"/>
              </w:rPr>
            </w:pPr>
            <w:r>
              <w:rPr>
                <w:color w:val="000000"/>
                <w:spacing w:val="-6"/>
              </w:rPr>
              <w:t xml:space="preserve"> </w:t>
            </w:r>
            <w:r w:rsidRPr="00997EEB">
              <w:rPr>
                <w:color w:val="000000"/>
                <w:spacing w:val="-6"/>
              </w:rPr>
              <w:t xml:space="preserve"> </w:t>
            </w:r>
          </w:p>
        </w:tc>
      </w:tr>
      <w:tr w:rsidR="00C91671" w:rsidRPr="003D78A5" w:rsidTr="00541E59">
        <w:tc>
          <w:tcPr>
            <w:tcW w:w="1042" w:type="pct"/>
            <w:gridSpan w:val="3"/>
          </w:tcPr>
          <w:p w:rsidR="00C91671" w:rsidRPr="00602D1D" w:rsidRDefault="00C91671" w:rsidP="00541E59">
            <w:pPr>
              <w:spacing w:line="240" w:lineRule="auto"/>
              <w:rPr>
                <w:color w:val="000000"/>
                <w:sz w:val="16"/>
                <w:szCs w:val="16"/>
              </w:rPr>
            </w:pPr>
            <w:r>
              <w:rPr>
                <w:color w:val="000000"/>
                <w:sz w:val="16"/>
                <w:szCs w:val="16"/>
              </w:rPr>
              <w:t xml:space="preserve">Od roku 1990 (s výjimkou </w:t>
            </w:r>
            <w:r>
              <w:rPr>
                <w:color w:val="000000"/>
                <w:sz w:val="16"/>
                <w:szCs w:val="16"/>
              </w:rPr>
              <w:lastRenderedPageBreak/>
              <w:t>roku 1998 ovlivněného v ČR recesí) byl růst investic v ČR neustále rychlejší než na Slovensku a v roce 2014 byl proti roku 1990 vyšší o 87 %, zatímco v SR o 73 %</w:t>
            </w:r>
          </w:p>
        </w:tc>
        <w:tc>
          <w:tcPr>
            <w:tcW w:w="139" w:type="pct"/>
          </w:tcPr>
          <w:p w:rsidR="00C91671" w:rsidRDefault="00C91671" w:rsidP="00541E59">
            <w:pPr>
              <w:pStyle w:val="Textpoznpodarou"/>
              <w:jc w:val="both"/>
            </w:pPr>
          </w:p>
        </w:tc>
        <w:tc>
          <w:tcPr>
            <w:tcW w:w="3819" w:type="pct"/>
            <w:gridSpan w:val="4"/>
          </w:tcPr>
          <w:p w:rsidR="00C91671" w:rsidRDefault="00C91671" w:rsidP="00541E59">
            <w:pPr>
              <w:pStyle w:val="Textpoznpodarou"/>
              <w:jc w:val="both"/>
              <w:rPr>
                <w:color w:val="000000"/>
                <w:spacing w:val="-6"/>
              </w:rPr>
            </w:pPr>
            <w:r>
              <w:rPr>
                <w:color w:val="000000"/>
                <w:spacing w:val="-6"/>
              </w:rPr>
              <w:t xml:space="preserve">Investiční aktivita byla po propadu v roce 1991 v České republice relativně rychle </w:t>
            </w:r>
            <w:r>
              <w:rPr>
                <w:color w:val="000000"/>
                <w:spacing w:val="-6"/>
              </w:rPr>
              <w:lastRenderedPageBreak/>
              <w:t xml:space="preserve">obnovena, jak plyne z meziročních temp jejich růstu i z vývojových křivek grafu 39, který zachycuje vývoj k základně roku 1990. Slovensku trvalo déle, než došlo k oživení investic a po naprostou většinu sledovaného období – s výjimkou roku 1998, kdy v ČR pokračovala recese – byl růst fixních investic na Slovensku pomalejší než v ČR. Dokládají to zjištěné přírůstky fixních investic za obě země do roku 2004 a dále do roku 2014, propočítané k základu roku 1990 v grafu 39.  </w:t>
            </w:r>
          </w:p>
          <w:p w:rsidR="00C91671" w:rsidRPr="00C13DA3" w:rsidRDefault="00C91671" w:rsidP="00541E59">
            <w:pPr>
              <w:pStyle w:val="Textpoznpodarou"/>
              <w:jc w:val="both"/>
              <w:rPr>
                <w:color w:val="000000"/>
                <w:spacing w:val="-6"/>
                <w:sz w:val="12"/>
                <w:szCs w:val="12"/>
              </w:rPr>
            </w:pPr>
            <w:r w:rsidRPr="00997EEB">
              <w:rPr>
                <w:color w:val="000000"/>
                <w:spacing w:val="-6"/>
              </w:rPr>
              <w:t xml:space="preserve"> </w:t>
            </w:r>
          </w:p>
        </w:tc>
      </w:tr>
      <w:tr w:rsidR="00C91671" w:rsidRPr="003D78A5" w:rsidTr="00541E59">
        <w:tc>
          <w:tcPr>
            <w:tcW w:w="1042" w:type="pct"/>
            <w:gridSpan w:val="3"/>
          </w:tcPr>
          <w:p w:rsidR="00C91671" w:rsidRPr="00602D1D" w:rsidRDefault="00C91671" w:rsidP="00541E59">
            <w:pPr>
              <w:spacing w:line="240" w:lineRule="auto"/>
              <w:rPr>
                <w:color w:val="000000"/>
                <w:sz w:val="16"/>
                <w:szCs w:val="16"/>
              </w:rPr>
            </w:pPr>
            <w:r>
              <w:rPr>
                <w:color w:val="000000"/>
                <w:sz w:val="16"/>
                <w:szCs w:val="16"/>
              </w:rPr>
              <w:lastRenderedPageBreak/>
              <w:t xml:space="preserve">Slabší růst spotřeby slovenských domácností oproti českým trval až do roku 2009 a v roce 2014 byly přírůstky proti roku 1990 zhruba stejné (+41 % v ČR a +38 % v SR) – pro SR nepříznivá proporce se začala zlepšovat po roce 2004 </w:t>
            </w:r>
          </w:p>
        </w:tc>
        <w:tc>
          <w:tcPr>
            <w:tcW w:w="139" w:type="pct"/>
          </w:tcPr>
          <w:p w:rsidR="00C91671" w:rsidRDefault="00C91671" w:rsidP="00541E59">
            <w:pPr>
              <w:pStyle w:val="Textpoznpodarou"/>
              <w:jc w:val="both"/>
            </w:pPr>
          </w:p>
        </w:tc>
        <w:tc>
          <w:tcPr>
            <w:tcW w:w="3819" w:type="pct"/>
            <w:gridSpan w:val="4"/>
          </w:tcPr>
          <w:p w:rsidR="00C91671" w:rsidRDefault="00C91671" w:rsidP="00541E59">
            <w:pPr>
              <w:pStyle w:val="Textpoznpodarou"/>
              <w:jc w:val="both"/>
              <w:rPr>
                <w:color w:val="000000"/>
                <w:spacing w:val="-6"/>
              </w:rPr>
            </w:pPr>
            <w:r>
              <w:rPr>
                <w:color w:val="000000"/>
                <w:spacing w:val="-6"/>
              </w:rPr>
              <w:t>Stejně jako u fixních investic, tak i v případě výdajů na konečnou spotřebu domácností byl vývoj na Slovensku vztažený k základu roku 1990, tedy za doby federace, méně příznivý oproti vývoji v ČR. I přesto, že zhruba od roku 2008 se již přírůstek spotřeby domácností v ČR i na Slovensku do roku 2014 téměř vyrovnal (proti roku 1990 byl v ČR vyšší o 40,6 %, na Slovensku o 38,1 % v SR). Slovenské domácnosti však těžily prostřednictvím svých rostoucích nominálních disponibilních příjmů především z konjunktury v polovině předchozí dekády. Tehdy totiž srovnání mezi ČR a SR v dosažených přírůstcích výdajů domácností na konečnou spotřebu v roce 2004 proti roku 1998 ukazuje, že v ČR byl její nárůst zřetelně vyšší (+21,3 %) oproti nárůstu za slovenské domácnosti (+8,4 %).</w:t>
            </w:r>
          </w:p>
          <w:p w:rsidR="00C91671" w:rsidRPr="00C13DA3" w:rsidRDefault="00C91671" w:rsidP="00541E59">
            <w:pPr>
              <w:pStyle w:val="Textpoznpodarou"/>
              <w:jc w:val="both"/>
              <w:rPr>
                <w:color w:val="000000"/>
                <w:spacing w:val="-6"/>
                <w:sz w:val="16"/>
                <w:szCs w:val="16"/>
              </w:rPr>
            </w:pPr>
            <w:r>
              <w:rPr>
                <w:color w:val="000000"/>
                <w:spacing w:val="-6"/>
              </w:rPr>
              <w:t xml:space="preserve"> </w:t>
            </w:r>
            <w:r w:rsidRPr="00997EEB">
              <w:rPr>
                <w:color w:val="000000"/>
                <w:spacing w:val="-6"/>
              </w:rPr>
              <w:t xml:space="preserve"> </w:t>
            </w:r>
          </w:p>
        </w:tc>
      </w:tr>
      <w:tr w:rsidR="00C91671" w:rsidRPr="00817C98" w:rsidTr="00541E59">
        <w:trPr>
          <w:gridBefore w:val="1"/>
          <w:gridAfter w:val="1"/>
          <w:wBefore w:w="21" w:type="pct"/>
          <w:wAfter w:w="21" w:type="pct"/>
        </w:trPr>
        <w:tc>
          <w:tcPr>
            <w:tcW w:w="423" w:type="pct"/>
          </w:tcPr>
          <w:p w:rsidR="00C91671" w:rsidRDefault="00C91671" w:rsidP="00541E59">
            <w:pPr>
              <w:spacing w:line="240" w:lineRule="auto"/>
            </w:pPr>
            <w:r>
              <w:t>Graf 39</w:t>
            </w:r>
          </w:p>
        </w:tc>
        <w:tc>
          <w:tcPr>
            <w:tcW w:w="2027" w:type="pct"/>
            <w:gridSpan w:val="3"/>
          </w:tcPr>
          <w:p w:rsidR="00C91671" w:rsidRPr="00B84D64" w:rsidRDefault="00C91671" w:rsidP="00541E59">
            <w:pPr>
              <w:spacing w:line="240" w:lineRule="auto"/>
            </w:pPr>
            <w:r w:rsidRPr="00B84D64">
              <w:rPr>
                <w:b/>
              </w:rPr>
              <w:t>Investice</w:t>
            </w:r>
            <w:r w:rsidRPr="00B84D64">
              <w:t xml:space="preserve"> (přírůstek tvorby hrubého fixního kapitálu, reálně, 1990=100)</w:t>
            </w:r>
          </w:p>
        </w:tc>
        <w:tc>
          <w:tcPr>
            <w:tcW w:w="429" w:type="pct"/>
          </w:tcPr>
          <w:p w:rsidR="00C91671" w:rsidRDefault="00C91671" w:rsidP="00541E59">
            <w:pPr>
              <w:spacing w:line="240" w:lineRule="auto"/>
            </w:pPr>
            <w:r>
              <w:t>Graf 40</w:t>
            </w:r>
          </w:p>
        </w:tc>
        <w:tc>
          <w:tcPr>
            <w:tcW w:w="2079" w:type="pct"/>
          </w:tcPr>
          <w:p w:rsidR="00C91671" w:rsidRPr="00F82F33" w:rsidRDefault="00C91671" w:rsidP="00541E59">
            <w:pPr>
              <w:spacing w:line="240" w:lineRule="auto"/>
              <w:rPr>
                <w:rFonts w:cs="Arial"/>
                <w:bCs/>
              </w:rPr>
            </w:pPr>
            <w:r w:rsidRPr="00B84D64">
              <w:rPr>
                <w:rFonts w:cs="Arial"/>
                <w:b/>
                <w:bCs/>
              </w:rPr>
              <w:t xml:space="preserve">Výdaje domácností na konečnou spotřebu </w:t>
            </w:r>
            <w:r w:rsidRPr="00B84D64">
              <w:rPr>
                <w:rFonts w:cs="Arial"/>
                <w:bCs/>
              </w:rPr>
              <w:t>(reálně, 1990=100)</w:t>
            </w:r>
          </w:p>
        </w:tc>
      </w:tr>
      <w:tr w:rsidR="00C91671" w:rsidRPr="00C81DE5" w:rsidTr="00541E59">
        <w:trPr>
          <w:gridBefore w:val="1"/>
          <w:gridAfter w:val="1"/>
          <w:wBefore w:w="21" w:type="pct"/>
          <w:wAfter w:w="21" w:type="pct"/>
        </w:trPr>
        <w:tc>
          <w:tcPr>
            <w:tcW w:w="2450" w:type="pct"/>
            <w:gridSpan w:val="4"/>
          </w:tcPr>
          <w:p w:rsidR="00C91671" w:rsidRPr="00DA43AC" w:rsidRDefault="00306F79" w:rsidP="00541E59">
            <w:pPr>
              <w:pStyle w:val="Textpoznpodarou"/>
              <w:jc w:val="both"/>
              <w:rPr>
                <w:noProof/>
              </w:rPr>
            </w:pPr>
            <w:r>
              <w:rPr>
                <w:noProof/>
              </w:rPr>
              <w:pict>
                <v:shape id="_x0000_i1062" type="#_x0000_t75" style="width:232.5pt;height:183pt;visibility:visible" o:bordertopcolor="this" o:borderleftcolor="this" o:borderbottomcolor="this" o:borderrightcolor="this"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">
                  <v:imagedata r:id="rId54" o:title=""/>
                  <o:lock v:ext="edit" aspectratio="f"/>
                </v:shape>
              </w:pict>
            </w:r>
          </w:p>
        </w:tc>
        <w:tc>
          <w:tcPr>
            <w:tcW w:w="2508" w:type="pct"/>
            <w:gridSpan w:val="2"/>
          </w:tcPr>
          <w:p w:rsidR="00C91671" w:rsidRPr="00C81DE5" w:rsidRDefault="00306F79" w:rsidP="00541E59">
            <w:pPr>
              <w:pStyle w:val="Textpoznpodarou"/>
              <w:jc w:val="both"/>
            </w:pPr>
            <w:r>
              <w:rPr>
                <w:noProof/>
              </w:rPr>
              <w:pict>
                <v:shape id="_x0000_i1063" type="#_x0000_t75" style="width:228pt;height:183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">
                  <v:imagedata r:id="rId55" o:title=""/>
                  <o:lock v:ext="edit" aspectratio="f"/>
                </v:shape>
              </w:pict>
            </w:r>
          </w:p>
        </w:tc>
      </w:tr>
    </w:tbl>
    <w:p w:rsidR="00C91671" w:rsidRPr="001B1742" w:rsidRDefault="00C91671" w:rsidP="00C91671">
      <w:pPr>
        <w:rPr>
          <w:sz w:val="8"/>
          <w:szCs w:val="8"/>
        </w:rPr>
      </w:pPr>
    </w:p>
    <w:p w:rsidR="00C91671" w:rsidRDefault="00C91671" w:rsidP="00C91671">
      <w:pPr>
        <w:jc w:val="right"/>
        <w:rPr>
          <w:sz w:val="18"/>
          <w:szCs w:val="18"/>
        </w:rPr>
      </w:pPr>
      <w:r w:rsidRPr="00A14EDC">
        <w:rPr>
          <w:sz w:val="18"/>
          <w:szCs w:val="18"/>
        </w:rPr>
        <w:t xml:space="preserve">Pramen: </w:t>
      </w:r>
      <w:r>
        <w:rPr>
          <w:sz w:val="18"/>
          <w:szCs w:val="18"/>
        </w:rPr>
        <w:t xml:space="preserve">Historická ročenka národních účtů, </w:t>
      </w:r>
      <w:proofErr w:type="spellStart"/>
      <w:r w:rsidRPr="00A14EDC">
        <w:rPr>
          <w:sz w:val="18"/>
          <w:szCs w:val="18"/>
        </w:rPr>
        <w:t>Eurostat</w:t>
      </w:r>
      <w:proofErr w:type="spellEnd"/>
    </w:p>
    <w:p w:rsidR="00C91671" w:rsidRPr="00C13DA3" w:rsidRDefault="00C91671" w:rsidP="00C91671">
      <w:pPr>
        <w:jc w:val="right"/>
        <w:rPr>
          <w:sz w:val="12"/>
          <w:szCs w:val="12"/>
        </w:rPr>
      </w:pPr>
    </w:p>
    <w:tbl>
      <w:tblPr>
        <w:tblW w:w="5043" w:type="pct"/>
        <w:tblInd w:w="-42" w:type="dxa"/>
        <w:tblCellMar>
          <w:left w:w="28" w:type="dxa"/>
          <w:right w:w="28" w:type="dxa"/>
        </w:tblCellMar>
        <w:tblLook w:val="00A0"/>
      </w:tblPr>
      <w:tblGrid>
        <w:gridCol w:w="42"/>
        <w:gridCol w:w="827"/>
        <w:gridCol w:w="1169"/>
        <w:gridCol w:w="272"/>
        <w:gridCol w:w="2522"/>
        <w:gridCol w:w="839"/>
        <w:gridCol w:w="4065"/>
        <w:gridCol w:w="41"/>
      </w:tblGrid>
      <w:tr w:rsidR="00C91671" w:rsidRPr="003D78A5" w:rsidTr="00541E59">
        <w:tc>
          <w:tcPr>
            <w:tcW w:w="1042" w:type="pct"/>
            <w:gridSpan w:val="3"/>
          </w:tcPr>
          <w:p w:rsidR="00C91671" w:rsidRPr="00602D1D" w:rsidRDefault="00C91671" w:rsidP="00541E59">
            <w:pPr>
              <w:spacing w:line="240" w:lineRule="auto"/>
              <w:rPr>
                <w:color w:val="000000"/>
                <w:sz w:val="16"/>
                <w:szCs w:val="16"/>
              </w:rPr>
            </w:pPr>
            <w:r>
              <w:rPr>
                <w:color w:val="000000"/>
                <w:sz w:val="16"/>
                <w:szCs w:val="16"/>
              </w:rPr>
              <w:t>Vládní instituce na Slovensku utrácely více a v roce 2014 byly jejich výdaje proti roku 1990 vyšší o 55 %, zatímco v ČR o 32 %</w:t>
            </w:r>
          </w:p>
        </w:tc>
        <w:tc>
          <w:tcPr>
            <w:tcW w:w="139" w:type="pct"/>
          </w:tcPr>
          <w:p w:rsidR="00C91671" w:rsidRDefault="00C91671" w:rsidP="00541E59">
            <w:pPr>
              <w:pStyle w:val="Textpoznpodarou"/>
              <w:jc w:val="both"/>
            </w:pPr>
          </w:p>
        </w:tc>
        <w:tc>
          <w:tcPr>
            <w:tcW w:w="3819" w:type="pct"/>
            <w:gridSpan w:val="4"/>
          </w:tcPr>
          <w:p w:rsidR="00C91671" w:rsidRDefault="00C91671" w:rsidP="00541E59">
            <w:pPr>
              <w:pStyle w:val="Textpoznpodarou"/>
              <w:jc w:val="both"/>
              <w:rPr>
                <w:color w:val="000000"/>
                <w:spacing w:val="-6"/>
              </w:rPr>
            </w:pPr>
            <w:r>
              <w:rPr>
                <w:color w:val="000000"/>
                <w:spacing w:val="-6"/>
              </w:rPr>
              <w:t xml:space="preserve">Avšak na rozdíl od příznivějšího dlouhodobého vývoje fixních investic a výdajů na konečnou spotřebu domácností v České republice oproti Slovensku se výrazně lepší </w:t>
            </w:r>
            <w:proofErr w:type="gramStart"/>
            <w:r>
              <w:rPr>
                <w:color w:val="000000"/>
                <w:spacing w:val="-6"/>
              </w:rPr>
              <w:t>výsledek</w:t>
            </w:r>
            <w:r w:rsidR="00541E59">
              <w:rPr>
                <w:color w:val="000000"/>
                <w:spacing w:val="-6"/>
              </w:rPr>
              <w:t>(</w:t>
            </w:r>
            <w:r>
              <w:rPr>
                <w:color w:val="000000"/>
                <w:spacing w:val="-6"/>
              </w:rPr>
              <w:t>ve</w:t>
            </w:r>
            <w:proofErr w:type="gramEnd"/>
            <w:r>
              <w:rPr>
                <w:color w:val="000000"/>
                <w:spacing w:val="-6"/>
              </w:rPr>
              <w:t xml:space="preserve"> smyslu rychlejšího přírůstku za roky 1990-2014</w:t>
            </w:r>
            <w:r w:rsidR="00541E59">
              <w:rPr>
                <w:color w:val="000000"/>
                <w:spacing w:val="-6"/>
              </w:rPr>
              <w:t>)</w:t>
            </w:r>
            <w:r>
              <w:rPr>
                <w:color w:val="000000"/>
                <w:spacing w:val="-6"/>
              </w:rPr>
              <w:t xml:space="preserve">  projevil na Slovensku u výdajů vládních institucí na konečnou spotř</w:t>
            </w:r>
            <w:r w:rsidR="00541E59">
              <w:rPr>
                <w:color w:val="000000"/>
                <w:spacing w:val="-6"/>
              </w:rPr>
              <w:t>ebu. Z</w:t>
            </w:r>
            <w:r>
              <w:rPr>
                <w:color w:val="000000"/>
                <w:spacing w:val="-6"/>
              </w:rPr>
              <w:t>atím</w:t>
            </w:r>
            <w:r w:rsidR="00541E59">
              <w:rPr>
                <w:color w:val="000000"/>
                <w:spacing w:val="-6"/>
              </w:rPr>
              <w:t>co v ČR stouply za čtvrtstoletí</w:t>
            </w:r>
            <w:r w:rsidR="000677C9">
              <w:rPr>
                <w:color w:val="000000"/>
                <w:spacing w:val="-6"/>
              </w:rPr>
              <w:t xml:space="preserve"> </w:t>
            </w:r>
            <w:r>
              <w:rPr>
                <w:color w:val="000000"/>
                <w:spacing w:val="-6"/>
              </w:rPr>
              <w:t>(zahrnující transformační změny výdaje vládních institucí v ČR o necelou třetinu (+32,1</w:t>
            </w:r>
            <w:r w:rsidR="000677C9">
              <w:rPr>
                <w:color w:val="000000"/>
                <w:spacing w:val="-6"/>
              </w:rPr>
              <w:t> </w:t>
            </w:r>
            <w:r>
              <w:rPr>
                <w:color w:val="000000"/>
                <w:spacing w:val="-6"/>
              </w:rPr>
              <w:t>%), na Slovensku o více než polovinu (+55,1 %)</w:t>
            </w:r>
            <w:r w:rsidR="00541E59">
              <w:rPr>
                <w:color w:val="000000"/>
                <w:spacing w:val="-6"/>
              </w:rPr>
              <w:t>, jak ukazuje graf 41</w:t>
            </w:r>
            <w:r>
              <w:rPr>
                <w:color w:val="000000"/>
                <w:spacing w:val="-6"/>
              </w:rPr>
              <w:t xml:space="preserve">. </w:t>
            </w:r>
          </w:p>
          <w:p w:rsidR="00C91671" w:rsidRPr="00C13DA3" w:rsidRDefault="00C91671" w:rsidP="00541E59">
            <w:pPr>
              <w:pStyle w:val="Textpoznpodarou"/>
              <w:jc w:val="both"/>
              <w:rPr>
                <w:color w:val="000000"/>
                <w:spacing w:val="-6"/>
                <w:sz w:val="12"/>
                <w:szCs w:val="12"/>
              </w:rPr>
            </w:pPr>
            <w:r>
              <w:rPr>
                <w:color w:val="000000"/>
                <w:spacing w:val="-6"/>
              </w:rPr>
              <w:t xml:space="preserve"> </w:t>
            </w:r>
          </w:p>
        </w:tc>
      </w:tr>
      <w:tr w:rsidR="00C91671" w:rsidRPr="003D78A5" w:rsidTr="00541E59">
        <w:tc>
          <w:tcPr>
            <w:tcW w:w="1042" w:type="pct"/>
            <w:gridSpan w:val="3"/>
          </w:tcPr>
          <w:p w:rsidR="00C91671" w:rsidRPr="00602D1D" w:rsidRDefault="00C91671" w:rsidP="00541E59">
            <w:pPr>
              <w:spacing w:line="240" w:lineRule="auto"/>
              <w:rPr>
                <w:color w:val="000000"/>
                <w:sz w:val="16"/>
                <w:szCs w:val="16"/>
              </w:rPr>
            </w:pPr>
            <w:r>
              <w:rPr>
                <w:color w:val="000000"/>
                <w:sz w:val="16"/>
                <w:szCs w:val="16"/>
              </w:rPr>
              <w:t>Mohutné uvolňování vládních výdajů na Slovensku je patrné především po roce 2004…</w:t>
            </w:r>
          </w:p>
        </w:tc>
        <w:tc>
          <w:tcPr>
            <w:tcW w:w="139" w:type="pct"/>
          </w:tcPr>
          <w:p w:rsidR="00C91671" w:rsidRDefault="00C91671" w:rsidP="00541E59">
            <w:pPr>
              <w:pStyle w:val="Textpoznpodarou"/>
              <w:jc w:val="both"/>
            </w:pPr>
          </w:p>
        </w:tc>
        <w:tc>
          <w:tcPr>
            <w:tcW w:w="3819" w:type="pct"/>
            <w:gridSpan w:val="4"/>
          </w:tcPr>
          <w:p w:rsidR="00C91671" w:rsidRDefault="00C91671" w:rsidP="00541E59">
            <w:pPr>
              <w:pStyle w:val="Textpoznpodarou"/>
              <w:jc w:val="both"/>
              <w:rPr>
                <w:color w:val="000000"/>
                <w:spacing w:val="-6"/>
              </w:rPr>
            </w:pPr>
            <w:r>
              <w:rPr>
                <w:color w:val="000000"/>
                <w:spacing w:val="-6"/>
              </w:rPr>
              <w:t>K mohutnému uvolňování vládních výdajů začalo na Slovensku docházet po roce 2004 (graf 41), neboť do té doby byly jejich kumulativní přírůstky od roku 1990 vyšší v ČR (v roce 2004+22,6 % proti +17,6 % v SR). To však bylo zřejmě dáno velkým propadem těchto výdajů na Slovensku po roce 1990 (-15 %) patrným až do roku 1994.</w:t>
            </w:r>
          </w:p>
          <w:p w:rsidR="00C91671" w:rsidRPr="00C13DA3" w:rsidRDefault="00C91671" w:rsidP="00541E59">
            <w:pPr>
              <w:pStyle w:val="Textpoznpodarou"/>
              <w:jc w:val="both"/>
              <w:rPr>
                <w:color w:val="000000"/>
                <w:spacing w:val="-6"/>
                <w:sz w:val="12"/>
                <w:szCs w:val="12"/>
              </w:rPr>
            </w:pPr>
          </w:p>
        </w:tc>
      </w:tr>
      <w:tr w:rsidR="00C91671" w:rsidRPr="003D78A5" w:rsidTr="00541E59">
        <w:tc>
          <w:tcPr>
            <w:tcW w:w="1042" w:type="pct"/>
            <w:gridSpan w:val="3"/>
          </w:tcPr>
          <w:p w:rsidR="00C91671" w:rsidRPr="00602D1D" w:rsidRDefault="00C91671" w:rsidP="00541E59">
            <w:pPr>
              <w:spacing w:line="240" w:lineRule="auto"/>
              <w:rPr>
                <w:color w:val="000000"/>
                <w:sz w:val="16"/>
                <w:szCs w:val="16"/>
              </w:rPr>
            </w:pPr>
            <w:r>
              <w:rPr>
                <w:color w:val="000000"/>
                <w:sz w:val="16"/>
                <w:szCs w:val="16"/>
              </w:rPr>
              <w:t>…což zřejmě živilo ekonomickou konjunkturu</w:t>
            </w:r>
          </w:p>
        </w:tc>
        <w:tc>
          <w:tcPr>
            <w:tcW w:w="139" w:type="pct"/>
          </w:tcPr>
          <w:p w:rsidR="00C91671" w:rsidRDefault="00C91671" w:rsidP="00541E59">
            <w:pPr>
              <w:pStyle w:val="Textpoznpodarou"/>
              <w:jc w:val="both"/>
            </w:pPr>
          </w:p>
        </w:tc>
        <w:tc>
          <w:tcPr>
            <w:tcW w:w="3819" w:type="pct"/>
            <w:gridSpan w:val="4"/>
          </w:tcPr>
          <w:p w:rsidR="00C91671" w:rsidRDefault="00C91671" w:rsidP="00541E59">
            <w:pPr>
              <w:spacing w:line="240" w:lineRule="auto"/>
              <w:jc w:val="both"/>
            </w:pPr>
            <w:r>
              <w:t xml:space="preserve">Po roce 2004 se silná dynamika výdajů vládních institucí SR, jež byla patrná v letech tamější ekonomické konjunktury a tuto konjunkturu bezesporu živila, projevila ve velmi výrazném konečném přírůstku za období 1990-2014. </w:t>
            </w:r>
          </w:p>
          <w:p w:rsidR="00C91671" w:rsidRPr="00C13DA3" w:rsidRDefault="00C91671" w:rsidP="00541E59">
            <w:pPr>
              <w:spacing w:line="240" w:lineRule="auto"/>
              <w:jc w:val="both"/>
              <w:rPr>
                <w:color w:val="000000"/>
                <w:spacing w:val="-6"/>
                <w:sz w:val="12"/>
                <w:szCs w:val="12"/>
              </w:rPr>
            </w:pPr>
          </w:p>
        </w:tc>
      </w:tr>
      <w:tr w:rsidR="00C91671" w:rsidRPr="003D78A5" w:rsidTr="00541E59">
        <w:tc>
          <w:tcPr>
            <w:tcW w:w="1042" w:type="pct"/>
            <w:gridSpan w:val="3"/>
          </w:tcPr>
          <w:p w:rsidR="00C91671" w:rsidRDefault="00C91671" w:rsidP="00541E59">
            <w:pPr>
              <w:spacing w:line="240" w:lineRule="auto"/>
              <w:rPr>
                <w:color w:val="000000"/>
                <w:sz w:val="16"/>
                <w:szCs w:val="16"/>
              </w:rPr>
            </w:pPr>
            <w:r>
              <w:rPr>
                <w:color w:val="000000"/>
                <w:sz w:val="16"/>
                <w:szCs w:val="16"/>
              </w:rPr>
              <w:t>Hrubý konsolidovaný dluh vládních institucí v relaci k HDP byl na Slovensku v roce 1995 vyšší než v ČR, ovšem po roce 2000 začala jeho relace klesat díky sílící výkonnosti ekonomik y SR a uskutečňovaných reforem směřujících k po</w:t>
            </w:r>
            <w:r w:rsidR="00541E59">
              <w:rPr>
                <w:color w:val="000000"/>
                <w:sz w:val="16"/>
                <w:szCs w:val="16"/>
              </w:rPr>
              <w:t>tlačování dluhového financování</w:t>
            </w:r>
          </w:p>
        </w:tc>
        <w:tc>
          <w:tcPr>
            <w:tcW w:w="139" w:type="pct"/>
          </w:tcPr>
          <w:p w:rsidR="00C91671" w:rsidRDefault="00C91671" w:rsidP="00541E59">
            <w:pPr>
              <w:pStyle w:val="Textpoznpodarou"/>
              <w:jc w:val="both"/>
            </w:pPr>
          </w:p>
        </w:tc>
        <w:tc>
          <w:tcPr>
            <w:tcW w:w="3819" w:type="pct"/>
            <w:gridSpan w:val="4"/>
          </w:tcPr>
          <w:p w:rsidR="00C91671" w:rsidRDefault="00C91671" w:rsidP="00541E59">
            <w:pPr>
              <w:spacing w:line="240" w:lineRule="auto"/>
              <w:jc w:val="both"/>
            </w:pPr>
            <w:r w:rsidRPr="00B84D64">
              <w:t xml:space="preserve">Hrubá zadluženost vlády SR k HDP v roce 1995 </w:t>
            </w:r>
            <w:r>
              <w:t xml:space="preserve">byla </w:t>
            </w:r>
            <w:r w:rsidRPr="00B84D64">
              <w:t>vyšší než v</w:t>
            </w:r>
            <w:r>
              <w:t> </w:t>
            </w:r>
            <w:r w:rsidRPr="00B84D64">
              <w:t>ČR</w:t>
            </w:r>
            <w:r>
              <w:t xml:space="preserve"> a i její vývoj byl </w:t>
            </w:r>
            <w:proofErr w:type="spellStart"/>
            <w:r w:rsidRPr="00B84D64">
              <w:t>volatilnější</w:t>
            </w:r>
            <w:proofErr w:type="spellEnd"/>
            <w:r w:rsidRPr="00B84D64">
              <w:t xml:space="preserve">  - po roce 2000 </w:t>
            </w:r>
            <w:r>
              <w:t xml:space="preserve">poklesl hrubý konsolidovaný dluh vládních institucí na Slovensku v relaci k HDP nejen silnou výkonností ekonomiky, ale </w:t>
            </w:r>
            <w:r w:rsidRPr="00B84D64">
              <w:t>zřejmě i vlivem uskutečňovaných reforem</w:t>
            </w:r>
            <w:r>
              <w:t xml:space="preserve">. </w:t>
            </w:r>
            <w:r w:rsidRPr="00B84D64">
              <w:t xml:space="preserve"> </w:t>
            </w:r>
          </w:p>
          <w:p w:rsidR="00C91671" w:rsidRPr="00541E59" w:rsidRDefault="00C91671" w:rsidP="00541E59">
            <w:pPr>
              <w:spacing w:line="240" w:lineRule="auto"/>
              <w:jc w:val="both"/>
              <w:rPr>
                <w:sz w:val="10"/>
                <w:szCs w:val="10"/>
              </w:rPr>
            </w:pPr>
          </w:p>
          <w:p w:rsidR="00C91671" w:rsidRDefault="00C91671" w:rsidP="00541E59">
            <w:pPr>
              <w:spacing w:line="240" w:lineRule="auto"/>
              <w:jc w:val="both"/>
            </w:pPr>
            <w:r>
              <w:t xml:space="preserve">Po krizi v roce </w:t>
            </w:r>
            <w:r w:rsidRPr="00B84D64">
              <w:t>2009 rost</w:t>
            </w:r>
            <w:r>
              <w:t>l</w:t>
            </w:r>
            <w:r w:rsidRPr="00B84D64">
              <w:t xml:space="preserve"> </w:t>
            </w:r>
            <w:r>
              <w:t>hrubý konsolidovaný dluh S</w:t>
            </w:r>
            <w:r w:rsidRPr="00B84D64">
              <w:t>lovensk</w:t>
            </w:r>
            <w:r>
              <w:t>a</w:t>
            </w:r>
            <w:r w:rsidRPr="00B84D64">
              <w:t xml:space="preserve"> </w:t>
            </w:r>
            <w:r>
              <w:t xml:space="preserve">opět rychleji (grafu 43), ovšem právě vysokým růstem slovenské ekonomiky byl rostoucí dluh v absolutním vyjádření (grafu 43) vcelku úspěšně </w:t>
            </w:r>
            <w:proofErr w:type="spellStart"/>
            <w:r>
              <w:t>ufinancováván</w:t>
            </w:r>
            <w:proofErr w:type="spellEnd"/>
            <w:r>
              <w:t xml:space="preserve">. Za </w:t>
            </w:r>
            <w:r w:rsidRPr="00B84D64">
              <w:t xml:space="preserve">1995-2014  </w:t>
            </w:r>
            <w:r>
              <w:t xml:space="preserve">narostla relativní hrubá zadluženost SR o 31,8 </w:t>
            </w:r>
            <w:proofErr w:type="spellStart"/>
            <w:r>
              <w:t>pb</w:t>
            </w:r>
            <w:proofErr w:type="spellEnd"/>
            <w:r>
              <w:t xml:space="preserve">., zatímco v ČR o 21,9 </w:t>
            </w:r>
            <w:proofErr w:type="spellStart"/>
            <w:r>
              <w:t>pb</w:t>
            </w:r>
            <w:proofErr w:type="spellEnd"/>
            <w:r>
              <w:t xml:space="preserve">. </w:t>
            </w:r>
          </w:p>
          <w:p w:rsidR="00C91671" w:rsidRPr="004B65DD" w:rsidRDefault="00C91671" w:rsidP="00541E59">
            <w:pPr>
              <w:spacing w:line="240" w:lineRule="auto"/>
              <w:jc w:val="both"/>
              <w:rPr>
                <w:sz w:val="12"/>
                <w:szCs w:val="12"/>
              </w:rPr>
            </w:pPr>
          </w:p>
        </w:tc>
      </w:tr>
      <w:tr w:rsidR="00C91671" w:rsidRPr="003D78A5" w:rsidTr="00541E59">
        <w:tc>
          <w:tcPr>
            <w:tcW w:w="1042" w:type="pct"/>
            <w:gridSpan w:val="3"/>
          </w:tcPr>
          <w:p w:rsidR="00C91671" w:rsidRDefault="00C91671" w:rsidP="00541E59">
            <w:pPr>
              <w:spacing w:line="240" w:lineRule="auto"/>
              <w:rPr>
                <w:color w:val="000000"/>
                <w:sz w:val="16"/>
                <w:szCs w:val="16"/>
              </w:rPr>
            </w:pPr>
            <w:r>
              <w:rPr>
                <w:color w:val="000000"/>
                <w:sz w:val="16"/>
                <w:szCs w:val="16"/>
              </w:rPr>
              <w:t xml:space="preserve">Deficity slovenských vládních institucí byly </w:t>
            </w:r>
            <w:r>
              <w:rPr>
                <w:color w:val="000000"/>
                <w:sz w:val="16"/>
                <w:szCs w:val="16"/>
              </w:rPr>
              <w:lastRenderedPageBreak/>
              <w:t>během posledních dvou dekád hlubší než v (CR v průměru za roky1995-2014 -5,2 % proti -4 % c ČR</w:t>
            </w:r>
          </w:p>
        </w:tc>
        <w:tc>
          <w:tcPr>
            <w:tcW w:w="139" w:type="pct"/>
          </w:tcPr>
          <w:p w:rsidR="00C91671" w:rsidRDefault="00C91671" w:rsidP="00541E59">
            <w:pPr>
              <w:pStyle w:val="Textpoznpodarou"/>
              <w:jc w:val="both"/>
            </w:pPr>
          </w:p>
        </w:tc>
        <w:tc>
          <w:tcPr>
            <w:tcW w:w="3819" w:type="pct"/>
            <w:gridSpan w:val="4"/>
          </w:tcPr>
          <w:p w:rsidR="00C91671" w:rsidRDefault="00C91671" w:rsidP="00541E59">
            <w:pPr>
              <w:spacing w:line="240" w:lineRule="auto"/>
              <w:jc w:val="both"/>
            </w:pPr>
            <w:r w:rsidRPr="00B84D64">
              <w:t>Slovenské vlády hospodaři</w:t>
            </w:r>
            <w:r>
              <w:t xml:space="preserve">ly během posledních dvou dekád </w:t>
            </w:r>
            <w:r w:rsidRPr="00B84D64">
              <w:t xml:space="preserve">s vesměs hlubšími </w:t>
            </w:r>
            <w:r w:rsidRPr="00B84D64">
              <w:lastRenderedPageBreak/>
              <w:t xml:space="preserve">relativními deficity než vlády v ČR </w:t>
            </w:r>
            <w:r>
              <w:t>(v průměru s -</w:t>
            </w:r>
            <w:r w:rsidRPr="00B84D64">
              <w:t xml:space="preserve">5,2 % HDP </w:t>
            </w:r>
            <w:r>
              <w:t xml:space="preserve">za roky 1995-2014 </w:t>
            </w:r>
            <w:r w:rsidRPr="00B84D64">
              <w:t>proti -4 % v</w:t>
            </w:r>
            <w:r>
              <w:t> Č</w:t>
            </w:r>
            <w:r w:rsidR="00541E59">
              <w:t>R</w:t>
            </w:r>
            <w:r>
              <w:t>). Kumulace deficitů do</w:t>
            </w:r>
            <w:r w:rsidRPr="00B84D64">
              <w:t xml:space="preserve"> dluhu </w:t>
            </w:r>
            <w:r>
              <w:t xml:space="preserve">vedla </w:t>
            </w:r>
            <w:r w:rsidRPr="00B84D64">
              <w:t xml:space="preserve">za léta 1995-2014 </w:t>
            </w:r>
            <w:r>
              <w:t xml:space="preserve">k jeho </w:t>
            </w:r>
            <w:r w:rsidRPr="00B84D64">
              <w:t>absolutn</w:t>
            </w:r>
            <w:r>
              <w:t xml:space="preserve">ímu zvětšení </w:t>
            </w:r>
            <w:r w:rsidRPr="00B84D64">
              <w:t>(v eurech) 10,7krát v ČR a 12,2krát v SR (v</w:t>
            </w:r>
            <w:r>
              <w:t>yjádřeno v</w:t>
            </w:r>
            <w:r w:rsidRPr="00B84D64">
              <w:t xml:space="preserve"> národní měně </w:t>
            </w:r>
            <w:r>
              <w:t xml:space="preserve">stoupl </w:t>
            </w:r>
            <w:r w:rsidRPr="00B84D64">
              <w:t>8,5krát, resp. 9,4krát</w:t>
            </w:r>
            <w:r>
              <w:t>).</w:t>
            </w:r>
          </w:p>
          <w:p w:rsidR="00C91671" w:rsidRPr="00541E59" w:rsidRDefault="00C91671" w:rsidP="00541E59">
            <w:pPr>
              <w:pStyle w:val="Textpoznpodarou"/>
              <w:jc w:val="both"/>
              <w:rPr>
                <w:color w:val="000000"/>
                <w:spacing w:val="-6"/>
                <w:sz w:val="8"/>
                <w:szCs w:val="8"/>
              </w:rPr>
            </w:pPr>
          </w:p>
          <w:p w:rsidR="00C91671" w:rsidRDefault="00C91671" w:rsidP="00541E59">
            <w:pPr>
              <w:pStyle w:val="Textpoznpodarou"/>
              <w:jc w:val="both"/>
              <w:rPr>
                <w:color w:val="000000"/>
                <w:spacing w:val="-6"/>
              </w:rPr>
            </w:pPr>
            <w:r>
              <w:rPr>
                <w:color w:val="000000"/>
                <w:spacing w:val="-6"/>
              </w:rPr>
              <w:t xml:space="preserve">S jistým zjednodušením lze tedy říci, že slovenský růst byl tažen – mimo exportní expanzi po roce 2007 – také hospodářskou politikou využívající ve velké míře dluh, tj. rychle rostoucí výdaje vlády a že tato politika vedla k podpoře ekonomického růstu Slovenska. </w:t>
            </w:r>
          </w:p>
          <w:p w:rsidR="00C91671" w:rsidRDefault="00C91671" w:rsidP="00541E59">
            <w:pPr>
              <w:pStyle w:val="Textpoznpodarou"/>
              <w:jc w:val="both"/>
            </w:pPr>
          </w:p>
        </w:tc>
      </w:tr>
      <w:tr w:rsidR="00C91671" w:rsidRPr="00817C98" w:rsidTr="00541E59">
        <w:trPr>
          <w:gridBefore w:val="1"/>
          <w:gridAfter w:val="1"/>
          <w:wBefore w:w="21" w:type="pct"/>
          <w:wAfter w:w="21" w:type="pct"/>
        </w:trPr>
        <w:tc>
          <w:tcPr>
            <w:tcW w:w="423" w:type="pct"/>
          </w:tcPr>
          <w:p w:rsidR="00C91671" w:rsidRDefault="00C91671" w:rsidP="00541E59">
            <w:pPr>
              <w:spacing w:line="240" w:lineRule="auto"/>
            </w:pPr>
            <w:r>
              <w:lastRenderedPageBreak/>
              <w:t>Graf 41</w:t>
            </w:r>
          </w:p>
        </w:tc>
        <w:tc>
          <w:tcPr>
            <w:tcW w:w="2027" w:type="pct"/>
            <w:gridSpan w:val="3"/>
          </w:tcPr>
          <w:p w:rsidR="00C91671" w:rsidRPr="00B84D64" w:rsidRDefault="00C91671" w:rsidP="00541E59">
            <w:pPr>
              <w:rPr>
                <w:b/>
              </w:rPr>
            </w:pPr>
            <w:r w:rsidRPr="00B84D64">
              <w:rPr>
                <w:b/>
              </w:rPr>
              <w:t xml:space="preserve">Výdaje na konečnou spotřebu vládního </w:t>
            </w:r>
            <w:r>
              <w:rPr>
                <w:b/>
              </w:rPr>
              <w:t>institucí</w:t>
            </w:r>
            <w:r w:rsidRPr="00B84D64">
              <w:rPr>
                <w:b/>
              </w:rPr>
              <w:t xml:space="preserve"> </w:t>
            </w:r>
            <w:r w:rsidRPr="00B84D64">
              <w:t>(reálně, 1990=100)</w:t>
            </w:r>
          </w:p>
        </w:tc>
        <w:tc>
          <w:tcPr>
            <w:tcW w:w="429" w:type="pct"/>
          </w:tcPr>
          <w:p w:rsidR="00C91671" w:rsidRDefault="00C91671" w:rsidP="00541E59">
            <w:pPr>
              <w:spacing w:line="240" w:lineRule="auto"/>
            </w:pPr>
            <w:r>
              <w:t>Graf 42</w:t>
            </w:r>
          </w:p>
        </w:tc>
        <w:tc>
          <w:tcPr>
            <w:tcW w:w="2079" w:type="pct"/>
          </w:tcPr>
          <w:p w:rsidR="00C91671" w:rsidRPr="00B84D64" w:rsidRDefault="00C91671" w:rsidP="00541E59">
            <w:pPr>
              <w:spacing w:line="240" w:lineRule="auto"/>
              <w:rPr>
                <w:rFonts w:cs="Arial"/>
                <w:bCs/>
              </w:rPr>
            </w:pPr>
            <w:r w:rsidRPr="00B84D64">
              <w:rPr>
                <w:rFonts w:cs="Arial"/>
                <w:b/>
                <w:bCs/>
              </w:rPr>
              <w:t xml:space="preserve">Export zboží a služeb </w:t>
            </w:r>
            <w:r w:rsidRPr="00B84D64">
              <w:rPr>
                <w:rFonts w:cs="Arial"/>
                <w:bCs/>
              </w:rPr>
              <w:t>(reálně, 1990=100)</w:t>
            </w:r>
          </w:p>
          <w:p w:rsidR="00C91671" w:rsidRPr="00817C98" w:rsidRDefault="00C91671" w:rsidP="00541E59">
            <w:pPr>
              <w:spacing w:line="240" w:lineRule="auto"/>
              <w:rPr>
                <w:rFonts w:cs="Arial"/>
                <w:b/>
                <w:bCs/>
              </w:rPr>
            </w:pPr>
          </w:p>
        </w:tc>
      </w:tr>
      <w:tr w:rsidR="00C91671" w:rsidRPr="00C81DE5" w:rsidTr="00541E59">
        <w:trPr>
          <w:gridBefore w:val="1"/>
          <w:gridAfter w:val="1"/>
          <w:wBefore w:w="21" w:type="pct"/>
          <w:wAfter w:w="21" w:type="pct"/>
        </w:trPr>
        <w:tc>
          <w:tcPr>
            <w:tcW w:w="2450" w:type="pct"/>
            <w:gridSpan w:val="4"/>
          </w:tcPr>
          <w:p w:rsidR="00C91671" w:rsidRPr="004F4853" w:rsidRDefault="00306F79" w:rsidP="00541E59">
            <w:pPr>
              <w:pStyle w:val="Textpoznpodarou"/>
              <w:jc w:val="both"/>
              <w:rPr>
                <w:noProof/>
              </w:rPr>
            </w:pPr>
            <w:r>
              <w:rPr>
                <w:noProof/>
              </w:rPr>
              <w:pict>
                <v:shape id="Graf 4" o:spid="_x0000_i1064" type="#_x0000_t75" style="width:231.75pt;height:186.7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">
                  <v:imagedata r:id="rId56" o:title="" cropbottom="-25f"/>
                  <o:lock v:ext="edit" aspectratio="f"/>
                </v:shape>
              </w:pict>
            </w:r>
          </w:p>
          <w:p w:rsidR="00C91671" w:rsidRPr="00D86B73" w:rsidRDefault="00C91671" w:rsidP="00541E59">
            <w:pPr>
              <w:jc w:val="right"/>
              <w:rPr>
                <w:sz w:val="18"/>
                <w:szCs w:val="18"/>
              </w:rPr>
            </w:pPr>
            <w:r>
              <w:rPr>
                <w:noProof/>
              </w:rPr>
              <w:t xml:space="preserve">                                                                            </w:t>
            </w:r>
          </w:p>
        </w:tc>
        <w:tc>
          <w:tcPr>
            <w:tcW w:w="2508" w:type="pct"/>
            <w:gridSpan w:val="2"/>
          </w:tcPr>
          <w:p w:rsidR="00C91671" w:rsidRDefault="00306F79" w:rsidP="00541E59">
            <w:pPr>
              <w:pStyle w:val="Textpoznpodarou"/>
              <w:jc w:val="both"/>
              <w:rPr>
                <w:noProof/>
              </w:rPr>
            </w:pPr>
            <w:r>
              <w:rPr>
                <w:noProof/>
              </w:rPr>
              <w:pict>
                <v:shape id="Graf 5" o:spid="_x0000_i1065" type="#_x0000_t75" style="width:225pt;height:186.7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">
                  <v:imagedata r:id="rId57" o:title=""/>
                  <o:lock v:ext="edit" aspectratio="f"/>
                </v:shape>
              </w:pict>
            </w:r>
          </w:p>
          <w:p w:rsidR="00C91671" w:rsidRDefault="00C91671" w:rsidP="00541E59">
            <w:pPr>
              <w:jc w:val="right"/>
              <w:rPr>
                <w:sz w:val="18"/>
                <w:szCs w:val="18"/>
              </w:rPr>
            </w:pPr>
            <w:r w:rsidRPr="00A14EDC">
              <w:rPr>
                <w:sz w:val="18"/>
                <w:szCs w:val="18"/>
              </w:rPr>
              <w:t xml:space="preserve">Pramen: </w:t>
            </w:r>
            <w:r>
              <w:rPr>
                <w:sz w:val="18"/>
                <w:szCs w:val="18"/>
              </w:rPr>
              <w:t xml:space="preserve">Historická ročenka národních účtů, </w:t>
            </w:r>
            <w:proofErr w:type="spellStart"/>
            <w:r w:rsidRPr="00A14EDC">
              <w:rPr>
                <w:sz w:val="18"/>
                <w:szCs w:val="18"/>
              </w:rPr>
              <w:t>Eurosta</w:t>
            </w:r>
            <w:r>
              <w:rPr>
                <w:sz w:val="18"/>
                <w:szCs w:val="18"/>
              </w:rPr>
              <w:t>t</w:t>
            </w:r>
            <w:proofErr w:type="spellEnd"/>
          </w:p>
          <w:p w:rsidR="00C91671" w:rsidRPr="00C91671" w:rsidRDefault="00C91671" w:rsidP="00541E59">
            <w:pPr>
              <w:jc w:val="right"/>
              <w:rPr>
                <w:sz w:val="4"/>
                <w:szCs w:val="4"/>
              </w:rPr>
            </w:pPr>
          </w:p>
        </w:tc>
      </w:tr>
      <w:tr w:rsidR="00C91671" w:rsidRPr="003D78A5" w:rsidTr="00541E59">
        <w:tc>
          <w:tcPr>
            <w:tcW w:w="1042" w:type="pct"/>
            <w:gridSpan w:val="3"/>
          </w:tcPr>
          <w:p w:rsidR="00C91671" w:rsidRPr="00602D1D" w:rsidRDefault="00C91671" w:rsidP="00C91671">
            <w:pPr>
              <w:spacing w:line="240" w:lineRule="auto"/>
              <w:rPr>
                <w:color w:val="000000"/>
                <w:sz w:val="16"/>
                <w:szCs w:val="16"/>
              </w:rPr>
            </w:pPr>
            <w:r>
              <w:rPr>
                <w:color w:val="000000"/>
                <w:sz w:val="16"/>
                <w:szCs w:val="16"/>
              </w:rPr>
              <w:t>Export zboží a služeb ze SR i ČR výrazně stoupl a v roce 2014 byl vyšší než v roce 1990 o 483 % (ČR a o 411 % (SR) – export z ČR se obnovil po transformačním propadu rychleji a tento odstup od růstové dynamiky slovenského exportu se v dalších letech udržel</w:t>
            </w:r>
          </w:p>
        </w:tc>
        <w:tc>
          <w:tcPr>
            <w:tcW w:w="139" w:type="pct"/>
          </w:tcPr>
          <w:p w:rsidR="00C91671" w:rsidRDefault="00C91671" w:rsidP="00541E59">
            <w:pPr>
              <w:pStyle w:val="Textpoznpodarou"/>
              <w:jc w:val="both"/>
            </w:pPr>
          </w:p>
        </w:tc>
        <w:tc>
          <w:tcPr>
            <w:tcW w:w="3819" w:type="pct"/>
            <w:gridSpan w:val="4"/>
          </w:tcPr>
          <w:p w:rsidR="00C91671" w:rsidRDefault="00C91671" w:rsidP="00541E59">
            <w:pPr>
              <w:pStyle w:val="Textpoznpodarou"/>
              <w:jc w:val="both"/>
              <w:rPr>
                <w:color w:val="000000"/>
                <w:spacing w:val="-6"/>
              </w:rPr>
            </w:pPr>
            <w:r>
              <w:rPr>
                <w:color w:val="000000"/>
                <w:spacing w:val="-6"/>
              </w:rPr>
              <w:t>Přestože data z kapitoly 3 analyzující období 1998-2014 a jeho mezi-etapy ukázala rychlejší růst exportu zboží a služeb ze Slovenska oproti exportu z ČR, prodloužení časové řady na počátek dekády 90. let ukazuje jiný výsledek.  Obě země ukázaly impozantní růst, kdy objemy exportu zboží a služeb v reálném vyjádření stouply v obou případech pěti- resp. šestinásobně. Ovšem přírůstky za ČR byly vyšší oproti Slovensku nejen za celou pětadvacetiletou řadu, ale už za roky 1990-2004 (tehdy +229,4 % v exportech zboží a služeb z ČR oproti +147,2 % přírůstku Slovenska).</w:t>
            </w:r>
            <w:r w:rsidR="000677C9">
              <w:rPr>
                <w:color w:val="000000"/>
                <w:spacing w:val="-6"/>
              </w:rPr>
              <w:t xml:space="preserve"> </w:t>
            </w:r>
            <w:r>
              <w:rPr>
                <w:color w:val="000000"/>
                <w:spacing w:val="-6"/>
              </w:rPr>
              <w:t>Exportní způsobilost ČR se projevila ve srovnání se SR především v rychlejším obnovení temp růstu již po roce 1990 a tento odstup se v dalších letech udržoval, resp. sílil.</w:t>
            </w:r>
          </w:p>
          <w:p w:rsidR="00C91671" w:rsidRPr="003D78A5" w:rsidRDefault="00C91671" w:rsidP="00541E59">
            <w:pPr>
              <w:pStyle w:val="Textpoznpodarou"/>
              <w:jc w:val="both"/>
              <w:rPr>
                <w:color w:val="000000"/>
                <w:spacing w:val="-6"/>
              </w:rPr>
            </w:pPr>
          </w:p>
        </w:tc>
      </w:tr>
      <w:tr w:rsidR="00C91671" w:rsidRPr="00817C98" w:rsidTr="00541E59">
        <w:trPr>
          <w:gridBefore w:val="1"/>
          <w:gridAfter w:val="1"/>
          <w:wBefore w:w="21" w:type="pct"/>
          <w:wAfter w:w="21" w:type="pct"/>
        </w:trPr>
        <w:tc>
          <w:tcPr>
            <w:tcW w:w="423" w:type="pct"/>
          </w:tcPr>
          <w:p w:rsidR="00C91671" w:rsidRPr="00C13DA3" w:rsidRDefault="00C91671" w:rsidP="00541E59">
            <w:pPr>
              <w:spacing w:line="240" w:lineRule="auto"/>
              <w:rPr>
                <w:sz w:val="4"/>
                <w:szCs w:val="4"/>
              </w:rPr>
            </w:pPr>
          </w:p>
          <w:p w:rsidR="00C91671" w:rsidRDefault="00C91671" w:rsidP="00541E59">
            <w:pPr>
              <w:spacing w:line="240" w:lineRule="auto"/>
            </w:pPr>
            <w:r>
              <w:t>Graf 43</w:t>
            </w:r>
          </w:p>
        </w:tc>
        <w:tc>
          <w:tcPr>
            <w:tcW w:w="2027" w:type="pct"/>
            <w:gridSpan w:val="3"/>
          </w:tcPr>
          <w:p w:rsidR="00C91671" w:rsidRPr="00C13DA3" w:rsidRDefault="00C91671" w:rsidP="00541E59">
            <w:pPr>
              <w:pStyle w:val="Textpoznpodarou"/>
              <w:rPr>
                <w:rFonts w:cs="Arial"/>
                <w:b/>
                <w:bCs/>
                <w:sz w:val="4"/>
                <w:szCs w:val="4"/>
              </w:rPr>
            </w:pPr>
          </w:p>
          <w:p w:rsidR="00C91671" w:rsidRDefault="00C91671" w:rsidP="00541E59">
            <w:pPr>
              <w:pStyle w:val="Textpoznpodarou"/>
              <w:rPr>
                <w:rFonts w:cs="Arial"/>
                <w:szCs w:val="24"/>
              </w:rPr>
            </w:pPr>
            <w:r>
              <w:rPr>
                <w:rFonts w:cs="Arial"/>
                <w:b/>
                <w:bCs/>
              </w:rPr>
              <w:t xml:space="preserve">Hrubý konsolidovaný dluh vládních institucí </w:t>
            </w:r>
            <w:r>
              <w:rPr>
                <w:rFonts w:cs="Arial"/>
                <w:bCs/>
              </w:rPr>
              <w:t xml:space="preserve">(v % </w:t>
            </w:r>
            <w:proofErr w:type="spellStart"/>
            <w:r>
              <w:rPr>
                <w:rFonts w:cs="Arial"/>
                <w:bCs/>
              </w:rPr>
              <w:t>nom</w:t>
            </w:r>
            <w:proofErr w:type="spellEnd"/>
            <w:r>
              <w:rPr>
                <w:rFonts w:cs="Arial"/>
                <w:bCs/>
              </w:rPr>
              <w:t xml:space="preserve">. HDP) </w:t>
            </w:r>
          </w:p>
        </w:tc>
        <w:tc>
          <w:tcPr>
            <w:tcW w:w="429" w:type="pct"/>
          </w:tcPr>
          <w:p w:rsidR="00C91671" w:rsidRPr="00C13DA3" w:rsidRDefault="00C91671" w:rsidP="00541E59">
            <w:pPr>
              <w:spacing w:line="240" w:lineRule="auto"/>
              <w:rPr>
                <w:sz w:val="4"/>
                <w:szCs w:val="4"/>
              </w:rPr>
            </w:pPr>
          </w:p>
          <w:p w:rsidR="00C91671" w:rsidRDefault="00C91671" w:rsidP="00541E59">
            <w:pPr>
              <w:spacing w:line="240" w:lineRule="auto"/>
            </w:pPr>
            <w:r>
              <w:t xml:space="preserve">Graf 44   </w:t>
            </w:r>
          </w:p>
        </w:tc>
        <w:tc>
          <w:tcPr>
            <w:tcW w:w="2079" w:type="pct"/>
          </w:tcPr>
          <w:p w:rsidR="00C91671" w:rsidRPr="00C13DA3" w:rsidRDefault="00C91671" w:rsidP="00541E59">
            <w:pPr>
              <w:spacing w:line="240" w:lineRule="auto"/>
              <w:rPr>
                <w:rFonts w:cs="Arial"/>
                <w:b/>
                <w:bCs/>
                <w:sz w:val="4"/>
                <w:szCs w:val="4"/>
              </w:rPr>
            </w:pPr>
          </w:p>
          <w:p w:rsidR="00C91671" w:rsidRPr="005A1C19" w:rsidRDefault="00C91671" w:rsidP="00541E59">
            <w:pPr>
              <w:spacing w:line="240" w:lineRule="auto"/>
              <w:rPr>
                <w:rFonts w:cs="Arial"/>
                <w:bCs/>
              </w:rPr>
            </w:pPr>
            <w:r>
              <w:rPr>
                <w:rFonts w:cs="Arial"/>
                <w:b/>
                <w:bCs/>
              </w:rPr>
              <w:t xml:space="preserve">Čisté výpůjčky vládních institucí </w:t>
            </w:r>
            <w:r w:rsidRPr="005A1C19">
              <w:rPr>
                <w:rFonts w:cs="Arial"/>
                <w:bCs/>
              </w:rPr>
              <w:t>(deficit</w:t>
            </w:r>
            <w:r>
              <w:rPr>
                <w:rFonts w:cs="Arial"/>
                <w:bCs/>
              </w:rPr>
              <w:t xml:space="preserve"> hospodaření po letech, </w:t>
            </w:r>
            <w:r w:rsidRPr="005A1C19">
              <w:rPr>
                <w:rFonts w:cs="Arial"/>
                <w:bCs/>
              </w:rPr>
              <w:t xml:space="preserve">v % </w:t>
            </w:r>
            <w:proofErr w:type="spellStart"/>
            <w:r w:rsidRPr="005A1C19">
              <w:rPr>
                <w:rFonts w:cs="Arial"/>
                <w:bCs/>
              </w:rPr>
              <w:t>nom</w:t>
            </w:r>
            <w:proofErr w:type="spellEnd"/>
            <w:r w:rsidRPr="005A1C19">
              <w:rPr>
                <w:rFonts w:cs="Arial"/>
                <w:bCs/>
              </w:rPr>
              <w:t>. HDP)</w:t>
            </w:r>
            <w:r>
              <w:rPr>
                <w:rFonts w:cs="Arial"/>
                <w:bCs/>
              </w:rPr>
              <w:t xml:space="preserve"> </w:t>
            </w:r>
          </w:p>
        </w:tc>
      </w:tr>
      <w:tr w:rsidR="00C91671" w:rsidRPr="00C81DE5" w:rsidTr="00541E59">
        <w:trPr>
          <w:gridBefore w:val="1"/>
          <w:gridAfter w:val="1"/>
          <w:wBefore w:w="21" w:type="pct"/>
          <w:wAfter w:w="21" w:type="pct"/>
        </w:trPr>
        <w:tc>
          <w:tcPr>
            <w:tcW w:w="2450" w:type="pct"/>
            <w:gridSpan w:val="4"/>
          </w:tcPr>
          <w:p w:rsidR="00C91671" w:rsidRPr="005A1C19" w:rsidRDefault="00306F79" w:rsidP="00541E59">
            <w:pPr>
              <w:pStyle w:val="Textpoznpodarou"/>
              <w:jc w:val="both"/>
              <w:rPr>
                <w:noProof/>
              </w:rPr>
            </w:pPr>
            <w:r>
              <w:rPr>
                <w:noProof/>
              </w:rPr>
              <w:pict>
                <v:shape id="_x0000_i1066" type="#_x0000_t75" style="width:235.5pt;height:171pt">
                  <v:imagedata r:id="rId58" o:title=""/>
                </v:shape>
              </w:pict>
            </w:r>
          </w:p>
        </w:tc>
        <w:tc>
          <w:tcPr>
            <w:tcW w:w="2508" w:type="pct"/>
            <w:gridSpan w:val="2"/>
          </w:tcPr>
          <w:p w:rsidR="00C91671" w:rsidRPr="005A1C19" w:rsidRDefault="00306F79" w:rsidP="00541E59">
            <w:pPr>
              <w:pStyle w:val="Textpoznpodarou"/>
              <w:jc w:val="both"/>
            </w:pPr>
            <w:r>
              <w:pict>
                <v:shape id="_x0000_i1067" type="#_x0000_t75" style="width:240pt;height:168.75pt">
                  <v:imagedata r:id="rId59" o:title=""/>
                </v:shape>
              </w:pict>
            </w:r>
          </w:p>
        </w:tc>
      </w:tr>
    </w:tbl>
    <w:p w:rsidR="00C91671" w:rsidRDefault="00C91671" w:rsidP="00C91671">
      <w:pPr>
        <w:jc w:val="right"/>
      </w:pPr>
      <w:r w:rsidRPr="00A14EDC">
        <w:rPr>
          <w:sz w:val="18"/>
          <w:szCs w:val="18"/>
        </w:rPr>
        <w:t xml:space="preserve">Pramen: </w:t>
      </w:r>
      <w:proofErr w:type="spellStart"/>
      <w:r w:rsidRPr="00A14EDC">
        <w:rPr>
          <w:sz w:val="18"/>
          <w:szCs w:val="18"/>
        </w:rPr>
        <w:t>Eurostat</w:t>
      </w:r>
      <w:proofErr w:type="spellEnd"/>
      <w:r>
        <w:rPr>
          <w:sz w:val="18"/>
          <w:szCs w:val="18"/>
        </w:rPr>
        <w:t>,</w:t>
      </w:r>
    </w:p>
    <w:p w:rsidR="00C91671" w:rsidRPr="00541E59" w:rsidRDefault="00C91671" w:rsidP="00C91671">
      <w:pPr>
        <w:rPr>
          <w:sz w:val="6"/>
          <w:szCs w:val="6"/>
        </w:rPr>
      </w:pPr>
    </w:p>
    <w:tbl>
      <w:tblPr>
        <w:tblW w:w="5043" w:type="pct"/>
        <w:tblInd w:w="-42" w:type="dxa"/>
        <w:tblLayout w:type="fixed"/>
        <w:tblCellMar>
          <w:left w:w="28" w:type="dxa"/>
          <w:right w:w="28" w:type="dxa"/>
        </w:tblCellMar>
        <w:tblLook w:val="00A0"/>
      </w:tblPr>
      <w:tblGrid>
        <w:gridCol w:w="2037"/>
        <w:gridCol w:w="272"/>
        <w:gridCol w:w="7468"/>
      </w:tblGrid>
      <w:tr w:rsidR="00C91671" w:rsidRPr="00541E59" w:rsidTr="00541E59">
        <w:tc>
          <w:tcPr>
            <w:tcW w:w="1042" w:type="pct"/>
          </w:tcPr>
          <w:p w:rsidR="00C91671" w:rsidRPr="00602D1D" w:rsidRDefault="00C91671" w:rsidP="00541E59">
            <w:pPr>
              <w:spacing w:line="240" w:lineRule="auto"/>
              <w:rPr>
                <w:color w:val="000000"/>
                <w:sz w:val="16"/>
                <w:szCs w:val="16"/>
              </w:rPr>
            </w:pPr>
            <w:r>
              <w:rPr>
                <w:color w:val="000000"/>
                <w:sz w:val="16"/>
                <w:szCs w:val="16"/>
              </w:rPr>
              <w:t xml:space="preserve">Vysoká otevřenost ekonomik ČR a SR </w:t>
            </w:r>
          </w:p>
        </w:tc>
        <w:tc>
          <w:tcPr>
            <w:tcW w:w="139" w:type="pct"/>
          </w:tcPr>
          <w:p w:rsidR="00C91671" w:rsidRDefault="00C91671" w:rsidP="00541E59">
            <w:pPr>
              <w:pStyle w:val="Textpoznpodarou"/>
              <w:jc w:val="both"/>
            </w:pPr>
          </w:p>
        </w:tc>
        <w:tc>
          <w:tcPr>
            <w:tcW w:w="3819" w:type="pct"/>
          </w:tcPr>
          <w:p w:rsidR="00C91671" w:rsidRPr="00541E59" w:rsidRDefault="00C91671" w:rsidP="00823F2C">
            <w:pPr>
              <w:spacing w:line="240" w:lineRule="auto"/>
              <w:jc w:val="both"/>
              <w:rPr>
                <w:spacing w:val="-2"/>
              </w:rPr>
            </w:pPr>
            <w:r w:rsidRPr="00541E59">
              <w:rPr>
                <w:spacing w:val="-2"/>
              </w:rPr>
              <w:t>Dlouhodobé srovnání ČR a SR potvrzuje vysokou otevřenost obou ekonomik (v exportu zboží vztaženému k nominálnímu HDP zaujímá SR první a ČR třetí místo v žebříčku zemí v EU), rychlejší obnovu růstu v Č</w:t>
            </w:r>
            <w:r w:rsidR="00823F2C">
              <w:rPr>
                <w:spacing w:val="-2"/>
              </w:rPr>
              <w:t>R</w:t>
            </w:r>
            <w:r w:rsidRPr="00541E59">
              <w:rPr>
                <w:spacing w:val="-2"/>
              </w:rPr>
              <w:t xml:space="preserve"> po “transformačním šoku“ v propadech roku 1991 a především velkou roli, kterou hrály výdaje vládních institucí ve vztahu k velmi rychlému růstu slovenské ekonomiky zejména po roce 2004. </w:t>
            </w:r>
          </w:p>
        </w:tc>
      </w:tr>
    </w:tbl>
    <w:p w:rsidR="0008794F" w:rsidRPr="00EF5B51" w:rsidRDefault="0008794F" w:rsidP="00D34225">
      <w:pPr>
        <w:rPr>
          <w:sz w:val="8"/>
          <w:szCs w:val="8"/>
        </w:rPr>
      </w:pPr>
    </w:p>
    <w:tbl>
      <w:tblPr>
        <w:tblW w:w="5043" w:type="pct"/>
        <w:tblInd w:w="-42" w:type="dxa"/>
        <w:tblLayout w:type="fixed"/>
        <w:tblCellMar>
          <w:left w:w="28" w:type="dxa"/>
          <w:right w:w="28" w:type="dxa"/>
        </w:tblCellMar>
        <w:tblLook w:val="00A0"/>
      </w:tblPr>
      <w:tblGrid>
        <w:gridCol w:w="9777"/>
      </w:tblGrid>
      <w:tr w:rsidR="0008794F" w:rsidRPr="00DA43AC" w:rsidTr="00DC0B1C">
        <w:tc>
          <w:tcPr>
            <w:tcW w:w="5000" w:type="pct"/>
          </w:tcPr>
          <w:p w:rsidR="0008794F" w:rsidRPr="005E5E2D" w:rsidRDefault="0008794F" w:rsidP="00746426">
            <w:pPr>
              <w:pStyle w:val="Textpoznpodarou"/>
              <w:jc w:val="both"/>
              <w:rPr>
                <w:b/>
                <w:noProof/>
                <w:sz w:val="28"/>
                <w:szCs w:val="28"/>
              </w:rPr>
            </w:pPr>
            <w:r w:rsidRPr="005E5E2D">
              <w:rPr>
                <w:b/>
                <w:noProof/>
                <w:sz w:val="28"/>
                <w:szCs w:val="28"/>
              </w:rPr>
              <w:t>5. Váh</w:t>
            </w:r>
            <w:r>
              <w:rPr>
                <w:b/>
                <w:noProof/>
                <w:sz w:val="28"/>
                <w:szCs w:val="28"/>
              </w:rPr>
              <w:t>a</w:t>
            </w:r>
            <w:r w:rsidRPr="005E5E2D">
              <w:rPr>
                <w:b/>
                <w:noProof/>
                <w:sz w:val="28"/>
                <w:szCs w:val="28"/>
              </w:rPr>
              <w:t xml:space="preserve"> jednotlivýc</w:t>
            </w:r>
            <w:r>
              <w:rPr>
                <w:b/>
                <w:noProof/>
                <w:sz w:val="28"/>
                <w:szCs w:val="28"/>
              </w:rPr>
              <w:t xml:space="preserve">h odvětví v ekonomikách ČR, SR </w:t>
            </w:r>
            <w:r w:rsidRPr="005E5E2D">
              <w:rPr>
                <w:b/>
                <w:noProof/>
                <w:sz w:val="28"/>
                <w:szCs w:val="28"/>
              </w:rPr>
              <w:t xml:space="preserve">a Rakouska </w:t>
            </w:r>
            <w:r>
              <w:rPr>
                <w:b/>
                <w:noProof/>
                <w:sz w:val="28"/>
                <w:szCs w:val="28"/>
              </w:rPr>
              <w:t>na</w:t>
            </w:r>
            <w:r w:rsidRPr="005E5E2D">
              <w:rPr>
                <w:b/>
                <w:noProof/>
                <w:sz w:val="28"/>
                <w:szCs w:val="28"/>
              </w:rPr>
              <w:t xml:space="preserve"> vytv</w:t>
            </w:r>
            <w:r>
              <w:rPr>
                <w:b/>
                <w:noProof/>
                <w:sz w:val="28"/>
                <w:szCs w:val="28"/>
              </w:rPr>
              <w:t>o</w:t>
            </w:r>
            <w:r w:rsidRPr="005E5E2D">
              <w:rPr>
                <w:b/>
                <w:noProof/>
                <w:sz w:val="28"/>
                <w:szCs w:val="28"/>
              </w:rPr>
              <w:t>řené hrubé přidané hodnot</w:t>
            </w:r>
            <w:r>
              <w:rPr>
                <w:b/>
                <w:noProof/>
                <w:sz w:val="28"/>
                <w:szCs w:val="28"/>
              </w:rPr>
              <w:t>ě</w:t>
            </w:r>
            <w:r w:rsidRPr="005E5E2D">
              <w:rPr>
                <w:b/>
                <w:noProof/>
                <w:sz w:val="28"/>
                <w:szCs w:val="28"/>
              </w:rPr>
              <w:t xml:space="preserve"> </w:t>
            </w:r>
          </w:p>
        </w:tc>
      </w:tr>
    </w:tbl>
    <w:p w:rsidR="0008794F" w:rsidRPr="006031A6" w:rsidRDefault="0008794F" w:rsidP="00D34225">
      <w:pPr>
        <w:rPr>
          <w:sz w:val="12"/>
          <w:szCs w:val="12"/>
        </w:rPr>
      </w:pPr>
    </w:p>
    <w:p w:rsidR="00EF5B51" w:rsidRPr="00EF5B51" w:rsidRDefault="00EF5B51" w:rsidP="00D34225">
      <w:pPr>
        <w:rPr>
          <w:sz w:val="2"/>
          <w:szCs w:val="2"/>
        </w:rPr>
      </w:pPr>
    </w:p>
    <w:tbl>
      <w:tblPr>
        <w:tblW w:w="5043" w:type="pct"/>
        <w:tblInd w:w="-42" w:type="dxa"/>
        <w:tblLayout w:type="fixed"/>
        <w:tblCellMar>
          <w:left w:w="28" w:type="dxa"/>
          <w:right w:w="28" w:type="dxa"/>
        </w:tblCellMar>
        <w:tblLook w:val="00A0"/>
      </w:tblPr>
      <w:tblGrid>
        <w:gridCol w:w="2037"/>
        <w:gridCol w:w="272"/>
        <w:gridCol w:w="7468"/>
      </w:tblGrid>
      <w:tr w:rsidR="0008794F" w:rsidRPr="003D78A5" w:rsidTr="0036243E">
        <w:tc>
          <w:tcPr>
            <w:tcW w:w="1042" w:type="pct"/>
          </w:tcPr>
          <w:p w:rsidR="0008794F" w:rsidRPr="00602D1D" w:rsidRDefault="0008794F" w:rsidP="0091580C">
            <w:pPr>
              <w:spacing w:line="240" w:lineRule="auto"/>
              <w:rPr>
                <w:color w:val="000000"/>
                <w:sz w:val="16"/>
                <w:szCs w:val="16"/>
              </w:rPr>
            </w:pPr>
            <w:r>
              <w:rPr>
                <w:color w:val="000000"/>
                <w:sz w:val="16"/>
                <w:szCs w:val="16"/>
              </w:rPr>
              <w:t>V rakouské ekonomice tvořil v roce 2014 primární a sekundární sektoru dohromady jen 29,8 % celkové hrubé přidané hodnoty, zatímco v ČR 40,3 % a v SR 39,5 %…</w:t>
            </w:r>
          </w:p>
        </w:tc>
        <w:tc>
          <w:tcPr>
            <w:tcW w:w="139" w:type="pct"/>
          </w:tcPr>
          <w:p w:rsidR="0008794F" w:rsidRDefault="0008794F" w:rsidP="0036243E">
            <w:pPr>
              <w:pStyle w:val="Textpoznpodarou"/>
              <w:jc w:val="both"/>
            </w:pPr>
          </w:p>
        </w:tc>
        <w:tc>
          <w:tcPr>
            <w:tcW w:w="3819" w:type="pct"/>
          </w:tcPr>
          <w:p w:rsidR="0008794F" w:rsidRDefault="0008794F" w:rsidP="0036243E">
            <w:pPr>
              <w:spacing w:line="240" w:lineRule="auto"/>
              <w:jc w:val="both"/>
            </w:pPr>
            <w:r>
              <w:t xml:space="preserve">Rozdíl ve struktuře ekonomik České republiky a Slovenska oproti struktuře rakouské ekonomiky je především v podílu, který drží primární a sekundární sektor - pokud takto definujeme prvovýrobní odvětví jako zemědělství, lesnictví, rybářství a jako sekundární sektor celý průmysl, tedy i se zahrnutím těžby a dobývání a mimoto pro účely této analýzy i stavebnictví jako odvětví stojící mimo sektor služeb, tj. terciární sektor - na tvorbě celkové přidané hodnoty v ekonomice. </w:t>
            </w:r>
          </w:p>
          <w:p w:rsidR="0008794F" w:rsidRPr="0091580C" w:rsidRDefault="0008794F" w:rsidP="0036243E">
            <w:pPr>
              <w:spacing w:line="240" w:lineRule="auto"/>
              <w:jc w:val="both"/>
              <w:rPr>
                <w:sz w:val="12"/>
                <w:szCs w:val="12"/>
              </w:rPr>
            </w:pPr>
          </w:p>
          <w:p w:rsidR="0008794F" w:rsidRDefault="0008794F" w:rsidP="0036243E">
            <w:pPr>
              <w:spacing w:line="240" w:lineRule="auto"/>
              <w:jc w:val="both"/>
            </w:pPr>
            <w:r>
              <w:t>Rakouská ekonomika je více „ekonomikou služeb“</w:t>
            </w:r>
            <w:r w:rsidR="00AF5878">
              <w:t>. V</w:t>
            </w:r>
            <w:r>
              <w:t xml:space="preserve">e zmíněném primárním a sekundárním sektoru se v ekonomice Rakouska tvořilo v roce 2014 jen 29,8 % celkové hrubé přidané hodnoty této země, zatímco v ČR 40,3 % a na Slovensku ještě neparně méně, 39,5 %. Podrobné rozdělení podle odvětví ukazuje tabulka 4 spolu se změnami </w:t>
            </w:r>
            <w:r w:rsidR="00AC1DB7">
              <w:t>podílů</w:t>
            </w:r>
            <w:r>
              <w:t xml:space="preserve"> mezi roky 1998-2014, následující grafy pak podobné časové srovnání se „shluky“ několika odvětví  </w:t>
            </w:r>
          </w:p>
          <w:p w:rsidR="0008794F" w:rsidRPr="003D78A5" w:rsidRDefault="0008794F" w:rsidP="0036243E">
            <w:pPr>
              <w:pStyle w:val="Textpoznpodarou"/>
              <w:jc w:val="both"/>
              <w:rPr>
                <w:color w:val="000000"/>
                <w:spacing w:val="-6"/>
              </w:rPr>
            </w:pPr>
            <w:r>
              <w:rPr>
                <w:color w:val="000000"/>
                <w:spacing w:val="-6"/>
              </w:rPr>
              <w:t xml:space="preserve">  </w:t>
            </w:r>
          </w:p>
        </w:tc>
      </w:tr>
      <w:tr w:rsidR="0008794F" w:rsidRPr="003D78A5" w:rsidTr="00484118">
        <w:tc>
          <w:tcPr>
            <w:tcW w:w="1042" w:type="pct"/>
          </w:tcPr>
          <w:p w:rsidR="0008794F" w:rsidRDefault="0008794F" w:rsidP="0091580C">
            <w:pPr>
              <w:spacing w:line="240" w:lineRule="auto"/>
              <w:rPr>
                <w:color w:val="000000"/>
                <w:sz w:val="16"/>
                <w:szCs w:val="16"/>
              </w:rPr>
            </w:pPr>
            <w:r>
              <w:rPr>
                <w:color w:val="000000"/>
                <w:sz w:val="16"/>
                <w:szCs w:val="16"/>
              </w:rPr>
              <w:t>… a za roky 1998-2014 klesal v Rakousku podíl primárního a sekundárního sektoru v úhrnu rychleji</w:t>
            </w:r>
          </w:p>
          <w:p w:rsidR="0008794F" w:rsidRDefault="0008794F" w:rsidP="0091580C">
            <w:pPr>
              <w:spacing w:line="240" w:lineRule="auto"/>
              <w:rPr>
                <w:color w:val="000000"/>
                <w:sz w:val="16"/>
                <w:szCs w:val="16"/>
              </w:rPr>
            </w:pPr>
            <w:r>
              <w:rPr>
                <w:color w:val="000000"/>
                <w:sz w:val="16"/>
                <w:szCs w:val="16"/>
              </w:rPr>
              <w:t xml:space="preserve"> (-4,2 </w:t>
            </w:r>
            <w:proofErr w:type="spellStart"/>
            <w:r>
              <w:rPr>
                <w:color w:val="000000"/>
                <w:sz w:val="16"/>
                <w:szCs w:val="16"/>
              </w:rPr>
              <w:t>pb</w:t>
            </w:r>
            <w:proofErr w:type="spellEnd"/>
            <w:r>
              <w:rPr>
                <w:color w:val="000000"/>
                <w:sz w:val="16"/>
                <w:szCs w:val="16"/>
              </w:rPr>
              <w:t xml:space="preserve">.) než v ČR </w:t>
            </w:r>
          </w:p>
          <w:p w:rsidR="0008794F" w:rsidRPr="00602D1D" w:rsidRDefault="0008794F" w:rsidP="0091580C">
            <w:pPr>
              <w:spacing w:line="240" w:lineRule="auto"/>
              <w:rPr>
                <w:color w:val="000000"/>
                <w:sz w:val="16"/>
                <w:szCs w:val="16"/>
              </w:rPr>
            </w:pPr>
            <w:r>
              <w:rPr>
                <w:color w:val="000000"/>
                <w:sz w:val="16"/>
                <w:szCs w:val="16"/>
              </w:rPr>
              <w:t>(-2,7 </w:t>
            </w:r>
            <w:proofErr w:type="spellStart"/>
            <w:r>
              <w:rPr>
                <w:color w:val="000000"/>
                <w:sz w:val="16"/>
                <w:szCs w:val="16"/>
              </w:rPr>
              <w:t>pb</w:t>
            </w:r>
            <w:proofErr w:type="spellEnd"/>
            <w:r>
              <w:rPr>
                <w:color w:val="000000"/>
                <w:sz w:val="16"/>
                <w:szCs w:val="16"/>
              </w:rPr>
              <w:t xml:space="preserve">.) nebo na Slovensku (-1,8 </w:t>
            </w:r>
            <w:proofErr w:type="spellStart"/>
            <w:r>
              <w:rPr>
                <w:color w:val="000000"/>
                <w:sz w:val="16"/>
                <w:szCs w:val="16"/>
              </w:rPr>
              <w:t>pb</w:t>
            </w:r>
            <w:proofErr w:type="spellEnd"/>
            <w:r>
              <w:rPr>
                <w:color w:val="000000"/>
                <w:sz w:val="16"/>
                <w:szCs w:val="16"/>
              </w:rPr>
              <w:t>.)</w:t>
            </w:r>
          </w:p>
        </w:tc>
        <w:tc>
          <w:tcPr>
            <w:tcW w:w="139" w:type="pct"/>
          </w:tcPr>
          <w:p w:rsidR="0008794F" w:rsidRDefault="0008794F" w:rsidP="0036243E">
            <w:pPr>
              <w:pStyle w:val="Textpoznpodarou"/>
              <w:jc w:val="both"/>
            </w:pPr>
          </w:p>
        </w:tc>
        <w:tc>
          <w:tcPr>
            <w:tcW w:w="3819" w:type="pct"/>
          </w:tcPr>
          <w:p w:rsidR="0008794F" w:rsidRDefault="0008794F" w:rsidP="0036243E">
            <w:pPr>
              <w:spacing w:line="240" w:lineRule="auto"/>
              <w:jc w:val="both"/>
            </w:pPr>
            <w:r>
              <w:t xml:space="preserve">Jak v ČR, SR i </w:t>
            </w:r>
            <w:r w:rsidR="00AC1DB7">
              <w:t>v Rakousku</w:t>
            </w:r>
            <w:r>
              <w:t xml:space="preserve"> došlo během let 1998-2014 k postupnému poklesu váhy primárního a sekundárního sektoru na celkové přidané hodnotě v ekonomice. Největší byl tento posun v Rakousku, kde byla v roce 2014 zmíněná váha o 4,2 </w:t>
            </w:r>
            <w:proofErr w:type="spellStart"/>
            <w:r>
              <w:t>pb</w:t>
            </w:r>
            <w:proofErr w:type="spellEnd"/>
            <w:r>
              <w:t xml:space="preserve">. nižší než v roce 1998. Dále pak v České republice se snížením podílu primárního a sekundárního sektoru o 2,7 </w:t>
            </w:r>
            <w:proofErr w:type="spellStart"/>
            <w:r>
              <w:t>pb</w:t>
            </w:r>
            <w:proofErr w:type="spellEnd"/>
            <w:r>
              <w:t xml:space="preserve">. a na Slovensku pak jen o 1,8 </w:t>
            </w:r>
            <w:proofErr w:type="spellStart"/>
            <w:r>
              <w:t>pb</w:t>
            </w:r>
            <w:proofErr w:type="spellEnd"/>
            <w:r>
              <w:t xml:space="preserve">., kde je však třeba vzít v úvahu že v SR byl již v roce 1998 podíl těchto sektorů v úhrnu nižší (41,3 %) než v České republice (43 %). </w:t>
            </w:r>
          </w:p>
          <w:p w:rsidR="0008794F" w:rsidRPr="008A4EAC" w:rsidRDefault="0008794F" w:rsidP="0036243E">
            <w:pPr>
              <w:spacing w:line="240" w:lineRule="auto"/>
              <w:jc w:val="both"/>
              <w:rPr>
                <w:sz w:val="12"/>
                <w:szCs w:val="12"/>
              </w:rPr>
            </w:pPr>
          </w:p>
          <w:p w:rsidR="0008794F" w:rsidRPr="00484118" w:rsidRDefault="00AC1DB7" w:rsidP="00AF5878">
            <w:pPr>
              <w:spacing w:line="240" w:lineRule="auto"/>
              <w:jc w:val="both"/>
            </w:pPr>
            <w:r>
              <w:t>J</w:t>
            </w:r>
            <w:r w:rsidR="0008794F">
              <w:t xml:space="preserve">iž tehdy </w:t>
            </w:r>
            <w:r>
              <w:t xml:space="preserve">totiž měl </w:t>
            </w:r>
            <w:r w:rsidR="0008794F">
              <w:t>průmysl</w:t>
            </w:r>
            <w:r>
              <w:t>,</w:t>
            </w:r>
            <w:r w:rsidR="0008794F">
              <w:t xml:space="preserve"> zejména zpracovatelsk</w:t>
            </w:r>
            <w:r>
              <w:t>ý,</w:t>
            </w:r>
            <w:r w:rsidR="0008794F">
              <w:t xml:space="preserve"> ve struktuře slovenské ekonomiky</w:t>
            </w:r>
            <w:r>
              <w:t xml:space="preserve"> nižší váhu než v ČR</w:t>
            </w:r>
            <w:r w:rsidR="0008794F">
              <w:t>, jak je patrné z tab</w:t>
            </w:r>
            <w:r w:rsidR="00AF5878">
              <w:t>ulky</w:t>
            </w:r>
            <w:r w:rsidR="0008794F">
              <w:t xml:space="preserve"> 4. Příčinou byla zřejmě redukce výrob zejména těžkého průmyslu spojené se zbrojní produkcí či restrukturalizace dalších velkých slovenských průmyslových podniků.   </w:t>
            </w:r>
          </w:p>
        </w:tc>
      </w:tr>
    </w:tbl>
    <w:p w:rsidR="0008794F" w:rsidRDefault="0008794F" w:rsidP="00D34225"/>
    <w:p w:rsidR="0008794F" w:rsidRDefault="0008794F" w:rsidP="008A4EAC">
      <w:pPr>
        <w:spacing w:line="240" w:lineRule="auto"/>
      </w:pPr>
      <w:r w:rsidRPr="00484118">
        <w:rPr>
          <w:b/>
        </w:rPr>
        <w:t xml:space="preserve">Tabulka 4: Srovnání podílů hrubé přidané hodnoty ekonomických odvětví na hrubé přidané hodnotě celkem v letech 1998 a 2014 v České republice, </w:t>
      </w:r>
      <w:r w:rsidR="00AC1DB7">
        <w:rPr>
          <w:b/>
        </w:rPr>
        <w:t xml:space="preserve">na </w:t>
      </w:r>
      <w:r w:rsidRPr="00484118">
        <w:rPr>
          <w:b/>
        </w:rPr>
        <w:t>Slovensku</w:t>
      </w:r>
      <w:r w:rsidR="00AC1DB7">
        <w:rPr>
          <w:b/>
        </w:rPr>
        <w:t xml:space="preserve"> a v</w:t>
      </w:r>
      <w:r w:rsidRPr="00484118">
        <w:rPr>
          <w:b/>
        </w:rPr>
        <w:t xml:space="preserve"> Rakousku</w:t>
      </w:r>
      <w:r>
        <w:t xml:space="preserve"> (v %; z dat v mil. jednotek národní měny, v cenách předchozího roku</w:t>
      </w:r>
      <w:r w:rsidR="00AC1DB7">
        <w:rPr>
          <w:rStyle w:val="Znakapoznpodarou"/>
        </w:rPr>
        <w:footnoteReference w:id="10"/>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9"/>
        <w:gridCol w:w="851"/>
        <w:gridCol w:w="850"/>
        <w:gridCol w:w="851"/>
        <w:gridCol w:w="850"/>
        <w:gridCol w:w="851"/>
        <w:gridCol w:w="850"/>
      </w:tblGrid>
      <w:tr w:rsidR="0008794F" w:rsidTr="00252588">
        <w:tc>
          <w:tcPr>
            <w:tcW w:w="4219" w:type="dxa"/>
          </w:tcPr>
          <w:p w:rsidR="0008794F" w:rsidRDefault="0008794F" w:rsidP="00D34225">
            <w:pPr>
              <w:rPr>
                <w:lang w:eastAsia="en-US"/>
              </w:rPr>
            </w:pPr>
          </w:p>
        </w:tc>
        <w:tc>
          <w:tcPr>
            <w:tcW w:w="1701" w:type="dxa"/>
            <w:gridSpan w:val="2"/>
          </w:tcPr>
          <w:p w:rsidR="0008794F" w:rsidRDefault="0008794F" w:rsidP="00252588">
            <w:pPr>
              <w:jc w:val="center"/>
              <w:rPr>
                <w:lang w:eastAsia="en-US"/>
              </w:rPr>
            </w:pPr>
            <w:r>
              <w:rPr>
                <w:lang w:eastAsia="en-US"/>
              </w:rPr>
              <w:t>ČR</w:t>
            </w:r>
          </w:p>
        </w:tc>
        <w:tc>
          <w:tcPr>
            <w:tcW w:w="1701" w:type="dxa"/>
            <w:gridSpan w:val="2"/>
          </w:tcPr>
          <w:p w:rsidR="0008794F" w:rsidRDefault="0008794F" w:rsidP="00252588">
            <w:pPr>
              <w:jc w:val="center"/>
              <w:rPr>
                <w:lang w:eastAsia="en-US"/>
              </w:rPr>
            </w:pPr>
            <w:r>
              <w:rPr>
                <w:lang w:eastAsia="en-US"/>
              </w:rPr>
              <w:t>Slovensko</w:t>
            </w:r>
          </w:p>
        </w:tc>
        <w:tc>
          <w:tcPr>
            <w:tcW w:w="1701" w:type="dxa"/>
            <w:gridSpan w:val="2"/>
          </w:tcPr>
          <w:p w:rsidR="0008794F" w:rsidRDefault="0008794F" w:rsidP="00252588">
            <w:pPr>
              <w:jc w:val="center"/>
              <w:rPr>
                <w:lang w:eastAsia="en-US"/>
              </w:rPr>
            </w:pPr>
            <w:r>
              <w:rPr>
                <w:lang w:eastAsia="en-US"/>
              </w:rPr>
              <w:t>Rakousko</w:t>
            </w:r>
          </w:p>
        </w:tc>
      </w:tr>
      <w:tr w:rsidR="0008794F" w:rsidTr="00252588">
        <w:tc>
          <w:tcPr>
            <w:tcW w:w="4219" w:type="dxa"/>
          </w:tcPr>
          <w:p w:rsidR="0008794F" w:rsidRDefault="0008794F" w:rsidP="00D34225">
            <w:pPr>
              <w:rPr>
                <w:lang w:eastAsia="en-US"/>
              </w:rPr>
            </w:pPr>
          </w:p>
        </w:tc>
        <w:tc>
          <w:tcPr>
            <w:tcW w:w="851" w:type="dxa"/>
          </w:tcPr>
          <w:p w:rsidR="0008794F" w:rsidRDefault="0008794F" w:rsidP="00252588">
            <w:pPr>
              <w:jc w:val="center"/>
              <w:rPr>
                <w:lang w:eastAsia="en-US"/>
              </w:rPr>
            </w:pPr>
            <w:r>
              <w:rPr>
                <w:lang w:eastAsia="en-US"/>
              </w:rPr>
              <w:t>1998</w:t>
            </w:r>
          </w:p>
        </w:tc>
        <w:tc>
          <w:tcPr>
            <w:tcW w:w="850" w:type="dxa"/>
          </w:tcPr>
          <w:p w:rsidR="0008794F" w:rsidRDefault="0008794F" w:rsidP="00252588">
            <w:pPr>
              <w:jc w:val="center"/>
              <w:rPr>
                <w:lang w:eastAsia="en-US"/>
              </w:rPr>
            </w:pPr>
            <w:r>
              <w:rPr>
                <w:lang w:eastAsia="en-US"/>
              </w:rPr>
              <w:t>2014</w:t>
            </w:r>
          </w:p>
        </w:tc>
        <w:tc>
          <w:tcPr>
            <w:tcW w:w="851" w:type="dxa"/>
          </w:tcPr>
          <w:p w:rsidR="0008794F" w:rsidRDefault="0008794F" w:rsidP="00252588">
            <w:pPr>
              <w:jc w:val="center"/>
              <w:rPr>
                <w:lang w:eastAsia="en-US"/>
              </w:rPr>
            </w:pPr>
            <w:r>
              <w:rPr>
                <w:lang w:eastAsia="en-US"/>
              </w:rPr>
              <w:t>1998</w:t>
            </w:r>
          </w:p>
        </w:tc>
        <w:tc>
          <w:tcPr>
            <w:tcW w:w="850" w:type="dxa"/>
          </w:tcPr>
          <w:p w:rsidR="0008794F" w:rsidRDefault="0008794F" w:rsidP="00252588">
            <w:pPr>
              <w:jc w:val="center"/>
              <w:rPr>
                <w:lang w:eastAsia="en-US"/>
              </w:rPr>
            </w:pPr>
            <w:r>
              <w:rPr>
                <w:lang w:eastAsia="en-US"/>
              </w:rPr>
              <w:t>2014</w:t>
            </w:r>
          </w:p>
        </w:tc>
        <w:tc>
          <w:tcPr>
            <w:tcW w:w="851" w:type="dxa"/>
          </w:tcPr>
          <w:p w:rsidR="0008794F" w:rsidRDefault="0008794F" w:rsidP="00252588">
            <w:pPr>
              <w:jc w:val="center"/>
              <w:rPr>
                <w:lang w:eastAsia="en-US"/>
              </w:rPr>
            </w:pPr>
            <w:r>
              <w:rPr>
                <w:lang w:eastAsia="en-US"/>
              </w:rPr>
              <w:t>1998</w:t>
            </w:r>
          </w:p>
        </w:tc>
        <w:tc>
          <w:tcPr>
            <w:tcW w:w="850" w:type="dxa"/>
          </w:tcPr>
          <w:p w:rsidR="0008794F" w:rsidRDefault="0008794F" w:rsidP="00252588">
            <w:pPr>
              <w:jc w:val="center"/>
              <w:rPr>
                <w:lang w:eastAsia="en-US"/>
              </w:rPr>
            </w:pPr>
            <w:r>
              <w:rPr>
                <w:lang w:eastAsia="en-US"/>
              </w:rPr>
              <w:t>2014</w:t>
            </w:r>
          </w:p>
        </w:tc>
      </w:tr>
      <w:tr w:rsidR="0008794F" w:rsidTr="00252588">
        <w:tc>
          <w:tcPr>
            <w:tcW w:w="4219" w:type="dxa"/>
          </w:tcPr>
          <w:p w:rsidR="0008794F" w:rsidRDefault="0008794F" w:rsidP="00243BAE">
            <w:pPr>
              <w:rPr>
                <w:lang w:eastAsia="en-US"/>
              </w:rPr>
            </w:pPr>
            <w:r w:rsidRPr="00FD4BAA">
              <w:rPr>
                <w:lang w:eastAsia="en-US"/>
              </w:rPr>
              <w:t>Zemědělství, lesnictví</w:t>
            </w:r>
            <w:r>
              <w:rPr>
                <w:lang w:eastAsia="en-US"/>
              </w:rPr>
              <w:t>, rybářství</w:t>
            </w:r>
          </w:p>
        </w:tc>
        <w:tc>
          <w:tcPr>
            <w:tcW w:w="851" w:type="dxa"/>
          </w:tcPr>
          <w:p w:rsidR="0008794F" w:rsidRDefault="0008794F" w:rsidP="00252588">
            <w:pPr>
              <w:jc w:val="center"/>
              <w:rPr>
                <w:lang w:eastAsia="en-US"/>
              </w:rPr>
            </w:pPr>
            <w:r>
              <w:rPr>
                <w:lang w:eastAsia="en-US"/>
              </w:rPr>
              <w:t>3,9</w:t>
            </w:r>
          </w:p>
        </w:tc>
        <w:tc>
          <w:tcPr>
            <w:tcW w:w="850" w:type="dxa"/>
          </w:tcPr>
          <w:p w:rsidR="0008794F" w:rsidRDefault="0008794F" w:rsidP="00252588">
            <w:pPr>
              <w:jc w:val="center"/>
              <w:rPr>
                <w:lang w:eastAsia="en-US"/>
              </w:rPr>
            </w:pPr>
            <w:r>
              <w:rPr>
                <w:lang w:eastAsia="en-US"/>
              </w:rPr>
              <w:t>2,8</w:t>
            </w:r>
          </w:p>
        </w:tc>
        <w:tc>
          <w:tcPr>
            <w:tcW w:w="851" w:type="dxa"/>
          </w:tcPr>
          <w:p w:rsidR="0008794F" w:rsidRDefault="0008794F" w:rsidP="00252588">
            <w:pPr>
              <w:jc w:val="center"/>
              <w:rPr>
                <w:lang w:eastAsia="en-US"/>
              </w:rPr>
            </w:pPr>
            <w:r>
              <w:rPr>
                <w:lang w:eastAsia="en-US"/>
              </w:rPr>
              <w:t>4,9</w:t>
            </w:r>
          </w:p>
        </w:tc>
        <w:tc>
          <w:tcPr>
            <w:tcW w:w="850" w:type="dxa"/>
          </w:tcPr>
          <w:p w:rsidR="0008794F" w:rsidRDefault="0008794F" w:rsidP="00252588">
            <w:pPr>
              <w:jc w:val="center"/>
              <w:rPr>
                <w:lang w:eastAsia="en-US"/>
              </w:rPr>
            </w:pPr>
            <w:r>
              <w:rPr>
                <w:lang w:eastAsia="en-US"/>
              </w:rPr>
              <w:t>4,6</w:t>
            </w:r>
          </w:p>
        </w:tc>
        <w:tc>
          <w:tcPr>
            <w:tcW w:w="851" w:type="dxa"/>
          </w:tcPr>
          <w:p w:rsidR="0008794F" w:rsidRDefault="0008794F" w:rsidP="00252588">
            <w:pPr>
              <w:jc w:val="center"/>
              <w:rPr>
                <w:lang w:eastAsia="en-US"/>
              </w:rPr>
            </w:pPr>
            <w:r>
              <w:rPr>
                <w:lang w:eastAsia="en-US"/>
              </w:rPr>
              <w:t>2,2</w:t>
            </w:r>
          </w:p>
        </w:tc>
        <w:tc>
          <w:tcPr>
            <w:tcW w:w="850" w:type="dxa"/>
          </w:tcPr>
          <w:p w:rsidR="0008794F" w:rsidRDefault="0008794F" w:rsidP="00252588">
            <w:pPr>
              <w:jc w:val="center"/>
              <w:rPr>
                <w:lang w:eastAsia="en-US"/>
              </w:rPr>
            </w:pPr>
            <w:r>
              <w:rPr>
                <w:lang w:eastAsia="en-US"/>
              </w:rPr>
              <w:t>1,5</w:t>
            </w:r>
          </w:p>
        </w:tc>
      </w:tr>
      <w:tr w:rsidR="0008794F" w:rsidTr="00252588">
        <w:tc>
          <w:tcPr>
            <w:tcW w:w="4219" w:type="dxa"/>
          </w:tcPr>
          <w:p w:rsidR="0008794F" w:rsidRDefault="0008794F" w:rsidP="00243BAE">
            <w:pPr>
              <w:rPr>
                <w:lang w:eastAsia="en-US"/>
              </w:rPr>
            </w:pPr>
            <w:r w:rsidRPr="00FD4BAA">
              <w:rPr>
                <w:lang w:eastAsia="en-US"/>
              </w:rPr>
              <w:t>Průmysl</w:t>
            </w:r>
          </w:p>
        </w:tc>
        <w:tc>
          <w:tcPr>
            <w:tcW w:w="851" w:type="dxa"/>
          </w:tcPr>
          <w:p w:rsidR="0008794F" w:rsidRDefault="0008794F" w:rsidP="00252588">
            <w:pPr>
              <w:jc w:val="center"/>
              <w:rPr>
                <w:lang w:eastAsia="en-US"/>
              </w:rPr>
            </w:pPr>
            <w:r>
              <w:rPr>
                <w:lang w:eastAsia="en-US"/>
              </w:rPr>
              <w:t>31,9</w:t>
            </w:r>
          </w:p>
        </w:tc>
        <w:tc>
          <w:tcPr>
            <w:tcW w:w="850" w:type="dxa"/>
          </w:tcPr>
          <w:p w:rsidR="0008794F" w:rsidRDefault="0008794F" w:rsidP="00252588">
            <w:pPr>
              <w:jc w:val="center"/>
              <w:rPr>
                <w:lang w:eastAsia="en-US"/>
              </w:rPr>
            </w:pPr>
            <w:r>
              <w:rPr>
                <w:lang w:eastAsia="en-US"/>
              </w:rPr>
              <w:t>31,7</w:t>
            </w:r>
          </w:p>
        </w:tc>
        <w:tc>
          <w:tcPr>
            <w:tcW w:w="851" w:type="dxa"/>
          </w:tcPr>
          <w:p w:rsidR="0008794F" w:rsidRDefault="0008794F" w:rsidP="00252588">
            <w:pPr>
              <w:jc w:val="center"/>
              <w:rPr>
                <w:lang w:eastAsia="en-US"/>
              </w:rPr>
            </w:pPr>
            <w:r>
              <w:rPr>
                <w:lang w:eastAsia="en-US"/>
              </w:rPr>
              <w:t>29</w:t>
            </w:r>
          </w:p>
        </w:tc>
        <w:tc>
          <w:tcPr>
            <w:tcW w:w="850" w:type="dxa"/>
          </w:tcPr>
          <w:p w:rsidR="0008794F" w:rsidRDefault="0008794F" w:rsidP="00252588">
            <w:pPr>
              <w:jc w:val="center"/>
              <w:rPr>
                <w:lang w:eastAsia="en-US"/>
              </w:rPr>
            </w:pPr>
            <w:r>
              <w:rPr>
                <w:lang w:eastAsia="en-US"/>
              </w:rPr>
              <w:t>26,6</w:t>
            </w:r>
          </w:p>
        </w:tc>
        <w:tc>
          <w:tcPr>
            <w:tcW w:w="851" w:type="dxa"/>
          </w:tcPr>
          <w:p w:rsidR="0008794F" w:rsidRDefault="0008794F" w:rsidP="00252588">
            <w:pPr>
              <w:jc w:val="center"/>
              <w:rPr>
                <w:lang w:eastAsia="en-US"/>
              </w:rPr>
            </w:pPr>
            <w:r>
              <w:rPr>
                <w:lang w:eastAsia="en-US"/>
              </w:rPr>
              <w:t>23,9</w:t>
            </w:r>
          </w:p>
        </w:tc>
        <w:tc>
          <w:tcPr>
            <w:tcW w:w="850" w:type="dxa"/>
          </w:tcPr>
          <w:p w:rsidR="0008794F" w:rsidRDefault="0008794F" w:rsidP="00252588">
            <w:pPr>
              <w:jc w:val="center"/>
              <w:rPr>
                <w:lang w:eastAsia="en-US"/>
              </w:rPr>
            </w:pPr>
            <w:r>
              <w:rPr>
                <w:lang w:eastAsia="en-US"/>
              </w:rPr>
              <w:t>22,1</w:t>
            </w:r>
          </w:p>
        </w:tc>
      </w:tr>
      <w:tr w:rsidR="0008794F" w:rsidTr="00252588">
        <w:tc>
          <w:tcPr>
            <w:tcW w:w="4219" w:type="dxa"/>
          </w:tcPr>
          <w:p w:rsidR="0008794F" w:rsidRDefault="0008794F" w:rsidP="00243BAE">
            <w:pPr>
              <w:rPr>
                <w:lang w:eastAsia="en-US"/>
              </w:rPr>
            </w:pPr>
            <w:r>
              <w:rPr>
                <w:lang w:eastAsia="en-US"/>
              </w:rPr>
              <w:t xml:space="preserve">        z toho zpracovatelský</w:t>
            </w:r>
          </w:p>
        </w:tc>
        <w:tc>
          <w:tcPr>
            <w:tcW w:w="851" w:type="dxa"/>
          </w:tcPr>
          <w:p w:rsidR="0008794F" w:rsidRDefault="0008794F" w:rsidP="00252588">
            <w:pPr>
              <w:jc w:val="center"/>
              <w:rPr>
                <w:lang w:eastAsia="en-US"/>
              </w:rPr>
            </w:pPr>
            <w:r>
              <w:rPr>
                <w:lang w:eastAsia="en-US"/>
              </w:rPr>
              <w:t>26,4</w:t>
            </w:r>
          </w:p>
        </w:tc>
        <w:tc>
          <w:tcPr>
            <w:tcW w:w="850" w:type="dxa"/>
          </w:tcPr>
          <w:p w:rsidR="0008794F" w:rsidRDefault="0008794F" w:rsidP="00252588">
            <w:pPr>
              <w:jc w:val="center"/>
              <w:rPr>
                <w:lang w:eastAsia="en-US"/>
              </w:rPr>
            </w:pPr>
            <w:r>
              <w:rPr>
                <w:lang w:eastAsia="en-US"/>
              </w:rPr>
              <w:t>25,6</w:t>
            </w:r>
          </w:p>
        </w:tc>
        <w:tc>
          <w:tcPr>
            <w:tcW w:w="851" w:type="dxa"/>
          </w:tcPr>
          <w:p w:rsidR="0008794F" w:rsidRDefault="0008794F" w:rsidP="00252588">
            <w:pPr>
              <w:jc w:val="center"/>
              <w:rPr>
                <w:lang w:eastAsia="en-US"/>
              </w:rPr>
            </w:pPr>
            <w:r>
              <w:rPr>
                <w:lang w:eastAsia="en-US"/>
              </w:rPr>
              <w:t>24,2</w:t>
            </w:r>
          </w:p>
        </w:tc>
        <w:tc>
          <w:tcPr>
            <w:tcW w:w="850" w:type="dxa"/>
          </w:tcPr>
          <w:p w:rsidR="0008794F" w:rsidRDefault="0008794F" w:rsidP="00252588">
            <w:pPr>
              <w:jc w:val="center"/>
              <w:rPr>
                <w:lang w:eastAsia="en-US"/>
              </w:rPr>
            </w:pPr>
            <w:r>
              <w:rPr>
                <w:lang w:eastAsia="en-US"/>
              </w:rPr>
              <w:t>22,1</w:t>
            </w:r>
          </w:p>
        </w:tc>
        <w:tc>
          <w:tcPr>
            <w:tcW w:w="851" w:type="dxa"/>
          </w:tcPr>
          <w:p w:rsidR="0008794F" w:rsidRDefault="0008794F" w:rsidP="00252588">
            <w:pPr>
              <w:jc w:val="center"/>
              <w:rPr>
                <w:lang w:eastAsia="en-US"/>
              </w:rPr>
            </w:pPr>
            <w:r>
              <w:rPr>
                <w:lang w:eastAsia="en-US"/>
              </w:rPr>
              <w:t>19,9</w:t>
            </w:r>
          </w:p>
        </w:tc>
        <w:tc>
          <w:tcPr>
            <w:tcW w:w="850" w:type="dxa"/>
          </w:tcPr>
          <w:p w:rsidR="0008794F" w:rsidRDefault="0008794F" w:rsidP="00252588">
            <w:pPr>
              <w:jc w:val="center"/>
              <w:rPr>
                <w:lang w:eastAsia="en-US"/>
              </w:rPr>
            </w:pPr>
            <w:r>
              <w:rPr>
                <w:lang w:eastAsia="en-US"/>
              </w:rPr>
              <w:t>18,7</w:t>
            </w:r>
          </w:p>
        </w:tc>
      </w:tr>
      <w:tr w:rsidR="0008794F" w:rsidTr="00252588">
        <w:tc>
          <w:tcPr>
            <w:tcW w:w="4219" w:type="dxa"/>
          </w:tcPr>
          <w:p w:rsidR="0008794F" w:rsidRDefault="0008794F" w:rsidP="00243BAE">
            <w:pPr>
              <w:rPr>
                <w:lang w:eastAsia="en-US"/>
              </w:rPr>
            </w:pPr>
            <w:r>
              <w:rPr>
                <w:lang w:eastAsia="en-US"/>
              </w:rPr>
              <w:t>Stavebnictví</w:t>
            </w:r>
          </w:p>
        </w:tc>
        <w:tc>
          <w:tcPr>
            <w:tcW w:w="851" w:type="dxa"/>
          </w:tcPr>
          <w:p w:rsidR="0008794F" w:rsidRDefault="0008794F" w:rsidP="00252588">
            <w:pPr>
              <w:jc w:val="center"/>
              <w:rPr>
                <w:lang w:eastAsia="en-US"/>
              </w:rPr>
            </w:pPr>
            <w:r>
              <w:rPr>
                <w:lang w:eastAsia="en-US"/>
              </w:rPr>
              <w:t>7,2</w:t>
            </w:r>
          </w:p>
        </w:tc>
        <w:tc>
          <w:tcPr>
            <w:tcW w:w="850" w:type="dxa"/>
          </w:tcPr>
          <w:p w:rsidR="0008794F" w:rsidRDefault="0008794F" w:rsidP="00252588">
            <w:pPr>
              <w:jc w:val="center"/>
              <w:rPr>
                <w:lang w:eastAsia="en-US"/>
              </w:rPr>
            </w:pPr>
            <w:r>
              <w:rPr>
                <w:lang w:eastAsia="en-US"/>
              </w:rPr>
              <w:t>5,8</w:t>
            </w:r>
          </w:p>
        </w:tc>
        <w:tc>
          <w:tcPr>
            <w:tcW w:w="851" w:type="dxa"/>
          </w:tcPr>
          <w:p w:rsidR="0008794F" w:rsidRDefault="0008794F" w:rsidP="00252588">
            <w:pPr>
              <w:jc w:val="center"/>
              <w:rPr>
                <w:lang w:eastAsia="en-US"/>
              </w:rPr>
            </w:pPr>
            <w:r>
              <w:rPr>
                <w:lang w:eastAsia="en-US"/>
              </w:rPr>
              <w:t>7,4</w:t>
            </w:r>
          </w:p>
        </w:tc>
        <w:tc>
          <w:tcPr>
            <w:tcW w:w="850" w:type="dxa"/>
          </w:tcPr>
          <w:p w:rsidR="0008794F" w:rsidRDefault="0008794F" w:rsidP="00252588">
            <w:pPr>
              <w:jc w:val="center"/>
              <w:rPr>
                <w:lang w:eastAsia="en-US"/>
              </w:rPr>
            </w:pPr>
            <w:r>
              <w:rPr>
                <w:lang w:eastAsia="en-US"/>
              </w:rPr>
              <w:t>8,3</w:t>
            </w:r>
          </w:p>
        </w:tc>
        <w:tc>
          <w:tcPr>
            <w:tcW w:w="851" w:type="dxa"/>
          </w:tcPr>
          <w:p w:rsidR="0008794F" w:rsidRDefault="0008794F" w:rsidP="00252588">
            <w:pPr>
              <w:jc w:val="center"/>
              <w:rPr>
                <w:lang w:eastAsia="en-US"/>
              </w:rPr>
            </w:pPr>
            <w:r>
              <w:rPr>
                <w:lang w:eastAsia="en-US"/>
              </w:rPr>
              <w:t>7,9</w:t>
            </w:r>
          </w:p>
        </w:tc>
        <w:tc>
          <w:tcPr>
            <w:tcW w:w="850" w:type="dxa"/>
          </w:tcPr>
          <w:p w:rsidR="0008794F" w:rsidRDefault="0008794F" w:rsidP="00252588">
            <w:pPr>
              <w:jc w:val="center"/>
              <w:rPr>
                <w:lang w:eastAsia="en-US"/>
              </w:rPr>
            </w:pPr>
            <w:r>
              <w:rPr>
                <w:lang w:eastAsia="en-US"/>
              </w:rPr>
              <w:t>6,2</w:t>
            </w:r>
          </w:p>
        </w:tc>
      </w:tr>
      <w:tr w:rsidR="0008794F" w:rsidTr="00252588">
        <w:tc>
          <w:tcPr>
            <w:tcW w:w="4219" w:type="dxa"/>
          </w:tcPr>
          <w:p w:rsidR="0008794F" w:rsidRDefault="0008794F" w:rsidP="005974BB">
            <w:pPr>
              <w:rPr>
                <w:lang w:eastAsia="en-US"/>
              </w:rPr>
            </w:pPr>
            <w:r w:rsidRPr="00243BAE">
              <w:rPr>
                <w:lang w:eastAsia="en-US"/>
              </w:rPr>
              <w:t>Obchod a opravy mot</w:t>
            </w:r>
            <w:r>
              <w:rPr>
                <w:lang w:eastAsia="en-US"/>
              </w:rPr>
              <w:t>orových</w:t>
            </w:r>
            <w:r w:rsidRPr="00243BAE">
              <w:rPr>
                <w:lang w:eastAsia="en-US"/>
              </w:rPr>
              <w:t xml:space="preserve"> vozidel</w:t>
            </w:r>
          </w:p>
        </w:tc>
        <w:tc>
          <w:tcPr>
            <w:tcW w:w="851" w:type="dxa"/>
          </w:tcPr>
          <w:p w:rsidR="0008794F" w:rsidRDefault="0008794F" w:rsidP="00252588">
            <w:pPr>
              <w:jc w:val="center"/>
              <w:rPr>
                <w:lang w:eastAsia="en-US"/>
              </w:rPr>
            </w:pPr>
            <w:r>
              <w:rPr>
                <w:lang w:eastAsia="en-US"/>
              </w:rPr>
              <w:t>10,8</w:t>
            </w:r>
          </w:p>
        </w:tc>
        <w:tc>
          <w:tcPr>
            <w:tcW w:w="850" w:type="dxa"/>
          </w:tcPr>
          <w:p w:rsidR="0008794F" w:rsidRDefault="0008794F" w:rsidP="00252588">
            <w:pPr>
              <w:jc w:val="center"/>
              <w:rPr>
                <w:lang w:eastAsia="en-US"/>
              </w:rPr>
            </w:pPr>
            <w:r>
              <w:rPr>
                <w:lang w:eastAsia="en-US"/>
              </w:rPr>
              <w:t>10,3</w:t>
            </w:r>
          </w:p>
        </w:tc>
        <w:tc>
          <w:tcPr>
            <w:tcW w:w="851" w:type="dxa"/>
          </w:tcPr>
          <w:p w:rsidR="0008794F" w:rsidRDefault="0008794F" w:rsidP="00252588">
            <w:pPr>
              <w:jc w:val="center"/>
              <w:rPr>
                <w:lang w:eastAsia="en-US"/>
              </w:rPr>
            </w:pPr>
            <w:r>
              <w:rPr>
                <w:lang w:eastAsia="en-US"/>
              </w:rPr>
              <w:t>14,6</w:t>
            </w:r>
          </w:p>
        </w:tc>
        <w:tc>
          <w:tcPr>
            <w:tcW w:w="850" w:type="dxa"/>
          </w:tcPr>
          <w:p w:rsidR="0008794F" w:rsidRDefault="0008794F" w:rsidP="00252588">
            <w:pPr>
              <w:jc w:val="center"/>
              <w:rPr>
                <w:lang w:eastAsia="en-US"/>
              </w:rPr>
            </w:pPr>
            <w:r>
              <w:rPr>
                <w:lang w:eastAsia="en-US"/>
              </w:rPr>
              <w:t>13,2</w:t>
            </w:r>
          </w:p>
        </w:tc>
        <w:tc>
          <w:tcPr>
            <w:tcW w:w="851" w:type="dxa"/>
          </w:tcPr>
          <w:p w:rsidR="0008794F" w:rsidRDefault="0008794F" w:rsidP="00252588">
            <w:pPr>
              <w:jc w:val="center"/>
              <w:rPr>
                <w:lang w:eastAsia="en-US"/>
              </w:rPr>
            </w:pPr>
            <w:r>
              <w:rPr>
                <w:lang w:eastAsia="en-US"/>
              </w:rPr>
              <w:t>13</w:t>
            </w:r>
          </w:p>
        </w:tc>
        <w:tc>
          <w:tcPr>
            <w:tcW w:w="850" w:type="dxa"/>
          </w:tcPr>
          <w:p w:rsidR="0008794F" w:rsidRDefault="0008794F" w:rsidP="00252588">
            <w:pPr>
              <w:jc w:val="center"/>
              <w:rPr>
                <w:lang w:eastAsia="en-US"/>
              </w:rPr>
            </w:pPr>
            <w:r>
              <w:rPr>
                <w:lang w:eastAsia="en-US"/>
              </w:rPr>
              <w:t>12,4</w:t>
            </w:r>
          </w:p>
        </w:tc>
      </w:tr>
      <w:tr w:rsidR="0008794F" w:rsidTr="00252588">
        <w:tc>
          <w:tcPr>
            <w:tcW w:w="4219" w:type="dxa"/>
          </w:tcPr>
          <w:p w:rsidR="0008794F" w:rsidRDefault="0008794F" w:rsidP="00243BAE">
            <w:pPr>
              <w:rPr>
                <w:lang w:eastAsia="en-US"/>
              </w:rPr>
            </w:pPr>
            <w:r>
              <w:rPr>
                <w:lang w:eastAsia="en-US"/>
              </w:rPr>
              <w:t>Doprava</w:t>
            </w:r>
          </w:p>
        </w:tc>
        <w:tc>
          <w:tcPr>
            <w:tcW w:w="851" w:type="dxa"/>
          </w:tcPr>
          <w:p w:rsidR="0008794F" w:rsidRDefault="0008794F" w:rsidP="00252588">
            <w:pPr>
              <w:jc w:val="center"/>
              <w:rPr>
                <w:lang w:eastAsia="en-US"/>
              </w:rPr>
            </w:pPr>
            <w:r>
              <w:rPr>
                <w:lang w:eastAsia="en-US"/>
              </w:rPr>
              <w:t>6,5</w:t>
            </w:r>
          </w:p>
        </w:tc>
        <w:tc>
          <w:tcPr>
            <w:tcW w:w="850" w:type="dxa"/>
          </w:tcPr>
          <w:p w:rsidR="0008794F" w:rsidRDefault="0008794F" w:rsidP="00252588">
            <w:pPr>
              <w:jc w:val="center"/>
              <w:rPr>
                <w:lang w:eastAsia="en-US"/>
              </w:rPr>
            </w:pPr>
            <w:r>
              <w:rPr>
                <w:lang w:eastAsia="en-US"/>
              </w:rPr>
              <w:t>5,4</w:t>
            </w:r>
          </w:p>
        </w:tc>
        <w:tc>
          <w:tcPr>
            <w:tcW w:w="851" w:type="dxa"/>
          </w:tcPr>
          <w:p w:rsidR="0008794F" w:rsidRDefault="0008794F" w:rsidP="00252588">
            <w:pPr>
              <w:jc w:val="center"/>
              <w:rPr>
                <w:lang w:eastAsia="en-US"/>
              </w:rPr>
            </w:pPr>
            <w:r>
              <w:rPr>
                <w:lang w:eastAsia="en-US"/>
              </w:rPr>
              <w:t>7,0</w:t>
            </w:r>
          </w:p>
        </w:tc>
        <w:tc>
          <w:tcPr>
            <w:tcW w:w="850" w:type="dxa"/>
          </w:tcPr>
          <w:p w:rsidR="0008794F" w:rsidRDefault="0008794F" w:rsidP="00252588">
            <w:pPr>
              <w:jc w:val="center"/>
              <w:rPr>
                <w:lang w:eastAsia="en-US"/>
              </w:rPr>
            </w:pPr>
            <w:r>
              <w:rPr>
                <w:lang w:eastAsia="en-US"/>
              </w:rPr>
              <w:t>7,0</w:t>
            </w:r>
          </w:p>
        </w:tc>
        <w:tc>
          <w:tcPr>
            <w:tcW w:w="851" w:type="dxa"/>
          </w:tcPr>
          <w:p w:rsidR="0008794F" w:rsidRDefault="0008794F" w:rsidP="00252588">
            <w:pPr>
              <w:jc w:val="center"/>
              <w:rPr>
                <w:lang w:eastAsia="en-US"/>
              </w:rPr>
            </w:pPr>
            <w:r>
              <w:rPr>
                <w:lang w:eastAsia="en-US"/>
              </w:rPr>
              <w:t>5,7</w:t>
            </w:r>
          </w:p>
        </w:tc>
        <w:tc>
          <w:tcPr>
            <w:tcW w:w="850" w:type="dxa"/>
          </w:tcPr>
          <w:p w:rsidR="0008794F" w:rsidRDefault="0008794F" w:rsidP="00252588">
            <w:pPr>
              <w:jc w:val="center"/>
              <w:rPr>
                <w:lang w:eastAsia="en-US"/>
              </w:rPr>
            </w:pPr>
            <w:r>
              <w:rPr>
                <w:lang w:eastAsia="en-US"/>
              </w:rPr>
              <w:t>5,6</w:t>
            </w:r>
          </w:p>
        </w:tc>
      </w:tr>
      <w:tr w:rsidR="0008794F" w:rsidTr="00252588">
        <w:tc>
          <w:tcPr>
            <w:tcW w:w="4219" w:type="dxa"/>
          </w:tcPr>
          <w:p w:rsidR="0008794F" w:rsidRDefault="0008794F" w:rsidP="00243BAE">
            <w:pPr>
              <w:rPr>
                <w:lang w:eastAsia="en-US"/>
              </w:rPr>
            </w:pPr>
            <w:r>
              <w:rPr>
                <w:lang w:eastAsia="en-US"/>
              </w:rPr>
              <w:t>Ubytování a stravování</w:t>
            </w:r>
          </w:p>
        </w:tc>
        <w:tc>
          <w:tcPr>
            <w:tcW w:w="851" w:type="dxa"/>
          </w:tcPr>
          <w:p w:rsidR="0008794F" w:rsidRDefault="0008794F" w:rsidP="00252588">
            <w:pPr>
              <w:jc w:val="center"/>
              <w:rPr>
                <w:lang w:eastAsia="en-US"/>
              </w:rPr>
            </w:pPr>
            <w:r>
              <w:rPr>
                <w:lang w:eastAsia="en-US"/>
              </w:rPr>
              <w:t>2,9</w:t>
            </w:r>
          </w:p>
        </w:tc>
        <w:tc>
          <w:tcPr>
            <w:tcW w:w="850" w:type="dxa"/>
          </w:tcPr>
          <w:p w:rsidR="0008794F" w:rsidRDefault="0008794F" w:rsidP="00252588">
            <w:pPr>
              <w:jc w:val="center"/>
              <w:rPr>
                <w:lang w:eastAsia="en-US"/>
              </w:rPr>
            </w:pPr>
            <w:r>
              <w:rPr>
                <w:lang w:eastAsia="en-US"/>
              </w:rPr>
              <w:t>2,0</w:t>
            </w:r>
          </w:p>
        </w:tc>
        <w:tc>
          <w:tcPr>
            <w:tcW w:w="851" w:type="dxa"/>
          </w:tcPr>
          <w:p w:rsidR="0008794F" w:rsidRDefault="0008794F" w:rsidP="00252588">
            <w:pPr>
              <w:jc w:val="center"/>
              <w:rPr>
                <w:lang w:eastAsia="en-US"/>
              </w:rPr>
            </w:pPr>
            <w:r>
              <w:rPr>
                <w:lang w:eastAsia="en-US"/>
              </w:rPr>
              <w:t>1,5</w:t>
            </w:r>
          </w:p>
        </w:tc>
        <w:tc>
          <w:tcPr>
            <w:tcW w:w="850" w:type="dxa"/>
          </w:tcPr>
          <w:p w:rsidR="0008794F" w:rsidRDefault="0008794F" w:rsidP="00252588">
            <w:pPr>
              <w:jc w:val="center"/>
              <w:rPr>
                <w:lang w:eastAsia="en-US"/>
              </w:rPr>
            </w:pPr>
            <w:r>
              <w:rPr>
                <w:lang w:eastAsia="en-US"/>
              </w:rPr>
              <w:t>1,5</w:t>
            </w:r>
          </w:p>
        </w:tc>
        <w:tc>
          <w:tcPr>
            <w:tcW w:w="851" w:type="dxa"/>
          </w:tcPr>
          <w:p w:rsidR="0008794F" w:rsidRDefault="0008794F" w:rsidP="00252588">
            <w:pPr>
              <w:jc w:val="center"/>
              <w:rPr>
                <w:lang w:eastAsia="en-US"/>
              </w:rPr>
            </w:pPr>
            <w:r>
              <w:rPr>
                <w:lang w:eastAsia="en-US"/>
              </w:rPr>
              <w:t>3,9</w:t>
            </w:r>
          </w:p>
        </w:tc>
        <w:tc>
          <w:tcPr>
            <w:tcW w:w="850" w:type="dxa"/>
          </w:tcPr>
          <w:p w:rsidR="0008794F" w:rsidRDefault="0008794F" w:rsidP="00252588">
            <w:pPr>
              <w:jc w:val="center"/>
              <w:rPr>
                <w:lang w:eastAsia="en-US"/>
              </w:rPr>
            </w:pPr>
            <w:r>
              <w:rPr>
                <w:lang w:eastAsia="en-US"/>
              </w:rPr>
              <w:t>5,0</w:t>
            </w:r>
          </w:p>
        </w:tc>
      </w:tr>
      <w:tr w:rsidR="0008794F" w:rsidTr="00252588">
        <w:tc>
          <w:tcPr>
            <w:tcW w:w="4219" w:type="dxa"/>
          </w:tcPr>
          <w:p w:rsidR="0008794F" w:rsidRDefault="0008794F" w:rsidP="00243BAE">
            <w:pPr>
              <w:rPr>
                <w:lang w:eastAsia="en-US"/>
              </w:rPr>
            </w:pPr>
            <w:r>
              <w:rPr>
                <w:lang w:eastAsia="en-US"/>
              </w:rPr>
              <w:t>ICT</w:t>
            </w:r>
          </w:p>
        </w:tc>
        <w:tc>
          <w:tcPr>
            <w:tcW w:w="851" w:type="dxa"/>
          </w:tcPr>
          <w:p w:rsidR="0008794F" w:rsidRDefault="0008794F" w:rsidP="00252588">
            <w:pPr>
              <w:jc w:val="center"/>
              <w:rPr>
                <w:lang w:eastAsia="en-US"/>
              </w:rPr>
            </w:pPr>
            <w:r>
              <w:rPr>
                <w:lang w:eastAsia="en-US"/>
              </w:rPr>
              <w:t>3,9</w:t>
            </w:r>
          </w:p>
        </w:tc>
        <w:tc>
          <w:tcPr>
            <w:tcW w:w="850" w:type="dxa"/>
          </w:tcPr>
          <w:p w:rsidR="0008794F" w:rsidRDefault="0008794F" w:rsidP="00252588">
            <w:pPr>
              <w:jc w:val="center"/>
              <w:rPr>
                <w:lang w:eastAsia="en-US"/>
              </w:rPr>
            </w:pPr>
            <w:r>
              <w:rPr>
                <w:lang w:eastAsia="en-US"/>
              </w:rPr>
              <w:t>5,2</w:t>
            </w:r>
          </w:p>
        </w:tc>
        <w:tc>
          <w:tcPr>
            <w:tcW w:w="851" w:type="dxa"/>
          </w:tcPr>
          <w:p w:rsidR="0008794F" w:rsidRDefault="0008794F" w:rsidP="00252588">
            <w:pPr>
              <w:jc w:val="center"/>
              <w:rPr>
                <w:lang w:eastAsia="en-US"/>
              </w:rPr>
            </w:pPr>
            <w:r>
              <w:rPr>
                <w:lang w:eastAsia="en-US"/>
              </w:rPr>
              <w:t>3,3</w:t>
            </w:r>
          </w:p>
        </w:tc>
        <w:tc>
          <w:tcPr>
            <w:tcW w:w="850" w:type="dxa"/>
          </w:tcPr>
          <w:p w:rsidR="0008794F" w:rsidRDefault="0008794F" w:rsidP="00252588">
            <w:pPr>
              <w:jc w:val="center"/>
              <w:rPr>
                <w:lang w:eastAsia="en-US"/>
              </w:rPr>
            </w:pPr>
            <w:r>
              <w:rPr>
                <w:lang w:eastAsia="en-US"/>
              </w:rPr>
              <w:t>4,2</w:t>
            </w:r>
          </w:p>
        </w:tc>
        <w:tc>
          <w:tcPr>
            <w:tcW w:w="851" w:type="dxa"/>
          </w:tcPr>
          <w:p w:rsidR="0008794F" w:rsidRDefault="0008794F" w:rsidP="00252588">
            <w:pPr>
              <w:jc w:val="center"/>
              <w:rPr>
                <w:lang w:eastAsia="en-US"/>
              </w:rPr>
            </w:pPr>
            <w:r>
              <w:rPr>
                <w:lang w:eastAsia="en-US"/>
              </w:rPr>
              <w:t>3,4</w:t>
            </w:r>
          </w:p>
        </w:tc>
        <w:tc>
          <w:tcPr>
            <w:tcW w:w="850" w:type="dxa"/>
          </w:tcPr>
          <w:p w:rsidR="0008794F" w:rsidRDefault="0008794F" w:rsidP="00252588">
            <w:pPr>
              <w:jc w:val="center"/>
              <w:rPr>
                <w:lang w:eastAsia="en-US"/>
              </w:rPr>
            </w:pPr>
            <w:r>
              <w:rPr>
                <w:lang w:eastAsia="en-US"/>
              </w:rPr>
              <w:t>3,3</w:t>
            </w:r>
          </w:p>
        </w:tc>
      </w:tr>
      <w:tr w:rsidR="0008794F" w:rsidTr="00252588">
        <w:tc>
          <w:tcPr>
            <w:tcW w:w="4219" w:type="dxa"/>
          </w:tcPr>
          <w:p w:rsidR="0008794F" w:rsidRDefault="0008794F" w:rsidP="00243BAE">
            <w:pPr>
              <w:rPr>
                <w:lang w:eastAsia="en-US"/>
              </w:rPr>
            </w:pPr>
            <w:r>
              <w:rPr>
                <w:lang w:eastAsia="en-US"/>
              </w:rPr>
              <w:t>Peněžnictví a pojišťovnictví</w:t>
            </w:r>
          </w:p>
        </w:tc>
        <w:tc>
          <w:tcPr>
            <w:tcW w:w="851" w:type="dxa"/>
          </w:tcPr>
          <w:p w:rsidR="0008794F" w:rsidRDefault="0008794F" w:rsidP="00252588">
            <w:pPr>
              <w:jc w:val="center"/>
              <w:rPr>
                <w:lang w:eastAsia="en-US"/>
              </w:rPr>
            </w:pPr>
            <w:r>
              <w:rPr>
                <w:lang w:eastAsia="en-US"/>
              </w:rPr>
              <w:t>4,2</w:t>
            </w:r>
          </w:p>
        </w:tc>
        <w:tc>
          <w:tcPr>
            <w:tcW w:w="850" w:type="dxa"/>
          </w:tcPr>
          <w:p w:rsidR="0008794F" w:rsidRDefault="0008794F" w:rsidP="00252588">
            <w:pPr>
              <w:jc w:val="center"/>
              <w:rPr>
                <w:lang w:eastAsia="en-US"/>
              </w:rPr>
            </w:pPr>
            <w:r>
              <w:rPr>
                <w:lang w:eastAsia="en-US"/>
              </w:rPr>
              <w:t>4,4</w:t>
            </w:r>
          </w:p>
        </w:tc>
        <w:tc>
          <w:tcPr>
            <w:tcW w:w="851" w:type="dxa"/>
          </w:tcPr>
          <w:p w:rsidR="0008794F" w:rsidRDefault="0008794F" w:rsidP="00252588">
            <w:pPr>
              <w:jc w:val="center"/>
              <w:rPr>
                <w:lang w:eastAsia="en-US"/>
              </w:rPr>
            </w:pPr>
            <w:r>
              <w:rPr>
                <w:lang w:eastAsia="en-US"/>
              </w:rPr>
              <w:t>3,0</w:t>
            </w:r>
          </w:p>
        </w:tc>
        <w:tc>
          <w:tcPr>
            <w:tcW w:w="850" w:type="dxa"/>
          </w:tcPr>
          <w:p w:rsidR="0008794F" w:rsidRDefault="0008794F" w:rsidP="00252588">
            <w:pPr>
              <w:jc w:val="center"/>
              <w:rPr>
                <w:lang w:eastAsia="en-US"/>
              </w:rPr>
            </w:pPr>
            <w:r>
              <w:rPr>
                <w:lang w:eastAsia="en-US"/>
              </w:rPr>
              <w:t>4,4</w:t>
            </w:r>
          </w:p>
        </w:tc>
        <w:tc>
          <w:tcPr>
            <w:tcW w:w="851" w:type="dxa"/>
          </w:tcPr>
          <w:p w:rsidR="0008794F" w:rsidRDefault="0008794F" w:rsidP="00252588">
            <w:pPr>
              <w:jc w:val="center"/>
              <w:rPr>
                <w:lang w:eastAsia="en-US"/>
              </w:rPr>
            </w:pPr>
            <w:r>
              <w:rPr>
                <w:lang w:eastAsia="en-US"/>
              </w:rPr>
              <w:t>5,5</w:t>
            </w:r>
          </w:p>
        </w:tc>
        <w:tc>
          <w:tcPr>
            <w:tcW w:w="850" w:type="dxa"/>
          </w:tcPr>
          <w:p w:rsidR="0008794F" w:rsidRDefault="0008794F" w:rsidP="00252588">
            <w:pPr>
              <w:jc w:val="center"/>
              <w:rPr>
                <w:lang w:eastAsia="en-US"/>
              </w:rPr>
            </w:pPr>
            <w:r>
              <w:rPr>
                <w:lang w:eastAsia="en-US"/>
              </w:rPr>
              <w:t>4,3</w:t>
            </w:r>
          </w:p>
        </w:tc>
      </w:tr>
      <w:tr w:rsidR="0008794F" w:rsidTr="00252588">
        <w:tc>
          <w:tcPr>
            <w:tcW w:w="4219" w:type="dxa"/>
          </w:tcPr>
          <w:p w:rsidR="0008794F" w:rsidRDefault="0008794F" w:rsidP="00243BAE">
            <w:pPr>
              <w:rPr>
                <w:lang w:eastAsia="en-US"/>
              </w:rPr>
            </w:pPr>
            <w:r>
              <w:rPr>
                <w:lang w:eastAsia="en-US"/>
              </w:rPr>
              <w:t>Činnosti v oblasti nemovitostí</w:t>
            </w:r>
          </w:p>
        </w:tc>
        <w:tc>
          <w:tcPr>
            <w:tcW w:w="851" w:type="dxa"/>
          </w:tcPr>
          <w:p w:rsidR="0008794F" w:rsidRDefault="0008794F" w:rsidP="00252588">
            <w:pPr>
              <w:jc w:val="center"/>
              <w:rPr>
                <w:lang w:eastAsia="en-US"/>
              </w:rPr>
            </w:pPr>
            <w:r>
              <w:rPr>
                <w:lang w:eastAsia="en-US"/>
              </w:rPr>
              <w:t>6,4</w:t>
            </w:r>
          </w:p>
        </w:tc>
        <w:tc>
          <w:tcPr>
            <w:tcW w:w="850" w:type="dxa"/>
          </w:tcPr>
          <w:p w:rsidR="0008794F" w:rsidRDefault="0008794F" w:rsidP="00252588">
            <w:pPr>
              <w:jc w:val="center"/>
              <w:rPr>
                <w:lang w:eastAsia="en-US"/>
              </w:rPr>
            </w:pPr>
            <w:r>
              <w:rPr>
                <w:lang w:eastAsia="en-US"/>
              </w:rPr>
              <w:t>8,5</w:t>
            </w:r>
          </w:p>
        </w:tc>
        <w:tc>
          <w:tcPr>
            <w:tcW w:w="851" w:type="dxa"/>
          </w:tcPr>
          <w:p w:rsidR="0008794F" w:rsidRDefault="0008794F" w:rsidP="00252588">
            <w:pPr>
              <w:jc w:val="center"/>
              <w:rPr>
                <w:lang w:eastAsia="en-US"/>
              </w:rPr>
            </w:pPr>
            <w:r>
              <w:rPr>
                <w:lang w:eastAsia="en-US"/>
              </w:rPr>
              <w:t>7,6</w:t>
            </w:r>
          </w:p>
        </w:tc>
        <w:tc>
          <w:tcPr>
            <w:tcW w:w="850" w:type="dxa"/>
          </w:tcPr>
          <w:p w:rsidR="0008794F" w:rsidRDefault="0008794F" w:rsidP="00252588">
            <w:pPr>
              <w:jc w:val="center"/>
              <w:rPr>
                <w:lang w:eastAsia="en-US"/>
              </w:rPr>
            </w:pPr>
            <w:r>
              <w:rPr>
                <w:lang w:eastAsia="en-US"/>
              </w:rPr>
              <w:t>6,4</w:t>
            </w:r>
          </w:p>
        </w:tc>
        <w:tc>
          <w:tcPr>
            <w:tcW w:w="851" w:type="dxa"/>
          </w:tcPr>
          <w:p w:rsidR="0008794F" w:rsidRDefault="0008794F" w:rsidP="00252588">
            <w:pPr>
              <w:jc w:val="center"/>
              <w:rPr>
                <w:lang w:eastAsia="en-US"/>
              </w:rPr>
            </w:pPr>
            <w:r>
              <w:rPr>
                <w:lang w:eastAsia="en-US"/>
              </w:rPr>
              <w:t>7,9</w:t>
            </w:r>
          </w:p>
        </w:tc>
        <w:tc>
          <w:tcPr>
            <w:tcW w:w="850" w:type="dxa"/>
          </w:tcPr>
          <w:p w:rsidR="0008794F" w:rsidRDefault="0008794F" w:rsidP="00252588">
            <w:pPr>
              <w:jc w:val="center"/>
              <w:rPr>
                <w:lang w:eastAsia="en-US"/>
              </w:rPr>
            </w:pPr>
            <w:r>
              <w:rPr>
                <w:lang w:eastAsia="en-US"/>
              </w:rPr>
              <w:t>9,9</w:t>
            </w:r>
          </w:p>
        </w:tc>
      </w:tr>
      <w:tr w:rsidR="0008794F" w:rsidTr="00252588">
        <w:tc>
          <w:tcPr>
            <w:tcW w:w="4219" w:type="dxa"/>
          </w:tcPr>
          <w:p w:rsidR="0008794F" w:rsidRDefault="0008794F" w:rsidP="00243BAE">
            <w:pPr>
              <w:rPr>
                <w:lang w:eastAsia="en-US"/>
              </w:rPr>
            </w:pPr>
            <w:r w:rsidRPr="00243BAE">
              <w:rPr>
                <w:lang w:eastAsia="en-US"/>
              </w:rPr>
              <w:t>Profesní, vědecké a technické služby</w:t>
            </w:r>
          </w:p>
        </w:tc>
        <w:tc>
          <w:tcPr>
            <w:tcW w:w="851" w:type="dxa"/>
          </w:tcPr>
          <w:p w:rsidR="0008794F" w:rsidRDefault="0008794F" w:rsidP="00252588">
            <w:pPr>
              <w:jc w:val="center"/>
              <w:rPr>
                <w:lang w:eastAsia="en-US"/>
              </w:rPr>
            </w:pPr>
            <w:r>
              <w:rPr>
                <w:lang w:eastAsia="en-US"/>
              </w:rPr>
              <w:t>4,2</w:t>
            </w:r>
          </w:p>
        </w:tc>
        <w:tc>
          <w:tcPr>
            <w:tcW w:w="850" w:type="dxa"/>
          </w:tcPr>
          <w:p w:rsidR="0008794F" w:rsidRDefault="0008794F" w:rsidP="00252588">
            <w:pPr>
              <w:jc w:val="center"/>
              <w:rPr>
                <w:lang w:eastAsia="en-US"/>
              </w:rPr>
            </w:pPr>
            <w:r>
              <w:rPr>
                <w:lang w:eastAsia="en-US"/>
              </w:rPr>
              <w:t>5,0</w:t>
            </w:r>
          </w:p>
        </w:tc>
        <w:tc>
          <w:tcPr>
            <w:tcW w:w="851" w:type="dxa"/>
          </w:tcPr>
          <w:p w:rsidR="0008794F" w:rsidRDefault="0008794F" w:rsidP="00252588">
            <w:pPr>
              <w:jc w:val="center"/>
              <w:rPr>
                <w:lang w:eastAsia="en-US"/>
              </w:rPr>
            </w:pPr>
            <w:r>
              <w:rPr>
                <w:lang w:eastAsia="en-US"/>
              </w:rPr>
              <w:t>3,8</w:t>
            </w:r>
          </w:p>
        </w:tc>
        <w:tc>
          <w:tcPr>
            <w:tcW w:w="850" w:type="dxa"/>
          </w:tcPr>
          <w:p w:rsidR="0008794F" w:rsidRDefault="0008794F" w:rsidP="00252588">
            <w:pPr>
              <w:jc w:val="center"/>
              <w:rPr>
                <w:lang w:eastAsia="en-US"/>
              </w:rPr>
            </w:pPr>
            <w:r>
              <w:rPr>
                <w:lang w:eastAsia="en-US"/>
              </w:rPr>
              <w:t>4,9</w:t>
            </w:r>
          </w:p>
        </w:tc>
        <w:tc>
          <w:tcPr>
            <w:tcW w:w="851" w:type="dxa"/>
          </w:tcPr>
          <w:p w:rsidR="0008794F" w:rsidRDefault="0008794F" w:rsidP="00252588">
            <w:pPr>
              <w:jc w:val="center"/>
              <w:rPr>
                <w:lang w:eastAsia="en-US"/>
              </w:rPr>
            </w:pPr>
            <w:r>
              <w:rPr>
                <w:lang w:eastAsia="en-US"/>
              </w:rPr>
              <w:t>3,6</w:t>
            </w:r>
          </w:p>
        </w:tc>
        <w:tc>
          <w:tcPr>
            <w:tcW w:w="850" w:type="dxa"/>
          </w:tcPr>
          <w:p w:rsidR="0008794F" w:rsidRDefault="0008794F" w:rsidP="00252588">
            <w:pPr>
              <w:jc w:val="center"/>
              <w:rPr>
                <w:lang w:eastAsia="en-US"/>
              </w:rPr>
            </w:pPr>
            <w:r>
              <w:rPr>
                <w:lang w:eastAsia="en-US"/>
              </w:rPr>
              <w:t>5,3</w:t>
            </w:r>
          </w:p>
        </w:tc>
      </w:tr>
      <w:tr w:rsidR="0008794F" w:rsidTr="00252588">
        <w:tc>
          <w:tcPr>
            <w:tcW w:w="4219" w:type="dxa"/>
          </w:tcPr>
          <w:p w:rsidR="0008794F" w:rsidRDefault="0008794F" w:rsidP="00243BAE">
            <w:pPr>
              <w:rPr>
                <w:lang w:eastAsia="en-US"/>
              </w:rPr>
            </w:pPr>
            <w:r w:rsidRPr="00243BAE">
              <w:rPr>
                <w:lang w:eastAsia="en-US"/>
              </w:rPr>
              <w:t>Administrativní a podpůrné služby</w:t>
            </w:r>
          </w:p>
        </w:tc>
        <w:tc>
          <w:tcPr>
            <w:tcW w:w="851" w:type="dxa"/>
          </w:tcPr>
          <w:p w:rsidR="0008794F" w:rsidRDefault="0008794F" w:rsidP="00252588">
            <w:pPr>
              <w:jc w:val="center"/>
              <w:rPr>
                <w:lang w:eastAsia="en-US"/>
              </w:rPr>
            </w:pPr>
            <w:r>
              <w:rPr>
                <w:lang w:eastAsia="en-US"/>
              </w:rPr>
              <w:t>1,7</w:t>
            </w:r>
          </w:p>
        </w:tc>
        <w:tc>
          <w:tcPr>
            <w:tcW w:w="850" w:type="dxa"/>
          </w:tcPr>
          <w:p w:rsidR="0008794F" w:rsidRDefault="0008794F" w:rsidP="00252588">
            <w:pPr>
              <w:jc w:val="center"/>
              <w:rPr>
                <w:lang w:eastAsia="en-US"/>
              </w:rPr>
            </w:pPr>
            <w:r>
              <w:rPr>
                <w:lang w:eastAsia="en-US"/>
              </w:rPr>
              <w:t>1,8</w:t>
            </w:r>
          </w:p>
        </w:tc>
        <w:tc>
          <w:tcPr>
            <w:tcW w:w="851" w:type="dxa"/>
          </w:tcPr>
          <w:p w:rsidR="0008794F" w:rsidRDefault="0008794F" w:rsidP="00252588">
            <w:pPr>
              <w:jc w:val="center"/>
              <w:rPr>
                <w:lang w:eastAsia="en-US"/>
              </w:rPr>
            </w:pPr>
            <w:r>
              <w:rPr>
                <w:lang w:eastAsia="en-US"/>
              </w:rPr>
              <w:t>1,9</w:t>
            </w:r>
          </w:p>
        </w:tc>
        <w:tc>
          <w:tcPr>
            <w:tcW w:w="850" w:type="dxa"/>
          </w:tcPr>
          <w:p w:rsidR="0008794F" w:rsidRDefault="0008794F" w:rsidP="00252588">
            <w:pPr>
              <w:jc w:val="center"/>
              <w:rPr>
                <w:lang w:eastAsia="en-US"/>
              </w:rPr>
            </w:pPr>
            <w:r>
              <w:rPr>
                <w:lang w:eastAsia="en-US"/>
              </w:rPr>
              <w:t>2,3</w:t>
            </w:r>
          </w:p>
        </w:tc>
        <w:tc>
          <w:tcPr>
            <w:tcW w:w="851" w:type="dxa"/>
          </w:tcPr>
          <w:p w:rsidR="0008794F" w:rsidRDefault="0008794F" w:rsidP="00252588">
            <w:pPr>
              <w:jc w:val="center"/>
              <w:rPr>
                <w:lang w:eastAsia="en-US"/>
              </w:rPr>
            </w:pPr>
            <w:r>
              <w:rPr>
                <w:lang w:eastAsia="en-US"/>
              </w:rPr>
              <w:t>2,7</w:t>
            </w:r>
          </w:p>
        </w:tc>
        <w:tc>
          <w:tcPr>
            <w:tcW w:w="850" w:type="dxa"/>
          </w:tcPr>
          <w:p w:rsidR="0008794F" w:rsidRDefault="0008794F" w:rsidP="00252588">
            <w:pPr>
              <w:jc w:val="center"/>
              <w:rPr>
                <w:lang w:eastAsia="en-US"/>
              </w:rPr>
            </w:pPr>
            <w:r>
              <w:rPr>
                <w:lang w:eastAsia="en-US"/>
              </w:rPr>
              <w:t>4,3</w:t>
            </w:r>
          </w:p>
        </w:tc>
      </w:tr>
      <w:tr w:rsidR="0008794F" w:rsidTr="00252588">
        <w:tc>
          <w:tcPr>
            <w:tcW w:w="4219" w:type="dxa"/>
          </w:tcPr>
          <w:p w:rsidR="0008794F" w:rsidRDefault="0008794F" w:rsidP="00243BAE">
            <w:pPr>
              <w:rPr>
                <w:lang w:eastAsia="en-US"/>
              </w:rPr>
            </w:pPr>
            <w:r w:rsidRPr="00243BAE">
              <w:rPr>
                <w:lang w:eastAsia="en-US"/>
              </w:rPr>
              <w:t xml:space="preserve">Veřejná správa a obrana; </w:t>
            </w:r>
            <w:proofErr w:type="spellStart"/>
            <w:r w:rsidRPr="00243BAE">
              <w:rPr>
                <w:lang w:eastAsia="en-US"/>
              </w:rPr>
              <w:t>soc</w:t>
            </w:r>
            <w:proofErr w:type="spellEnd"/>
            <w:r w:rsidRPr="00243BAE">
              <w:rPr>
                <w:lang w:eastAsia="en-US"/>
              </w:rPr>
              <w:t>. zabezpečení</w:t>
            </w:r>
          </w:p>
        </w:tc>
        <w:tc>
          <w:tcPr>
            <w:tcW w:w="851" w:type="dxa"/>
          </w:tcPr>
          <w:p w:rsidR="0008794F" w:rsidRDefault="0008794F" w:rsidP="00252588">
            <w:pPr>
              <w:jc w:val="center"/>
              <w:rPr>
                <w:lang w:eastAsia="en-US"/>
              </w:rPr>
            </w:pPr>
            <w:r>
              <w:rPr>
                <w:lang w:eastAsia="en-US"/>
              </w:rPr>
              <w:t>7,4</w:t>
            </w:r>
          </w:p>
        </w:tc>
        <w:tc>
          <w:tcPr>
            <w:tcW w:w="850" w:type="dxa"/>
          </w:tcPr>
          <w:p w:rsidR="0008794F" w:rsidRDefault="0008794F" w:rsidP="00252588">
            <w:pPr>
              <w:jc w:val="center"/>
              <w:rPr>
                <w:lang w:eastAsia="en-US"/>
              </w:rPr>
            </w:pPr>
            <w:r>
              <w:rPr>
                <w:lang w:eastAsia="en-US"/>
              </w:rPr>
              <w:t>6,3</w:t>
            </w:r>
          </w:p>
        </w:tc>
        <w:tc>
          <w:tcPr>
            <w:tcW w:w="851" w:type="dxa"/>
          </w:tcPr>
          <w:p w:rsidR="0008794F" w:rsidRDefault="0008794F" w:rsidP="00252588">
            <w:pPr>
              <w:jc w:val="center"/>
              <w:rPr>
                <w:lang w:eastAsia="en-US"/>
              </w:rPr>
            </w:pPr>
            <w:r>
              <w:rPr>
                <w:lang w:eastAsia="en-US"/>
              </w:rPr>
              <w:t>7,1</w:t>
            </w:r>
          </w:p>
        </w:tc>
        <w:tc>
          <w:tcPr>
            <w:tcW w:w="850" w:type="dxa"/>
          </w:tcPr>
          <w:p w:rsidR="0008794F" w:rsidRDefault="0008794F" w:rsidP="00252588">
            <w:pPr>
              <w:jc w:val="center"/>
              <w:rPr>
                <w:lang w:eastAsia="en-US"/>
              </w:rPr>
            </w:pPr>
            <w:r>
              <w:rPr>
                <w:lang w:eastAsia="en-US"/>
              </w:rPr>
              <w:t>6,2</w:t>
            </w:r>
          </w:p>
        </w:tc>
        <w:tc>
          <w:tcPr>
            <w:tcW w:w="851" w:type="dxa"/>
          </w:tcPr>
          <w:p w:rsidR="0008794F" w:rsidRDefault="0008794F" w:rsidP="00252588">
            <w:pPr>
              <w:jc w:val="center"/>
              <w:rPr>
                <w:lang w:eastAsia="en-US"/>
              </w:rPr>
            </w:pPr>
            <w:r>
              <w:rPr>
                <w:lang w:eastAsia="en-US"/>
              </w:rPr>
              <w:t>6,1</w:t>
            </w:r>
          </w:p>
        </w:tc>
        <w:tc>
          <w:tcPr>
            <w:tcW w:w="850" w:type="dxa"/>
          </w:tcPr>
          <w:p w:rsidR="0008794F" w:rsidRDefault="0008794F" w:rsidP="00252588">
            <w:pPr>
              <w:jc w:val="center"/>
              <w:rPr>
                <w:lang w:eastAsia="en-US"/>
              </w:rPr>
            </w:pPr>
            <w:r>
              <w:rPr>
                <w:lang w:eastAsia="en-US"/>
              </w:rPr>
              <w:t>5,2</w:t>
            </w:r>
          </w:p>
        </w:tc>
      </w:tr>
      <w:tr w:rsidR="0008794F" w:rsidTr="00252588">
        <w:tc>
          <w:tcPr>
            <w:tcW w:w="4219" w:type="dxa"/>
          </w:tcPr>
          <w:p w:rsidR="0008794F" w:rsidRDefault="0008794F" w:rsidP="00243BAE">
            <w:pPr>
              <w:rPr>
                <w:lang w:eastAsia="en-US"/>
              </w:rPr>
            </w:pPr>
            <w:r>
              <w:rPr>
                <w:lang w:eastAsia="en-US"/>
              </w:rPr>
              <w:t>Vzdělávání</w:t>
            </w:r>
          </w:p>
        </w:tc>
        <w:tc>
          <w:tcPr>
            <w:tcW w:w="851" w:type="dxa"/>
          </w:tcPr>
          <w:p w:rsidR="0008794F" w:rsidRDefault="0008794F" w:rsidP="00252588">
            <w:pPr>
              <w:jc w:val="center"/>
              <w:rPr>
                <w:lang w:eastAsia="en-US"/>
              </w:rPr>
            </w:pPr>
            <w:r>
              <w:rPr>
                <w:lang w:eastAsia="en-US"/>
              </w:rPr>
              <w:t>3,9</w:t>
            </w:r>
          </w:p>
        </w:tc>
        <w:tc>
          <w:tcPr>
            <w:tcW w:w="850" w:type="dxa"/>
          </w:tcPr>
          <w:p w:rsidR="0008794F" w:rsidRDefault="0008794F" w:rsidP="00252588">
            <w:pPr>
              <w:jc w:val="center"/>
              <w:rPr>
                <w:lang w:eastAsia="en-US"/>
              </w:rPr>
            </w:pPr>
            <w:r>
              <w:rPr>
                <w:lang w:eastAsia="en-US"/>
              </w:rPr>
              <w:t>4,3</w:t>
            </w:r>
          </w:p>
        </w:tc>
        <w:tc>
          <w:tcPr>
            <w:tcW w:w="851" w:type="dxa"/>
          </w:tcPr>
          <w:p w:rsidR="0008794F" w:rsidRDefault="0008794F" w:rsidP="00252588">
            <w:pPr>
              <w:jc w:val="center"/>
              <w:rPr>
                <w:lang w:eastAsia="en-US"/>
              </w:rPr>
            </w:pPr>
            <w:r>
              <w:rPr>
                <w:lang w:eastAsia="en-US"/>
              </w:rPr>
              <w:t>3,1</w:t>
            </w:r>
          </w:p>
        </w:tc>
        <w:tc>
          <w:tcPr>
            <w:tcW w:w="850" w:type="dxa"/>
          </w:tcPr>
          <w:p w:rsidR="0008794F" w:rsidRDefault="0008794F" w:rsidP="00252588">
            <w:pPr>
              <w:jc w:val="center"/>
              <w:rPr>
                <w:lang w:eastAsia="en-US"/>
              </w:rPr>
            </w:pPr>
            <w:r>
              <w:rPr>
                <w:lang w:eastAsia="en-US"/>
              </w:rPr>
              <w:t>3,5</w:t>
            </w:r>
          </w:p>
        </w:tc>
        <w:tc>
          <w:tcPr>
            <w:tcW w:w="851" w:type="dxa"/>
          </w:tcPr>
          <w:p w:rsidR="0008794F" w:rsidRDefault="0008794F" w:rsidP="00252588">
            <w:pPr>
              <w:jc w:val="center"/>
              <w:rPr>
                <w:lang w:eastAsia="en-US"/>
              </w:rPr>
            </w:pPr>
            <w:r>
              <w:rPr>
                <w:lang w:eastAsia="en-US"/>
              </w:rPr>
              <w:t>5,5</w:t>
            </w:r>
          </w:p>
        </w:tc>
        <w:tc>
          <w:tcPr>
            <w:tcW w:w="850" w:type="dxa"/>
          </w:tcPr>
          <w:p w:rsidR="0008794F" w:rsidRDefault="0008794F" w:rsidP="00252588">
            <w:pPr>
              <w:jc w:val="center"/>
              <w:rPr>
                <w:lang w:eastAsia="en-US"/>
              </w:rPr>
            </w:pPr>
            <w:r>
              <w:rPr>
                <w:lang w:eastAsia="en-US"/>
              </w:rPr>
              <w:t>5,4</w:t>
            </w:r>
          </w:p>
        </w:tc>
      </w:tr>
      <w:tr w:rsidR="0008794F" w:rsidTr="00252588">
        <w:tc>
          <w:tcPr>
            <w:tcW w:w="4219" w:type="dxa"/>
          </w:tcPr>
          <w:p w:rsidR="0008794F" w:rsidRDefault="0008794F" w:rsidP="00243BAE">
            <w:pPr>
              <w:rPr>
                <w:lang w:eastAsia="en-US"/>
              </w:rPr>
            </w:pPr>
            <w:r>
              <w:rPr>
                <w:lang w:eastAsia="en-US"/>
              </w:rPr>
              <w:t xml:space="preserve">Zdravotnictví a sociální péče </w:t>
            </w:r>
          </w:p>
        </w:tc>
        <w:tc>
          <w:tcPr>
            <w:tcW w:w="851" w:type="dxa"/>
          </w:tcPr>
          <w:p w:rsidR="0008794F" w:rsidRDefault="0008794F" w:rsidP="00252588">
            <w:pPr>
              <w:jc w:val="center"/>
              <w:rPr>
                <w:lang w:eastAsia="en-US"/>
              </w:rPr>
            </w:pPr>
            <w:r>
              <w:rPr>
                <w:lang w:eastAsia="en-US"/>
              </w:rPr>
              <w:t>3,0</w:t>
            </w:r>
          </w:p>
        </w:tc>
        <w:tc>
          <w:tcPr>
            <w:tcW w:w="850" w:type="dxa"/>
          </w:tcPr>
          <w:p w:rsidR="0008794F" w:rsidRDefault="0008794F" w:rsidP="00252588">
            <w:pPr>
              <w:jc w:val="center"/>
              <w:rPr>
                <w:lang w:eastAsia="en-US"/>
              </w:rPr>
            </w:pPr>
            <w:r>
              <w:rPr>
                <w:lang w:eastAsia="en-US"/>
              </w:rPr>
              <w:t>4,1</w:t>
            </w:r>
          </w:p>
        </w:tc>
        <w:tc>
          <w:tcPr>
            <w:tcW w:w="851" w:type="dxa"/>
          </w:tcPr>
          <w:p w:rsidR="0008794F" w:rsidRDefault="0008794F" w:rsidP="00252588">
            <w:pPr>
              <w:jc w:val="center"/>
              <w:rPr>
                <w:lang w:eastAsia="en-US"/>
              </w:rPr>
            </w:pPr>
            <w:r>
              <w:rPr>
                <w:lang w:eastAsia="en-US"/>
              </w:rPr>
              <w:t>3,7</w:t>
            </w:r>
          </w:p>
        </w:tc>
        <w:tc>
          <w:tcPr>
            <w:tcW w:w="850" w:type="dxa"/>
          </w:tcPr>
          <w:p w:rsidR="0008794F" w:rsidRDefault="0008794F" w:rsidP="00252588">
            <w:pPr>
              <w:jc w:val="center"/>
              <w:rPr>
                <w:lang w:eastAsia="en-US"/>
              </w:rPr>
            </w:pPr>
            <w:r>
              <w:rPr>
                <w:lang w:eastAsia="en-US"/>
              </w:rPr>
              <w:t>3,5</w:t>
            </w:r>
          </w:p>
        </w:tc>
        <w:tc>
          <w:tcPr>
            <w:tcW w:w="851" w:type="dxa"/>
          </w:tcPr>
          <w:p w:rsidR="0008794F" w:rsidRDefault="0008794F" w:rsidP="00252588">
            <w:pPr>
              <w:jc w:val="center"/>
              <w:rPr>
                <w:lang w:eastAsia="en-US"/>
              </w:rPr>
            </w:pPr>
            <w:r>
              <w:rPr>
                <w:lang w:eastAsia="en-US"/>
              </w:rPr>
              <w:t>6,0</w:t>
            </w:r>
          </w:p>
        </w:tc>
        <w:tc>
          <w:tcPr>
            <w:tcW w:w="850" w:type="dxa"/>
          </w:tcPr>
          <w:p w:rsidR="0008794F" w:rsidRDefault="0008794F" w:rsidP="00252588">
            <w:pPr>
              <w:jc w:val="center"/>
              <w:rPr>
                <w:lang w:eastAsia="en-US"/>
              </w:rPr>
            </w:pPr>
            <w:r>
              <w:rPr>
                <w:lang w:eastAsia="en-US"/>
              </w:rPr>
              <w:t>6,7</w:t>
            </w:r>
          </w:p>
        </w:tc>
      </w:tr>
      <w:tr w:rsidR="0008794F" w:rsidTr="00252588">
        <w:tc>
          <w:tcPr>
            <w:tcW w:w="4219" w:type="dxa"/>
          </w:tcPr>
          <w:p w:rsidR="0008794F" w:rsidRDefault="0008794F" w:rsidP="00243BAE">
            <w:pPr>
              <w:rPr>
                <w:lang w:eastAsia="en-US"/>
              </w:rPr>
            </w:pPr>
            <w:r>
              <w:rPr>
                <w:lang w:eastAsia="en-US"/>
              </w:rPr>
              <w:t>Kultura a rekreace</w:t>
            </w:r>
          </w:p>
        </w:tc>
        <w:tc>
          <w:tcPr>
            <w:tcW w:w="851" w:type="dxa"/>
          </w:tcPr>
          <w:p w:rsidR="0008794F" w:rsidRDefault="0008794F" w:rsidP="00252588">
            <w:pPr>
              <w:jc w:val="center"/>
              <w:rPr>
                <w:lang w:eastAsia="en-US"/>
              </w:rPr>
            </w:pPr>
            <w:r>
              <w:rPr>
                <w:lang w:eastAsia="en-US"/>
              </w:rPr>
              <w:t>0,8</w:t>
            </w:r>
          </w:p>
        </w:tc>
        <w:tc>
          <w:tcPr>
            <w:tcW w:w="850" w:type="dxa"/>
          </w:tcPr>
          <w:p w:rsidR="0008794F" w:rsidRDefault="0008794F" w:rsidP="00252588">
            <w:pPr>
              <w:jc w:val="center"/>
              <w:rPr>
                <w:lang w:eastAsia="en-US"/>
              </w:rPr>
            </w:pPr>
            <w:r>
              <w:rPr>
                <w:lang w:eastAsia="en-US"/>
              </w:rPr>
              <w:t>1,0</w:t>
            </w:r>
          </w:p>
        </w:tc>
        <w:tc>
          <w:tcPr>
            <w:tcW w:w="851" w:type="dxa"/>
          </w:tcPr>
          <w:p w:rsidR="0008794F" w:rsidRDefault="0008794F" w:rsidP="00252588">
            <w:pPr>
              <w:jc w:val="center"/>
              <w:rPr>
                <w:lang w:eastAsia="en-US"/>
              </w:rPr>
            </w:pPr>
            <w:r>
              <w:rPr>
                <w:lang w:eastAsia="en-US"/>
              </w:rPr>
              <w:t>1,2</w:t>
            </w:r>
          </w:p>
        </w:tc>
        <w:tc>
          <w:tcPr>
            <w:tcW w:w="850" w:type="dxa"/>
          </w:tcPr>
          <w:p w:rsidR="0008794F" w:rsidRDefault="0008794F" w:rsidP="00252588">
            <w:pPr>
              <w:jc w:val="center"/>
              <w:rPr>
                <w:lang w:eastAsia="en-US"/>
              </w:rPr>
            </w:pPr>
            <w:r>
              <w:rPr>
                <w:lang w:eastAsia="en-US"/>
              </w:rPr>
              <w:t>2,5</w:t>
            </w:r>
          </w:p>
        </w:tc>
        <w:tc>
          <w:tcPr>
            <w:tcW w:w="851" w:type="dxa"/>
          </w:tcPr>
          <w:p w:rsidR="0008794F" w:rsidRDefault="0008794F" w:rsidP="00252588">
            <w:pPr>
              <w:jc w:val="center"/>
              <w:rPr>
                <w:lang w:eastAsia="en-US"/>
              </w:rPr>
            </w:pPr>
            <w:r>
              <w:rPr>
                <w:lang w:eastAsia="en-US"/>
              </w:rPr>
              <w:t>1,0</w:t>
            </w:r>
          </w:p>
        </w:tc>
        <w:tc>
          <w:tcPr>
            <w:tcW w:w="850" w:type="dxa"/>
          </w:tcPr>
          <w:p w:rsidR="0008794F" w:rsidRDefault="0008794F" w:rsidP="00252588">
            <w:pPr>
              <w:jc w:val="center"/>
              <w:rPr>
                <w:lang w:eastAsia="en-US"/>
              </w:rPr>
            </w:pPr>
            <w:r>
              <w:rPr>
                <w:lang w:eastAsia="en-US"/>
              </w:rPr>
              <w:t>1,3</w:t>
            </w:r>
          </w:p>
        </w:tc>
      </w:tr>
      <w:tr w:rsidR="0008794F" w:rsidTr="00252588">
        <w:tc>
          <w:tcPr>
            <w:tcW w:w="4219" w:type="dxa"/>
          </w:tcPr>
          <w:p w:rsidR="0008794F" w:rsidRDefault="0008794F" w:rsidP="00243BAE">
            <w:pPr>
              <w:rPr>
                <w:lang w:eastAsia="en-US"/>
              </w:rPr>
            </w:pPr>
            <w:r>
              <w:rPr>
                <w:lang w:eastAsia="en-US"/>
              </w:rPr>
              <w:t>Ostatní služby</w:t>
            </w:r>
          </w:p>
        </w:tc>
        <w:tc>
          <w:tcPr>
            <w:tcW w:w="851" w:type="dxa"/>
          </w:tcPr>
          <w:p w:rsidR="0008794F" w:rsidRDefault="0008794F" w:rsidP="00252588">
            <w:pPr>
              <w:jc w:val="center"/>
              <w:rPr>
                <w:lang w:eastAsia="en-US"/>
              </w:rPr>
            </w:pPr>
            <w:r>
              <w:rPr>
                <w:lang w:eastAsia="en-US"/>
              </w:rPr>
              <w:t>1,4</w:t>
            </w:r>
          </w:p>
        </w:tc>
        <w:tc>
          <w:tcPr>
            <w:tcW w:w="850" w:type="dxa"/>
          </w:tcPr>
          <w:p w:rsidR="0008794F" w:rsidRDefault="0008794F" w:rsidP="00252588">
            <w:pPr>
              <w:jc w:val="center"/>
              <w:rPr>
                <w:lang w:eastAsia="en-US"/>
              </w:rPr>
            </w:pPr>
            <w:r>
              <w:rPr>
                <w:lang w:eastAsia="en-US"/>
              </w:rPr>
              <w:t>1,1</w:t>
            </w:r>
          </w:p>
        </w:tc>
        <w:tc>
          <w:tcPr>
            <w:tcW w:w="851" w:type="dxa"/>
          </w:tcPr>
          <w:p w:rsidR="0008794F" w:rsidRDefault="0008794F" w:rsidP="00252588">
            <w:pPr>
              <w:jc w:val="center"/>
              <w:rPr>
                <w:lang w:eastAsia="en-US"/>
              </w:rPr>
            </w:pPr>
            <w:r>
              <w:rPr>
                <w:lang w:eastAsia="en-US"/>
              </w:rPr>
              <w:t>0,8</w:t>
            </w:r>
          </w:p>
        </w:tc>
        <w:tc>
          <w:tcPr>
            <w:tcW w:w="850" w:type="dxa"/>
          </w:tcPr>
          <w:p w:rsidR="0008794F" w:rsidRDefault="0008794F" w:rsidP="00252588">
            <w:pPr>
              <w:jc w:val="center"/>
              <w:rPr>
                <w:lang w:eastAsia="en-US"/>
              </w:rPr>
            </w:pPr>
            <w:r>
              <w:rPr>
                <w:lang w:eastAsia="en-US"/>
              </w:rPr>
              <w:t>1,0</w:t>
            </w:r>
          </w:p>
        </w:tc>
        <w:tc>
          <w:tcPr>
            <w:tcW w:w="851" w:type="dxa"/>
          </w:tcPr>
          <w:p w:rsidR="0008794F" w:rsidRDefault="0008794F" w:rsidP="00252588">
            <w:pPr>
              <w:jc w:val="center"/>
              <w:rPr>
                <w:lang w:eastAsia="en-US"/>
              </w:rPr>
            </w:pPr>
            <w:r>
              <w:rPr>
                <w:lang w:eastAsia="en-US"/>
              </w:rPr>
              <w:t>1,6</w:t>
            </w:r>
          </w:p>
        </w:tc>
        <w:tc>
          <w:tcPr>
            <w:tcW w:w="850" w:type="dxa"/>
          </w:tcPr>
          <w:p w:rsidR="0008794F" w:rsidRDefault="0008794F" w:rsidP="00252588">
            <w:pPr>
              <w:jc w:val="center"/>
              <w:rPr>
                <w:lang w:eastAsia="en-US"/>
              </w:rPr>
            </w:pPr>
            <w:r>
              <w:rPr>
                <w:lang w:eastAsia="en-US"/>
              </w:rPr>
              <w:t>1,5</w:t>
            </w:r>
          </w:p>
        </w:tc>
      </w:tr>
    </w:tbl>
    <w:p w:rsidR="0008794F" w:rsidRPr="008A4EAC" w:rsidRDefault="0008794F" w:rsidP="008A4EAC">
      <w:pPr>
        <w:jc w:val="right"/>
        <w:rPr>
          <w:sz w:val="8"/>
          <w:szCs w:val="8"/>
        </w:rPr>
      </w:pPr>
    </w:p>
    <w:p w:rsidR="0008794F" w:rsidRDefault="0008794F" w:rsidP="00EF5B51">
      <w:pPr>
        <w:jc w:val="right"/>
      </w:pPr>
      <w:r w:rsidRPr="00A14EDC">
        <w:rPr>
          <w:sz w:val="18"/>
          <w:szCs w:val="18"/>
        </w:rPr>
        <w:t xml:space="preserve">Pramen: </w:t>
      </w:r>
      <w:proofErr w:type="spellStart"/>
      <w:r w:rsidRPr="00A14EDC">
        <w:rPr>
          <w:sz w:val="18"/>
          <w:szCs w:val="18"/>
        </w:rPr>
        <w:t>Eurostat</w:t>
      </w:r>
      <w:proofErr w:type="spellEnd"/>
      <w:r>
        <w:rPr>
          <w:sz w:val="18"/>
          <w:szCs w:val="18"/>
        </w:rPr>
        <w:t>, vlastní propočty</w:t>
      </w:r>
    </w:p>
    <w:tbl>
      <w:tblPr>
        <w:tblW w:w="5043" w:type="pct"/>
        <w:tblInd w:w="-42" w:type="dxa"/>
        <w:tblLayout w:type="fixed"/>
        <w:tblCellMar>
          <w:left w:w="28" w:type="dxa"/>
          <w:right w:w="28" w:type="dxa"/>
        </w:tblCellMar>
        <w:tblLook w:val="00A0"/>
      </w:tblPr>
      <w:tblGrid>
        <w:gridCol w:w="2037"/>
        <w:gridCol w:w="272"/>
        <w:gridCol w:w="7468"/>
      </w:tblGrid>
      <w:tr w:rsidR="0008794F" w:rsidRPr="003D78A5" w:rsidTr="0036243E">
        <w:tc>
          <w:tcPr>
            <w:tcW w:w="1042" w:type="pct"/>
          </w:tcPr>
          <w:p w:rsidR="0008794F" w:rsidRPr="00602D1D" w:rsidRDefault="0008794F" w:rsidP="00AC1DB7">
            <w:pPr>
              <w:spacing w:line="240" w:lineRule="auto"/>
              <w:rPr>
                <w:color w:val="000000"/>
                <w:sz w:val="16"/>
                <w:szCs w:val="16"/>
              </w:rPr>
            </w:pPr>
            <w:r>
              <w:rPr>
                <w:color w:val="000000"/>
                <w:sz w:val="16"/>
                <w:szCs w:val="16"/>
              </w:rPr>
              <w:lastRenderedPageBreak/>
              <w:t xml:space="preserve">Při konkrétním pohledu na změny v ekonomické struktuře klesl významněji </w:t>
            </w:r>
            <w:proofErr w:type="gramStart"/>
            <w:r w:rsidR="00AC1DB7">
              <w:rPr>
                <w:color w:val="000000"/>
                <w:sz w:val="16"/>
                <w:szCs w:val="16"/>
              </w:rPr>
              <w:t>p</w:t>
            </w:r>
            <w:r>
              <w:rPr>
                <w:color w:val="000000"/>
                <w:sz w:val="16"/>
                <w:szCs w:val="16"/>
              </w:rPr>
              <w:t>odíl  odvětví</w:t>
            </w:r>
            <w:proofErr w:type="gramEnd"/>
            <w:r>
              <w:rPr>
                <w:color w:val="000000"/>
                <w:sz w:val="16"/>
                <w:szCs w:val="16"/>
              </w:rPr>
              <w:t xml:space="preserve"> dopravy na hrubé přidané hodnotě v ekonomice České republiky, přičemž v SR či v Rakousku zůstal za roky 1998-2014 fakticky zachován</w:t>
            </w:r>
          </w:p>
        </w:tc>
        <w:tc>
          <w:tcPr>
            <w:tcW w:w="139" w:type="pct"/>
          </w:tcPr>
          <w:p w:rsidR="0008794F" w:rsidRDefault="0008794F" w:rsidP="0036243E">
            <w:pPr>
              <w:pStyle w:val="Textpoznpodarou"/>
              <w:jc w:val="both"/>
            </w:pPr>
          </w:p>
        </w:tc>
        <w:tc>
          <w:tcPr>
            <w:tcW w:w="3819" w:type="pct"/>
          </w:tcPr>
          <w:p w:rsidR="0008794F" w:rsidRDefault="0008794F" w:rsidP="0036243E">
            <w:pPr>
              <w:spacing w:line="240" w:lineRule="auto"/>
              <w:jc w:val="both"/>
            </w:pPr>
            <w:r>
              <w:t xml:space="preserve">Přestože se podle grafického znázornění změněné struktury tří sledovaných ekonomik podle hrubé přidané hodnoty tvořené v jednotlivých odvětvích vztažené k její tvorbě za danou ekonomiku celkem může zdát, že k velkým změnám za roky 1998-2014 nedošlo, při pozornějším pohledu posuny zřejmě jsou. </w:t>
            </w:r>
          </w:p>
          <w:p w:rsidR="0008794F" w:rsidRPr="00935BFB" w:rsidRDefault="0008794F" w:rsidP="0036243E">
            <w:pPr>
              <w:spacing w:line="240" w:lineRule="auto"/>
              <w:jc w:val="both"/>
              <w:rPr>
                <w:sz w:val="10"/>
                <w:szCs w:val="10"/>
              </w:rPr>
            </w:pPr>
          </w:p>
          <w:p w:rsidR="0008794F" w:rsidRDefault="0008794F" w:rsidP="0036243E">
            <w:pPr>
              <w:spacing w:line="240" w:lineRule="auto"/>
              <w:jc w:val="both"/>
            </w:pPr>
            <w:r>
              <w:t>Například v České republice došlo ke značnému snížení podílu výkonnosti odvětví dopravy na celkově vytvořené hrubé přidané hodnotě (ze 6,5% v roce 1998 na 5,4</w:t>
            </w:r>
            <w:r w:rsidR="00AC1DB7">
              <w:t> </w:t>
            </w:r>
            <w:r>
              <w:t>% v roce 2014). Jde o posun, který v takovémto měřítku zbylé dvě země nezaznamenaly</w:t>
            </w:r>
            <w:r w:rsidR="00AF5878">
              <w:t>. N</w:t>
            </w:r>
            <w:r>
              <w:t xml:space="preserve">a Slovensku zůstal podíl dopravy stejný (7 %), v Rakousku se snížil jen nepatrně (z 5,7 % na 5,6 %). Toto snížení váhy </w:t>
            </w:r>
            <w:r w:rsidR="00AC1DB7">
              <w:t xml:space="preserve">odvětví </w:t>
            </w:r>
            <w:r>
              <w:t>dopravy ve struktuře české ekonomiky není možné přes</w:t>
            </w:r>
            <w:r w:rsidR="00AC1DB7">
              <w:t>vědčivě zdůvodnit např. významným</w:t>
            </w:r>
            <w:r>
              <w:t xml:space="preserve"> zmenšením váhy průmyslu a z něj plynoucí redukc</w:t>
            </w:r>
            <w:r w:rsidR="00AC1DB7">
              <w:t>e</w:t>
            </w:r>
            <w:r>
              <w:t xml:space="preserve"> přepravních výkonů (podíl průmyslu klesl jen velmi mírně, z 31,9 % v roce 1998 na 31,7 % v roce 2014, když zmenšení podílu bylo významnější u průmyslu  zpracovatelského - klesl z 26,4 % na 25,6 % v roce 2014).  </w:t>
            </w:r>
          </w:p>
          <w:p w:rsidR="0008794F" w:rsidRPr="003D78A5" w:rsidRDefault="0008794F" w:rsidP="0036243E">
            <w:pPr>
              <w:pStyle w:val="Textpoznpodarou"/>
              <w:jc w:val="both"/>
              <w:rPr>
                <w:color w:val="000000"/>
                <w:spacing w:val="-6"/>
              </w:rPr>
            </w:pPr>
            <w:r>
              <w:rPr>
                <w:color w:val="000000"/>
                <w:spacing w:val="-6"/>
              </w:rPr>
              <w:t xml:space="preserve">  </w:t>
            </w:r>
          </w:p>
        </w:tc>
      </w:tr>
      <w:tr w:rsidR="0008794F" w:rsidRPr="00484118" w:rsidTr="0036243E">
        <w:tc>
          <w:tcPr>
            <w:tcW w:w="1042" w:type="pct"/>
          </w:tcPr>
          <w:p w:rsidR="0008794F" w:rsidRPr="00602D1D" w:rsidRDefault="0008794F" w:rsidP="004C7337">
            <w:pPr>
              <w:spacing w:line="240" w:lineRule="auto"/>
              <w:rPr>
                <w:color w:val="000000"/>
                <w:sz w:val="16"/>
                <w:szCs w:val="16"/>
              </w:rPr>
            </w:pPr>
            <w:r>
              <w:rPr>
                <w:color w:val="000000"/>
                <w:sz w:val="16"/>
                <w:szCs w:val="16"/>
              </w:rPr>
              <w:t>Podíl ICT v ČR výrazně vzro</w:t>
            </w:r>
            <w:r w:rsidR="00AC1DB7">
              <w:rPr>
                <w:color w:val="000000"/>
                <w:sz w:val="16"/>
                <w:szCs w:val="16"/>
              </w:rPr>
              <w:t>s</w:t>
            </w:r>
            <w:r>
              <w:rPr>
                <w:color w:val="000000"/>
                <w:sz w:val="16"/>
                <w:szCs w:val="16"/>
              </w:rPr>
              <w:t xml:space="preserve">tl a je vyšší než na Slovensku a zejména v Rakousku </w:t>
            </w:r>
          </w:p>
        </w:tc>
        <w:tc>
          <w:tcPr>
            <w:tcW w:w="139" w:type="pct"/>
          </w:tcPr>
          <w:p w:rsidR="0008794F" w:rsidRDefault="0008794F" w:rsidP="0036243E">
            <w:pPr>
              <w:pStyle w:val="Textpoznpodarou"/>
              <w:jc w:val="both"/>
            </w:pPr>
          </w:p>
        </w:tc>
        <w:tc>
          <w:tcPr>
            <w:tcW w:w="3819" w:type="pct"/>
          </w:tcPr>
          <w:p w:rsidR="0008794F" w:rsidRDefault="0008794F" w:rsidP="002907C3">
            <w:pPr>
              <w:spacing w:line="240" w:lineRule="auto"/>
              <w:jc w:val="both"/>
            </w:pPr>
            <w:r w:rsidRPr="00D611D3">
              <w:rPr>
                <w:spacing w:val="-2"/>
              </w:rPr>
              <w:t>Výrazný je však v ČR růst podílu odvětví informačních a komunikačních technologií (z 3,9 % v roce 1998 na 5,2 % v roce 2014). To vykresluje ČR jako zemi vyspělou v tomto směru</w:t>
            </w:r>
            <w:r w:rsidR="00AC1DB7" w:rsidRPr="00D611D3">
              <w:rPr>
                <w:spacing w:val="-2"/>
              </w:rPr>
              <w:t>,</w:t>
            </w:r>
            <w:r w:rsidRPr="00D611D3">
              <w:rPr>
                <w:spacing w:val="-2"/>
              </w:rPr>
              <w:t xml:space="preserve"> protože ani SR s podílem 4,2 %, ani Rakousko se 3,3 % této proporce nedosahují. Za sledované období byla v ČR zaznamenána především silná expanze služ</w:t>
            </w:r>
            <w:r w:rsidR="00AC1DB7" w:rsidRPr="00D611D3">
              <w:rPr>
                <w:spacing w:val="-2"/>
              </w:rPr>
              <w:t xml:space="preserve">eb mobilních operátorů, kterých </w:t>
            </w:r>
            <w:proofErr w:type="gramStart"/>
            <w:r w:rsidRPr="00D611D3">
              <w:rPr>
                <w:spacing w:val="-2"/>
              </w:rPr>
              <w:t>využívaly</w:t>
            </w:r>
            <w:proofErr w:type="gramEnd"/>
            <w:r w:rsidRPr="00D611D3">
              <w:rPr>
                <w:spacing w:val="-2"/>
              </w:rPr>
              <w:t xml:space="preserve"> české domácnosti v míře vyšší než je průměr EU nejen pokud </w:t>
            </w:r>
            <w:proofErr w:type="gramStart"/>
            <w:r w:rsidRPr="00D611D3">
              <w:rPr>
                <w:spacing w:val="-2"/>
              </w:rPr>
              <w:t>jde</w:t>
            </w:r>
            <w:proofErr w:type="gramEnd"/>
            <w:r w:rsidRPr="00D611D3">
              <w:rPr>
                <w:spacing w:val="-2"/>
              </w:rPr>
              <w:t xml:space="preserve"> o hlasové, ale zejména datové služby</w:t>
            </w:r>
            <w:r>
              <w:t>.</w:t>
            </w:r>
          </w:p>
          <w:p w:rsidR="0008794F" w:rsidRPr="00484118" w:rsidRDefault="0008794F" w:rsidP="002907C3">
            <w:pPr>
              <w:spacing w:line="240" w:lineRule="auto"/>
              <w:jc w:val="both"/>
            </w:pPr>
          </w:p>
        </w:tc>
      </w:tr>
      <w:tr w:rsidR="0008794F" w:rsidRPr="00484118" w:rsidTr="0036243E">
        <w:tc>
          <w:tcPr>
            <w:tcW w:w="1042" w:type="pct"/>
          </w:tcPr>
          <w:p w:rsidR="0008794F" w:rsidRPr="00602D1D" w:rsidRDefault="00D611D3" w:rsidP="00AC1DB7">
            <w:pPr>
              <w:spacing w:line="240" w:lineRule="auto"/>
              <w:rPr>
                <w:color w:val="000000"/>
                <w:sz w:val="16"/>
                <w:szCs w:val="16"/>
              </w:rPr>
            </w:pPr>
            <w:r>
              <w:rPr>
                <w:color w:val="000000"/>
                <w:sz w:val="16"/>
                <w:szCs w:val="16"/>
              </w:rPr>
              <w:t xml:space="preserve">Narůstající </w:t>
            </w:r>
            <w:r w:rsidR="0008794F">
              <w:rPr>
                <w:color w:val="000000"/>
                <w:sz w:val="16"/>
                <w:szCs w:val="16"/>
              </w:rPr>
              <w:t>podíl zdělávání v ČR a SR souvisí zřejmě s rozvojem soukromého školství</w:t>
            </w:r>
          </w:p>
        </w:tc>
        <w:tc>
          <w:tcPr>
            <w:tcW w:w="139" w:type="pct"/>
          </w:tcPr>
          <w:p w:rsidR="0008794F" w:rsidRDefault="0008794F" w:rsidP="0036243E">
            <w:pPr>
              <w:pStyle w:val="Textpoznpodarou"/>
              <w:jc w:val="both"/>
            </w:pPr>
          </w:p>
        </w:tc>
        <w:tc>
          <w:tcPr>
            <w:tcW w:w="3819" w:type="pct"/>
          </w:tcPr>
          <w:p w:rsidR="0008794F" w:rsidRPr="00484118" w:rsidRDefault="0008794F" w:rsidP="00D611D3">
            <w:pPr>
              <w:spacing w:line="240" w:lineRule="auto"/>
              <w:jc w:val="both"/>
            </w:pPr>
            <w:r>
              <w:t xml:space="preserve">Růst podílu vzdělávání na hrubé přidané hodnotě v české ekonomice (z 3,9 % v roce 1998 na 4,3 % v roce 2014) může souviset s rozvojem soukromého školství, neboť podobný trend zaznamenalo v uvedeném období i Slovensko (růst podílu vzdělávání z 3,1 % na 3,5 % v roce 2014). Této dedukci nahrává i fakt, že v Rakousku, kde je již podíl soukromého školství vzhledem k delší tradici pravděpodobně vyšší, se podíl této sféry služeb za roky 1998-2014 naopak nepatrně snížil (z 5,5 %na 5,4 %). </w:t>
            </w:r>
          </w:p>
        </w:tc>
      </w:tr>
    </w:tbl>
    <w:p w:rsidR="0008794F" w:rsidRDefault="0008794F" w:rsidP="00D34225"/>
    <w:tbl>
      <w:tblPr>
        <w:tblW w:w="5153" w:type="pct"/>
        <w:tblInd w:w="-42" w:type="dxa"/>
        <w:tblCellMar>
          <w:left w:w="28" w:type="dxa"/>
          <w:right w:w="28" w:type="dxa"/>
        </w:tblCellMar>
        <w:tblLook w:val="00A0"/>
      </w:tblPr>
      <w:tblGrid>
        <w:gridCol w:w="770"/>
        <w:gridCol w:w="4101"/>
        <w:gridCol w:w="804"/>
        <w:gridCol w:w="4327"/>
      </w:tblGrid>
      <w:tr w:rsidR="0008794F" w:rsidRPr="005A1C19" w:rsidTr="00F94123">
        <w:tc>
          <w:tcPr>
            <w:tcW w:w="385" w:type="pct"/>
          </w:tcPr>
          <w:p w:rsidR="0008794F" w:rsidRDefault="0008794F" w:rsidP="00F7293D">
            <w:pPr>
              <w:spacing w:line="240" w:lineRule="auto"/>
            </w:pPr>
            <w:r>
              <w:t>Graf 45</w:t>
            </w:r>
          </w:p>
        </w:tc>
        <w:tc>
          <w:tcPr>
            <w:tcW w:w="2050" w:type="pct"/>
          </w:tcPr>
          <w:p w:rsidR="0008794F" w:rsidRDefault="0008794F" w:rsidP="00674FAC">
            <w:pPr>
              <w:pStyle w:val="Textpoznpodarou"/>
              <w:rPr>
                <w:rFonts w:cs="Arial"/>
                <w:bCs/>
              </w:rPr>
            </w:pPr>
            <w:r>
              <w:rPr>
                <w:rFonts w:cs="Arial"/>
                <w:b/>
                <w:bCs/>
              </w:rPr>
              <w:t xml:space="preserve">Česká republika 1998 </w:t>
            </w:r>
            <w:r w:rsidRPr="00674FAC">
              <w:rPr>
                <w:rFonts w:cs="Arial"/>
                <w:bCs/>
              </w:rPr>
              <w:t>– podíl váha odvětví na hrubé přidané hodnotě celkem (</w:t>
            </w:r>
            <w:r>
              <w:rPr>
                <w:rFonts w:cs="Arial"/>
                <w:bCs/>
              </w:rPr>
              <w:t xml:space="preserve">v %, z mil. </w:t>
            </w:r>
            <w:proofErr w:type="spellStart"/>
            <w:r>
              <w:rPr>
                <w:rFonts w:cs="Arial"/>
                <w:bCs/>
              </w:rPr>
              <w:t>jedn</w:t>
            </w:r>
            <w:proofErr w:type="spellEnd"/>
            <w:r>
              <w:rPr>
                <w:rFonts w:cs="Arial"/>
                <w:bCs/>
              </w:rPr>
              <w:t>. v </w:t>
            </w:r>
            <w:proofErr w:type="spellStart"/>
            <w:r>
              <w:rPr>
                <w:rFonts w:cs="Arial"/>
                <w:bCs/>
              </w:rPr>
              <w:t>nár</w:t>
            </w:r>
            <w:proofErr w:type="spellEnd"/>
            <w:r>
              <w:rPr>
                <w:rFonts w:cs="Arial"/>
                <w:bCs/>
              </w:rPr>
              <w:t xml:space="preserve">. </w:t>
            </w:r>
            <w:proofErr w:type="gramStart"/>
            <w:r>
              <w:rPr>
                <w:rFonts w:cs="Arial"/>
                <w:bCs/>
              </w:rPr>
              <w:t>měně</w:t>
            </w:r>
            <w:proofErr w:type="gramEnd"/>
            <w:r>
              <w:rPr>
                <w:rFonts w:cs="Arial"/>
                <w:bCs/>
              </w:rPr>
              <w:t xml:space="preserve">, ceny </w:t>
            </w:r>
            <w:proofErr w:type="spellStart"/>
            <w:r>
              <w:rPr>
                <w:rFonts w:cs="Arial"/>
                <w:bCs/>
              </w:rPr>
              <w:t>předch</w:t>
            </w:r>
            <w:proofErr w:type="spellEnd"/>
            <w:r>
              <w:rPr>
                <w:rFonts w:cs="Arial"/>
                <w:bCs/>
              </w:rPr>
              <w:t>. roku)</w:t>
            </w:r>
          </w:p>
          <w:p w:rsidR="0008794F" w:rsidRPr="006031A6" w:rsidRDefault="0008794F" w:rsidP="00674FAC">
            <w:pPr>
              <w:pStyle w:val="Textpoznpodarou"/>
              <w:rPr>
                <w:rFonts w:cs="Arial"/>
                <w:sz w:val="8"/>
                <w:szCs w:val="8"/>
              </w:rPr>
            </w:pPr>
          </w:p>
        </w:tc>
        <w:tc>
          <w:tcPr>
            <w:tcW w:w="402" w:type="pct"/>
          </w:tcPr>
          <w:p w:rsidR="0008794F" w:rsidRDefault="0008794F" w:rsidP="00F7293D">
            <w:pPr>
              <w:spacing w:line="240" w:lineRule="auto"/>
            </w:pPr>
            <w:r>
              <w:t>Graf 46</w:t>
            </w:r>
          </w:p>
        </w:tc>
        <w:tc>
          <w:tcPr>
            <w:tcW w:w="2162" w:type="pct"/>
          </w:tcPr>
          <w:p w:rsidR="0008794F" w:rsidRPr="005A1C19" w:rsidRDefault="0008794F" w:rsidP="00674FAC">
            <w:pPr>
              <w:spacing w:line="240" w:lineRule="auto"/>
              <w:rPr>
                <w:rFonts w:cs="Arial"/>
                <w:bCs/>
              </w:rPr>
            </w:pPr>
            <w:r>
              <w:rPr>
                <w:rFonts w:cs="Arial"/>
                <w:b/>
                <w:bCs/>
              </w:rPr>
              <w:t xml:space="preserve">Česká republika 2014 </w:t>
            </w:r>
            <w:r w:rsidRPr="00674FAC">
              <w:rPr>
                <w:rFonts w:cs="Arial"/>
                <w:bCs/>
              </w:rPr>
              <w:t>– podíl váha odvětví na hrubé přidané hodnotě celkem (</w:t>
            </w:r>
            <w:r>
              <w:rPr>
                <w:rFonts w:cs="Arial"/>
                <w:bCs/>
              </w:rPr>
              <w:t xml:space="preserve">v %, z mil. </w:t>
            </w:r>
            <w:proofErr w:type="spellStart"/>
            <w:r>
              <w:rPr>
                <w:rFonts w:cs="Arial"/>
                <w:bCs/>
              </w:rPr>
              <w:t>jedn</w:t>
            </w:r>
            <w:proofErr w:type="spellEnd"/>
            <w:r>
              <w:rPr>
                <w:rFonts w:cs="Arial"/>
                <w:bCs/>
              </w:rPr>
              <w:t>. v </w:t>
            </w:r>
            <w:proofErr w:type="spellStart"/>
            <w:r>
              <w:rPr>
                <w:rFonts w:cs="Arial"/>
                <w:bCs/>
              </w:rPr>
              <w:t>nár</w:t>
            </w:r>
            <w:proofErr w:type="spellEnd"/>
            <w:r>
              <w:rPr>
                <w:rFonts w:cs="Arial"/>
                <w:bCs/>
              </w:rPr>
              <w:t xml:space="preserve">. </w:t>
            </w:r>
            <w:proofErr w:type="gramStart"/>
            <w:r>
              <w:rPr>
                <w:rFonts w:cs="Arial"/>
                <w:bCs/>
              </w:rPr>
              <w:t>měně</w:t>
            </w:r>
            <w:proofErr w:type="gramEnd"/>
            <w:r>
              <w:rPr>
                <w:rFonts w:cs="Arial"/>
                <w:bCs/>
              </w:rPr>
              <w:t xml:space="preserve">, ceny </w:t>
            </w:r>
            <w:proofErr w:type="spellStart"/>
            <w:r>
              <w:rPr>
                <w:rFonts w:cs="Arial"/>
                <w:bCs/>
              </w:rPr>
              <w:t>předch</w:t>
            </w:r>
            <w:proofErr w:type="spellEnd"/>
            <w:r>
              <w:rPr>
                <w:rFonts w:cs="Arial"/>
                <w:bCs/>
              </w:rPr>
              <w:t>. roku)</w:t>
            </w:r>
            <w:r>
              <w:rPr>
                <w:rFonts w:cs="Arial"/>
                <w:b/>
                <w:bCs/>
              </w:rPr>
              <w:t xml:space="preserve"> </w:t>
            </w:r>
          </w:p>
        </w:tc>
      </w:tr>
      <w:tr w:rsidR="0008794F" w:rsidRPr="005A1C19" w:rsidTr="00D96473">
        <w:tc>
          <w:tcPr>
            <w:tcW w:w="2435" w:type="pct"/>
            <w:gridSpan w:val="2"/>
          </w:tcPr>
          <w:p w:rsidR="0008794F" w:rsidRPr="005A1C19" w:rsidRDefault="00306F79" w:rsidP="0036243E">
            <w:pPr>
              <w:pStyle w:val="Textpoznpodarou"/>
              <w:jc w:val="both"/>
              <w:rPr>
                <w:noProof/>
              </w:rPr>
            </w:pPr>
            <w:r>
              <w:rPr>
                <w:noProof/>
              </w:rPr>
              <w:pict>
                <v:shape id="_x0000_i1068" type="#_x0000_t75" style="width:240.75pt;height:231.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">
                  <v:imagedata r:id="rId60" o:title="" cropbottom="-28f"/>
                  <o:lock v:ext="edit" aspectratio="f"/>
                </v:shape>
              </w:pict>
            </w:r>
          </w:p>
        </w:tc>
        <w:tc>
          <w:tcPr>
            <w:tcW w:w="2565" w:type="pct"/>
            <w:gridSpan w:val="2"/>
          </w:tcPr>
          <w:p w:rsidR="0008794F" w:rsidRPr="005A1C19" w:rsidRDefault="00306F79" w:rsidP="0036243E">
            <w:pPr>
              <w:pStyle w:val="Textpoznpodarou"/>
              <w:jc w:val="both"/>
            </w:pPr>
            <w:r>
              <w:rPr>
                <w:noProof/>
              </w:rPr>
              <w:pict>
                <v:shape id="_x0000_i1069" type="#_x0000_t75" style="width:253.5pt;height:233.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">
                  <v:imagedata r:id="rId61" o:title=""/>
                  <o:lock v:ext="edit" aspectratio="f"/>
                </v:shape>
              </w:pict>
            </w:r>
          </w:p>
        </w:tc>
      </w:tr>
    </w:tbl>
    <w:p w:rsidR="0008794F" w:rsidRDefault="0008794F" w:rsidP="00366F12">
      <w:pPr>
        <w:jc w:val="right"/>
      </w:pPr>
      <w:r w:rsidRPr="00A14EDC">
        <w:rPr>
          <w:sz w:val="18"/>
          <w:szCs w:val="18"/>
        </w:rPr>
        <w:t xml:space="preserve">Pramen: </w:t>
      </w:r>
      <w:proofErr w:type="spellStart"/>
      <w:r w:rsidRPr="00A14EDC">
        <w:rPr>
          <w:sz w:val="18"/>
          <w:szCs w:val="18"/>
        </w:rPr>
        <w:t>Eurostat</w:t>
      </w:r>
      <w:proofErr w:type="spellEnd"/>
      <w:r>
        <w:rPr>
          <w:sz w:val="18"/>
          <w:szCs w:val="18"/>
        </w:rPr>
        <w:t>, vlastní propočty</w:t>
      </w:r>
    </w:p>
    <w:p w:rsidR="0008794F" w:rsidRDefault="0008794F" w:rsidP="005A1C19"/>
    <w:tbl>
      <w:tblPr>
        <w:tblW w:w="5043" w:type="pct"/>
        <w:tblInd w:w="-42" w:type="dxa"/>
        <w:tblLayout w:type="fixed"/>
        <w:tblCellMar>
          <w:left w:w="28" w:type="dxa"/>
          <w:right w:w="28" w:type="dxa"/>
        </w:tblCellMar>
        <w:tblLook w:val="00A0"/>
      </w:tblPr>
      <w:tblGrid>
        <w:gridCol w:w="2037"/>
        <w:gridCol w:w="272"/>
        <w:gridCol w:w="7468"/>
      </w:tblGrid>
      <w:tr w:rsidR="0008794F" w:rsidRPr="003D78A5" w:rsidTr="0036243E">
        <w:tc>
          <w:tcPr>
            <w:tcW w:w="1042" w:type="pct"/>
          </w:tcPr>
          <w:p w:rsidR="0008794F" w:rsidRPr="00602D1D" w:rsidRDefault="0008794F" w:rsidP="004C7337">
            <w:pPr>
              <w:spacing w:line="240" w:lineRule="auto"/>
              <w:rPr>
                <w:color w:val="000000"/>
                <w:sz w:val="16"/>
                <w:szCs w:val="16"/>
              </w:rPr>
            </w:pPr>
            <w:r>
              <w:rPr>
                <w:color w:val="000000"/>
                <w:sz w:val="16"/>
                <w:szCs w:val="16"/>
              </w:rPr>
              <w:t xml:space="preserve">Na Slovensku stoupl podíl stavebnictví, v ČR a Rakousku poklesl </w:t>
            </w:r>
          </w:p>
        </w:tc>
        <w:tc>
          <w:tcPr>
            <w:tcW w:w="139" w:type="pct"/>
          </w:tcPr>
          <w:p w:rsidR="0008794F" w:rsidRDefault="0008794F" w:rsidP="0036243E">
            <w:pPr>
              <w:pStyle w:val="Textpoznpodarou"/>
              <w:jc w:val="both"/>
            </w:pPr>
          </w:p>
        </w:tc>
        <w:tc>
          <w:tcPr>
            <w:tcW w:w="3819" w:type="pct"/>
          </w:tcPr>
          <w:p w:rsidR="0008794F" w:rsidRDefault="0008794F" w:rsidP="0036243E">
            <w:pPr>
              <w:spacing w:line="240" w:lineRule="auto"/>
              <w:jc w:val="both"/>
            </w:pPr>
            <w:r w:rsidRPr="00935BFB">
              <w:rPr>
                <w:spacing w:val="-2"/>
              </w:rPr>
              <w:t>Na Slovensku došlo během let k dalšímu snížení váhy primárního sektoru a sekundárního sektoru na vytvořené hrubé přidané hodnotě v ekonomice. Oproti ČR a Rakousku však stoupl podíl stavebnictví ze 7,4 % na 8,3 %, což by naznačovalo významnou investiční aktivitu v ekonomice S</w:t>
            </w:r>
            <w:r w:rsidR="00935BFB" w:rsidRPr="00935BFB">
              <w:rPr>
                <w:spacing w:val="-2"/>
              </w:rPr>
              <w:t>R</w:t>
            </w:r>
            <w:r w:rsidRPr="00935BFB">
              <w:rPr>
                <w:spacing w:val="-2"/>
              </w:rPr>
              <w:t>. Jak však bylo zjištěno v kapitole 4, právě růst fixních investic vykázala rychlejší Česká republika</w:t>
            </w:r>
            <w:r>
              <w:t xml:space="preserve">.  </w:t>
            </w:r>
          </w:p>
          <w:p w:rsidR="0008794F" w:rsidRPr="003D78A5" w:rsidRDefault="0008794F" w:rsidP="0036243E">
            <w:pPr>
              <w:pStyle w:val="Textpoznpodarou"/>
              <w:jc w:val="both"/>
              <w:rPr>
                <w:color w:val="000000"/>
                <w:spacing w:val="-6"/>
              </w:rPr>
            </w:pPr>
            <w:r>
              <w:rPr>
                <w:color w:val="000000"/>
                <w:spacing w:val="-6"/>
              </w:rPr>
              <w:lastRenderedPageBreak/>
              <w:t xml:space="preserve">  </w:t>
            </w:r>
          </w:p>
        </w:tc>
      </w:tr>
      <w:tr w:rsidR="0008794F" w:rsidRPr="00484118" w:rsidTr="0036243E">
        <w:tc>
          <w:tcPr>
            <w:tcW w:w="1042" w:type="pct"/>
          </w:tcPr>
          <w:p w:rsidR="0008794F" w:rsidRPr="00602D1D" w:rsidRDefault="0008794F" w:rsidP="00AF5878">
            <w:pPr>
              <w:spacing w:line="240" w:lineRule="auto"/>
              <w:rPr>
                <w:color w:val="000000"/>
                <w:sz w:val="16"/>
                <w:szCs w:val="16"/>
              </w:rPr>
            </w:pPr>
            <w:r>
              <w:rPr>
                <w:color w:val="000000"/>
                <w:sz w:val="16"/>
                <w:szCs w:val="16"/>
              </w:rPr>
              <w:lastRenderedPageBreak/>
              <w:t xml:space="preserve">Developerské aktivity </w:t>
            </w:r>
            <w:r w:rsidR="00AF5878">
              <w:rPr>
                <w:color w:val="000000"/>
                <w:sz w:val="16"/>
                <w:szCs w:val="16"/>
              </w:rPr>
              <w:t xml:space="preserve">významné </w:t>
            </w:r>
            <w:r>
              <w:rPr>
                <w:color w:val="000000"/>
                <w:sz w:val="16"/>
                <w:szCs w:val="16"/>
              </w:rPr>
              <w:t>zvýšily svou váhu v ekonomice ČR a Rakouska</w:t>
            </w:r>
          </w:p>
        </w:tc>
        <w:tc>
          <w:tcPr>
            <w:tcW w:w="139" w:type="pct"/>
          </w:tcPr>
          <w:p w:rsidR="0008794F" w:rsidRDefault="0008794F" w:rsidP="0036243E">
            <w:pPr>
              <w:pStyle w:val="Textpoznpodarou"/>
              <w:jc w:val="both"/>
            </w:pPr>
          </w:p>
        </w:tc>
        <w:tc>
          <w:tcPr>
            <w:tcW w:w="3819" w:type="pct"/>
          </w:tcPr>
          <w:p w:rsidR="0008794F" w:rsidRPr="00D611D3" w:rsidRDefault="0008794F" w:rsidP="00F45820">
            <w:pPr>
              <w:spacing w:line="240" w:lineRule="auto"/>
              <w:jc w:val="both"/>
              <w:rPr>
                <w:spacing w:val="-2"/>
              </w:rPr>
            </w:pPr>
            <w:r w:rsidRPr="00D611D3">
              <w:rPr>
                <w:spacing w:val="-2"/>
              </w:rPr>
              <w:t xml:space="preserve">Růst podílu stavebnictví </w:t>
            </w:r>
            <w:r w:rsidR="00D611D3" w:rsidRPr="00D611D3">
              <w:rPr>
                <w:spacing w:val="-2"/>
              </w:rPr>
              <w:t xml:space="preserve">v SR </w:t>
            </w:r>
            <w:r w:rsidRPr="00D611D3">
              <w:rPr>
                <w:spacing w:val="-2"/>
              </w:rPr>
              <w:t xml:space="preserve">však mohl souviset z optického pohledu s poklesy podílu developerských činností (ze 7,6 % na 6,4 % v roce 2014), </w:t>
            </w:r>
            <w:r w:rsidR="00F45820">
              <w:rPr>
                <w:spacing w:val="-2"/>
              </w:rPr>
              <w:t>kde</w:t>
            </w:r>
            <w:r w:rsidRPr="00D611D3">
              <w:rPr>
                <w:spacing w:val="-2"/>
              </w:rPr>
              <w:t xml:space="preserve"> ČR i Rakousko zaznamenalo růst. Oproti dvěma srovnávaným zemím však na Slovensku klesl i podíl zdravotnictví a sociální péče, což může souviset s odchody zdravotnických pracovníků mimo S</w:t>
            </w:r>
            <w:r w:rsidR="00F45820">
              <w:rPr>
                <w:spacing w:val="-2"/>
              </w:rPr>
              <w:t>R</w:t>
            </w:r>
            <w:r w:rsidRPr="00D611D3">
              <w:rPr>
                <w:spacing w:val="-2"/>
              </w:rPr>
              <w:t xml:space="preserve"> (hrubá přidaná hodnota v tomto odvětví, podobně jako i v dalších odvětvích veřejných služeb</w:t>
            </w:r>
            <w:r w:rsidR="00F45820">
              <w:rPr>
                <w:spacing w:val="-2"/>
              </w:rPr>
              <w:t>,</w:t>
            </w:r>
            <w:r w:rsidRPr="00D611D3">
              <w:rPr>
                <w:spacing w:val="-2"/>
              </w:rPr>
              <w:t xml:space="preserve"> je tvořena </w:t>
            </w:r>
            <w:r w:rsidR="00F45820">
              <w:rPr>
                <w:spacing w:val="-2"/>
              </w:rPr>
              <w:t>hlavně</w:t>
            </w:r>
            <w:r w:rsidRPr="00D611D3">
              <w:rPr>
                <w:spacing w:val="-2"/>
              </w:rPr>
              <w:t xml:space="preserve"> platy zaměstnaných osob</w:t>
            </w:r>
            <w:r w:rsidR="00D611D3" w:rsidRPr="00D611D3">
              <w:rPr>
                <w:spacing w:val="-2"/>
              </w:rPr>
              <w:t>)</w:t>
            </w:r>
            <w:r w:rsidRPr="00D611D3">
              <w:rPr>
                <w:spacing w:val="-2"/>
              </w:rPr>
              <w:t xml:space="preserve">.    </w:t>
            </w:r>
          </w:p>
        </w:tc>
      </w:tr>
    </w:tbl>
    <w:p w:rsidR="0008794F" w:rsidRPr="000677C9" w:rsidRDefault="0008794F" w:rsidP="005A1C19">
      <w:pPr>
        <w:rPr>
          <w:szCs w:val="20"/>
        </w:rPr>
      </w:pPr>
    </w:p>
    <w:tbl>
      <w:tblPr>
        <w:tblW w:w="5164" w:type="pct"/>
        <w:tblInd w:w="-42" w:type="dxa"/>
        <w:tblCellMar>
          <w:left w:w="28" w:type="dxa"/>
          <w:right w:w="28" w:type="dxa"/>
        </w:tblCellMar>
        <w:tblLook w:val="00A0"/>
      </w:tblPr>
      <w:tblGrid>
        <w:gridCol w:w="854"/>
        <w:gridCol w:w="4094"/>
        <w:gridCol w:w="865"/>
        <w:gridCol w:w="4199"/>
      </w:tblGrid>
      <w:tr w:rsidR="0008794F" w:rsidRPr="005A1C19" w:rsidTr="00D96473">
        <w:tc>
          <w:tcPr>
            <w:tcW w:w="426" w:type="pct"/>
          </w:tcPr>
          <w:p w:rsidR="000677C9" w:rsidRDefault="000677C9" w:rsidP="00F7293D">
            <w:pPr>
              <w:spacing w:line="240" w:lineRule="auto"/>
            </w:pPr>
          </w:p>
          <w:p w:rsidR="0008794F" w:rsidRDefault="0008794F" w:rsidP="00F7293D">
            <w:pPr>
              <w:spacing w:line="240" w:lineRule="auto"/>
            </w:pPr>
            <w:r>
              <w:t>Graf 47</w:t>
            </w:r>
          </w:p>
        </w:tc>
        <w:tc>
          <w:tcPr>
            <w:tcW w:w="2043" w:type="pct"/>
          </w:tcPr>
          <w:p w:rsidR="0008794F" w:rsidRDefault="0008794F" w:rsidP="00674FAC">
            <w:pPr>
              <w:pStyle w:val="Textpoznpodarou"/>
              <w:rPr>
                <w:rFonts w:cs="Arial"/>
                <w:b/>
                <w:bCs/>
              </w:rPr>
            </w:pPr>
            <w:r>
              <w:rPr>
                <w:rFonts w:cs="Arial"/>
                <w:b/>
                <w:bCs/>
              </w:rPr>
              <w:t xml:space="preserve">Slovensko 1998 </w:t>
            </w:r>
            <w:r w:rsidRPr="00674FAC">
              <w:rPr>
                <w:rFonts w:cs="Arial"/>
                <w:bCs/>
              </w:rPr>
              <w:t>– podíl váha odvětví na hrubé přidané hodnotě celkem (</w:t>
            </w:r>
            <w:r>
              <w:rPr>
                <w:rFonts w:cs="Arial"/>
                <w:bCs/>
              </w:rPr>
              <w:t>v %, z mil. jednotek v </w:t>
            </w:r>
            <w:proofErr w:type="spellStart"/>
            <w:r>
              <w:rPr>
                <w:rFonts w:cs="Arial"/>
                <w:bCs/>
              </w:rPr>
              <w:t>nár</w:t>
            </w:r>
            <w:proofErr w:type="spellEnd"/>
            <w:r>
              <w:rPr>
                <w:rFonts w:cs="Arial"/>
                <w:bCs/>
              </w:rPr>
              <w:t xml:space="preserve">. </w:t>
            </w:r>
            <w:proofErr w:type="gramStart"/>
            <w:r>
              <w:rPr>
                <w:rFonts w:cs="Arial"/>
                <w:bCs/>
              </w:rPr>
              <w:t>měně</w:t>
            </w:r>
            <w:proofErr w:type="gramEnd"/>
            <w:r>
              <w:rPr>
                <w:rFonts w:cs="Arial"/>
                <w:bCs/>
              </w:rPr>
              <w:t xml:space="preserve">, ceny </w:t>
            </w:r>
            <w:proofErr w:type="spellStart"/>
            <w:r>
              <w:rPr>
                <w:rFonts w:cs="Arial"/>
                <w:bCs/>
              </w:rPr>
              <w:t>předch</w:t>
            </w:r>
            <w:proofErr w:type="spellEnd"/>
            <w:r>
              <w:rPr>
                <w:rFonts w:cs="Arial"/>
                <w:bCs/>
              </w:rPr>
              <w:t>. roku)</w:t>
            </w:r>
            <w:r>
              <w:rPr>
                <w:rFonts w:cs="Arial"/>
                <w:b/>
                <w:bCs/>
              </w:rPr>
              <w:t xml:space="preserve"> </w:t>
            </w:r>
          </w:p>
          <w:p w:rsidR="0008794F" w:rsidRPr="006031A6" w:rsidRDefault="0008794F" w:rsidP="00674FAC">
            <w:pPr>
              <w:pStyle w:val="Textpoznpodarou"/>
              <w:rPr>
                <w:rFonts w:cs="Arial"/>
                <w:sz w:val="8"/>
                <w:szCs w:val="8"/>
              </w:rPr>
            </w:pPr>
          </w:p>
        </w:tc>
        <w:tc>
          <w:tcPr>
            <w:tcW w:w="433" w:type="pct"/>
          </w:tcPr>
          <w:p w:rsidR="0008794F" w:rsidRDefault="0008794F" w:rsidP="00F7293D">
            <w:pPr>
              <w:spacing w:line="240" w:lineRule="auto"/>
            </w:pPr>
            <w:r>
              <w:t>Graf 48</w:t>
            </w:r>
          </w:p>
        </w:tc>
        <w:tc>
          <w:tcPr>
            <w:tcW w:w="2098" w:type="pct"/>
          </w:tcPr>
          <w:p w:rsidR="0008794F" w:rsidRPr="005A1C19" w:rsidRDefault="0008794F" w:rsidP="00674FAC">
            <w:pPr>
              <w:spacing w:line="240" w:lineRule="auto"/>
              <w:rPr>
                <w:rFonts w:cs="Arial"/>
                <w:bCs/>
              </w:rPr>
            </w:pPr>
            <w:r>
              <w:rPr>
                <w:rFonts w:cs="Arial"/>
                <w:b/>
                <w:bCs/>
              </w:rPr>
              <w:t xml:space="preserve">Slovensko 2014 </w:t>
            </w:r>
            <w:r w:rsidRPr="00674FAC">
              <w:rPr>
                <w:rFonts w:cs="Arial"/>
                <w:bCs/>
              </w:rPr>
              <w:t>– podíl váha odvětví na hrubé přidané hodnotě celkem (</w:t>
            </w:r>
            <w:r>
              <w:rPr>
                <w:rFonts w:cs="Arial"/>
                <w:bCs/>
              </w:rPr>
              <w:t>v %, z mil. jednotek v </w:t>
            </w:r>
            <w:proofErr w:type="spellStart"/>
            <w:r>
              <w:rPr>
                <w:rFonts w:cs="Arial"/>
                <w:bCs/>
              </w:rPr>
              <w:t>nár</w:t>
            </w:r>
            <w:proofErr w:type="spellEnd"/>
            <w:r>
              <w:rPr>
                <w:rFonts w:cs="Arial"/>
                <w:bCs/>
              </w:rPr>
              <w:t xml:space="preserve">. </w:t>
            </w:r>
            <w:proofErr w:type="gramStart"/>
            <w:r>
              <w:rPr>
                <w:rFonts w:cs="Arial"/>
                <w:bCs/>
              </w:rPr>
              <w:t>měně</w:t>
            </w:r>
            <w:proofErr w:type="gramEnd"/>
            <w:r>
              <w:rPr>
                <w:rFonts w:cs="Arial"/>
                <w:bCs/>
              </w:rPr>
              <w:t xml:space="preserve">, ceny </w:t>
            </w:r>
            <w:proofErr w:type="spellStart"/>
            <w:r>
              <w:rPr>
                <w:rFonts w:cs="Arial"/>
                <w:bCs/>
              </w:rPr>
              <w:t>předch</w:t>
            </w:r>
            <w:proofErr w:type="spellEnd"/>
            <w:r>
              <w:rPr>
                <w:rFonts w:cs="Arial"/>
                <w:bCs/>
              </w:rPr>
              <w:t xml:space="preserve">. roku) </w:t>
            </w:r>
          </w:p>
        </w:tc>
      </w:tr>
      <w:tr w:rsidR="0008794F" w:rsidRPr="005A1C19" w:rsidTr="00D96473">
        <w:tc>
          <w:tcPr>
            <w:tcW w:w="2469" w:type="pct"/>
            <w:gridSpan w:val="2"/>
          </w:tcPr>
          <w:p w:rsidR="0008794F" w:rsidRPr="005A1C19" w:rsidRDefault="00306F79" w:rsidP="0036243E">
            <w:pPr>
              <w:pStyle w:val="Textpoznpodarou"/>
              <w:jc w:val="both"/>
              <w:rPr>
                <w:noProof/>
              </w:rPr>
            </w:pPr>
            <w:r>
              <w:rPr>
                <w:noProof/>
              </w:rPr>
              <w:pict>
                <v:shape id="_x0000_i1070" type="#_x0000_t75" style="width:244.5pt;height:3in;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">
                  <v:imagedata r:id="rId62" o:title="" cropbottom="-61f"/>
                  <o:lock v:ext="edit" aspectratio="f"/>
                </v:shape>
              </w:pict>
            </w:r>
          </w:p>
        </w:tc>
        <w:tc>
          <w:tcPr>
            <w:tcW w:w="2531" w:type="pct"/>
            <w:gridSpan w:val="2"/>
          </w:tcPr>
          <w:p w:rsidR="0008794F" w:rsidRPr="005A1C19" w:rsidRDefault="00306F79" w:rsidP="0036243E">
            <w:pPr>
              <w:pStyle w:val="Textpoznpodarou"/>
              <w:jc w:val="both"/>
            </w:pPr>
            <w:r>
              <w:rPr>
                <w:noProof/>
              </w:rPr>
              <w:pict>
                <v:shape id="Graf 6" o:spid="_x0000_i1071" type="#_x0000_t75" style="width:247.5pt;height:3in;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">
                  <v:imagedata r:id="rId63" o:title="" cropbottom="-61f"/>
                  <o:lock v:ext="edit" aspectratio="f"/>
                </v:shape>
              </w:pict>
            </w:r>
          </w:p>
        </w:tc>
      </w:tr>
    </w:tbl>
    <w:p w:rsidR="0008794F" w:rsidRDefault="0008794F" w:rsidP="00CC0922">
      <w:pPr>
        <w:jc w:val="right"/>
      </w:pPr>
      <w:r w:rsidRPr="00A14EDC">
        <w:rPr>
          <w:sz w:val="18"/>
          <w:szCs w:val="18"/>
        </w:rPr>
        <w:t xml:space="preserve">Pramen: </w:t>
      </w:r>
      <w:proofErr w:type="spellStart"/>
      <w:r w:rsidRPr="00A14EDC">
        <w:rPr>
          <w:sz w:val="18"/>
          <w:szCs w:val="18"/>
        </w:rPr>
        <w:t>Eurostat</w:t>
      </w:r>
      <w:proofErr w:type="spellEnd"/>
      <w:r>
        <w:rPr>
          <w:sz w:val="18"/>
          <w:szCs w:val="18"/>
        </w:rPr>
        <w:t>, vlastní propočty</w:t>
      </w:r>
    </w:p>
    <w:p w:rsidR="0008794F" w:rsidRPr="00F45820" w:rsidRDefault="0008794F" w:rsidP="005A1C19">
      <w:pPr>
        <w:rPr>
          <w:sz w:val="10"/>
          <w:szCs w:val="10"/>
        </w:rPr>
      </w:pPr>
    </w:p>
    <w:tbl>
      <w:tblPr>
        <w:tblW w:w="5110" w:type="pct"/>
        <w:tblInd w:w="-42" w:type="dxa"/>
        <w:tblLayout w:type="fixed"/>
        <w:tblCellMar>
          <w:left w:w="28" w:type="dxa"/>
          <w:right w:w="28" w:type="dxa"/>
        </w:tblCellMar>
        <w:tblLook w:val="00A0"/>
      </w:tblPr>
      <w:tblGrid>
        <w:gridCol w:w="852"/>
        <w:gridCol w:w="1185"/>
        <w:gridCol w:w="271"/>
        <w:gridCol w:w="2625"/>
        <w:gridCol w:w="850"/>
        <w:gridCol w:w="3993"/>
        <w:gridCol w:w="131"/>
      </w:tblGrid>
      <w:tr w:rsidR="0008794F" w:rsidRPr="003D78A5" w:rsidTr="00644E74">
        <w:trPr>
          <w:gridAfter w:val="1"/>
          <w:wAfter w:w="66" w:type="pct"/>
        </w:trPr>
        <w:tc>
          <w:tcPr>
            <w:tcW w:w="1028" w:type="pct"/>
            <w:gridSpan w:val="2"/>
          </w:tcPr>
          <w:p w:rsidR="0008794F" w:rsidRPr="00602D1D" w:rsidRDefault="0008794F" w:rsidP="004C7337">
            <w:pPr>
              <w:spacing w:line="240" w:lineRule="auto"/>
              <w:rPr>
                <w:color w:val="000000"/>
                <w:sz w:val="16"/>
                <w:szCs w:val="16"/>
              </w:rPr>
            </w:pPr>
            <w:r>
              <w:rPr>
                <w:color w:val="000000"/>
                <w:sz w:val="16"/>
                <w:szCs w:val="16"/>
              </w:rPr>
              <w:t xml:space="preserve">V Rakousku klesl podíl veřejných služeb, stejně jako v ČR nebo SR, ale oproti nim se </w:t>
            </w:r>
            <w:r w:rsidR="00D611D3">
              <w:rPr>
                <w:color w:val="000000"/>
                <w:sz w:val="16"/>
                <w:szCs w:val="16"/>
              </w:rPr>
              <w:t xml:space="preserve">snížilo i zastoupení některých </w:t>
            </w:r>
            <w:r>
              <w:rPr>
                <w:color w:val="000000"/>
                <w:sz w:val="16"/>
                <w:szCs w:val="16"/>
              </w:rPr>
              <w:t>tržních služeb ve struktuře rakouské ekonomiky…</w:t>
            </w:r>
            <w:r w:rsidR="00D611D3">
              <w:rPr>
                <w:color w:val="000000"/>
                <w:sz w:val="16"/>
                <w:szCs w:val="16"/>
              </w:rPr>
              <w:t>,</w:t>
            </w:r>
          </w:p>
        </w:tc>
        <w:tc>
          <w:tcPr>
            <w:tcW w:w="137" w:type="pct"/>
          </w:tcPr>
          <w:p w:rsidR="0008794F" w:rsidRDefault="0008794F" w:rsidP="0036243E">
            <w:pPr>
              <w:pStyle w:val="Textpoznpodarou"/>
              <w:jc w:val="both"/>
            </w:pPr>
          </w:p>
        </w:tc>
        <w:tc>
          <w:tcPr>
            <w:tcW w:w="3769" w:type="pct"/>
            <w:gridSpan w:val="3"/>
          </w:tcPr>
          <w:p w:rsidR="0008794F" w:rsidRDefault="0008794F" w:rsidP="0036243E">
            <w:pPr>
              <w:spacing w:line="240" w:lineRule="auto"/>
              <w:jc w:val="both"/>
            </w:pPr>
            <w:r>
              <w:t>I když je rakouská ekonomika v podílech terciárního a kva</w:t>
            </w:r>
            <w:r w:rsidR="00E86860">
              <w:t>rtérního</w:t>
            </w:r>
            <w:r>
              <w:t xml:space="preserve"> sektoru ekonomikou vnímanou z pohledu struktury jako vyspělejší oproti ČR a SR, v některých odvětvích služeb podíly za roky 1988-2014 poklesly. Je to patrné např. v administraci státu a obraně, kde se podíl tohoto odvětví na hrubé přidané hodnotě v ekonomice snížil o 1,1 </w:t>
            </w:r>
            <w:proofErr w:type="spellStart"/>
            <w:r>
              <w:t>pb</w:t>
            </w:r>
            <w:proofErr w:type="spellEnd"/>
            <w:r>
              <w:t>., tj. stejně jako v ČR nebo v SR, kde však byly podíly veřejné správy, obrany a sociálního zabezpečení v roce 1998 i 2014 oproti Rakousku vyšší. Ovšem nikoli jen v této sféře veřejných služeb, ale i ve službách tržních zaznamenalo Rakousko během let 1998-2014 posuny směrem k nižšímu zastoupení ve tvorbě celkové hrubé přidané hodnoty.</w:t>
            </w:r>
          </w:p>
          <w:p w:rsidR="0008794F" w:rsidRPr="003D78A5" w:rsidRDefault="0008794F" w:rsidP="00BA06CA">
            <w:pPr>
              <w:spacing w:line="240" w:lineRule="auto"/>
              <w:jc w:val="both"/>
              <w:rPr>
                <w:color w:val="000000"/>
                <w:spacing w:val="-6"/>
              </w:rPr>
            </w:pPr>
          </w:p>
        </w:tc>
      </w:tr>
      <w:tr w:rsidR="0008794F" w:rsidRPr="003D78A5" w:rsidTr="00644E74">
        <w:trPr>
          <w:gridAfter w:val="1"/>
          <w:wAfter w:w="66" w:type="pct"/>
        </w:trPr>
        <w:tc>
          <w:tcPr>
            <w:tcW w:w="1028" w:type="pct"/>
            <w:gridSpan w:val="2"/>
          </w:tcPr>
          <w:p w:rsidR="0008794F" w:rsidRDefault="0008794F" w:rsidP="004C7337">
            <w:pPr>
              <w:spacing w:line="240" w:lineRule="auto"/>
              <w:rPr>
                <w:color w:val="000000"/>
                <w:sz w:val="16"/>
                <w:szCs w:val="16"/>
              </w:rPr>
            </w:pPr>
            <w:r>
              <w:rPr>
                <w:color w:val="000000"/>
                <w:sz w:val="16"/>
                <w:szCs w:val="16"/>
              </w:rPr>
              <w:t>… což se týká především finančních služeb, jejichž podíl byl v roce 2014 nižší než v případě ČR či Slovenska</w:t>
            </w:r>
          </w:p>
        </w:tc>
        <w:tc>
          <w:tcPr>
            <w:tcW w:w="137" w:type="pct"/>
          </w:tcPr>
          <w:p w:rsidR="0008794F" w:rsidRDefault="0008794F" w:rsidP="0036243E">
            <w:pPr>
              <w:pStyle w:val="Textpoznpodarou"/>
              <w:jc w:val="both"/>
            </w:pPr>
          </w:p>
        </w:tc>
        <w:tc>
          <w:tcPr>
            <w:tcW w:w="3769" w:type="pct"/>
            <w:gridSpan w:val="3"/>
          </w:tcPr>
          <w:p w:rsidR="0008794F" w:rsidRDefault="0008794F" w:rsidP="00BA06CA">
            <w:pPr>
              <w:spacing w:line="240" w:lineRule="auto"/>
              <w:jc w:val="both"/>
            </w:pPr>
            <w:r>
              <w:t xml:space="preserve">Relativně významně totiž oslabily v Rakousku finanční služby (z 5,5 % v roce 1998 na 4,3 % v roce 2014) a jejich podíl se tak dostal dokonce nepatrně níže pod úroveň podílu ČR a Slovenska (shodně 4,4 % v roce 2014). Lze to zřejmě přičíst dobré kondici českých i slovenských komerčních bank, které přečkaly finanční krizi roku 2008 bez problémů, což se nedá říci o finančním sektoru Rakouska (např. tehdejší problémy </w:t>
            </w:r>
            <w:proofErr w:type="spellStart"/>
            <w:r>
              <w:t>Erste</w:t>
            </w:r>
            <w:proofErr w:type="spellEnd"/>
            <w:r>
              <w:t xml:space="preserve"> Bank). </w:t>
            </w:r>
          </w:p>
          <w:p w:rsidR="0008794F" w:rsidRPr="00F45820" w:rsidRDefault="0008794F" w:rsidP="00BA06CA">
            <w:pPr>
              <w:spacing w:line="240" w:lineRule="auto"/>
              <w:jc w:val="both"/>
              <w:rPr>
                <w:sz w:val="10"/>
                <w:szCs w:val="10"/>
              </w:rPr>
            </w:pPr>
          </w:p>
          <w:p w:rsidR="0008794F" w:rsidRDefault="0008794F" w:rsidP="00BA06CA">
            <w:pPr>
              <w:spacing w:line="240" w:lineRule="auto"/>
              <w:jc w:val="both"/>
            </w:pPr>
            <w:r>
              <w:t xml:space="preserve">Výrazně naopak posílily developerské aktivity v Rakousku (podíl činností v oblasti nemovitostí stoupl o 2 </w:t>
            </w:r>
            <w:proofErr w:type="spellStart"/>
            <w:r>
              <w:t>pb</w:t>
            </w:r>
            <w:proofErr w:type="spellEnd"/>
            <w:r>
              <w:t xml:space="preserve"> na 9,9 % v roce 2014</w:t>
            </w:r>
            <w:r w:rsidR="00D611D3">
              <w:t>)</w:t>
            </w:r>
            <w:r>
              <w:t>. T</w:t>
            </w:r>
            <w:r w:rsidR="00D611D3">
              <w:t>otéž</w:t>
            </w:r>
            <w:r>
              <w:t xml:space="preserve"> </w:t>
            </w:r>
            <w:r w:rsidR="00D611D3">
              <w:t xml:space="preserve">proběhlo </w:t>
            </w:r>
            <w:r>
              <w:t xml:space="preserve">i v ČR s nárůstem podílu těchto aktivit +2,1 </w:t>
            </w:r>
            <w:proofErr w:type="spellStart"/>
            <w:r>
              <w:t>pb</w:t>
            </w:r>
            <w:proofErr w:type="spellEnd"/>
            <w:r>
              <w:t xml:space="preserve">. za </w:t>
            </w:r>
            <w:r w:rsidR="00D611D3">
              <w:t>období</w:t>
            </w:r>
            <w:r>
              <w:t xml:space="preserve"> 1998-2014, v jehož koncovém roce se tyto aktivity podílely na ekonomickém výkonu země z 8,5 %.</w:t>
            </w:r>
          </w:p>
          <w:p w:rsidR="0008794F" w:rsidRDefault="0008794F" w:rsidP="0036243E">
            <w:pPr>
              <w:spacing w:line="240" w:lineRule="auto"/>
              <w:jc w:val="both"/>
            </w:pPr>
          </w:p>
        </w:tc>
      </w:tr>
      <w:tr w:rsidR="0008794F" w:rsidRPr="003D78A5" w:rsidTr="00644E74">
        <w:trPr>
          <w:gridAfter w:val="1"/>
          <w:wAfter w:w="66" w:type="pct"/>
        </w:trPr>
        <w:tc>
          <w:tcPr>
            <w:tcW w:w="1028" w:type="pct"/>
            <w:gridSpan w:val="2"/>
          </w:tcPr>
          <w:p w:rsidR="0008794F" w:rsidRDefault="0008794F" w:rsidP="00F45820">
            <w:pPr>
              <w:spacing w:line="240" w:lineRule="auto"/>
              <w:rPr>
                <w:color w:val="000000"/>
                <w:sz w:val="16"/>
                <w:szCs w:val="16"/>
              </w:rPr>
            </w:pPr>
            <w:r>
              <w:rPr>
                <w:color w:val="000000"/>
                <w:sz w:val="16"/>
                <w:szCs w:val="16"/>
              </w:rPr>
              <w:t xml:space="preserve">Relativně nízká váha ICT v ekonomice Rakouska do roku 2014 dále </w:t>
            </w:r>
            <w:r w:rsidR="00D611D3">
              <w:rPr>
                <w:color w:val="000000"/>
                <w:sz w:val="16"/>
                <w:szCs w:val="16"/>
              </w:rPr>
              <w:t xml:space="preserve">mírně </w:t>
            </w:r>
            <w:r>
              <w:rPr>
                <w:color w:val="000000"/>
                <w:sz w:val="16"/>
                <w:szCs w:val="16"/>
              </w:rPr>
              <w:t>klesla při růstu jejich podíl</w:t>
            </w:r>
            <w:r w:rsidR="00D611D3">
              <w:rPr>
                <w:color w:val="000000"/>
                <w:sz w:val="16"/>
                <w:szCs w:val="16"/>
              </w:rPr>
              <w:t>u</w:t>
            </w:r>
            <w:r>
              <w:rPr>
                <w:color w:val="000000"/>
                <w:sz w:val="16"/>
                <w:szCs w:val="16"/>
              </w:rPr>
              <w:t xml:space="preserve"> v ekonomice ČR a SR - Rakousko tak zaostává v </w:t>
            </w:r>
            <w:r>
              <w:rPr>
                <w:color w:val="000000"/>
                <w:sz w:val="16"/>
                <w:szCs w:val="16"/>
              </w:rPr>
              <w:lastRenderedPageBreak/>
              <w:t>„nové ekonomice“…</w:t>
            </w:r>
          </w:p>
        </w:tc>
        <w:tc>
          <w:tcPr>
            <w:tcW w:w="137" w:type="pct"/>
          </w:tcPr>
          <w:p w:rsidR="0008794F" w:rsidRDefault="0008794F" w:rsidP="0036243E">
            <w:pPr>
              <w:pStyle w:val="Textpoznpodarou"/>
              <w:jc w:val="both"/>
            </w:pPr>
          </w:p>
        </w:tc>
        <w:tc>
          <w:tcPr>
            <w:tcW w:w="3769" w:type="pct"/>
            <w:gridSpan w:val="3"/>
          </w:tcPr>
          <w:p w:rsidR="0008794F" w:rsidRPr="00935BFB" w:rsidRDefault="0008794F" w:rsidP="007768E3">
            <w:pPr>
              <w:spacing w:line="240" w:lineRule="auto"/>
              <w:jc w:val="both"/>
              <w:rPr>
                <w:spacing w:val="-2"/>
              </w:rPr>
            </w:pPr>
            <w:r w:rsidRPr="00935BFB">
              <w:rPr>
                <w:spacing w:val="-2"/>
              </w:rPr>
              <w:t xml:space="preserve">Poněkud překvapující je relativně velmi nízká váha odvětví informačních a komunikačních technologií v rakouské ekonomice, která se postupem let dokonce ještě snížila na 3,3 % v roce 2014. Chápeme-li toto odvětví jako </w:t>
            </w:r>
            <w:proofErr w:type="spellStart"/>
            <w:r w:rsidRPr="00935BFB">
              <w:rPr>
                <w:spacing w:val="-2"/>
              </w:rPr>
              <w:t>hi</w:t>
            </w:r>
            <w:proofErr w:type="spellEnd"/>
            <w:r w:rsidRPr="00935BFB">
              <w:rPr>
                <w:spacing w:val="-2"/>
              </w:rPr>
              <w:t>-</w:t>
            </w:r>
            <w:proofErr w:type="spellStart"/>
            <w:r w:rsidRPr="00935BFB">
              <w:rPr>
                <w:spacing w:val="-2"/>
              </w:rPr>
              <w:t>tech</w:t>
            </w:r>
            <w:proofErr w:type="spellEnd"/>
            <w:r w:rsidRPr="00935BFB">
              <w:rPr>
                <w:spacing w:val="-2"/>
              </w:rPr>
              <w:t xml:space="preserve"> aktivity - kterými také v převažující míře jsou -, pak jejich rozvoj nezastihl rakouskou ekonomiku připravenou</w:t>
            </w:r>
            <w:r w:rsidR="00AF5878" w:rsidRPr="00935BFB">
              <w:rPr>
                <w:spacing w:val="-2"/>
              </w:rPr>
              <w:t>. R</w:t>
            </w:r>
            <w:r w:rsidRPr="00935BFB">
              <w:rPr>
                <w:spacing w:val="-2"/>
              </w:rPr>
              <w:t xml:space="preserve">ozhodně tedy ne v míře, kterou hrála v evropském </w:t>
            </w:r>
            <w:r w:rsidRPr="00935BFB">
              <w:rPr>
                <w:spacing w:val="-2"/>
              </w:rPr>
              <w:lastRenderedPageBreak/>
              <w:t>kontextu, pokud jde o technickou progresi, na počátku prvních let minulého století).</w:t>
            </w:r>
            <w:r w:rsidRPr="00935BFB">
              <w:rPr>
                <w:rStyle w:val="Znakapoznpodarou"/>
                <w:spacing w:val="-2"/>
              </w:rPr>
              <w:footnoteReference w:id="11"/>
            </w:r>
          </w:p>
          <w:p w:rsidR="0008794F" w:rsidRDefault="0008794F" w:rsidP="00C42E09">
            <w:pPr>
              <w:spacing w:line="240" w:lineRule="auto"/>
              <w:jc w:val="both"/>
            </w:pPr>
          </w:p>
        </w:tc>
      </w:tr>
      <w:tr w:rsidR="0008794F" w:rsidRPr="003D78A5" w:rsidTr="00644E74">
        <w:trPr>
          <w:gridAfter w:val="1"/>
          <w:wAfter w:w="66" w:type="pct"/>
        </w:trPr>
        <w:tc>
          <w:tcPr>
            <w:tcW w:w="1028" w:type="pct"/>
            <w:gridSpan w:val="2"/>
          </w:tcPr>
          <w:p w:rsidR="0008794F" w:rsidRDefault="0008794F" w:rsidP="004C7337">
            <w:pPr>
              <w:spacing w:line="240" w:lineRule="auto"/>
              <w:rPr>
                <w:color w:val="000000"/>
                <w:sz w:val="16"/>
                <w:szCs w:val="16"/>
              </w:rPr>
            </w:pPr>
            <w:r>
              <w:rPr>
                <w:color w:val="000000"/>
                <w:sz w:val="16"/>
                <w:szCs w:val="16"/>
              </w:rPr>
              <w:lastRenderedPageBreak/>
              <w:t>…při rostoucím podílu ve sféře profesních, vědeckých a technických služeb, což lze chápat jako jistou „kompenzaci“ slabého odvětví ICT v Rakousku</w:t>
            </w:r>
          </w:p>
        </w:tc>
        <w:tc>
          <w:tcPr>
            <w:tcW w:w="137" w:type="pct"/>
          </w:tcPr>
          <w:p w:rsidR="0008794F" w:rsidRDefault="0008794F" w:rsidP="0036243E">
            <w:pPr>
              <w:pStyle w:val="Textpoznpodarou"/>
              <w:jc w:val="both"/>
            </w:pPr>
          </w:p>
        </w:tc>
        <w:tc>
          <w:tcPr>
            <w:tcW w:w="3769" w:type="pct"/>
            <w:gridSpan w:val="3"/>
          </w:tcPr>
          <w:p w:rsidR="0008794F" w:rsidRDefault="0008794F" w:rsidP="00D611D3">
            <w:pPr>
              <w:spacing w:line="240" w:lineRule="auto"/>
              <w:jc w:val="both"/>
            </w:pPr>
            <w:r>
              <w:t xml:space="preserve">Naopak ale </w:t>
            </w:r>
            <w:r w:rsidR="00D611D3">
              <w:t xml:space="preserve">v Rakousku </w:t>
            </w:r>
            <w:r>
              <w:t>výrazně posílily aktivity ve sféře profesních, vědeckých a technických služeb. Jejich podíl stoupl z 3,6 % hrubé přidané hodnoty vytvořené v roce 1998 na 5,3 % v roce 2014, což bylo více než v ČR (5 %) anebo na Slovensku (4,9 %). To poněkud relativizuje výše uvedené konstatování o tom, že Rakousko „zaspalo“ pokud jde o zachycení trendu</w:t>
            </w:r>
            <w:r w:rsidR="00D611D3">
              <w:t xml:space="preserve"> sílící váhy odvětví </w:t>
            </w:r>
            <w:r>
              <w:t xml:space="preserve">ICT v ekonomické struktuře země. </w:t>
            </w:r>
          </w:p>
        </w:tc>
      </w:tr>
      <w:tr w:rsidR="0008794F" w:rsidRPr="003D78A5" w:rsidTr="00644E74">
        <w:trPr>
          <w:gridAfter w:val="1"/>
          <w:wAfter w:w="66" w:type="pct"/>
        </w:trPr>
        <w:tc>
          <w:tcPr>
            <w:tcW w:w="1028" w:type="pct"/>
            <w:gridSpan w:val="2"/>
          </w:tcPr>
          <w:p w:rsidR="0008794F" w:rsidRDefault="0008794F" w:rsidP="0036243E">
            <w:pPr>
              <w:spacing w:line="240" w:lineRule="auto"/>
              <w:rPr>
                <w:color w:val="000000"/>
                <w:sz w:val="16"/>
                <w:szCs w:val="16"/>
              </w:rPr>
            </w:pPr>
          </w:p>
        </w:tc>
        <w:tc>
          <w:tcPr>
            <w:tcW w:w="137" w:type="pct"/>
          </w:tcPr>
          <w:p w:rsidR="0008794F" w:rsidRDefault="0008794F" w:rsidP="0036243E">
            <w:pPr>
              <w:pStyle w:val="Textpoznpodarou"/>
              <w:jc w:val="both"/>
            </w:pPr>
          </w:p>
        </w:tc>
        <w:tc>
          <w:tcPr>
            <w:tcW w:w="3769" w:type="pct"/>
            <w:gridSpan w:val="3"/>
          </w:tcPr>
          <w:p w:rsidR="0008794F" w:rsidRDefault="0008794F" w:rsidP="0036243E">
            <w:pPr>
              <w:spacing w:line="240" w:lineRule="auto"/>
              <w:jc w:val="both"/>
            </w:pPr>
          </w:p>
        </w:tc>
      </w:tr>
      <w:tr w:rsidR="0008794F" w:rsidRPr="005A1C19" w:rsidTr="00644E74">
        <w:tc>
          <w:tcPr>
            <w:tcW w:w="430" w:type="pct"/>
          </w:tcPr>
          <w:p w:rsidR="0008794F" w:rsidRDefault="0008794F" w:rsidP="00F7293D">
            <w:pPr>
              <w:spacing w:line="240" w:lineRule="auto"/>
            </w:pPr>
            <w:r>
              <w:t>Graf 49</w:t>
            </w:r>
          </w:p>
        </w:tc>
        <w:tc>
          <w:tcPr>
            <w:tcW w:w="2060" w:type="pct"/>
            <w:gridSpan w:val="3"/>
          </w:tcPr>
          <w:p w:rsidR="0008794F" w:rsidRPr="006031A6" w:rsidRDefault="0008794F" w:rsidP="00674FAC">
            <w:pPr>
              <w:pStyle w:val="Textpoznpodarou"/>
              <w:rPr>
                <w:rFonts w:cs="Arial"/>
                <w:bCs/>
                <w:sz w:val="8"/>
                <w:szCs w:val="8"/>
              </w:rPr>
            </w:pPr>
            <w:r>
              <w:rPr>
                <w:rFonts w:cs="Arial"/>
                <w:b/>
                <w:bCs/>
              </w:rPr>
              <w:t xml:space="preserve">Rakousko 1998 </w:t>
            </w:r>
            <w:r w:rsidRPr="00674FAC">
              <w:rPr>
                <w:rFonts w:cs="Arial"/>
                <w:bCs/>
              </w:rPr>
              <w:t>– podíl váha odvětví na hrubé přidané hodnotě celkem (</w:t>
            </w:r>
            <w:r>
              <w:rPr>
                <w:rFonts w:cs="Arial"/>
                <w:bCs/>
              </w:rPr>
              <w:t>v %, z mil. jednotek v </w:t>
            </w:r>
            <w:proofErr w:type="spellStart"/>
            <w:r>
              <w:rPr>
                <w:rFonts w:cs="Arial"/>
                <w:bCs/>
              </w:rPr>
              <w:t>nár</w:t>
            </w:r>
            <w:proofErr w:type="spellEnd"/>
            <w:r>
              <w:rPr>
                <w:rFonts w:cs="Arial"/>
                <w:bCs/>
              </w:rPr>
              <w:t xml:space="preserve">. </w:t>
            </w:r>
            <w:proofErr w:type="gramStart"/>
            <w:r>
              <w:rPr>
                <w:rFonts w:cs="Arial"/>
                <w:bCs/>
              </w:rPr>
              <w:t>měně</w:t>
            </w:r>
            <w:proofErr w:type="gramEnd"/>
            <w:r>
              <w:rPr>
                <w:rFonts w:cs="Arial"/>
                <w:bCs/>
              </w:rPr>
              <w:t xml:space="preserve">, ceny </w:t>
            </w:r>
            <w:proofErr w:type="spellStart"/>
            <w:r>
              <w:rPr>
                <w:rFonts w:cs="Arial"/>
                <w:bCs/>
              </w:rPr>
              <w:t>předch</w:t>
            </w:r>
            <w:proofErr w:type="spellEnd"/>
            <w:r>
              <w:rPr>
                <w:rFonts w:cs="Arial"/>
                <w:bCs/>
              </w:rPr>
              <w:t>. roku)</w:t>
            </w:r>
          </w:p>
          <w:p w:rsidR="0008794F" w:rsidRPr="006031A6" w:rsidRDefault="0008794F" w:rsidP="00674FAC">
            <w:pPr>
              <w:pStyle w:val="Textpoznpodarou"/>
              <w:rPr>
                <w:rFonts w:cs="Arial"/>
                <w:bCs/>
                <w:sz w:val="8"/>
                <w:szCs w:val="8"/>
              </w:rPr>
            </w:pPr>
          </w:p>
        </w:tc>
        <w:tc>
          <w:tcPr>
            <w:tcW w:w="429" w:type="pct"/>
          </w:tcPr>
          <w:p w:rsidR="0008794F" w:rsidRDefault="0008794F" w:rsidP="00F7293D">
            <w:pPr>
              <w:spacing w:line="240" w:lineRule="auto"/>
            </w:pPr>
            <w:r>
              <w:t>Graf 50</w:t>
            </w:r>
          </w:p>
        </w:tc>
        <w:tc>
          <w:tcPr>
            <w:tcW w:w="2081" w:type="pct"/>
            <w:gridSpan w:val="2"/>
          </w:tcPr>
          <w:p w:rsidR="0008794F" w:rsidRPr="006031A6" w:rsidRDefault="0008794F" w:rsidP="00674FAC">
            <w:pPr>
              <w:spacing w:line="240" w:lineRule="auto"/>
              <w:rPr>
                <w:rFonts w:cs="Arial"/>
                <w:bCs/>
              </w:rPr>
            </w:pPr>
            <w:r>
              <w:rPr>
                <w:rFonts w:cs="Arial"/>
                <w:b/>
                <w:bCs/>
              </w:rPr>
              <w:t xml:space="preserve">Rakousko 1998 </w:t>
            </w:r>
            <w:r w:rsidRPr="00674FAC">
              <w:rPr>
                <w:rFonts w:cs="Arial"/>
                <w:bCs/>
              </w:rPr>
              <w:t>– podíl váha odvětví na hrubé přidané hodnotě celkem (</w:t>
            </w:r>
            <w:r>
              <w:rPr>
                <w:rFonts w:cs="Arial"/>
                <w:bCs/>
              </w:rPr>
              <w:t>v %, z mil. jednotek v </w:t>
            </w:r>
            <w:proofErr w:type="spellStart"/>
            <w:r>
              <w:rPr>
                <w:rFonts w:cs="Arial"/>
                <w:bCs/>
              </w:rPr>
              <w:t>nár</w:t>
            </w:r>
            <w:proofErr w:type="spellEnd"/>
            <w:r>
              <w:rPr>
                <w:rFonts w:cs="Arial"/>
                <w:bCs/>
              </w:rPr>
              <w:t xml:space="preserve">. </w:t>
            </w:r>
            <w:proofErr w:type="gramStart"/>
            <w:r>
              <w:rPr>
                <w:rFonts w:cs="Arial"/>
                <w:bCs/>
              </w:rPr>
              <w:t>měně</w:t>
            </w:r>
            <w:proofErr w:type="gramEnd"/>
            <w:r>
              <w:rPr>
                <w:rFonts w:cs="Arial"/>
                <w:bCs/>
              </w:rPr>
              <w:t xml:space="preserve">, ceny </w:t>
            </w:r>
            <w:proofErr w:type="spellStart"/>
            <w:r>
              <w:rPr>
                <w:rFonts w:cs="Arial"/>
                <w:bCs/>
              </w:rPr>
              <w:t>předch</w:t>
            </w:r>
            <w:proofErr w:type="spellEnd"/>
            <w:r>
              <w:rPr>
                <w:rFonts w:cs="Arial"/>
                <w:bCs/>
              </w:rPr>
              <w:t>. roku)</w:t>
            </w:r>
          </w:p>
        </w:tc>
      </w:tr>
      <w:tr w:rsidR="0008794F" w:rsidRPr="005A1C19" w:rsidTr="00644E74">
        <w:tc>
          <w:tcPr>
            <w:tcW w:w="2490" w:type="pct"/>
            <w:gridSpan w:val="4"/>
          </w:tcPr>
          <w:p w:rsidR="0008794F" w:rsidRPr="005A1C19" w:rsidRDefault="00306F79" w:rsidP="0036243E">
            <w:pPr>
              <w:pStyle w:val="Textpoznpodarou"/>
              <w:jc w:val="both"/>
              <w:rPr>
                <w:noProof/>
              </w:rPr>
            </w:pPr>
            <w:r>
              <w:rPr>
                <w:noProof/>
              </w:rPr>
              <w:pict>
                <v:shape id="Graf 7" o:spid="_x0000_i1072" type="#_x0000_t75" style="width:243.7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">
                  <v:imagedata r:id="rId64" o:title=""/>
                  <o:lock v:ext="edit" aspectratio="f"/>
                </v:shape>
              </w:pict>
            </w:r>
          </w:p>
        </w:tc>
        <w:tc>
          <w:tcPr>
            <w:tcW w:w="2510" w:type="pct"/>
            <w:gridSpan w:val="3"/>
          </w:tcPr>
          <w:p w:rsidR="0008794F" w:rsidRDefault="00306F79" w:rsidP="0036243E">
            <w:pPr>
              <w:pStyle w:val="Textpoznpodarou"/>
              <w:jc w:val="both"/>
              <w:rPr>
                <w:noProof/>
              </w:rPr>
            </w:pPr>
            <w:r>
              <w:rPr>
                <w:noProof/>
              </w:rPr>
              <w:pict>
                <v:shape id="Graf 8" o:spid="_x0000_i1073" type="#_x0000_t75" style="width:246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">
                  <v:imagedata r:id="rId65" o:title=""/>
                  <o:lock v:ext="edit" aspectratio="f"/>
                </v:shape>
              </w:pict>
            </w:r>
          </w:p>
          <w:p w:rsidR="0008794F" w:rsidRPr="00935BFB" w:rsidRDefault="0008794F" w:rsidP="0036243E">
            <w:pPr>
              <w:pStyle w:val="Textpoznpodarou"/>
              <w:jc w:val="both"/>
              <w:rPr>
                <w:sz w:val="8"/>
                <w:szCs w:val="8"/>
              </w:rPr>
            </w:pPr>
          </w:p>
        </w:tc>
      </w:tr>
    </w:tbl>
    <w:p w:rsidR="0008794F" w:rsidRDefault="0008794F" w:rsidP="00D96473">
      <w:pPr>
        <w:jc w:val="right"/>
      </w:pPr>
      <w:r w:rsidRPr="00A14EDC">
        <w:rPr>
          <w:sz w:val="18"/>
          <w:szCs w:val="18"/>
        </w:rPr>
        <w:t xml:space="preserve">Pramen: </w:t>
      </w:r>
      <w:proofErr w:type="spellStart"/>
      <w:r w:rsidRPr="00A14EDC">
        <w:rPr>
          <w:sz w:val="18"/>
          <w:szCs w:val="18"/>
        </w:rPr>
        <w:t>Eurostat</w:t>
      </w:r>
      <w:proofErr w:type="spellEnd"/>
      <w:r>
        <w:rPr>
          <w:sz w:val="18"/>
          <w:szCs w:val="18"/>
        </w:rPr>
        <w:t>, vlastní propočty</w:t>
      </w:r>
    </w:p>
    <w:p w:rsidR="0008794F" w:rsidRPr="00935BFB" w:rsidRDefault="0008794F" w:rsidP="00D96473">
      <w:pPr>
        <w:jc w:val="right"/>
        <w:rPr>
          <w:sz w:val="8"/>
          <w:szCs w:val="8"/>
        </w:rPr>
      </w:pPr>
    </w:p>
    <w:tbl>
      <w:tblPr>
        <w:tblW w:w="5110" w:type="pct"/>
        <w:tblInd w:w="-42" w:type="dxa"/>
        <w:tblLayout w:type="fixed"/>
        <w:tblCellMar>
          <w:left w:w="28" w:type="dxa"/>
          <w:right w:w="28" w:type="dxa"/>
        </w:tblCellMar>
        <w:tblLook w:val="00A0"/>
      </w:tblPr>
      <w:tblGrid>
        <w:gridCol w:w="2065"/>
        <w:gridCol w:w="275"/>
        <w:gridCol w:w="7567"/>
      </w:tblGrid>
      <w:tr w:rsidR="0008794F" w:rsidTr="006741D9">
        <w:tc>
          <w:tcPr>
            <w:tcW w:w="1028" w:type="pct"/>
          </w:tcPr>
          <w:p w:rsidR="0008794F" w:rsidRDefault="0008794F" w:rsidP="002463D8">
            <w:pPr>
              <w:spacing w:line="240" w:lineRule="auto"/>
              <w:rPr>
                <w:color w:val="000000"/>
                <w:sz w:val="16"/>
                <w:szCs w:val="16"/>
              </w:rPr>
            </w:pPr>
            <w:r>
              <w:rPr>
                <w:color w:val="000000"/>
                <w:sz w:val="16"/>
                <w:szCs w:val="16"/>
              </w:rPr>
              <w:t>Pochybnosti ohledně teze, že čímž vyšší podíl služeb, tím vyspělejší ekonomická struktura země…,</w:t>
            </w:r>
          </w:p>
        </w:tc>
        <w:tc>
          <w:tcPr>
            <w:tcW w:w="137" w:type="pct"/>
          </w:tcPr>
          <w:p w:rsidR="0008794F" w:rsidRDefault="0008794F" w:rsidP="006741D9">
            <w:pPr>
              <w:pStyle w:val="Textpoznpodarou"/>
              <w:jc w:val="both"/>
            </w:pPr>
          </w:p>
        </w:tc>
        <w:tc>
          <w:tcPr>
            <w:tcW w:w="3769" w:type="pct"/>
          </w:tcPr>
          <w:p w:rsidR="0008794F" w:rsidRDefault="0008794F" w:rsidP="006741D9">
            <w:pPr>
              <w:spacing w:line="240" w:lineRule="auto"/>
              <w:jc w:val="both"/>
            </w:pPr>
            <w:r>
              <w:t xml:space="preserve">Nelze však zřejmě jednoznačně tvrdit, že vyspělejší ekonomická struktura </w:t>
            </w:r>
            <w:r w:rsidR="00D611D3">
              <w:t xml:space="preserve">- </w:t>
            </w:r>
            <w:r>
              <w:t>měřeno podíly služeb (terciárního a kva</w:t>
            </w:r>
            <w:r w:rsidR="00E86860">
              <w:t>rtérního</w:t>
            </w:r>
            <w:r>
              <w:t xml:space="preserve"> sektoru) na hrubé přidané hodnotě v</w:t>
            </w:r>
            <w:r w:rsidR="00D611D3">
              <w:t> </w:t>
            </w:r>
            <w:r>
              <w:t>ekonomice</w:t>
            </w:r>
            <w:r w:rsidR="00D611D3">
              <w:t xml:space="preserve"> -</w:t>
            </w:r>
            <w:r>
              <w:t xml:space="preserve"> je vždy jednoznačnou výhodou. Naopak, v době výstupu z krize v roce 2009 byly fakticky nejúspěšnější ty země, v nichž byl podíl průmyslu v ekonomické struktuře země nejvyšší – v EU šlo o Německo, Českou republiku a Slovensko. Produkce a export průmyslového zboží přispěly v té době rozhodující měrou k obnově jejich ekonomického růstu. </w:t>
            </w:r>
          </w:p>
          <w:p w:rsidR="0008794F" w:rsidRDefault="0008794F" w:rsidP="006741D9">
            <w:pPr>
              <w:spacing w:line="240" w:lineRule="auto"/>
              <w:jc w:val="both"/>
            </w:pPr>
          </w:p>
        </w:tc>
      </w:tr>
      <w:tr w:rsidR="0008794F" w:rsidRPr="00484118" w:rsidTr="006741D9">
        <w:tc>
          <w:tcPr>
            <w:tcW w:w="1028" w:type="pct"/>
          </w:tcPr>
          <w:p w:rsidR="0008794F" w:rsidRPr="00602D1D" w:rsidRDefault="0008794F" w:rsidP="002463D8">
            <w:pPr>
              <w:spacing w:line="240" w:lineRule="auto"/>
              <w:rPr>
                <w:color w:val="000000"/>
                <w:sz w:val="16"/>
                <w:szCs w:val="16"/>
              </w:rPr>
            </w:pPr>
            <w:r>
              <w:rPr>
                <w:color w:val="000000"/>
                <w:sz w:val="16"/>
                <w:szCs w:val="16"/>
              </w:rPr>
              <w:t>… které po</w:t>
            </w:r>
            <w:r w:rsidR="00D611D3">
              <w:rPr>
                <w:color w:val="000000"/>
                <w:sz w:val="16"/>
                <w:szCs w:val="16"/>
              </w:rPr>
              <w:t xml:space="preserve">tvrdil vývoj ekonomik ČR, SR a </w:t>
            </w:r>
            <w:r>
              <w:rPr>
                <w:color w:val="000000"/>
                <w:sz w:val="16"/>
                <w:szCs w:val="16"/>
              </w:rPr>
              <w:t>Německa v období poslední ekonomické krize v roce 2009</w:t>
            </w:r>
          </w:p>
        </w:tc>
        <w:tc>
          <w:tcPr>
            <w:tcW w:w="137" w:type="pct"/>
          </w:tcPr>
          <w:p w:rsidR="0008794F" w:rsidRDefault="0008794F" w:rsidP="006741D9">
            <w:pPr>
              <w:pStyle w:val="Textpoznpodarou"/>
              <w:jc w:val="both"/>
            </w:pPr>
          </w:p>
        </w:tc>
        <w:tc>
          <w:tcPr>
            <w:tcW w:w="3769" w:type="pct"/>
          </w:tcPr>
          <w:p w:rsidR="0008794F" w:rsidRDefault="0008794F" w:rsidP="006741D9">
            <w:pPr>
              <w:spacing w:line="240" w:lineRule="auto"/>
              <w:jc w:val="both"/>
            </w:pPr>
            <w:r>
              <w:t xml:space="preserve">Ačkoli tedy ČR ani SR nejsou „ekonomikami služeb“ v rozsahu, </w:t>
            </w:r>
            <w:r w:rsidR="00AF5878">
              <w:t>který</w:t>
            </w:r>
            <w:r>
              <w:t xml:space="preserve"> má Rakousko, umožňuje výroba zboží v daném rozsahu udržovat vysokou úroveň exportu zboží v obou zemích. ČR je mimoto velmi silná i importně, což však spíše než indikace výrazných dovozů pro konečné užití svědčí o </w:t>
            </w:r>
            <w:proofErr w:type="spellStart"/>
            <w:r>
              <w:t>přepracovatelském</w:t>
            </w:r>
            <w:proofErr w:type="spellEnd"/>
            <w:r>
              <w:t xml:space="preserve"> charakteru české ekonomiky.  </w:t>
            </w:r>
          </w:p>
          <w:p w:rsidR="0008794F" w:rsidRPr="00484118" w:rsidRDefault="0008794F" w:rsidP="006741D9">
            <w:r w:rsidRPr="00484118">
              <w:t xml:space="preserve">  </w:t>
            </w:r>
          </w:p>
        </w:tc>
      </w:tr>
    </w:tbl>
    <w:p w:rsidR="0008794F" w:rsidRDefault="0008794F" w:rsidP="005A1C19"/>
    <w:p w:rsidR="0008794F" w:rsidRDefault="0008794F" w:rsidP="005A1C19"/>
    <w:p w:rsidR="0008794F" w:rsidRDefault="0008794F" w:rsidP="005A1C19"/>
    <w:sectPr w:rsidR="0008794F" w:rsidSect="00D43998">
      <w:headerReference w:type="even" r:id="rId66"/>
      <w:headerReference w:type="default" r:id="rId67"/>
      <w:footerReference w:type="even" r:id="rId68"/>
      <w:footerReference w:type="default" r:id="rId69"/>
      <w:type w:val="continuous"/>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210" w:rsidRDefault="00032210" w:rsidP="00E71A58">
      <w:r>
        <w:separator/>
      </w:r>
    </w:p>
  </w:endnote>
  <w:endnote w:type="continuationSeparator" w:id="0">
    <w:p w:rsidR="00032210" w:rsidRDefault="00032210"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B71" w:rsidRDefault="00F80B71" w:rsidP="00F46FD1">
    <w:pPr>
      <w:pStyle w:val="Zpat"/>
      <w:tabs>
        <w:tab w:val="clear" w:pos="4536"/>
        <w:tab w:val="clear" w:pos="9072"/>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Description: 3" style="position:absolute;margin-left:445.7pt;margin-top:-4.1pt;width:36.75pt;height:17.25pt;z-index:4;visibility:visible">
          <v:imagedata r:id="rId1" o:title=""/>
        </v:shape>
      </w:pict>
    </w:r>
    <w:r w:rsidRPr="005A21E0">
      <w:rPr>
        <w:rFonts w:ascii="Arial" w:hAnsi="Arial" w:cs="Arial"/>
        <w:sz w:val="16"/>
        <w:szCs w:val="16"/>
      </w:rPr>
      <w:fldChar w:fldCharType="begin"/>
    </w:r>
    <w:r w:rsidRPr="005A21E0">
      <w:rPr>
        <w:rFonts w:ascii="Arial" w:hAnsi="Arial" w:cs="Arial"/>
        <w:sz w:val="16"/>
        <w:szCs w:val="16"/>
      </w:rPr>
      <w:instrText>PAGE   \* MERGEFORMAT</w:instrText>
    </w:r>
    <w:r w:rsidRPr="005A21E0">
      <w:rPr>
        <w:rFonts w:ascii="Arial" w:hAnsi="Arial" w:cs="Arial"/>
        <w:sz w:val="16"/>
        <w:szCs w:val="16"/>
      </w:rPr>
      <w:fldChar w:fldCharType="separate"/>
    </w:r>
    <w:r>
      <w:rPr>
        <w:rFonts w:ascii="Arial" w:hAnsi="Arial" w:cs="Arial"/>
        <w:noProof/>
        <w:sz w:val="16"/>
        <w:szCs w:val="16"/>
      </w:rPr>
      <w:t>4</w:t>
    </w:r>
    <w:r w:rsidRPr="005A21E0">
      <w:rPr>
        <w:rFonts w:ascii="Arial" w:hAnsi="Arial" w:cs="Arial"/>
        <w:sz w:val="16"/>
        <w:szCs w:val="16"/>
      </w:rPr>
      <w:fldChar w:fldCharType="end"/>
    </w:r>
    <w:r>
      <w:rPr>
        <w:rFonts w:ascii="Arial" w:hAnsi="Arial" w:cs="Arial"/>
        <w:sz w:val="16"/>
        <w:szCs w:val="16"/>
      </w:rPr>
      <w:tab/>
      <w:t>2014</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B71" w:rsidRDefault="00F80B71" w:rsidP="00357449">
    <w:pPr>
      <w:pStyle w:val="Zpat"/>
      <w:tabs>
        <w:tab w:val="clear" w:pos="4536"/>
        <w:tab w:val="clear" w:pos="9072"/>
        <w:tab w:val="left" w:pos="1134"/>
        <w:tab w:val="left" w:pos="1920"/>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42" o:spid="_x0000_s2050" type="#_x0000_t75" alt="Description: 3" style="position:absolute;margin-left:.3pt;margin-top:7.1pt;width:39pt;height:21pt;z-index:1;visibility:visible">
          <v:imagedata r:id="rId1" o:title=""/>
        </v:shape>
      </w:pict>
    </w:r>
    <w:r>
      <w:tab/>
    </w:r>
    <w:r>
      <w:tab/>
    </w:r>
    <w:r w:rsidRPr="00DC5B3B">
      <w:t xml:space="preserve">                              </w:t>
    </w:r>
  </w:p>
  <w:p w:rsidR="00F80B71" w:rsidRPr="00223E00" w:rsidRDefault="00F80B71"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2014</w:t>
    </w:r>
    <w:r>
      <w:rPr>
        <w:rFonts w:ascii="Arial" w:hAnsi="Arial" w:cs="Arial"/>
        <w:sz w:val="16"/>
        <w:szCs w:val="16"/>
      </w:rPr>
      <w:tab/>
    </w:r>
    <w:r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Pr="00223E00">
      <w:rPr>
        <w:rFonts w:ascii="Arial" w:hAnsi="Arial" w:cs="Arial"/>
        <w:sz w:val="16"/>
        <w:szCs w:val="16"/>
      </w:rPr>
      <w:fldChar w:fldCharType="separate"/>
    </w:r>
    <w:r w:rsidR="0086454F">
      <w:rPr>
        <w:rFonts w:ascii="Arial" w:hAnsi="Arial" w:cs="Arial"/>
        <w:noProof/>
        <w:sz w:val="16"/>
        <w:szCs w:val="16"/>
      </w:rPr>
      <w:t>3</w:t>
    </w:r>
    <w:r w:rsidRPr="00223E00">
      <w:rPr>
        <w:rFonts w:ascii="Arial" w:hAnsi="Arial"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B71" w:rsidRDefault="00F80B71" w:rsidP="00357449">
    <w:pPr>
      <w:pStyle w:val="Zpat"/>
      <w:tabs>
        <w:tab w:val="clear" w:pos="4536"/>
        <w:tab w:val="clear" w:pos="9072"/>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1" type="#_x0000_t75" alt="Description: 3" style="position:absolute;margin-left:445.7pt;margin-top:-4.1pt;width:36.75pt;height:17.25pt;z-index:2;visibility:visible">
          <v:imagedata r:id="rId1" o:title=""/>
        </v:shape>
      </w:pict>
    </w:r>
    <w:r w:rsidRPr="005A21E0">
      <w:rPr>
        <w:rFonts w:ascii="Arial" w:hAnsi="Arial" w:cs="Arial"/>
        <w:sz w:val="16"/>
        <w:szCs w:val="16"/>
      </w:rPr>
      <w:fldChar w:fldCharType="begin"/>
    </w:r>
    <w:r w:rsidRPr="005A21E0">
      <w:rPr>
        <w:rFonts w:ascii="Arial" w:hAnsi="Arial" w:cs="Arial"/>
        <w:sz w:val="16"/>
        <w:szCs w:val="16"/>
      </w:rPr>
      <w:instrText>PAGE   \* MERGEFORMAT</w:instrText>
    </w:r>
    <w:r w:rsidRPr="005A21E0">
      <w:rPr>
        <w:rFonts w:ascii="Arial" w:hAnsi="Arial" w:cs="Arial"/>
        <w:sz w:val="16"/>
        <w:szCs w:val="16"/>
      </w:rPr>
      <w:fldChar w:fldCharType="separate"/>
    </w:r>
    <w:r w:rsidR="0086454F">
      <w:rPr>
        <w:rFonts w:ascii="Arial" w:hAnsi="Arial" w:cs="Arial"/>
        <w:noProof/>
        <w:sz w:val="16"/>
        <w:szCs w:val="16"/>
      </w:rPr>
      <w:t>10</w:t>
    </w:r>
    <w:r w:rsidRPr="005A21E0">
      <w:rPr>
        <w:rFonts w:ascii="Arial" w:hAnsi="Arial" w:cs="Arial"/>
        <w:sz w:val="16"/>
        <w:szCs w:val="16"/>
      </w:rPr>
      <w:fldChar w:fldCharType="end"/>
    </w:r>
    <w:r>
      <w:rPr>
        <w:rFonts w:ascii="Arial" w:hAnsi="Arial" w:cs="Arial"/>
        <w:sz w:val="16"/>
        <w:szCs w:val="16"/>
      </w:rPr>
      <w:tab/>
      <w:t>2014</w:t>
    </w:r>
    <w:r>
      <w:tab/>
    </w: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B71" w:rsidRDefault="00F80B71" w:rsidP="00357449">
    <w:pPr>
      <w:pStyle w:val="Zpat"/>
      <w:tabs>
        <w:tab w:val="clear" w:pos="4536"/>
        <w:tab w:val="clear" w:pos="9072"/>
        <w:tab w:val="left" w:pos="1134"/>
        <w:tab w:val="left" w:pos="1920"/>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Description: 3" style="position:absolute;margin-left:.3pt;margin-top:7.1pt;width:39pt;height:21pt;z-index:3;visibility:visible">
          <v:imagedata r:id="rId1" o:title=""/>
        </v:shape>
      </w:pict>
    </w:r>
    <w:r>
      <w:tab/>
    </w:r>
    <w:r>
      <w:tab/>
    </w:r>
    <w:r w:rsidRPr="00DC5B3B">
      <w:t xml:space="preserve">                              </w:t>
    </w:r>
  </w:p>
  <w:p w:rsidR="00F80B71" w:rsidRPr="00223E00" w:rsidRDefault="00F80B71"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2014</w:t>
    </w:r>
    <w:r>
      <w:rPr>
        <w:rFonts w:ascii="Arial" w:hAnsi="Arial" w:cs="Arial"/>
        <w:sz w:val="16"/>
        <w:szCs w:val="16"/>
      </w:rPr>
      <w:tab/>
    </w:r>
    <w:r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Pr="00223E00">
      <w:rPr>
        <w:rFonts w:ascii="Arial" w:hAnsi="Arial" w:cs="Arial"/>
        <w:sz w:val="16"/>
        <w:szCs w:val="16"/>
      </w:rPr>
      <w:fldChar w:fldCharType="separate"/>
    </w:r>
    <w:r w:rsidR="0086454F">
      <w:rPr>
        <w:rFonts w:ascii="Arial" w:hAnsi="Arial" w:cs="Arial"/>
        <w:noProof/>
        <w:sz w:val="16"/>
        <w:szCs w:val="16"/>
      </w:rPr>
      <w:t>9</w:t>
    </w:r>
    <w:r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210" w:rsidRDefault="00032210" w:rsidP="00E71A58">
      <w:r>
        <w:separator/>
      </w:r>
    </w:p>
  </w:footnote>
  <w:footnote w:type="continuationSeparator" w:id="0">
    <w:p w:rsidR="00032210" w:rsidRDefault="00032210" w:rsidP="00E71A58">
      <w:r>
        <w:continuationSeparator/>
      </w:r>
    </w:p>
  </w:footnote>
  <w:footnote w:id="1">
    <w:p w:rsidR="00F80B71" w:rsidRPr="00382D10" w:rsidRDefault="00F80B71" w:rsidP="00382D10">
      <w:pPr>
        <w:pStyle w:val="Textpoznpodarou"/>
        <w:jc w:val="both"/>
        <w:rPr>
          <w:sz w:val="16"/>
          <w:szCs w:val="16"/>
        </w:rPr>
      </w:pPr>
      <w:r>
        <w:rPr>
          <w:rStyle w:val="Znakapoznpodarou"/>
        </w:rPr>
        <w:footnoteRef/>
      </w:r>
      <w:r>
        <w:t xml:space="preserve"> </w:t>
      </w:r>
      <w:r w:rsidRPr="00382D10">
        <w:rPr>
          <w:sz w:val="16"/>
          <w:szCs w:val="16"/>
        </w:rPr>
        <w:t xml:space="preserve">Jestliže rakouský HDP na obyvatele v PPS jako měřítko ekonomické vyspělosti za roky 1995-2014 klesl jen velmi málo, o 4,4 </w:t>
      </w:r>
      <w:proofErr w:type="spellStart"/>
      <w:r w:rsidRPr="00382D10">
        <w:rPr>
          <w:sz w:val="16"/>
          <w:szCs w:val="16"/>
        </w:rPr>
        <w:t>pb</w:t>
      </w:r>
      <w:proofErr w:type="spellEnd"/>
      <w:r w:rsidRPr="00382D10">
        <w:rPr>
          <w:sz w:val="16"/>
          <w:szCs w:val="16"/>
        </w:rPr>
        <w:t xml:space="preserve">., vyspělé „staré země“ Unie (EU 15) „oslabily“ o 7,1 </w:t>
      </w:r>
      <w:proofErr w:type="spellStart"/>
      <w:r w:rsidRPr="00382D10">
        <w:rPr>
          <w:sz w:val="16"/>
          <w:szCs w:val="16"/>
        </w:rPr>
        <w:t>pb</w:t>
      </w:r>
      <w:proofErr w:type="spellEnd"/>
      <w:r w:rsidRPr="00382D10">
        <w:rPr>
          <w:sz w:val="16"/>
          <w:szCs w:val="16"/>
        </w:rPr>
        <w:t xml:space="preserve">. Nejvíce ztratila v přepočtu na obyvatele Itálie, kde se za poslední dvě desetiletí snížil HDP na hlavu v PPS o 25,5 </w:t>
      </w:r>
      <w:proofErr w:type="spellStart"/>
      <w:r w:rsidRPr="00382D10">
        <w:rPr>
          <w:sz w:val="16"/>
          <w:szCs w:val="16"/>
        </w:rPr>
        <w:t>pb</w:t>
      </w:r>
      <w:proofErr w:type="spellEnd"/>
      <w:r w:rsidRPr="00382D10">
        <w:rPr>
          <w:sz w:val="16"/>
          <w:szCs w:val="16"/>
        </w:rPr>
        <w:t xml:space="preserve">., čímž země klesla s 96,4 % pod průměr EU 28. Ztratilo i Řecko, kde je však s ohledem na negativní vývoj ekonomiky posledních pěti let vyvolaný krizí jeho veřejných rozpočtů pokles pochopitelný (-13,2 </w:t>
      </w:r>
      <w:proofErr w:type="spellStart"/>
      <w:r w:rsidRPr="00382D10">
        <w:rPr>
          <w:sz w:val="16"/>
          <w:szCs w:val="16"/>
        </w:rPr>
        <w:t>pb</w:t>
      </w:r>
      <w:proofErr w:type="spellEnd"/>
      <w:r w:rsidRPr="00382D10">
        <w:rPr>
          <w:sz w:val="16"/>
          <w:szCs w:val="16"/>
        </w:rPr>
        <w:t>.). Snížením HDP na obyvatele v PPS na 71,5 % průměru EU se helénská země dostala na nižší ekonomickou úroveň než Česká republika, Kypr, Litva, Estonsko, Malta, Slovinsko a Slovensko, tedy většina „nových zemí“ Unie a kromě nich i Portugalsko.</w:t>
      </w:r>
    </w:p>
    <w:tbl>
      <w:tblPr>
        <w:tblW w:w="5000" w:type="pct"/>
        <w:tblLook w:val="00A0"/>
      </w:tblPr>
      <w:tblGrid>
        <w:gridCol w:w="9854"/>
      </w:tblGrid>
      <w:tr w:rsidR="00F80B71" w:rsidRPr="00B752FD" w:rsidTr="00541E59">
        <w:tc>
          <w:tcPr>
            <w:tcW w:w="3800" w:type="pct"/>
          </w:tcPr>
          <w:p w:rsidR="00F80B71" w:rsidRPr="00B752FD" w:rsidRDefault="00F80B71" w:rsidP="00541E59">
            <w:pPr>
              <w:pStyle w:val="Textpoznpodarou"/>
              <w:jc w:val="both"/>
              <w:rPr>
                <w:sz w:val="14"/>
                <w:szCs w:val="14"/>
              </w:rPr>
            </w:pPr>
          </w:p>
        </w:tc>
      </w:tr>
    </w:tbl>
    <w:p w:rsidR="00F80B71" w:rsidRDefault="00F80B71">
      <w:pPr>
        <w:pStyle w:val="Textpoznpodarou"/>
      </w:pPr>
    </w:p>
  </w:footnote>
  <w:footnote w:id="2">
    <w:p w:rsidR="00F80B71" w:rsidRDefault="00F80B71" w:rsidP="00B83E78">
      <w:pPr>
        <w:pStyle w:val="Textpoznpodarou"/>
        <w:jc w:val="both"/>
      </w:pPr>
      <w:r>
        <w:rPr>
          <w:rStyle w:val="Znakapoznpodarou"/>
        </w:rPr>
        <w:footnoteRef/>
      </w:r>
      <w:r>
        <w:t xml:space="preserve"> </w:t>
      </w:r>
      <w:r w:rsidRPr="00B83E78">
        <w:rPr>
          <w:sz w:val="16"/>
          <w:szCs w:val="16"/>
        </w:rPr>
        <w:t>Je zde uvažována spotřeba ve smyslu výdajů vynaložených na výrobky a služby, které jsou určeny pro přímé uspokojení individuálních potřeb nebo přání.</w:t>
      </w:r>
      <w:r>
        <w:t xml:space="preserve"> </w:t>
      </w:r>
    </w:p>
  </w:footnote>
  <w:footnote w:id="3">
    <w:p w:rsidR="00F80B71" w:rsidRDefault="00F80B71" w:rsidP="007039D1">
      <w:pPr>
        <w:pStyle w:val="Textpoznpodarou"/>
        <w:jc w:val="both"/>
      </w:pPr>
      <w:r>
        <w:rPr>
          <w:rStyle w:val="Znakapoznpodarou"/>
        </w:rPr>
        <w:footnoteRef/>
      </w:r>
      <w:r>
        <w:t xml:space="preserve"> </w:t>
      </w:r>
      <w:r w:rsidRPr="00F740ED">
        <w:rPr>
          <w:sz w:val="16"/>
          <w:szCs w:val="16"/>
        </w:rPr>
        <w:t xml:space="preserve">Pokud nebude uvedeno jinak, v dalším textu této </w:t>
      </w:r>
      <w:proofErr w:type="spellStart"/>
      <w:r w:rsidRPr="00F740ED">
        <w:rPr>
          <w:sz w:val="16"/>
          <w:szCs w:val="16"/>
        </w:rPr>
        <w:t>subkapitoly</w:t>
      </w:r>
      <w:proofErr w:type="spellEnd"/>
      <w:r w:rsidRPr="00F740ED">
        <w:rPr>
          <w:sz w:val="16"/>
          <w:szCs w:val="16"/>
        </w:rPr>
        <w:t xml:space="preserve"> bude termín „výdaje na konečnou spotřebu domácností“ zahrnovat i výdaje neziskových institucí sloužících domácnostem (NISD). </w:t>
      </w:r>
    </w:p>
  </w:footnote>
  <w:footnote w:id="4">
    <w:p w:rsidR="00F80B71" w:rsidRPr="002705E8" w:rsidRDefault="00F80B71" w:rsidP="00717F72">
      <w:pPr>
        <w:spacing w:line="240" w:lineRule="auto"/>
        <w:jc w:val="both"/>
        <w:rPr>
          <w:rFonts w:cs="Arial"/>
          <w:sz w:val="16"/>
          <w:szCs w:val="16"/>
        </w:rPr>
      </w:pPr>
      <w:r>
        <w:rPr>
          <w:rStyle w:val="Znakapoznpodarou"/>
        </w:rPr>
        <w:footnoteRef/>
      </w:r>
      <w:r w:rsidRPr="002705E8">
        <w:rPr>
          <w:rFonts w:cs="Arial"/>
          <w:sz w:val="16"/>
          <w:szCs w:val="16"/>
        </w:rPr>
        <w:t>Stoupenci gradualismu se nejvíce obávali toho, že šoková terapie</w:t>
      </w:r>
      <w:r>
        <w:rPr>
          <w:rFonts w:cs="Arial"/>
          <w:sz w:val="16"/>
          <w:szCs w:val="16"/>
        </w:rPr>
        <w:t xml:space="preserve"> </w:t>
      </w:r>
      <w:r w:rsidRPr="002705E8">
        <w:rPr>
          <w:rFonts w:cs="Arial"/>
          <w:sz w:val="16"/>
          <w:szCs w:val="16"/>
        </w:rPr>
        <w:t xml:space="preserve">bude mít příliš vysoké náklady v podobě velkého hospodářského </w:t>
      </w:r>
      <w:proofErr w:type="gramStart"/>
      <w:r w:rsidRPr="002705E8">
        <w:rPr>
          <w:rFonts w:cs="Arial"/>
          <w:sz w:val="16"/>
          <w:szCs w:val="16"/>
        </w:rPr>
        <w:t>po</w:t>
      </w:r>
      <w:proofErr w:type="gramEnd"/>
      <w:r w:rsidRPr="002705E8">
        <w:rPr>
          <w:rFonts w:cs="Arial"/>
          <w:sz w:val="16"/>
          <w:szCs w:val="16"/>
        </w:rPr>
        <w:t>-</w:t>
      </w:r>
    </w:p>
    <w:p w:rsidR="00F80B71" w:rsidRPr="002705E8" w:rsidRDefault="00F80B71" w:rsidP="00717F72">
      <w:pPr>
        <w:spacing w:line="240" w:lineRule="auto"/>
        <w:jc w:val="both"/>
        <w:rPr>
          <w:rFonts w:cs="Arial"/>
          <w:sz w:val="16"/>
          <w:szCs w:val="16"/>
        </w:rPr>
      </w:pPr>
      <w:r w:rsidRPr="002705E8">
        <w:rPr>
          <w:rFonts w:cs="Arial"/>
          <w:sz w:val="16"/>
          <w:szCs w:val="16"/>
        </w:rPr>
        <w:t>klesu. „Gradualisté“ věřili, že transformaci lze uskutečnit bez velkého</w:t>
      </w:r>
      <w:r>
        <w:rPr>
          <w:rFonts w:cs="Arial"/>
          <w:sz w:val="16"/>
          <w:szCs w:val="16"/>
        </w:rPr>
        <w:t xml:space="preserve"> </w:t>
      </w:r>
      <w:r w:rsidRPr="002705E8">
        <w:rPr>
          <w:rFonts w:cs="Arial"/>
          <w:sz w:val="16"/>
          <w:szCs w:val="16"/>
        </w:rPr>
        <w:t>hospodářského poklesu, bude-li ro</w:t>
      </w:r>
      <w:r>
        <w:rPr>
          <w:rFonts w:cs="Arial"/>
          <w:sz w:val="16"/>
          <w:szCs w:val="16"/>
        </w:rPr>
        <w:t xml:space="preserve">zložena do delšího období a </w:t>
      </w:r>
      <w:r w:rsidRPr="002705E8">
        <w:rPr>
          <w:rFonts w:cs="Arial"/>
          <w:sz w:val="16"/>
          <w:szCs w:val="16"/>
        </w:rPr>
        <w:t xml:space="preserve">státem </w:t>
      </w:r>
      <w:r>
        <w:rPr>
          <w:rFonts w:cs="Arial"/>
          <w:sz w:val="16"/>
          <w:szCs w:val="16"/>
        </w:rPr>
        <w:t>peč</w:t>
      </w:r>
      <w:r w:rsidRPr="002705E8">
        <w:rPr>
          <w:rFonts w:cs="Arial"/>
          <w:sz w:val="16"/>
          <w:szCs w:val="16"/>
        </w:rPr>
        <w:t>livě řízena. Bude-li stát otevírat domácí trhy zahraniční konkurenci pomalu a postupně, dá do</w:t>
      </w:r>
      <w:r>
        <w:rPr>
          <w:rFonts w:cs="Arial"/>
          <w:sz w:val="16"/>
          <w:szCs w:val="16"/>
        </w:rPr>
        <w:t>mácím výrobcům čas, aby se adap</w:t>
      </w:r>
      <w:r w:rsidRPr="002705E8">
        <w:rPr>
          <w:rFonts w:cs="Arial"/>
          <w:sz w:val="16"/>
          <w:szCs w:val="16"/>
        </w:rPr>
        <w:t xml:space="preserve">tovali na nové </w:t>
      </w:r>
      <w:proofErr w:type="gramStart"/>
      <w:r w:rsidRPr="002705E8">
        <w:rPr>
          <w:rFonts w:cs="Arial"/>
          <w:sz w:val="16"/>
          <w:szCs w:val="16"/>
        </w:rPr>
        <w:t>podmínky a nevystaví</w:t>
      </w:r>
      <w:proofErr w:type="gramEnd"/>
      <w:r>
        <w:rPr>
          <w:rFonts w:cs="Arial"/>
          <w:sz w:val="16"/>
          <w:szCs w:val="16"/>
        </w:rPr>
        <w:t xml:space="preserve"> je náhlému šoku. Postupná a po</w:t>
      </w:r>
      <w:r w:rsidRPr="002705E8">
        <w:rPr>
          <w:rFonts w:cs="Arial"/>
          <w:sz w:val="16"/>
          <w:szCs w:val="16"/>
        </w:rPr>
        <w:t>malejší liberalizace trhů si také nevyžádá tak drastická stabilizační</w:t>
      </w:r>
      <w:r>
        <w:rPr>
          <w:rFonts w:cs="Arial"/>
          <w:sz w:val="16"/>
          <w:szCs w:val="16"/>
        </w:rPr>
        <w:t xml:space="preserve"> </w:t>
      </w:r>
      <w:r w:rsidRPr="002705E8">
        <w:rPr>
          <w:rFonts w:cs="Arial"/>
          <w:sz w:val="16"/>
          <w:szCs w:val="16"/>
        </w:rPr>
        <w:t>op</w:t>
      </w:r>
      <w:r>
        <w:rPr>
          <w:rFonts w:cs="Arial"/>
          <w:sz w:val="16"/>
          <w:szCs w:val="16"/>
        </w:rPr>
        <w:t>a</w:t>
      </w:r>
      <w:r w:rsidRPr="002705E8">
        <w:rPr>
          <w:rFonts w:cs="Arial"/>
          <w:sz w:val="16"/>
          <w:szCs w:val="16"/>
        </w:rPr>
        <w:t>tření, podniky nebudou vystaveny šoku v podobě rozpočtové</w:t>
      </w:r>
      <w:r>
        <w:rPr>
          <w:rFonts w:cs="Arial"/>
          <w:sz w:val="16"/>
          <w:szCs w:val="16"/>
        </w:rPr>
        <w:t xml:space="preserve"> </w:t>
      </w:r>
      <w:r w:rsidRPr="002705E8">
        <w:rPr>
          <w:rFonts w:cs="Arial"/>
          <w:sz w:val="16"/>
          <w:szCs w:val="16"/>
        </w:rPr>
        <w:t>a měnové restrikce a nebude ani nu</w:t>
      </w:r>
      <w:r>
        <w:rPr>
          <w:rFonts w:cs="Arial"/>
          <w:sz w:val="16"/>
          <w:szCs w:val="16"/>
        </w:rPr>
        <w:t>tná tak velká počáteční devalva</w:t>
      </w:r>
      <w:r w:rsidRPr="002705E8">
        <w:rPr>
          <w:rFonts w:cs="Arial"/>
          <w:sz w:val="16"/>
          <w:szCs w:val="16"/>
        </w:rPr>
        <w:t xml:space="preserve">ce domácí měny. „Gradualisté“ věřili, </w:t>
      </w:r>
      <w:r>
        <w:rPr>
          <w:rFonts w:cs="Arial"/>
          <w:sz w:val="16"/>
          <w:szCs w:val="16"/>
        </w:rPr>
        <w:t>že strategie pomalejší transfor</w:t>
      </w:r>
      <w:r w:rsidRPr="002705E8">
        <w:rPr>
          <w:rFonts w:cs="Arial"/>
          <w:sz w:val="16"/>
          <w:szCs w:val="16"/>
        </w:rPr>
        <w:t>mace nepo</w:t>
      </w:r>
      <w:r>
        <w:rPr>
          <w:rFonts w:cs="Arial"/>
          <w:sz w:val="16"/>
          <w:szCs w:val="16"/>
        </w:rPr>
        <w:t>vede k hospodářskému poklesu. „Š</w:t>
      </w:r>
      <w:r w:rsidRPr="002705E8">
        <w:rPr>
          <w:rFonts w:cs="Arial"/>
          <w:sz w:val="16"/>
          <w:szCs w:val="16"/>
        </w:rPr>
        <w:t xml:space="preserve">okoví </w:t>
      </w:r>
      <w:proofErr w:type="spellStart"/>
      <w:r w:rsidRPr="002705E8">
        <w:rPr>
          <w:rFonts w:cs="Arial"/>
          <w:sz w:val="16"/>
          <w:szCs w:val="16"/>
        </w:rPr>
        <w:t>terapisté</w:t>
      </w:r>
      <w:proofErr w:type="spellEnd"/>
      <w:r w:rsidRPr="002705E8">
        <w:rPr>
          <w:rFonts w:cs="Arial"/>
          <w:sz w:val="16"/>
          <w:szCs w:val="16"/>
        </w:rPr>
        <w:t>“ naopak</w:t>
      </w:r>
      <w:r>
        <w:rPr>
          <w:rFonts w:cs="Arial"/>
          <w:sz w:val="16"/>
          <w:szCs w:val="16"/>
        </w:rPr>
        <w:t xml:space="preserve"> </w:t>
      </w:r>
      <w:r w:rsidRPr="002705E8">
        <w:rPr>
          <w:rFonts w:cs="Arial"/>
          <w:sz w:val="16"/>
          <w:szCs w:val="16"/>
        </w:rPr>
        <w:t>považovali přechodný hospodářský pokles za nevyhnutelný pro</w:t>
      </w:r>
      <w:r>
        <w:rPr>
          <w:rFonts w:cs="Arial"/>
          <w:sz w:val="16"/>
          <w:szCs w:val="16"/>
        </w:rPr>
        <w:t xml:space="preserve"> </w:t>
      </w:r>
      <w:r w:rsidRPr="002705E8">
        <w:rPr>
          <w:rFonts w:cs="Arial"/>
          <w:sz w:val="16"/>
          <w:szCs w:val="16"/>
        </w:rPr>
        <w:t>uskutečnění</w:t>
      </w:r>
      <w:r>
        <w:rPr>
          <w:rFonts w:cs="Arial"/>
          <w:sz w:val="16"/>
          <w:szCs w:val="16"/>
        </w:rPr>
        <w:t xml:space="preserve"> hlubokých strukturálních změn </w:t>
      </w:r>
      <w:r w:rsidRPr="002705E8">
        <w:rPr>
          <w:rFonts w:cs="Arial"/>
          <w:sz w:val="16"/>
          <w:szCs w:val="16"/>
        </w:rPr>
        <w:t>v</w:t>
      </w:r>
      <w:r>
        <w:rPr>
          <w:rFonts w:cs="Arial"/>
          <w:sz w:val="16"/>
          <w:szCs w:val="16"/>
        </w:rPr>
        <w:t> </w:t>
      </w:r>
      <w:r w:rsidRPr="002705E8">
        <w:rPr>
          <w:rFonts w:cs="Arial"/>
          <w:sz w:val="16"/>
          <w:szCs w:val="16"/>
        </w:rPr>
        <w:t>e</w:t>
      </w:r>
      <w:r>
        <w:rPr>
          <w:rFonts w:cs="Arial"/>
          <w:sz w:val="16"/>
          <w:szCs w:val="16"/>
        </w:rPr>
        <w:t>konomice</w:t>
      </w:r>
      <w:r w:rsidRPr="002705E8">
        <w:rPr>
          <w:rFonts w:cs="Arial"/>
          <w:sz w:val="16"/>
          <w:szCs w:val="16"/>
        </w:rPr>
        <w:t xml:space="preserve"> a pro </w:t>
      </w:r>
      <w:r>
        <w:rPr>
          <w:rFonts w:cs="Arial"/>
          <w:sz w:val="16"/>
          <w:szCs w:val="16"/>
        </w:rPr>
        <w:t>re</w:t>
      </w:r>
      <w:r w:rsidRPr="002705E8">
        <w:rPr>
          <w:rFonts w:cs="Arial"/>
          <w:sz w:val="16"/>
          <w:szCs w:val="16"/>
        </w:rPr>
        <w:t>strukturalizaci podnikové sféry. Nevěřil</w:t>
      </w:r>
      <w:r>
        <w:rPr>
          <w:rFonts w:cs="Arial"/>
          <w:sz w:val="16"/>
          <w:szCs w:val="16"/>
        </w:rPr>
        <w:t>i přitom, že by stát dokázal ta</w:t>
      </w:r>
      <w:r w:rsidRPr="002705E8">
        <w:rPr>
          <w:rFonts w:cs="Arial"/>
          <w:sz w:val="16"/>
          <w:szCs w:val="16"/>
        </w:rPr>
        <w:t>kové procesy efektivně řídit a kontrolovat</w:t>
      </w:r>
      <w:r>
        <w:rPr>
          <w:rFonts w:cs="Arial"/>
          <w:sz w:val="16"/>
          <w:szCs w:val="16"/>
        </w:rPr>
        <w:t>.</w:t>
      </w:r>
    </w:p>
    <w:p w:rsidR="00F80B71" w:rsidRPr="004F11DB" w:rsidRDefault="00F80B71" w:rsidP="00717F72">
      <w:pPr>
        <w:pStyle w:val="Textpoznpodarou"/>
        <w:rPr>
          <w:sz w:val="18"/>
          <w:szCs w:val="18"/>
        </w:rPr>
      </w:pPr>
      <w:r w:rsidRPr="00514E78">
        <w:rPr>
          <w:sz w:val="16"/>
          <w:szCs w:val="16"/>
        </w:rPr>
        <w:t>Více v </w:t>
      </w:r>
      <w:proofErr w:type="gramStart"/>
      <w:r w:rsidRPr="00514E78">
        <w:rPr>
          <w:sz w:val="16"/>
          <w:szCs w:val="16"/>
        </w:rPr>
        <w:t>Holman</w:t>
      </w:r>
      <w:proofErr w:type="gramEnd"/>
      <w:r w:rsidRPr="00514E78">
        <w:rPr>
          <w:sz w:val="16"/>
          <w:szCs w:val="16"/>
        </w:rPr>
        <w:t>, R. (2000). Transformace české ekonomiky v komparaci s dalšími zeměmi střední Evropy. CEP – centrum pro ekonomiku a politiku, Praha, 2000. ISBN 80-902795-6-2. Str. 21-23.</w:t>
      </w:r>
      <w:r>
        <w:t xml:space="preserve"> </w:t>
      </w:r>
      <w:hyperlink r:id="rId1" w:history="1">
        <w:r w:rsidRPr="00514E78">
          <w:rPr>
            <w:rStyle w:val="Hypertextovodkaz"/>
            <w:sz w:val="16"/>
            <w:szCs w:val="16"/>
          </w:rPr>
          <w:t>http://cepin.cz/docs/dokumenty/Transformace_holman.pdf</w:t>
        </w:r>
      </w:hyperlink>
    </w:p>
    <w:p w:rsidR="00F80B71" w:rsidRPr="000B6162" w:rsidRDefault="00F80B71" w:rsidP="00717F72">
      <w:pPr>
        <w:pStyle w:val="Textpoznpodarou"/>
        <w:rPr>
          <w:sz w:val="8"/>
          <w:szCs w:val="8"/>
        </w:rPr>
      </w:pPr>
    </w:p>
  </w:footnote>
  <w:footnote w:id="5">
    <w:p w:rsidR="00F80B71" w:rsidRDefault="00F80B71" w:rsidP="00717F72">
      <w:pPr>
        <w:pStyle w:val="Textpoznpodarou"/>
      </w:pPr>
      <w:r>
        <w:rPr>
          <w:rStyle w:val="Znakapoznpodarou"/>
        </w:rPr>
        <w:footnoteRef/>
      </w:r>
      <w:r>
        <w:t xml:space="preserve"> </w:t>
      </w:r>
      <w:r w:rsidRPr="00514E78">
        <w:rPr>
          <w:sz w:val="16"/>
          <w:szCs w:val="16"/>
        </w:rPr>
        <w:t>Historická ročenka národních účtů,</w:t>
      </w:r>
      <w:r>
        <w:rPr>
          <w:sz w:val="16"/>
          <w:szCs w:val="16"/>
        </w:rPr>
        <w:t xml:space="preserve"> </w:t>
      </w:r>
      <w:r w:rsidRPr="00514E78">
        <w:rPr>
          <w:sz w:val="16"/>
          <w:szCs w:val="16"/>
        </w:rPr>
        <w:t>ČSÚ</w:t>
      </w:r>
      <w:r>
        <w:rPr>
          <w:sz w:val="16"/>
          <w:szCs w:val="16"/>
        </w:rPr>
        <w:t xml:space="preserve"> a SSÚ, Praha 2011. </w:t>
      </w:r>
      <w:hyperlink r:id="rId2" w:history="1">
        <w:r w:rsidRPr="00514E78">
          <w:rPr>
            <w:rStyle w:val="Hypertextovodkaz"/>
            <w:sz w:val="16"/>
            <w:szCs w:val="16"/>
          </w:rPr>
          <w:t>https://www.czso.cz/csu/czso/5013-12-n_2012-14</w:t>
        </w:r>
      </w:hyperlink>
    </w:p>
  </w:footnote>
  <w:footnote w:id="6">
    <w:p w:rsidR="00F80B71" w:rsidRDefault="00F80B71" w:rsidP="00717F72">
      <w:pPr>
        <w:pStyle w:val="Textpoznpodarou"/>
      </w:pPr>
      <w:r>
        <w:rPr>
          <w:rStyle w:val="Znakapoznpodarou"/>
        </w:rPr>
        <w:footnoteRef/>
      </w:r>
      <w:r>
        <w:t xml:space="preserve"> </w:t>
      </w:r>
      <w:r w:rsidRPr="00D60F44">
        <w:rPr>
          <w:sz w:val="16"/>
          <w:szCs w:val="16"/>
        </w:rPr>
        <w:t xml:space="preserve">Svoji </w:t>
      </w:r>
      <w:proofErr w:type="gramStart"/>
      <w:r w:rsidRPr="00D60F44">
        <w:rPr>
          <w:sz w:val="16"/>
          <w:szCs w:val="16"/>
        </w:rPr>
        <w:t>roli  mohly</w:t>
      </w:r>
      <w:proofErr w:type="gramEnd"/>
      <w:r w:rsidRPr="00D60F44">
        <w:rPr>
          <w:sz w:val="16"/>
          <w:szCs w:val="16"/>
        </w:rPr>
        <w:t xml:space="preserve"> hrát i způsoby provádění privatizace státních podniků.</w:t>
      </w:r>
      <w:r>
        <w:t xml:space="preserve"> </w:t>
      </w:r>
    </w:p>
  </w:footnote>
  <w:footnote w:id="7">
    <w:p w:rsidR="00F80B71" w:rsidRPr="00EB6406" w:rsidRDefault="00F80B71" w:rsidP="00EB6406">
      <w:pPr>
        <w:pStyle w:val="Textpoznpodarou"/>
        <w:jc w:val="both"/>
        <w:rPr>
          <w:sz w:val="16"/>
          <w:szCs w:val="16"/>
        </w:rPr>
      </w:pPr>
      <w:r>
        <w:rPr>
          <w:rStyle w:val="Znakapoznpodarou"/>
        </w:rPr>
        <w:footnoteRef/>
      </w:r>
      <w:r>
        <w:t xml:space="preserve"> </w:t>
      </w:r>
      <w:r w:rsidRPr="00B23CF0">
        <w:rPr>
          <w:sz w:val="16"/>
          <w:szCs w:val="16"/>
        </w:rPr>
        <w:t xml:space="preserve">Hodnocení let 1993 a 1997 naráží na jistý nesoulad v číslech uváděných za Slovenskou republiku. Na stránkách </w:t>
      </w:r>
      <w:proofErr w:type="spellStart"/>
      <w:r w:rsidRPr="00B23CF0">
        <w:rPr>
          <w:sz w:val="16"/>
          <w:szCs w:val="16"/>
        </w:rPr>
        <w:t>Eurostatu</w:t>
      </w:r>
      <w:proofErr w:type="spellEnd"/>
      <w:r w:rsidRPr="00B23CF0">
        <w:rPr>
          <w:sz w:val="16"/>
          <w:szCs w:val="16"/>
        </w:rPr>
        <w:t xml:space="preserve"> podle ESA</w:t>
      </w:r>
      <w:r w:rsidR="00672256">
        <w:rPr>
          <w:sz w:val="16"/>
          <w:szCs w:val="16"/>
        </w:rPr>
        <w:t xml:space="preserve"> 19</w:t>
      </w:r>
      <w:r w:rsidRPr="00B23CF0">
        <w:rPr>
          <w:sz w:val="16"/>
          <w:szCs w:val="16"/>
        </w:rPr>
        <w:t xml:space="preserve">95 jsou u Slovenska </w:t>
      </w:r>
      <w:r>
        <w:rPr>
          <w:sz w:val="16"/>
          <w:szCs w:val="16"/>
        </w:rPr>
        <w:t xml:space="preserve">za </w:t>
      </w:r>
      <w:r w:rsidRPr="00B23CF0">
        <w:rPr>
          <w:sz w:val="16"/>
          <w:szCs w:val="16"/>
        </w:rPr>
        <w:t xml:space="preserve">roky 1993-1997 </w:t>
      </w:r>
      <w:r>
        <w:rPr>
          <w:sz w:val="16"/>
          <w:szCs w:val="16"/>
        </w:rPr>
        <w:t>prezentovány</w:t>
      </w:r>
      <w:r w:rsidRPr="00B23CF0">
        <w:rPr>
          <w:sz w:val="16"/>
          <w:szCs w:val="16"/>
        </w:rPr>
        <w:t xml:space="preserve"> velmi vysoké meziroční přírůstky HDP </w:t>
      </w:r>
      <w:r>
        <w:rPr>
          <w:sz w:val="16"/>
          <w:szCs w:val="16"/>
        </w:rPr>
        <w:t>v reálném vyjádření</w:t>
      </w:r>
      <w:r w:rsidRPr="00B23CF0">
        <w:rPr>
          <w:sz w:val="16"/>
          <w:szCs w:val="16"/>
        </w:rPr>
        <w:t xml:space="preserve"> (např. již v letech 1993 a 1994</w:t>
      </w:r>
      <w:r>
        <w:rPr>
          <w:sz w:val="16"/>
          <w:szCs w:val="16"/>
        </w:rPr>
        <w:t xml:space="preserve"> </w:t>
      </w:r>
      <w:r w:rsidRPr="00B23CF0">
        <w:rPr>
          <w:sz w:val="16"/>
          <w:szCs w:val="16"/>
        </w:rPr>
        <w:t>v době po rozdělení ČSFR +7,2 % a +6,2 %</w:t>
      </w:r>
      <w:r>
        <w:rPr>
          <w:sz w:val="16"/>
          <w:szCs w:val="16"/>
        </w:rPr>
        <w:t>, v dalších třech letech pak +7,9 %, +6,9 % a +4,4 %</w:t>
      </w:r>
      <w:r w:rsidRPr="00B23CF0">
        <w:rPr>
          <w:sz w:val="16"/>
          <w:szCs w:val="16"/>
        </w:rPr>
        <w:t xml:space="preserve">), </w:t>
      </w:r>
      <w:r>
        <w:rPr>
          <w:sz w:val="16"/>
          <w:szCs w:val="16"/>
        </w:rPr>
        <w:t>což</w:t>
      </w:r>
      <w:r w:rsidRPr="00B23CF0">
        <w:rPr>
          <w:sz w:val="16"/>
          <w:szCs w:val="16"/>
        </w:rPr>
        <w:t xml:space="preserve"> vedl</w:t>
      </w:r>
      <w:r>
        <w:rPr>
          <w:sz w:val="16"/>
          <w:szCs w:val="16"/>
        </w:rPr>
        <w:t>o</w:t>
      </w:r>
      <w:r w:rsidRPr="00B23CF0">
        <w:rPr>
          <w:sz w:val="16"/>
          <w:szCs w:val="16"/>
        </w:rPr>
        <w:t xml:space="preserve"> za celé období 1993-1997 k průměrnému meziročnímu růstu o silných 6,5 %. Pro ČR pak činil </w:t>
      </w:r>
      <w:proofErr w:type="gramStart"/>
      <w:r w:rsidRPr="00B23CF0">
        <w:rPr>
          <w:sz w:val="16"/>
          <w:szCs w:val="16"/>
        </w:rPr>
        <w:t>obdobně  zjištěný</w:t>
      </w:r>
      <w:proofErr w:type="gramEnd"/>
      <w:r w:rsidRPr="00B23CF0">
        <w:rPr>
          <w:sz w:val="16"/>
          <w:szCs w:val="16"/>
        </w:rPr>
        <w:t xml:space="preserve"> růst  pouze 2,8 %</w:t>
      </w:r>
      <w:r>
        <w:rPr>
          <w:sz w:val="16"/>
          <w:szCs w:val="16"/>
        </w:rPr>
        <w:t xml:space="preserve"> (po letech od roku 1993 šlo o +1,2 %, +2,9 %, +6,3 %, +4,5 % a -0,9 %)</w:t>
      </w:r>
      <w:r w:rsidRPr="00B23CF0">
        <w:rPr>
          <w:sz w:val="16"/>
          <w:szCs w:val="16"/>
        </w:rPr>
        <w:t xml:space="preserve">.  </w:t>
      </w:r>
      <w:r>
        <w:rPr>
          <w:sz w:val="16"/>
          <w:szCs w:val="16"/>
        </w:rPr>
        <w:t xml:space="preserve">Navozuje to </w:t>
      </w:r>
      <w:r w:rsidRPr="00B23CF0">
        <w:rPr>
          <w:sz w:val="16"/>
          <w:szCs w:val="16"/>
        </w:rPr>
        <w:t xml:space="preserve">zřejmý problém s vykazováním, neboť v tabulkách </w:t>
      </w:r>
      <w:proofErr w:type="spellStart"/>
      <w:r w:rsidRPr="00B23CF0">
        <w:rPr>
          <w:sz w:val="16"/>
          <w:szCs w:val="16"/>
        </w:rPr>
        <w:t>Eurostatu</w:t>
      </w:r>
      <w:proofErr w:type="spellEnd"/>
      <w:r w:rsidRPr="00B23CF0">
        <w:rPr>
          <w:sz w:val="16"/>
          <w:szCs w:val="16"/>
        </w:rPr>
        <w:t xml:space="preserve"> podle ESA 2010 již</w:t>
      </w:r>
      <w:r>
        <w:rPr>
          <w:sz w:val="16"/>
          <w:szCs w:val="16"/>
        </w:rPr>
        <w:t xml:space="preserve"> u Slovenska </w:t>
      </w:r>
      <w:r w:rsidRPr="00B23CF0">
        <w:rPr>
          <w:sz w:val="16"/>
          <w:szCs w:val="16"/>
        </w:rPr>
        <w:t>data do r</w:t>
      </w:r>
      <w:r>
        <w:rPr>
          <w:sz w:val="16"/>
          <w:szCs w:val="16"/>
        </w:rPr>
        <w:t>oku 1997 na rozdíl od jiných zemí</w:t>
      </w:r>
      <w:r w:rsidRPr="00B23CF0">
        <w:rPr>
          <w:sz w:val="16"/>
          <w:szCs w:val="16"/>
        </w:rPr>
        <w:t xml:space="preserve"> uváděn</w:t>
      </w:r>
      <w:r>
        <w:rPr>
          <w:sz w:val="16"/>
          <w:szCs w:val="16"/>
        </w:rPr>
        <w:t>a</w:t>
      </w:r>
      <w:r w:rsidRPr="00B23CF0">
        <w:rPr>
          <w:sz w:val="16"/>
          <w:szCs w:val="16"/>
        </w:rPr>
        <w:t xml:space="preserve"> nejsou. Navíc zmíněné meziroční vysoké růsty HDP SR v letech 1993-1997 neodpovídají ani datům z Historické ročenky národních účtů. Nel</w:t>
      </w:r>
      <w:r>
        <w:rPr>
          <w:sz w:val="16"/>
          <w:szCs w:val="16"/>
        </w:rPr>
        <w:t>z</w:t>
      </w:r>
      <w:r w:rsidRPr="00B23CF0">
        <w:rPr>
          <w:sz w:val="16"/>
          <w:szCs w:val="16"/>
        </w:rPr>
        <w:t>e tedy učinit velmi zajímavé srovnání,</w:t>
      </w:r>
      <w:r>
        <w:rPr>
          <w:sz w:val="16"/>
          <w:szCs w:val="16"/>
        </w:rPr>
        <w:t xml:space="preserve"> </w:t>
      </w:r>
      <w:r w:rsidRPr="00B23CF0">
        <w:rPr>
          <w:sz w:val="16"/>
          <w:szCs w:val="16"/>
        </w:rPr>
        <w:t>které by mohlo určit, jak se obě země, tj. ČR a SR, vyrovnaly v dalším vývoji svých ekonomik s rozdělením federace.</w:t>
      </w:r>
      <w:r>
        <w:rPr>
          <w:sz w:val="16"/>
          <w:szCs w:val="16"/>
        </w:rPr>
        <w:t xml:space="preserve"> </w:t>
      </w:r>
    </w:p>
    <w:p w:rsidR="00F80B71" w:rsidRDefault="00F80B71">
      <w:pPr>
        <w:pStyle w:val="Textpoznpodarou"/>
      </w:pPr>
      <w:r>
        <w:rPr>
          <w:sz w:val="18"/>
        </w:rPr>
        <w:t xml:space="preserve"> </w:t>
      </w:r>
      <w:r>
        <w:rPr>
          <w:vanish/>
        </w:rPr>
        <w:t>DP (</w:t>
      </w:r>
    </w:p>
  </w:footnote>
  <w:footnote w:id="8">
    <w:p w:rsidR="00F80B71" w:rsidRDefault="00F80B71" w:rsidP="00096E46">
      <w:pPr>
        <w:pStyle w:val="Textpoznpodarou"/>
        <w:jc w:val="both"/>
        <w:rPr>
          <w:rFonts w:cs="Arial"/>
          <w:sz w:val="16"/>
          <w:szCs w:val="16"/>
        </w:rPr>
      </w:pPr>
      <w:r>
        <w:rPr>
          <w:rStyle w:val="Znakapoznpodarou"/>
        </w:rPr>
        <w:footnoteRef/>
      </w:r>
      <w:r>
        <w:t xml:space="preserve"> </w:t>
      </w:r>
      <w:r w:rsidRPr="00096E46">
        <w:rPr>
          <w:rFonts w:cs="Arial"/>
          <w:sz w:val="16"/>
          <w:szCs w:val="16"/>
        </w:rPr>
        <w:t xml:space="preserve">Již v roce 1999 a pak v roce 2002 proběhla </w:t>
      </w:r>
      <w:r>
        <w:rPr>
          <w:rFonts w:cs="Arial"/>
          <w:sz w:val="16"/>
          <w:szCs w:val="16"/>
        </w:rPr>
        <w:t xml:space="preserve">na Slovensku </w:t>
      </w:r>
      <w:r w:rsidRPr="00096E46">
        <w:rPr>
          <w:rFonts w:cs="Arial"/>
          <w:sz w:val="16"/>
          <w:szCs w:val="16"/>
        </w:rPr>
        <w:t xml:space="preserve">reforma veřejné správy. </w:t>
      </w:r>
      <w:r>
        <w:rPr>
          <w:rFonts w:cs="Arial"/>
          <w:sz w:val="16"/>
          <w:szCs w:val="16"/>
        </w:rPr>
        <w:t xml:space="preserve">K dalším změnám </w:t>
      </w:r>
      <w:r w:rsidRPr="00096E46">
        <w:rPr>
          <w:rFonts w:cs="Arial"/>
          <w:sz w:val="16"/>
          <w:szCs w:val="16"/>
        </w:rPr>
        <w:t xml:space="preserve">levicově laděný časopis Stern v článku „Vzorová neoliberální země“ </w:t>
      </w:r>
      <w:r>
        <w:rPr>
          <w:rFonts w:cs="Arial"/>
          <w:sz w:val="16"/>
          <w:szCs w:val="16"/>
        </w:rPr>
        <w:t>v</w:t>
      </w:r>
      <w:r w:rsidRPr="00096E46">
        <w:rPr>
          <w:rFonts w:cs="Arial"/>
          <w:sz w:val="16"/>
          <w:szCs w:val="16"/>
        </w:rPr>
        <w:t> polovině roku 2005 napsal</w:t>
      </w:r>
      <w:r>
        <w:rPr>
          <w:rFonts w:cs="Arial"/>
          <w:sz w:val="16"/>
          <w:szCs w:val="16"/>
        </w:rPr>
        <w:t xml:space="preserve">: </w:t>
      </w:r>
      <w:r w:rsidRPr="00096E46">
        <w:rPr>
          <w:rFonts w:cs="Arial"/>
          <w:sz w:val="16"/>
          <w:szCs w:val="16"/>
        </w:rPr>
        <w:t>“</w:t>
      </w:r>
      <w:r>
        <w:rPr>
          <w:rFonts w:cs="Arial"/>
          <w:sz w:val="16"/>
          <w:szCs w:val="16"/>
        </w:rPr>
        <w:t>D</w:t>
      </w:r>
      <w:r w:rsidRPr="00096E46">
        <w:rPr>
          <w:rFonts w:cs="Arial"/>
          <w:sz w:val="16"/>
          <w:szCs w:val="16"/>
        </w:rPr>
        <w:t xml:space="preserve">aň ve výši 19 % platí pro všechny soukromé i </w:t>
      </w:r>
      <w:proofErr w:type="spellStart"/>
      <w:r w:rsidRPr="00096E46">
        <w:rPr>
          <w:rFonts w:cs="Arial"/>
          <w:sz w:val="16"/>
          <w:szCs w:val="16"/>
        </w:rPr>
        <w:t>korporátní</w:t>
      </w:r>
      <w:proofErr w:type="spellEnd"/>
      <w:r w:rsidRPr="00096E46">
        <w:rPr>
          <w:rFonts w:cs="Arial"/>
          <w:sz w:val="16"/>
          <w:szCs w:val="16"/>
        </w:rPr>
        <w:t xml:space="preserve"> příjmy</w:t>
      </w:r>
      <w:r>
        <w:rPr>
          <w:rFonts w:cs="Arial"/>
          <w:sz w:val="16"/>
          <w:szCs w:val="16"/>
        </w:rPr>
        <w:t>, d</w:t>
      </w:r>
      <w:r w:rsidRPr="00096E46">
        <w:rPr>
          <w:rFonts w:cs="Arial"/>
          <w:sz w:val="16"/>
          <w:szCs w:val="16"/>
        </w:rPr>
        <w:t xml:space="preserve">ividendy nejsou </w:t>
      </w:r>
      <w:proofErr w:type="gramStart"/>
      <w:r w:rsidRPr="00096E46">
        <w:rPr>
          <w:rFonts w:cs="Arial"/>
          <w:sz w:val="16"/>
          <w:szCs w:val="16"/>
        </w:rPr>
        <w:t>daněny</w:t>
      </w:r>
      <w:r>
        <w:rPr>
          <w:rFonts w:cs="Arial"/>
          <w:sz w:val="16"/>
          <w:szCs w:val="16"/>
        </w:rPr>
        <w:t>.</w:t>
      </w:r>
      <w:r w:rsidRPr="00096E46">
        <w:rPr>
          <w:rFonts w:cs="Arial"/>
          <w:sz w:val="16"/>
          <w:szCs w:val="16"/>
        </w:rPr>
        <w:t>.</w:t>
      </w:r>
      <w:proofErr w:type="gramEnd"/>
      <w:r w:rsidRPr="00096E46">
        <w:rPr>
          <w:rFonts w:cs="Arial"/>
          <w:sz w:val="16"/>
          <w:szCs w:val="16"/>
        </w:rPr>
        <w:t xml:space="preserve"> Pracovní právo bylo přetvořeno </w:t>
      </w:r>
      <w:r>
        <w:rPr>
          <w:rFonts w:cs="Arial"/>
          <w:sz w:val="16"/>
          <w:szCs w:val="16"/>
        </w:rPr>
        <w:t>k </w:t>
      </w:r>
      <w:proofErr w:type="spellStart"/>
      <w:r>
        <w:rPr>
          <w:rFonts w:cs="Arial"/>
          <w:sz w:val="16"/>
          <w:szCs w:val="16"/>
        </w:rPr>
        <w:t>favorizaci</w:t>
      </w:r>
      <w:proofErr w:type="spellEnd"/>
      <w:r>
        <w:rPr>
          <w:rFonts w:cs="Arial"/>
          <w:sz w:val="16"/>
          <w:szCs w:val="16"/>
        </w:rPr>
        <w:t xml:space="preserve"> </w:t>
      </w:r>
      <w:r w:rsidRPr="00096E46">
        <w:rPr>
          <w:rFonts w:cs="Arial"/>
          <w:sz w:val="16"/>
          <w:szCs w:val="16"/>
        </w:rPr>
        <w:t xml:space="preserve">podnikání, stejně jako sociální a penzijní systém. Tím </w:t>
      </w:r>
      <w:r>
        <w:rPr>
          <w:rFonts w:cs="Arial"/>
          <w:sz w:val="16"/>
          <w:szCs w:val="16"/>
        </w:rPr>
        <w:t>se</w:t>
      </w:r>
      <w:r w:rsidRPr="00096E46">
        <w:rPr>
          <w:rFonts w:cs="Arial"/>
          <w:sz w:val="16"/>
          <w:szCs w:val="16"/>
        </w:rPr>
        <w:t xml:space="preserve"> Slovensko </w:t>
      </w:r>
      <w:r>
        <w:rPr>
          <w:rFonts w:cs="Arial"/>
          <w:sz w:val="16"/>
          <w:szCs w:val="16"/>
        </w:rPr>
        <w:t xml:space="preserve">stalo </w:t>
      </w:r>
      <w:r w:rsidRPr="00096E46">
        <w:rPr>
          <w:rFonts w:cs="Arial"/>
          <w:sz w:val="16"/>
          <w:szCs w:val="16"/>
        </w:rPr>
        <w:t>přitažliv</w:t>
      </w:r>
      <w:r>
        <w:rPr>
          <w:rFonts w:cs="Arial"/>
          <w:sz w:val="16"/>
          <w:szCs w:val="16"/>
        </w:rPr>
        <w:t>é</w:t>
      </w:r>
      <w:r w:rsidRPr="00096E46">
        <w:rPr>
          <w:rFonts w:cs="Arial"/>
          <w:sz w:val="16"/>
          <w:szCs w:val="16"/>
        </w:rPr>
        <w:t xml:space="preserve"> nejen pro velké koncerny, ale i pro menší firmy v sousedních zemích</w:t>
      </w:r>
      <w:r>
        <w:rPr>
          <w:rFonts w:cs="Arial"/>
          <w:sz w:val="16"/>
          <w:szCs w:val="16"/>
        </w:rPr>
        <w:t xml:space="preserve">, což </w:t>
      </w:r>
      <w:r w:rsidRPr="00096E46">
        <w:rPr>
          <w:rFonts w:cs="Arial"/>
          <w:sz w:val="16"/>
          <w:szCs w:val="16"/>
        </w:rPr>
        <w:t>přimělo</w:t>
      </w:r>
      <w:r>
        <w:rPr>
          <w:rFonts w:cs="Arial"/>
          <w:sz w:val="16"/>
          <w:szCs w:val="16"/>
        </w:rPr>
        <w:t xml:space="preserve"> např.</w:t>
      </w:r>
      <w:r w:rsidRPr="00096E46">
        <w:rPr>
          <w:rFonts w:cs="Arial"/>
          <w:sz w:val="16"/>
          <w:szCs w:val="16"/>
        </w:rPr>
        <w:t xml:space="preserve"> Rakušany k urych</w:t>
      </w:r>
      <w:r>
        <w:rPr>
          <w:rFonts w:cs="Arial"/>
          <w:sz w:val="16"/>
          <w:szCs w:val="16"/>
        </w:rPr>
        <w:t>lenému a výraznému snížení daní</w:t>
      </w:r>
      <w:r w:rsidRPr="00096E46">
        <w:rPr>
          <w:rFonts w:cs="Arial"/>
          <w:sz w:val="16"/>
          <w:szCs w:val="16"/>
        </w:rPr>
        <w:t xml:space="preserve">, aby </w:t>
      </w:r>
      <w:r>
        <w:rPr>
          <w:rFonts w:cs="Arial"/>
          <w:sz w:val="16"/>
          <w:szCs w:val="16"/>
        </w:rPr>
        <w:t>firmy neodcházely</w:t>
      </w:r>
      <w:r w:rsidRPr="00096E46">
        <w:rPr>
          <w:rFonts w:cs="Arial"/>
          <w:sz w:val="16"/>
          <w:szCs w:val="16"/>
        </w:rPr>
        <w:t xml:space="preserve"> přes řeku Moravu (tj. slovenskou hranici).“ Rakousko snížilo daň ze zisků právnických osob na 25 % z předchozích 34 %. Americký Business </w:t>
      </w:r>
      <w:proofErr w:type="spellStart"/>
      <w:r w:rsidRPr="00096E46">
        <w:rPr>
          <w:rFonts w:cs="Arial"/>
          <w:sz w:val="16"/>
          <w:szCs w:val="16"/>
        </w:rPr>
        <w:t>Week</w:t>
      </w:r>
      <w:proofErr w:type="spellEnd"/>
      <w:r w:rsidRPr="00096E46">
        <w:rPr>
          <w:rFonts w:cs="Arial"/>
          <w:sz w:val="16"/>
          <w:szCs w:val="16"/>
        </w:rPr>
        <w:t xml:space="preserve"> z července 2005 si povšiml</w:t>
      </w:r>
      <w:r>
        <w:rPr>
          <w:rFonts w:cs="Arial"/>
          <w:sz w:val="16"/>
          <w:szCs w:val="16"/>
        </w:rPr>
        <w:t xml:space="preserve"> jednoho z nejvyšších poměrů na světě, co se týká počtu vyrobených automobilů na počet obyvatel </w:t>
      </w:r>
      <w:r w:rsidRPr="00096E46">
        <w:rPr>
          <w:rFonts w:cs="Arial"/>
          <w:sz w:val="16"/>
          <w:szCs w:val="16"/>
        </w:rPr>
        <w:t>Slovensk</w:t>
      </w:r>
      <w:r>
        <w:rPr>
          <w:rFonts w:cs="Arial"/>
          <w:sz w:val="16"/>
          <w:szCs w:val="16"/>
        </w:rPr>
        <w:t>a.</w:t>
      </w:r>
      <w:r w:rsidRPr="00096E46">
        <w:rPr>
          <w:rFonts w:cs="Arial"/>
          <w:sz w:val="16"/>
          <w:szCs w:val="16"/>
        </w:rPr>
        <w:t xml:space="preserve"> Regionální Pittsburgh Post </w:t>
      </w:r>
      <w:proofErr w:type="spellStart"/>
      <w:r w:rsidRPr="00096E46">
        <w:rPr>
          <w:rFonts w:cs="Arial"/>
          <w:sz w:val="16"/>
          <w:szCs w:val="16"/>
        </w:rPr>
        <w:t>Gazette</w:t>
      </w:r>
      <w:proofErr w:type="spellEnd"/>
      <w:r w:rsidRPr="00096E46">
        <w:rPr>
          <w:rFonts w:cs="Arial"/>
          <w:sz w:val="16"/>
          <w:szCs w:val="16"/>
        </w:rPr>
        <w:t xml:space="preserve"> přine</w:t>
      </w:r>
      <w:r>
        <w:rPr>
          <w:rFonts w:cs="Arial"/>
          <w:sz w:val="16"/>
          <w:szCs w:val="16"/>
        </w:rPr>
        <w:t>s</w:t>
      </w:r>
      <w:r w:rsidRPr="00096E46">
        <w:rPr>
          <w:rFonts w:cs="Arial"/>
          <w:sz w:val="16"/>
          <w:szCs w:val="16"/>
        </w:rPr>
        <w:t>l reportáž z košických železáren a jiných zahraničních investic s</w:t>
      </w:r>
      <w:r>
        <w:rPr>
          <w:rFonts w:cs="Arial"/>
          <w:sz w:val="16"/>
          <w:szCs w:val="16"/>
        </w:rPr>
        <w:t> </w:t>
      </w:r>
      <w:r w:rsidRPr="00096E46">
        <w:rPr>
          <w:rFonts w:cs="Arial"/>
          <w:sz w:val="16"/>
          <w:szCs w:val="16"/>
        </w:rPr>
        <w:t>poznámkou</w:t>
      </w:r>
      <w:r>
        <w:rPr>
          <w:rFonts w:cs="Arial"/>
          <w:sz w:val="16"/>
          <w:szCs w:val="16"/>
        </w:rPr>
        <w:t xml:space="preserve"> o vysokém růstu </w:t>
      </w:r>
      <w:r w:rsidRPr="00096E46">
        <w:rPr>
          <w:rFonts w:cs="Arial"/>
          <w:sz w:val="16"/>
          <w:szCs w:val="16"/>
        </w:rPr>
        <w:t>hodinov</w:t>
      </w:r>
      <w:r>
        <w:rPr>
          <w:rFonts w:cs="Arial"/>
          <w:sz w:val="16"/>
          <w:szCs w:val="16"/>
        </w:rPr>
        <w:t>é</w:t>
      </w:r>
      <w:r w:rsidRPr="00096E46">
        <w:rPr>
          <w:rFonts w:cs="Arial"/>
          <w:sz w:val="16"/>
          <w:szCs w:val="16"/>
        </w:rPr>
        <w:t xml:space="preserve"> mzd</w:t>
      </w:r>
      <w:r>
        <w:rPr>
          <w:rFonts w:cs="Arial"/>
          <w:sz w:val="16"/>
          <w:szCs w:val="16"/>
        </w:rPr>
        <w:t>y</w:t>
      </w:r>
      <w:r w:rsidRPr="00096E46">
        <w:rPr>
          <w:rFonts w:cs="Arial"/>
          <w:sz w:val="16"/>
          <w:szCs w:val="16"/>
        </w:rPr>
        <w:t xml:space="preserve"> slovenského ocelářského dělníka</w:t>
      </w:r>
      <w:r>
        <w:rPr>
          <w:rFonts w:cs="Arial"/>
          <w:sz w:val="16"/>
          <w:szCs w:val="16"/>
        </w:rPr>
        <w:t xml:space="preserve">. </w:t>
      </w:r>
      <w:r w:rsidRPr="00096E46">
        <w:rPr>
          <w:rFonts w:cs="Arial"/>
          <w:sz w:val="16"/>
          <w:szCs w:val="16"/>
        </w:rPr>
        <w:t>H</w:t>
      </w:r>
      <w:r w:rsidRPr="00201F7D">
        <w:rPr>
          <w:rFonts w:cs="Arial"/>
          <w:sz w:val="16"/>
          <w:szCs w:val="16"/>
        </w:rPr>
        <w:t xml:space="preserve">lavní ekonom </w:t>
      </w:r>
      <w:proofErr w:type="spellStart"/>
      <w:r w:rsidRPr="00201F7D">
        <w:rPr>
          <w:rFonts w:cs="Arial"/>
          <w:sz w:val="16"/>
          <w:szCs w:val="16"/>
        </w:rPr>
        <w:t>Deutsch</w:t>
      </w:r>
      <w:r w:rsidRPr="00096E46">
        <w:rPr>
          <w:rFonts w:cs="Arial"/>
          <w:sz w:val="16"/>
          <w:szCs w:val="16"/>
        </w:rPr>
        <w:t>e</w:t>
      </w:r>
      <w:proofErr w:type="spellEnd"/>
      <w:r w:rsidRPr="00096E46">
        <w:rPr>
          <w:rFonts w:cs="Arial"/>
          <w:sz w:val="16"/>
          <w:szCs w:val="16"/>
        </w:rPr>
        <w:t xml:space="preserve"> Bank, profesor Norbert Walter</w:t>
      </w:r>
      <w:r>
        <w:rPr>
          <w:rFonts w:cs="Arial"/>
          <w:sz w:val="16"/>
          <w:szCs w:val="16"/>
        </w:rPr>
        <w:t>,</w:t>
      </w:r>
      <w:r w:rsidRPr="00096E46">
        <w:rPr>
          <w:rFonts w:cs="Arial"/>
          <w:sz w:val="16"/>
          <w:szCs w:val="16"/>
        </w:rPr>
        <w:t xml:space="preserve"> dokonce</w:t>
      </w:r>
      <w:r w:rsidRPr="00096E46">
        <w:rPr>
          <w:rFonts w:cs="Arial"/>
          <w:b/>
          <w:sz w:val="16"/>
          <w:szCs w:val="16"/>
        </w:rPr>
        <w:t xml:space="preserve"> </w:t>
      </w:r>
      <w:r w:rsidRPr="00201F7D">
        <w:rPr>
          <w:rFonts w:cs="Arial"/>
          <w:sz w:val="16"/>
          <w:szCs w:val="16"/>
        </w:rPr>
        <w:t>doporuč</w:t>
      </w:r>
      <w:r w:rsidRPr="00096E46">
        <w:rPr>
          <w:rFonts w:cs="Arial"/>
          <w:sz w:val="16"/>
          <w:szCs w:val="16"/>
        </w:rPr>
        <w:t>oval</w:t>
      </w:r>
      <w:r w:rsidRPr="00201F7D">
        <w:rPr>
          <w:rFonts w:cs="Arial"/>
          <w:sz w:val="16"/>
          <w:szCs w:val="16"/>
        </w:rPr>
        <w:t xml:space="preserve"> slovenský daňový model jako vzor pro Německo</w:t>
      </w:r>
      <w:r>
        <w:rPr>
          <w:rFonts w:cs="Arial"/>
          <w:sz w:val="16"/>
          <w:szCs w:val="16"/>
        </w:rPr>
        <w:t>. E</w:t>
      </w:r>
      <w:r w:rsidRPr="00096E46">
        <w:rPr>
          <w:rFonts w:cs="Arial"/>
          <w:sz w:val="16"/>
          <w:szCs w:val="16"/>
        </w:rPr>
        <w:t xml:space="preserve">konomické reformy </w:t>
      </w:r>
      <w:r>
        <w:rPr>
          <w:rFonts w:cs="Arial"/>
          <w:sz w:val="16"/>
          <w:szCs w:val="16"/>
        </w:rPr>
        <w:t>přispěly k většímu renomé</w:t>
      </w:r>
      <w:r w:rsidRPr="00096E46">
        <w:rPr>
          <w:rFonts w:cs="Arial"/>
          <w:sz w:val="16"/>
          <w:szCs w:val="16"/>
        </w:rPr>
        <w:t xml:space="preserve"> Slovensk</w:t>
      </w:r>
      <w:r>
        <w:rPr>
          <w:rFonts w:cs="Arial"/>
          <w:sz w:val="16"/>
          <w:szCs w:val="16"/>
        </w:rPr>
        <w:t>a</w:t>
      </w:r>
      <w:r w:rsidRPr="00096E46">
        <w:rPr>
          <w:rFonts w:cs="Arial"/>
          <w:sz w:val="16"/>
          <w:szCs w:val="16"/>
        </w:rPr>
        <w:t xml:space="preserve"> mezi zahraničními investory</w:t>
      </w:r>
      <w:r>
        <w:rPr>
          <w:rFonts w:cs="Arial"/>
          <w:sz w:val="16"/>
          <w:szCs w:val="16"/>
        </w:rPr>
        <w:t xml:space="preserve"> (BASF, VW, </w:t>
      </w:r>
      <w:proofErr w:type="spellStart"/>
      <w:r>
        <w:rPr>
          <w:rFonts w:cs="Arial"/>
          <w:sz w:val="16"/>
          <w:szCs w:val="16"/>
        </w:rPr>
        <w:t>Peugeot</w:t>
      </w:r>
      <w:proofErr w:type="spellEnd"/>
      <w:r>
        <w:rPr>
          <w:rFonts w:cs="Arial"/>
          <w:sz w:val="16"/>
          <w:szCs w:val="16"/>
        </w:rPr>
        <w:t xml:space="preserve">-Citroen, </w:t>
      </w:r>
      <w:proofErr w:type="spellStart"/>
      <w:r>
        <w:rPr>
          <w:rFonts w:cs="Arial"/>
          <w:sz w:val="16"/>
          <w:szCs w:val="16"/>
        </w:rPr>
        <w:t>Kia</w:t>
      </w:r>
      <w:proofErr w:type="spellEnd"/>
      <w:r>
        <w:rPr>
          <w:rFonts w:cs="Arial"/>
          <w:sz w:val="16"/>
          <w:szCs w:val="16"/>
        </w:rPr>
        <w:t xml:space="preserve">). </w:t>
      </w:r>
    </w:p>
    <w:p w:rsidR="00F80B71" w:rsidRPr="00ED118D" w:rsidRDefault="00F80B71" w:rsidP="00ED118D">
      <w:pPr>
        <w:pStyle w:val="Textpoznpodarou"/>
        <w:jc w:val="both"/>
        <w:rPr>
          <w:sz w:val="16"/>
          <w:szCs w:val="16"/>
        </w:rPr>
      </w:pPr>
      <w:r w:rsidRPr="008828CE">
        <w:rPr>
          <w:sz w:val="16"/>
          <w:szCs w:val="16"/>
        </w:rPr>
        <w:t>Reforma slovenské</w:t>
      </w:r>
      <w:r>
        <w:rPr>
          <w:sz w:val="16"/>
          <w:szCs w:val="16"/>
        </w:rPr>
        <w:t xml:space="preserve"> ekonomiky</w:t>
      </w:r>
      <w:r w:rsidRPr="008828CE">
        <w:rPr>
          <w:sz w:val="16"/>
          <w:szCs w:val="16"/>
        </w:rPr>
        <w:t xml:space="preserve"> nebyla zahájena koordinovaně, </w:t>
      </w:r>
      <w:r>
        <w:rPr>
          <w:sz w:val="16"/>
          <w:szCs w:val="16"/>
        </w:rPr>
        <w:t>ale</w:t>
      </w:r>
      <w:r w:rsidRPr="008828CE">
        <w:rPr>
          <w:sz w:val="16"/>
          <w:szCs w:val="16"/>
        </w:rPr>
        <w:t xml:space="preserve"> probíhala v </w:t>
      </w:r>
      <w:r>
        <w:rPr>
          <w:sz w:val="16"/>
          <w:szCs w:val="16"/>
        </w:rPr>
        <w:t>daných</w:t>
      </w:r>
      <w:r w:rsidRPr="008828CE">
        <w:rPr>
          <w:sz w:val="16"/>
          <w:szCs w:val="16"/>
        </w:rPr>
        <w:t xml:space="preserve"> </w:t>
      </w:r>
      <w:r>
        <w:rPr>
          <w:sz w:val="16"/>
          <w:szCs w:val="16"/>
        </w:rPr>
        <w:t>sférách</w:t>
      </w:r>
      <w:r w:rsidRPr="008828CE">
        <w:rPr>
          <w:sz w:val="16"/>
          <w:szCs w:val="16"/>
        </w:rPr>
        <w:t>. Nej</w:t>
      </w:r>
      <w:r>
        <w:rPr>
          <w:sz w:val="16"/>
          <w:szCs w:val="16"/>
        </w:rPr>
        <w:t>větší</w:t>
      </w:r>
      <w:r w:rsidRPr="008828CE">
        <w:rPr>
          <w:sz w:val="16"/>
          <w:szCs w:val="16"/>
        </w:rPr>
        <w:t xml:space="preserve"> změny nastaly v daňové oblasti a ve veřejných rozpočtech, v sociálním systému, na trhu práce, v penzijním systému, ve zdravotnictví a ve financování </w:t>
      </w:r>
      <w:r>
        <w:rPr>
          <w:sz w:val="16"/>
          <w:szCs w:val="16"/>
        </w:rPr>
        <w:t xml:space="preserve">školství (mimo vysokých škol). Byla vidět snaha </w:t>
      </w:r>
      <w:r w:rsidRPr="008828CE">
        <w:rPr>
          <w:sz w:val="16"/>
          <w:szCs w:val="16"/>
        </w:rPr>
        <w:t xml:space="preserve">slovenské vlády zavádět tržní vztahy </w:t>
      </w:r>
      <w:r>
        <w:rPr>
          <w:sz w:val="16"/>
          <w:szCs w:val="16"/>
        </w:rPr>
        <w:t xml:space="preserve">i </w:t>
      </w:r>
      <w:r w:rsidRPr="008828CE">
        <w:rPr>
          <w:sz w:val="16"/>
          <w:szCs w:val="16"/>
        </w:rPr>
        <w:t>do tzv. veřejných služeb</w:t>
      </w:r>
      <w:r>
        <w:rPr>
          <w:sz w:val="16"/>
          <w:szCs w:val="16"/>
        </w:rPr>
        <w:t xml:space="preserve"> a také „</w:t>
      </w:r>
      <w:proofErr w:type="spellStart"/>
      <w:r>
        <w:rPr>
          <w:sz w:val="16"/>
          <w:szCs w:val="16"/>
        </w:rPr>
        <w:t>i</w:t>
      </w:r>
      <w:r w:rsidRPr="00ED118D">
        <w:rPr>
          <w:sz w:val="16"/>
          <w:szCs w:val="16"/>
        </w:rPr>
        <w:t>nsti</w:t>
      </w:r>
      <w:r>
        <w:rPr>
          <w:sz w:val="16"/>
          <w:szCs w:val="16"/>
        </w:rPr>
        <w:t>t</w:t>
      </w:r>
      <w:r w:rsidRPr="00ED118D">
        <w:rPr>
          <w:sz w:val="16"/>
          <w:szCs w:val="16"/>
        </w:rPr>
        <w:t>ucionaliz</w:t>
      </w:r>
      <w:r>
        <w:rPr>
          <w:sz w:val="16"/>
          <w:szCs w:val="16"/>
        </w:rPr>
        <w:t>ace</w:t>
      </w:r>
      <w:proofErr w:type="spellEnd"/>
      <w:r>
        <w:rPr>
          <w:sz w:val="16"/>
          <w:szCs w:val="16"/>
        </w:rPr>
        <w:t xml:space="preserve">“ reforem (vznikl </w:t>
      </w:r>
      <w:r w:rsidRPr="00ED118D">
        <w:rPr>
          <w:sz w:val="16"/>
          <w:szCs w:val="16"/>
        </w:rPr>
        <w:t>Institut pro ekonomické a sociální reformy</w:t>
      </w:r>
      <w:r>
        <w:rPr>
          <w:sz w:val="16"/>
          <w:szCs w:val="16"/>
        </w:rPr>
        <w:t>,</w:t>
      </w:r>
      <w:r w:rsidRPr="00ED118D">
        <w:rPr>
          <w:sz w:val="16"/>
          <w:szCs w:val="16"/>
        </w:rPr>
        <w:t xml:space="preserve"> Institut pro veřejné otázky, </w:t>
      </w:r>
      <w:r>
        <w:rPr>
          <w:sz w:val="16"/>
          <w:szCs w:val="16"/>
        </w:rPr>
        <w:t xml:space="preserve">později </w:t>
      </w:r>
      <w:r w:rsidRPr="00ED118D">
        <w:rPr>
          <w:sz w:val="16"/>
          <w:szCs w:val="16"/>
        </w:rPr>
        <w:t>Rada pro rozpočtovou zodpovědnost</w:t>
      </w:r>
      <w:r>
        <w:rPr>
          <w:sz w:val="16"/>
          <w:szCs w:val="16"/>
        </w:rPr>
        <w:t>, aj.).</w:t>
      </w:r>
    </w:p>
    <w:p w:rsidR="00F80B71" w:rsidRPr="00ED118D" w:rsidRDefault="00F80B71" w:rsidP="00ED118D">
      <w:pPr>
        <w:pStyle w:val="Textpoznpodarou"/>
        <w:jc w:val="both"/>
        <w:rPr>
          <w:sz w:val="16"/>
          <w:szCs w:val="16"/>
        </w:rPr>
      </w:pPr>
    </w:p>
    <w:p w:rsidR="00F80B71" w:rsidRDefault="00F80B71" w:rsidP="00ED118D">
      <w:pPr>
        <w:pStyle w:val="Textpoznpodarou"/>
        <w:jc w:val="both"/>
      </w:pPr>
    </w:p>
  </w:footnote>
  <w:footnote w:id="9">
    <w:p w:rsidR="00F80B71" w:rsidRDefault="00F80B71" w:rsidP="00C91671">
      <w:pPr>
        <w:pStyle w:val="Textpoznpodarou"/>
        <w:jc w:val="both"/>
      </w:pPr>
      <w:r>
        <w:rPr>
          <w:rStyle w:val="Znakapoznpodarou"/>
        </w:rPr>
        <w:footnoteRef/>
      </w:r>
      <w:r>
        <w:t xml:space="preserve"> </w:t>
      </w:r>
      <w:r w:rsidRPr="003166E8">
        <w:rPr>
          <w:sz w:val="16"/>
          <w:szCs w:val="16"/>
        </w:rPr>
        <w:t xml:space="preserve">Jde o výsledky analýzy D. Dubské „ČR a SR: Slovenská ekonomika roste rychleji. Víme proč?“ zpracované  </w:t>
      </w:r>
      <w:r>
        <w:rPr>
          <w:sz w:val="16"/>
          <w:szCs w:val="16"/>
        </w:rPr>
        <w:t xml:space="preserve">na žádost </w:t>
      </w:r>
      <w:r w:rsidRPr="003166E8">
        <w:rPr>
          <w:sz w:val="16"/>
          <w:szCs w:val="16"/>
        </w:rPr>
        <w:t>pro prezentaci na semináři Právnické fakulty Univerzity Karlovy nazvaném „Odlišný vývoj českého a slovenského HDP“</w:t>
      </w:r>
      <w:r>
        <w:rPr>
          <w:sz w:val="16"/>
          <w:szCs w:val="16"/>
        </w:rPr>
        <w:t xml:space="preserve">, který se konal </w:t>
      </w:r>
      <w:proofErr w:type="gramStart"/>
      <w:r w:rsidRPr="003166E8">
        <w:rPr>
          <w:sz w:val="16"/>
          <w:szCs w:val="16"/>
        </w:rPr>
        <w:t>30.</w:t>
      </w:r>
      <w:r>
        <w:rPr>
          <w:sz w:val="16"/>
          <w:szCs w:val="16"/>
        </w:rPr>
        <w:t>dubna</w:t>
      </w:r>
      <w:proofErr w:type="gramEnd"/>
      <w:r>
        <w:rPr>
          <w:sz w:val="16"/>
          <w:szCs w:val="16"/>
        </w:rPr>
        <w:t xml:space="preserve"> </w:t>
      </w:r>
      <w:r w:rsidRPr="003166E8">
        <w:rPr>
          <w:sz w:val="16"/>
          <w:szCs w:val="16"/>
        </w:rPr>
        <w:t>2015</w:t>
      </w:r>
      <w:r w:rsidRPr="003166E8">
        <w:rPr>
          <w:vanish/>
          <w:sz w:val="16"/>
          <w:szCs w:val="16"/>
        </w:rPr>
        <w:t>DP a také HDP</w:t>
      </w:r>
      <w:r w:rsidRPr="003166E8">
        <w:rPr>
          <w:sz w:val="16"/>
          <w:szCs w:val="16"/>
        </w:rPr>
        <w:t>. Aktualizovaná a rozšířená verze názvem „CR a SR: Kde leží příčiny rychlejšího růstu slovenské ekonomiky“ byla prezentována na žádost Socioekonomickému výboru R</w:t>
      </w:r>
      <w:r>
        <w:rPr>
          <w:sz w:val="16"/>
          <w:szCs w:val="16"/>
        </w:rPr>
        <w:t>ady vlády pro udržitelný rozvoj</w:t>
      </w:r>
      <w:r w:rsidRPr="003166E8">
        <w:rPr>
          <w:sz w:val="16"/>
          <w:szCs w:val="16"/>
        </w:rPr>
        <w:t xml:space="preserve"> na Úřadu vlády</w:t>
      </w:r>
      <w:r>
        <w:rPr>
          <w:sz w:val="16"/>
          <w:szCs w:val="16"/>
        </w:rPr>
        <w:t xml:space="preserve"> ČR</w:t>
      </w:r>
      <w:r w:rsidRPr="003166E8">
        <w:rPr>
          <w:sz w:val="16"/>
          <w:szCs w:val="16"/>
        </w:rPr>
        <w:t xml:space="preserve"> 25. června 2015.</w:t>
      </w:r>
      <w:r>
        <w:t xml:space="preserve"> </w:t>
      </w:r>
    </w:p>
  </w:footnote>
  <w:footnote w:id="10">
    <w:p w:rsidR="00F80B71" w:rsidRPr="00AC1DB7" w:rsidRDefault="00F80B71">
      <w:pPr>
        <w:pStyle w:val="Textpoznpodarou"/>
        <w:rPr>
          <w:sz w:val="16"/>
          <w:szCs w:val="16"/>
        </w:rPr>
      </w:pPr>
      <w:r>
        <w:rPr>
          <w:rStyle w:val="Znakapoznpodarou"/>
        </w:rPr>
        <w:footnoteRef/>
      </w:r>
      <w:r>
        <w:t xml:space="preserve"> </w:t>
      </w:r>
      <w:r w:rsidRPr="00AC1DB7">
        <w:rPr>
          <w:sz w:val="16"/>
          <w:szCs w:val="16"/>
        </w:rPr>
        <w:t>Oproti obvykle uváděn</w:t>
      </w:r>
      <w:r>
        <w:rPr>
          <w:sz w:val="16"/>
          <w:szCs w:val="16"/>
        </w:rPr>
        <w:t>ým</w:t>
      </w:r>
      <w:r w:rsidRPr="00AC1DB7">
        <w:rPr>
          <w:sz w:val="16"/>
          <w:szCs w:val="16"/>
        </w:rPr>
        <w:t xml:space="preserve"> struktur</w:t>
      </w:r>
      <w:r>
        <w:rPr>
          <w:sz w:val="16"/>
          <w:szCs w:val="16"/>
        </w:rPr>
        <w:t>ám v běžných cenách je zde v obavě, aby cenový vývoj v některých odvětvích nedeformoval zjištěné podíly, zvoleno vyjádření podkladových dat v cenách předchozího roku.</w:t>
      </w:r>
    </w:p>
  </w:footnote>
  <w:footnote w:id="11">
    <w:p w:rsidR="00F80B71" w:rsidRDefault="00F80B71" w:rsidP="00E80FFE">
      <w:pPr>
        <w:pStyle w:val="Textpoznpodarou"/>
        <w:jc w:val="both"/>
      </w:pPr>
      <w:r>
        <w:rPr>
          <w:rStyle w:val="Znakapoznpodarou"/>
        </w:rPr>
        <w:footnoteRef/>
      </w:r>
      <w:r>
        <w:t xml:space="preserve"> </w:t>
      </w:r>
      <w:r w:rsidRPr="00E80FFE">
        <w:rPr>
          <w:sz w:val="16"/>
          <w:szCs w:val="16"/>
        </w:rPr>
        <w:t>V první dekádě 20. století patřilo Rakousko k technicky nejvyspělejším zemím</w:t>
      </w:r>
      <w:r>
        <w:rPr>
          <w:sz w:val="16"/>
          <w:szCs w:val="16"/>
        </w:rPr>
        <w:t>,</w:t>
      </w:r>
      <w:r w:rsidRPr="00E80FFE">
        <w:rPr>
          <w:sz w:val="16"/>
          <w:szCs w:val="16"/>
        </w:rPr>
        <w:t xml:space="preserve"> pokud jde o nemodernější trendy vývoje. Bylo předním evropským výrobcem lokomotiv a další produkce související se železnicemi, stavělo tunely pod Alpami, spojilo po železnici poprvé Vídeň s Terstem. Rozvoj tehdy moderní železniční dopravy umožnil i do té doby relativně odlehlý</w:t>
      </w:r>
      <w:r>
        <w:rPr>
          <w:sz w:val="16"/>
          <w:szCs w:val="16"/>
        </w:rPr>
        <w:t>m</w:t>
      </w:r>
      <w:r w:rsidRPr="00E80FFE">
        <w:rPr>
          <w:sz w:val="16"/>
          <w:szCs w:val="16"/>
        </w:rPr>
        <w:t xml:space="preserve"> místům</w:t>
      </w:r>
      <w:r>
        <w:rPr>
          <w:sz w:val="16"/>
          <w:szCs w:val="16"/>
        </w:rPr>
        <w:t xml:space="preserve"> v Rakousku</w:t>
      </w:r>
      <w:r w:rsidRPr="00E80FFE">
        <w:rPr>
          <w:sz w:val="16"/>
          <w:szCs w:val="16"/>
        </w:rPr>
        <w:t xml:space="preserve"> zapojit se ekonomicky </w:t>
      </w:r>
      <w:r>
        <w:rPr>
          <w:sz w:val="16"/>
          <w:szCs w:val="16"/>
        </w:rPr>
        <w:t xml:space="preserve">v </w:t>
      </w:r>
      <w:r w:rsidRPr="00E80FFE">
        <w:rPr>
          <w:sz w:val="16"/>
          <w:szCs w:val="16"/>
        </w:rPr>
        <w:t xml:space="preserve">daleko </w:t>
      </w:r>
      <w:r>
        <w:rPr>
          <w:sz w:val="16"/>
          <w:szCs w:val="16"/>
        </w:rPr>
        <w:t xml:space="preserve">větší míře </w:t>
      </w:r>
      <w:r w:rsidRPr="00E80FFE">
        <w:rPr>
          <w:sz w:val="16"/>
          <w:szCs w:val="16"/>
        </w:rPr>
        <w:t>do chodu země (některé alpské lokality se staly velmi atraktivní z pohledu turistického ruchu a jejich příjmy z něj rostly násobně).</w:t>
      </w:r>
      <w:r>
        <w:rPr>
          <w:sz w:val="16"/>
          <w:szCs w:val="16"/>
        </w:rPr>
        <w:t xml:space="preserve"> První světová válka a pak rozpad mocnářství samozřejmě neměly příliš pozitivní vliv na ekonomiku Rakouska, za druhé světové války však  známý vývoj nevedl k jejímu výraznému poškození, jako tomu bylo u zemí, na jejichž území se válečný konflikt odehrával přímo. Ve druhé polovině 20. století pak sílila ekonomická spjatost Rakouska s německou ekonomikou, která byla pro alpskou zemi velmi výrazným motorem růstu.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B71" w:rsidRPr="00F5435A" w:rsidRDefault="00F80B71" w:rsidP="00F5435A">
    <w:pPr>
      <w:pStyle w:val="Zhlav"/>
      <w:tabs>
        <w:tab w:val="clear" w:pos="4536"/>
        <w:tab w:val="clear" w:pos="9072"/>
        <w:tab w:val="left" w:pos="-6379"/>
        <w:tab w:val="center" w:pos="4820"/>
        <w:tab w:val="right" w:pos="9639"/>
      </w:tabs>
      <w:rPr>
        <w:szCs w:val="16"/>
      </w:rPr>
    </w:pPr>
    <w:r>
      <w:rPr>
        <w:rFonts w:ascii="Arial" w:hAnsi="Arial" w:cs="Arial"/>
        <w:sz w:val="16"/>
        <w:szCs w:val="16"/>
      </w:rPr>
      <w:t>Srovnávací analýza vývoje ekonomik České republiky, Slovenska a Rakouska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B71" w:rsidRPr="00DC5B3B" w:rsidRDefault="00F80B71" w:rsidP="002C6091">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Srovnávací analýza vývoje ekonomik České republiky, Slovenska a Rakouska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B71" w:rsidRPr="007A2959" w:rsidRDefault="00F80B71" w:rsidP="007A2959">
    <w:pPr>
      <w:pStyle w:val="Zhlav"/>
      <w:tabs>
        <w:tab w:val="clear" w:pos="4536"/>
        <w:tab w:val="clear" w:pos="9072"/>
        <w:tab w:val="left" w:pos="-6379"/>
        <w:tab w:val="center" w:pos="4820"/>
        <w:tab w:val="right" w:pos="9639"/>
      </w:tabs>
      <w:rPr>
        <w:szCs w:val="16"/>
      </w:rPr>
    </w:pPr>
    <w:r>
      <w:rPr>
        <w:rFonts w:ascii="Arial" w:hAnsi="Arial" w:cs="Arial"/>
        <w:sz w:val="16"/>
        <w:szCs w:val="16"/>
      </w:rPr>
      <w:t>Srovnávací analýza vývoje ekonomik České republiky, Slovenska a Rakouska</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B71" w:rsidRPr="00F5435A" w:rsidRDefault="00F80B71" w:rsidP="00873DE7">
    <w:pPr>
      <w:pStyle w:val="Zhlav"/>
      <w:tabs>
        <w:tab w:val="clear" w:pos="4536"/>
        <w:tab w:val="clear" w:pos="9072"/>
        <w:tab w:val="left" w:pos="-6379"/>
        <w:tab w:val="center" w:pos="4820"/>
        <w:tab w:val="right" w:pos="9639"/>
      </w:tabs>
      <w:rPr>
        <w:szCs w:val="16"/>
      </w:rPr>
    </w:pPr>
    <w:r>
      <w:rPr>
        <w:rFonts w:ascii="Arial" w:hAnsi="Arial" w:cs="Arial"/>
        <w:sz w:val="16"/>
        <w:szCs w:val="16"/>
      </w:rPr>
      <w:t>Srovnávací analýza vývoje ekonomik České republiky, Slovenska a Rakouska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C2C2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C5A4CC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7E258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51C11B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8ACC7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B249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3C5C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BEA7C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6236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E444F5C"/>
    <w:lvl w:ilvl="0">
      <w:start w:val="1"/>
      <w:numFmt w:val="bullet"/>
      <w:lvlText w:val=""/>
      <w:lvlJc w:val="left"/>
      <w:pPr>
        <w:tabs>
          <w:tab w:val="num" w:pos="360"/>
        </w:tabs>
        <w:ind w:left="360" w:hanging="360"/>
      </w:pPr>
      <w:rPr>
        <w:rFonts w:ascii="Symbol" w:hAnsi="Symbol" w:hint="default"/>
      </w:rPr>
    </w:lvl>
  </w:abstractNum>
  <w:abstractNum w:abstractNumId="10">
    <w:nsid w:val="04C41472"/>
    <w:multiLevelType w:val="hybridMultilevel"/>
    <w:tmpl w:val="AA367EE0"/>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08F96BEF"/>
    <w:multiLevelType w:val="hybridMultilevel"/>
    <w:tmpl w:val="3B360A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19A62B8"/>
    <w:multiLevelType w:val="multilevel"/>
    <w:tmpl w:val="DBE68682"/>
    <w:lvl w:ilvl="0">
      <w:start w:val="2"/>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1EA7172B"/>
    <w:multiLevelType w:val="multilevel"/>
    <w:tmpl w:val="DE863A6A"/>
    <w:lvl w:ilvl="0">
      <w:start w:val="3"/>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20BB57F8"/>
    <w:multiLevelType w:val="multilevel"/>
    <w:tmpl w:val="2074470E"/>
    <w:lvl w:ilvl="0">
      <w:start w:val="5"/>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35954F6D"/>
    <w:multiLevelType w:val="hybridMultilevel"/>
    <w:tmpl w:val="8E84F02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43026AB4"/>
    <w:multiLevelType w:val="hybridMultilevel"/>
    <w:tmpl w:val="A296FA20"/>
    <w:lvl w:ilvl="0" w:tplc="2AAEA5FA">
      <w:start w:val="2012"/>
      <w:numFmt w:val="decimal"/>
      <w:lvlText w:val="%1"/>
      <w:lvlJc w:val="left"/>
      <w:pPr>
        <w:tabs>
          <w:tab w:val="num" w:pos="720"/>
        </w:tabs>
        <w:ind w:left="720" w:hanging="360"/>
      </w:pPr>
      <w:rPr>
        <w:rFonts w:cs="Times New Roman"/>
      </w:rPr>
    </w:lvl>
    <w:lvl w:ilvl="1" w:tplc="027A3AA2" w:tentative="1">
      <w:start w:val="1"/>
      <w:numFmt w:val="decimal"/>
      <w:lvlText w:val="%2"/>
      <w:lvlJc w:val="left"/>
      <w:pPr>
        <w:tabs>
          <w:tab w:val="num" w:pos="1440"/>
        </w:tabs>
        <w:ind w:left="1440" w:hanging="360"/>
      </w:pPr>
      <w:rPr>
        <w:rFonts w:cs="Times New Roman"/>
      </w:rPr>
    </w:lvl>
    <w:lvl w:ilvl="2" w:tplc="ADD2BDFE" w:tentative="1">
      <w:start w:val="1"/>
      <w:numFmt w:val="decimal"/>
      <w:lvlText w:val="%3"/>
      <w:lvlJc w:val="left"/>
      <w:pPr>
        <w:tabs>
          <w:tab w:val="num" w:pos="2160"/>
        </w:tabs>
        <w:ind w:left="2160" w:hanging="360"/>
      </w:pPr>
      <w:rPr>
        <w:rFonts w:cs="Times New Roman"/>
      </w:rPr>
    </w:lvl>
    <w:lvl w:ilvl="3" w:tplc="343069F0" w:tentative="1">
      <w:start w:val="1"/>
      <w:numFmt w:val="decimal"/>
      <w:lvlText w:val="%4"/>
      <w:lvlJc w:val="left"/>
      <w:pPr>
        <w:tabs>
          <w:tab w:val="num" w:pos="2880"/>
        </w:tabs>
        <w:ind w:left="2880" w:hanging="360"/>
      </w:pPr>
      <w:rPr>
        <w:rFonts w:cs="Times New Roman"/>
      </w:rPr>
    </w:lvl>
    <w:lvl w:ilvl="4" w:tplc="77AA44F2" w:tentative="1">
      <w:start w:val="1"/>
      <w:numFmt w:val="decimal"/>
      <w:lvlText w:val="%5"/>
      <w:lvlJc w:val="left"/>
      <w:pPr>
        <w:tabs>
          <w:tab w:val="num" w:pos="3600"/>
        </w:tabs>
        <w:ind w:left="3600" w:hanging="360"/>
      </w:pPr>
      <w:rPr>
        <w:rFonts w:cs="Times New Roman"/>
      </w:rPr>
    </w:lvl>
    <w:lvl w:ilvl="5" w:tplc="4502C532" w:tentative="1">
      <w:start w:val="1"/>
      <w:numFmt w:val="decimal"/>
      <w:lvlText w:val="%6"/>
      <w:lvlJc w:val="left"/>
      <w:pPr>
        <w:tabs>
          <w:tab w:val="num" w:pos="4320"/>
        </w:tabs>
        <w:ind w:left="4320" w:hanging="360"/>
      </w:pPr>
      <w:rPr>
        <w:rFonts w:cs="Times New Roman"/>
      </w:rPr>
    </w:lvl>
    <w:lvl w:ilvl="6" w:tplc="BA1A0750" w:tentative="1">
      <w:start w:val="1"/>
      <w:numFmt w:val="decimal"/>
      <w:lvlText w:val="%7"/>
      <w:lvlJc w:val="left"/>
      <w:pPr>
        <w:tabs>
          <w:tab w:val="num" w:pos="5040"/>
        </w:tabs>
        <w:ind w:left="5040" w:hanging="360"/>
      </w:pPr>
      <w:rPr>
        <w:rFonts w:cs="Times New Roman"/>
      </w:rPr>
    </w:lvl>
    <w:lvl w:ilvl="7" w:tplc="F484FE68" w:tentative="1">
      <w:start w:val="1"/>
      <w:numFmt w:val="decimal"/>
      <w:lvlText w:val="%8"/>
      <w:lvlJc w:val="left"/>
      <w:pPr>
        <w:tabs>
          <w:tab w:val="num" w:pos="5760"/>
        </w:tabs>
        <w:ind w:left="5760" w:hanging="360"/>
      </w:pPr>
      <w:rPr>
        <w:rFonts w:cs="Times New Roman"/>
      </w:rPr>
    </w:lvl>
    <w:lvl w:ilvl="8" w:tplc="A4783E84" w:tentative="1">
      <w:start w:val="1"/>
      <w:numFmt w:val="decimal"/>
      <w:lvlText w:val="%9"/>
      <w:lvlJc w:val="left"/>
      <w:pPr>
        <w:tabs>
          <w:tab w:val="num" w:pos="6480"/>
        </w:tabs>
        <w:ind w:left="6480" w:hanging="360"/>
      </w:pPr>
      <w:rPr>
        <w:rFonts w:cs="Times New Roman"/>
      </w:rPr>
    </w:lvl>
  </w:abstractNum>
  <w:abstractNum w:abstractNumId="17">
    <w:nsid w:val="46B95ADF"/>
    <w:multiLevelType w:val="hybridMultilevel"/>
    <w:tmpl w:val="B35AFB4E"/>
    <w:lvl w:ilvl="0" w:tplc="A1664862">
      <w:start w:val="1"/>
      <w:numFmt w:val="bullet"/>
      <w:lvlText w:val=""/>
      <w:lvlJc w:val="left"/>
      <w:pPr>
        <w:tabs>
          <w:tab w:val="num" w:pos="720"/>
        </w:tabs>
        <w:ind w:left="720" w:hanging="360"/>
      </w:pPr>
      <w:rPr>
        <w:rFonts w:ascii="Wingdings" w:hAnsi="Wingdings" w:hint="default"/>
      </w:rPr>
    </w:lvl>
    <w:lvl w:ilvl="1" w:tplc="2610B8D0">
      <w:start w:val="1"/>
      <w:numFmt w:val="bullet"/>
      <w:lvlText w:val=""/>
      <w:lvlJc w:val="left"/>
      <w:pPr>
        <w:tabs>
          <w:tab w:val="num" w:pos="1440"/>
        </w:tabs>
        <w:ind w:left="1440" w:hanging="360"/>
      </w:pPr>
      <w:rPr>
        <w:rFonts w:ascii="Wingdings" w:hAnsi="Wingdings" w:hint="default"/>
      </w:rPr>
    </w:lvl>
    <w:lvl w:ilvl="2" w:tplc="9E20A344" w:tentative="1">
      <w:start w:val="1"/>
      <w:numFmt w:val="bullet"/>
      <w:lvlText w:val=""/>
      <w:lvlJc w:val="left"/>
      <w:pPr>
        <w:tabs>
          <w:tab w:val="num" w:pos="2160"/>
        </w:tabs>
        <w:ind w:left="2160" w:hanging="360"/>
      </w:pPr>
      <w:rPr>
        <w:rFonts w:ascii="Wingdings" w:hAnsi="Wingdings" w:hint="default"/>
      </w:rPr>
    </w:lvl>
    <w:lvl w:ilvl="3" w:tplc="169A9B4A" w:tentative="1">
      <w:start w:val="1"/>
      <w:numFmt w:val="bullet"/>
      <w:lvlText w:val=""/>
      <w:lvlJc w:val="left"/>
      <w:pPr>
        <w:tabs>
          <w:tab w:val="num" w:pos="2880"/>
        </w:tabs>
        <w:ind w:left="2880" w:hanging="360"/>
      </w:pPr>
      <w:rPr>
        <w:rFonts w:ascii="Wingdings" w:hAnsi="Wingdings" w:hint="default"/>
      </w:rPr>
    </w:lvl>
    <w:lvl w:ilvl="4" w:tplc="EAAA073A" w:tentative="1">
      <w:start w:val="1"/>
      <w:numFmt w:val="bullet"/>
      <w:lvlText w:val=""/>
      <w:lvlJc w:val="left"/>
      <w:pPr>
        <w:tabs>
          <w:tab w:val="num" w:pos="3600"/>
        </w:tabs>
        <w:ind w:left="3600" w:hanging="360"/>
      </w:pPr>
      <w:rPr>
        <w:rFonts w:ascii="Wingdings" w:hAnsi="Wingdings" w:hint="default"/>
      </w:rPr>
    </w:lvl>
    <w:lvl w:ilvl="5" w:tplc="9DCADF16" w:tentative="1">
      <w:start w:val="1"/>
      <w:numFmt w:val="bullet"/>
      <w:lvlText w:val=""/>
      <w:lvlJc w:val="left"/>
      <w:pPr>
        <w:tabs>
          <w:tab w:val="num" w:pos="4320"/>
        </w:tabs>
        <w:ind w:left="4320" w:hanging="360"/>
      </w:pPr>
      <w:rPr>
        <w:rFonts w:ascii="Wingdings" w:hAnsi="Wingdings" w:hint="default"/>
      </w:rPr>
    </w:lvl>
    <w:lvl w:ilvl="6" w:tplc="EC1A4EAE" w:tentative="1">
      <w:start w:val="1"/>
      <w:numFmt w:val="bullet"/>
      <w:lvlText w:val=""/>
      <w:lvlJc w:val="left"/>
      <w:pPr>
        <w:tabs>
          <w:tab w:val="num" w:pos="5040"/>
        </w:tabs>
        <w:ind w:left="5040" w:hanging="360"/>
      </w:pPr>
      <w:rPr>
        <w:rFonts w:ascii="Wingdings" w:hAnsi="Wingdings" w:hint="default"/>
      </w:rPr>
    </w:lvl>
    <w:lvl w:ilvl="7" w:tplc="C0AC28C2" w:tentative="1">
      <w:start w:val="1"/>
      <w:numFmt w:val="bullet"/>
      <w:lvlText w:val=""/>
      <w:lvlJc w:val="left"/>
      <w:pPr>
        <w:tabs>
          <w:tab w:val="num" w:pos="5760"/>
        </w:tabs>
        <w:ind w:left="5760" w:hanging="360"/>
      </w:pPr>
      <w:rPr>
        <w:rFonts w:ascii="Wingdings" w:hAnsi="Wingdings" w:hint="default"/>
      </w:rPr>
    </w:lvl>
    <w:lvl w:ilvl="8" w:tplc="17E28296" w:tentative="1">
      <w:start w:val="1"/>
      <w:numFmt w:val="bullet"/>
      <w:lvlText w:val=""/>
      <w:lvlJc w:val="left"/>
      <w:pPr>
        <w:tabs>
          <w:tab w:val="num" w:pos="6480"/>
        </w:tabs>
        <w:ind w:left="6480" w:hanging="360"/>
      </w:pPr>
      <w:rPr>
        <w:rFonts w:ascii="Wingdings" w:hAnsi="Wingdings" w:hint="default"/>
      </w:rPr>
    </w:lvl>
  </w:abstractNum>
  <w:abstractNum w:abstractNumId="18">
    <w:nsid w:val="4EA679BF"/>
    <w:multiLevelType w:val="hybridMultilevel"/>
    <w:tmpl w:val="DE223DFC"/>
    <w:lvl w:ilvl="0" w:tplc="63982124">
      <w:start w:val="2011"/>
      <w:numFmt w:val="decimal"/>
      <w:lvlText w:val="%1"/>
      <w:lvlJc w:val="left"/>
      <w:pPr>
        <w:tabs>
          <w:tab w:val="num" w:pos="720"/>
        </w:tabs>
        <w:ind w:left="720" w:hanging="360"/>
      </w:pPr>
      <w:rPr>
        <w:rFonts w:cs="Times New Roman"/>
      </w:rPr>
    </w:lvl>
    <w:lvl w:ilvl="1" w:tplc="B748EE8E" w:tentative="1">
      <w:start w:val="1"/>
      <w:numFmt w:val="decimal"/>
      <w:lvlText w:val="%2"/>
      <w:lvlJc w:val="left"/>
      <w:pPr>
        <w:tabs>
          <w:tab w:val="num" w:pos="1440"/>
        </w:tabs>
        <w:ind w:left="1440" w:hanging="360"/>
      </w:pPr>
      <w:rPr>
        <w:rFonts w:cs="Times New Roman"/>
      </w:rPr>
    </w:lvl>
    <w:lvl w:ilvl="2" w:tplc="6D085032" w:tentative="1">
      <w:start w:val="1"/>
      <w:numFmt w:val="decimal"/>
      <w:lvlText w:val="%3"/>
      <w:lvlJc w:val="left"/>
      <w:pPr>
        <w:tabs>
          <w:tab w:val="num" w:pos="2160"/>
        </w:tabs>
        <w:ind w:left="2160" w:hanging="360"/>
      </w:pPr>
      <w:rPr>
        <w:rFonts w:cs="Times New Roman"/>
      </w:rPr>
    </w:lvl>
    <w:lvl w:ilvl="3" w:tplc="1FF0ACDA" w:tentative="1">
      <w:start w:val="1"/>
      <w:numFmt w:val="decimal"/>
      <w:lvlText w:val="%4"/>
      <w:lvlJc w:val="left"/>
      <w:pPr>
        <w:tabs>
          <w:tab w:val="num" w:pos="2880"/>
        </w:tabs>
        <w:ind w:left="2880" w:hanging="360"/>
      </w:pPr>
      <w:rPr>
        <w:rFonts w:cs="Times New Roman"/>
      </w:rPr>
    </w:lvl>
    <w:lvl w:ilvl="4" w:tplc="AD902158" w:tentative="1">
      <w:start w:val="1"/>
      <w:numFmt w:val="decimal"/>
      <w:lvlText w:val="%5"/>
      <w:lvlJc w:val="left"/>
      <w:pPr>
        <w:tabs>
          <w:tab w:val="num" w:pos="3600"/>
        </w:tabs>
        <w:ind w:left="3600" w:hanging="360"/>
      </w:pPr>
      <w:rPr>
        <w:rFonts w:cs="Times New Roman"/>
      </w:rPr>
    </w:lvl>
    <w:lvl w:ilvl="5" w:tplc="787A7B20" w:tentative="1">
      <w:start w:val="1"/>
      <w:numFmt w:val="decimal"/>
      <w:lvlText w:val="%6"/>
      <w:lvlJc w:val="left"/>
      <w:pPr>
        <w:tabs>
          <w:tab w:val="num" w:pos="4320"/>
        </w:tabs>
        <w:ind w:left="4320" w:hanging="360"/>
      </w:pPr>
      <w:rPr>
        <w:rFonts w:cs="Times New Roman"/>
      </w:rPr>
    </w:lvl>
    <w:lvl w:ilvl="6" w:tplc="10421ABA" w:tentative="1">
      <w:start w:val="1"/>
      <w:numFmt w:val="decimal"/>
      <w:lvlText w:val="%7"/>
      <w:lvlJc w:val="left"/>
      <w:pPr>
        <w:tabs>
          <w:tab w:val="num" w:pos="5040"/>
        </w:tabs>
        <w:ind w:left="5040" w:hanging="360"/>
      </w:pPr>
      <w:rPr>
        <w:rFonts w:cs="Times New Roman"/>
      </w:rPr>
    </w:lvl>
    <w:lvl w:ilvl="7" w:tplc="CE74CDF4" w:tentative="1">
      <w:start w:val="1"/>
      <w:numFmt w:val="decimal"/>
      <w:lvlText w:val="%8"/>
      <w:lvlJc w:val="left"/>
      <w:pPr>
        <w:tabs>
          <w:tab w:val="num" w:pos="5760"/>
        </w:tabs>
        <w:ind w:left="5760" w:hanging="360"/>
      </w:pPr>
      <w:rPr>
        <w:rFonts w:cs="Times New Roman"/>
      </w:rPr>
    </w:lvl>
    <w:lvl w:ilvl="8" w:tplc="B7F600C2" w:tentative="1">
      <w:start w:val="1"/>
      <w:numFmt w:val="decimal"/>
      <w:lvlText w:val="%9"/>
      <w:lvlJc w:val="left"/>
      <w:pPr>
        <w:tabs>
          <w:tab w:val="num" w:pos="6480"/>
        </w:tabs>
        <w:ind w:left="6480" w:hanging="360"/>
      </w:pPr>
      <w:rPr>
        <w:rFonts w:cs="Times New Roman"/>
      </w:rPr>
    </w:lvl>
  </w:abstractNum>
  <w:abstractNum w:abstractNumId="19">
    <w:nsid w:val="57AF1193"/>
    <w:multiLevelType w:val="multilevel"/>
    <w:tmpl w:val="AA2CE52A"/>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604F7F4D"/>
    <w:multiLevelType w:val="hybridMultilevel"/>
    <w:tmpl w:val="06BA7C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6086350F"/>
    <w:multiLevelType w:val="hybridMultilevel"/>
    <w:tmpl w:val="80DE618A"/>
    <w:lvl w:ilvl="0" w:tplc="525263D6">
      <w:start w:val="2013"/>
      <w:numFmt w:val="decimal"/>
      <w:lvlText w:val="%1"/>
      <w:lvlJc w:val="left"/>
      <w:pPr>
        <w:tabs>
          <w:tab w:val="num" w:pos="720"/>
        </w:tabs>
        <w:ind w:left="720" w:hanging="360"/>
      </w:pPr>
      <w:rPr>
        <w:rFonts w:cs="Times New Roman"/>
      </w:rPr>
    </w:lvl>
    <w:lvl w:ilvl="1" w:tplc="89AE79A0" w:tentative="1">
      <w:start w:val="1"/>
      <w:numFmt w:val="decimal"/>
      <w:lvlText w:val="%2"/>
      <w:lvlJc w:val="left"/>
      <w:pPr>
        <w:tabs>
          <w:tab w:val="num" w:pos="1440"/>
        </w:tabs>
        <w:ind w:left="1440" w:hanging="360"/>
      </w:pPr>
      <w:rPr>
        <w:rFonts w:cs="Times New Roman"/>
      </w:rPr>
    </w:lvl>
    <w:lvl w:ilvl="2" w:tplc="7310A35E" w:tentative="1">
      <w:start w:val="1"/>
      <w:numFmt w:val="decimal"/>
      <w:lvlText w:val="%3"/>
      <w:lvlJc w:val="left"/>
      <w:pPr>
        <w:tabs>
          <w:tab w:val="num" w:pos="2160"/>
        </w:tabs>
        <w:ind w:left="2160" w:hanging="360"/>
      </w:pPr>
      <w:rPr>
        <w:rFonts w:cs="Times New Roman"/>
      </w:rPr>
    </w:lvl>
    <w:lvl w:ilvl="3" w:tplc="CBDC617A" w:tentative="1">
      <w:start w:val="1"/>
      <w:numFmt w:val="decimal"/>
      <w:lvlText w:val="%4"/>
      <w:lvlJc w:val="left"/>
      <w:pPr>
        <w:tabs>
          <w:tab w:val="num" w:pos="2880"/>
        </w:tabs>
        <w:ind w:left="2880" w:hanging="360"/>
      </w:pPr>
      <w:rPr>
        <w:rFonts w:cs="Times New Roman"/>
      </w:rPr>
    </w:lvl>
    <w:lvl w:ilvl="4" w:tplc="18D62BFA" w:tentative="1">
      <w:start w:val="1"/>
      <w:numFmt w:val="decimal"/>
      <w:lvlText w:val="%5"/>
      <w:lvlJc w:val="left"/>
      <w:pPr>
        <w:tabs>
          <w:tab w:val="num" w:pos="3600"/>
        </w:tabs>
        <w:ind w:left="3600" w:hanging="360"/>
      </w:pPr>
      <w:rPr>
        <w:rFonts w:cs="Times New Roman"/>
      </w:rPr>
    </w:lvl>
    <w:lvl w:ilvl="5" w:tplc="6090D0D6" w:tentative="1">
      <w:start w:val="1"/>
      <w:numFmt w:val="decimal"/>
      <w:lvlText w:val="%6"/>
      <w:lvlJc w:val="left"/>
      <w:pPr>
        <w:tabs>
          <w:tab w:val="num" w:pos="4320"/>
        </w:tabs>
        <w:ind w:left="4320" w:hanging="360"/>
      </w:pPr>
      <w:rPr>
        <w:rFonts w:cs="Times New Roman"/>
      </w:rPr>
    </w:lvl>
    <w:lvl w:ilvl="6" w:tplc="61743AAE" w:tentative="1">
      <w:start w:val="1"/>
      <w:numFmt w:val="decimal"/>
      <w:lvlText w:val="%7"/>
      <w:lvlJc w:val="left"/>
      <w:pPr>
        <w:tabs>
          <w:tab w:val="num" w:pos="5040"/>
        </w:tabs>
        <w:ind w:left="5040" w:hanging="360"/>
      </w:pPr>
      <w:rPr>
        <w:rFonts w:cs="Times New Roman"/>
      </w:rPr>
    </w:lvl>
    <w:lvl w:ilvl="7" w:tplc="838AE574" w:tentative="1">
      <w:start w:val="1"/>
      <w:numFmt w:val="decimal"/>
      <w:lvlText w:val="%8"/>
      <w:lvlJc w:val="left"/>
      <w:pPr>
        <w:tabs>
          <w:tab w:val="num" w:pos="5760"/>
        </w:tabs>
        <w:ind w:left="5760" w:hanging="360"/>
      </w:pPr>
      <w:rPr>
        <w:rFonts w:cs="Times New Roman"/>
      </w:rPr>
    </w:lvl>
    <w:lvl w:ilvl="8" w:tplc="4B8A6090" w:tentative="1">
      <w:start w:val="1"/>
      <w:numFmt w:val="decimal"/>
      <w:lvlText w:val="%9"/>
      <w:lvlJc w:val="left"/>
      <w:pPr>
        <w:tabs>
          <w:tab w:val="num" w:pos="6480"/>
        </w:tabs>
        <w:ind w:left="6480" w:hanging="360"/>
      </w:pPr>
      <w:rPr>
        <w:rFonts w:cs="Times New Roman"/>
      </w:rPr>
    </w:lvl>
  </w:abstractNum>
  <w:abstractNum w:abstractNumId="22">
    <w:nsid w:val="696F0669"/>
    <w:multiLevelType w:val="hybridMultilevel"/>
    <w:tmpl w:val="6B980916"/>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6FBF3EA5"/>
    <w:multiLevelType w:val="multilevel"/>
    <w:tmpl w:val="ED94EFE4"/>
    <w:lvl w:ilvl="0">
      <w:start w:val="3"/>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742A32BF"/>
    <w:multiLevelType w:val="multilevel"/>
    <w:tmpl w:val="2C7C09CE"/>
    <w:lvl w:ilvl="0">
      <w:start w:val="4"/>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22"/>
  </w:num>
  <w:num w:numId="2">
    <w:abstractNumId w:val="25"/>
  </w:num>
  <w:num w:numId="3">
    <w:abstractNumId w:val="12"/>
  </w:num>
  <w:num w:numId="4">
    <w:abstractNumId w:val="13"/>
  </w:num>
  <w:num w:numId="5">
    <w:abstractNumId w:val="24"/>
  </w:num>
  <w:num w:numId="6">
    <w:abstractNumId w:val="14"/>
  </w:num>
  <w:num w:numId="7">
    <w:abstractNumId w:val="11"/>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8"/>
  </w:num>
  <w:num w:numId="19">
    <w:abstractNumId w:val="16"/>
  </w:num>
  <w:num w:numId="20">
    <w:abstractNumId w:val="21"/>
  </w:num>
  <w:num w:numId="21">
    <w:abstractNumId w:val="19"/>
  </w:num>
  <w:num w:numId="22">
    <w:abstractNumId w:val="17"/>
  </w:num>
  <w:num w:numId="23">
    <w:abstractNumId w:val="10"/>
  </w:num>
  <w:num w:numId="24">
    <w:abstractNumId w:val="23"/>
  </w:num>
  <w:num w:numId="25">
    <w:abstractNumId w:val="20"/>
  </w:num>
  <w:num w:numId="26">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4"/>
  <w:doNotTrackMoves/>
  <w:defaultTabStop w:val="708"/>
  <w:hyphenationZone w:val="425"/>
  <w:evenAndOddHeaders/>
  <w:drawingGridHorizontalSpacing w:val="100"/>
  <w:displayHorizontalDrawingGridEvery w:val="2"/>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0BD"/>
    <w:rsid w:val="00000E94"/>
    <w:rsid w:val="00001411"/>
    <w:rsid w:val="00003687"/>
    <w:rsid w:val="00003A9E"/>
    <w:rsid w:val="00003C43"/>
    <w:rsid w:val="000047B7"/>
    <w:rsid w:val="00004BDD"/>
    <w:rsid w:val="00006CF8"/>
    <w:rsid w:val="00007498"/>
    <w:rsid w:val="0000767A"/>
    <w:rsid w:val="000104B9"/>
    <w:rsid w:val="00010702"/>
    <w:rsid w:val="0001159B"/>
    <w:rsid w:val="000118F0"/>
    <w:rsid w:val="00011ABE"/>
    <w:rsid w:val="00014DB4"/>
    <w:rsid w:val="00014F30"/>
    <w:rsid w:val="0001573E"/>
    <w:rsid w:val="0001593A"/>
    <w:rsid w:val="00017315"/>
    <w:rsid w:val="000173CC"/>
    <w:rsid w:val="000178A6"/>
    <w:rsid w:val="00017F05"/>
    <w:rsid w:val="0002016D"/>
    <w:rsid w:val="000202B9"/>
    <w:rsid w:val="000202C6"/>
    <w:rsid w:val="0002083E"/>
    <w:rsid w:val="00020946"/>
    <w:rsid w:val="000217F1"/>
    <w:rsid w:val="000226D1"/>
    <w:rsid w:val="000228E2"/>
    <w:rsid w:val="0002366A"/>
    <w:rsid w:val="00023777"/>
    <w:rsid w:val="00024887"/>
    <w:rsid w:val="00024B3C"/>
    <w:rsid w:val="00024CBA"/>
    <w:rsid w:val="000262EF"/>
    <w:rsid w:val="0002636A"/>
    <w:rsid w:val="00026396"/>
    <w:rsid w:val="000264DE"/>
    <w:rsid w:val="000266D2"/>
    <w:rsid w:val="00026998"/>
    <w:rsid w:val="0003066A"/>
    <w:rsid w:val="00030C7C"/>
    <w:rsid w:val="00031AEE"/>
    <w:rsid w:val="00032210"/>
    <w:rsid w:val="00032838"/>
    <w:rsid w:val="00032879"/>
    <w:rsid w:val="00032C12"/>
    <w:rsid w:val="00034B90"/>
    <w:rsid w:val="000353D4"/>
    <w:rsid w:val="000356F6"/>
    <w:rsid w:val="0003575B"/>
    <w:rsid w:val="00035FC6"/>
    <w:rsid w:val="00036889"/>
    <w:rsid w:val="00037667"/>
    <w:rsid w:val="000411E1"/>
    <w:rsid w:val="000434EF"/>
    <w:rsid w:val="00044171"/>
    <w:rsid w:val="000441DE"/>
    <w:rsid w:val="00045541"/>
    <w:rsid w:val="000458C6"/>
    <w:rsid w:val="0004694F"/>
    <w:rsid w:val="0004735A"/>
    <w:rsid w:val="0005077D"/>
    <w:rsid w:val="00050C11"/>
    <w:rsid w:val="00051D54"/>
    <w:rsid w:val="00052172"/>
    <w:rsid w:val="000548AB"/>
    <w:rsid w:val="00054B1C"/>
    <w:rsid w:val="00055059"/>
    <w:rsid w:val="000553E4"/>
    <w:rsid w:val="00056451"/>
    <w:rsid w:val="00060A26"/>
    <w:rsid w:val="00061443"/>
    <w:rsid w:val="00062922"/>
    <w:rsid w:val="00062EC5"/>
    <w:rsid w:val="00063BCF"/>
    <w:rsid w:val="00064256"/>
    <w:rsid w:val="00064D80"/>
    <w:rsid w:val="0006500C"/>
    <w:rsid w:val="00065809"/>
    <w:rsid w:val="000666E0"/>
    <w:rsid w:val="00067478"/>
    <w:rsid w:val="000677C9"/>
    <w:rsid w:val="00067835"/>
    <w:rsid w:val="0006797C"/>
    <w:rsid w:val="000706A4"/>
    <w:rsid w:val="000708EE"/>
    <w:rsid w:val="00072118"/>
    <w:rsid w:val="000727C7"/>
    <w:rsid w:val="00072F46"/>
    <w:rsid w:val="00073039"/>
    <w:rsid w:val="00073173"/>
    <w:rsid w:val="00073AD9"/>
    <w:rsid w:val="0007406D"/>
    <w:rsid w:val="00075423"/>
    <w:rsid w:val="0007602A"/>
    <w:rsid w:val="00076196"/>
    <w:rsid w:val="00076210"/>
    <w:rsid w:val="00076B48"/>
    <w:rsid w:val="000774C1"/>
    <w:rsid w:val="000779AC"/>
    <w:rsid w:val="00077E6A"/>
    <w:rsid w:val="00080D93"/>
    <w:rsid w:val="0008193E"/>
    <w:rsid w:val="000821A7"/>
    <w:rsid w:val="00083803"/>
    <w:rsid w:val="000848F4"/>
    <w:rsid w:val="00085D2D"/>
    <w:rsid w:val="0008716A"/>
    <w:rsid w:val="00087634"/>
    <w:rsid w:val="0008794F"/>
    <w:rsid w:val="0008799E"/>
    <w:rsid w:val="000901CC"/>
    <w:rsid w:val="00090F47"/>
    <w:rsid w:val="00091237"/>
    <w:rsid w:val="000920EC"/>
    <w:rsid w:val="00092505"/>
    <w:rsid w:val="000927BC"/>
    <w:rsid w:val="00095ACB"/>
    <w:rsid w:val="00096B97"/>
    <w:rsid w:val="00096E46"/>
    <w:rsid w:val="000A00C9"/>
    <w:rsid w:val="000A0810"/>
    <w:rsid w:val="000A0CB7"/>
    <w:rsid w:val="000A0F46"/>
    <w:rsid w:val="000A1183"/>
    <w:rsid w:val="000A13D1"/>
    <w:rsid w:val="000A2121"/>
    <w:rsid w:val="000A2C3C"/>
    <w:rsid w:val="000A2EEB"/>
    <w:rsid w:val="000A3171"/>
    <w:rsid w:val="000A4B3E"/>
    <w:rsid w:val="000A55AA"/>
    <w:rsid w:val="000B1398"/>
    <w:rsid w:val="000B1CFE"/>
    <w:rsid w:val="000B210A"/>
    <w:rsid w:val="000B249B"/>
    <w:rsid w:val="000B3DB9"/>
    <w:rsid w:val="000B3F02"/>
    <w:rsid w:val="000B48E7"/>
    <w:rsid w:val="000B6162"/>
    <w:rsid w:val="000B7663"/>
    <w:rsid w:val="000C05C4"/>
    <w:rsid w:val="000C0E2B"/>
    <w:rsid w:val="000C11D3"/>
    <w:rsid w:val="000C12F5"/>
    <w:rsid w:val="000C152B"/>
    <w:rsid w:val="000C3408"/>
    <w:rsid w:val="000C4703"/>
    <w:rsid w:val="000C776C"/>
    <w:rsid w:val="000C7825"/>
    <w:rsid w:val="000C783E"/>
    <w:rsid w:val="000D2E41"/>
    <w:rsid w:val="000D3F80"/>
    <w:rsid w:val="000D5D85"/>
    <w:rsid w:val="000D5E7A"/>
    <w:rsid w:val="000D5FAA"/>
    <w:rsid w:val="000D65A4"/>
    <w:rsid w:val="000D66B7"/>
    <w:rsid w:val="000D6AEF"/>
    <w:rsid w:val="000D7537"/>
    <w:rsid w:val="000E0EDF"/>
    <w:rsid w:val="000E0F3D"/>
    <w:rsid w:val="000E0FA4"/>
    <w:rsid w:val="000E19A8"/>
    <w:rsid w:val="000E2776"/>
    <w:rsid w:val="000E2A8A"/>
    <w:rsid w:val="000E3023"/>
    <w:rsid w:val="000E4C83"/>
    <w:rsid w:val="000E51B0"/>
    <w:rsid w:val="000E78D2"/>
    <w:rsid w:val="000F0029"/>
    <w:rsid w:val="000F195C"/>
    <w:rsid w:val="000F2D72"/>
    <w:rsid w:val="000F3332"/>
    <w:rsid w:val="000F33EE"/>
    <w:rsid w:val="000F401E"/>
    <w:rsid w:val="000F5445"/>
    <w:rsid w:val="000F5E7A"/>
    <w:rsid w:val="000F5FD3"/>
    <w:rsid w:val="000F67B2"/>
    <w:rsid w:val="000F7C11"/>
    <w:rsid w:val="00100014"/>
    <w:rsid w:val="001005B2"/>
    <w:rsid w:val="00100DAF"/>
    <w:rsid w:val="00102756"/>
    <w:rsid w:val="00102D79"/>
    <w:rsid w:val="00102E39"/>
    <w:rsid w:val="00102F02"/>
    <w:rsid w:val="0010333B"/>
    <w:rsid w:val="00103834"/>
    <w:rsid w:val="001041B6"/>
    <w:rsid w:val="001045E3"/>
    <w:rsid w:val="0010520A"/>
    <w:rsid w:val="001070EA"/>
    <w:rsid w:val="0011002A"/>
    <w:rsid w:val="0011026B"/>
    <w:rsid w:val="0011110A"/>
    <w:rsid w:val="001118AF"/>
    <w:rsid w:val="00111C6C"/>
    <w:rsid w:val="0011256E"/>
    <w:rsid w:val="001126BF"/>
    <w:rsid w:val="001157D5"/>
    <w:rsid w:val="00116DB9"/>
    <w:rsid w:val="00116FB3"/>
    <w:rsid w:val="00121167"/>
    <w:rsid w:val="001214CE"/>
    <w:rsid w:val="00121C39"/>
    <w:rsid w:val="00123255"/>
    <w:rsid w:val="001242CF"/>
    <w:rsid w:val="001247F5"/>
    <w:rsid w:val="00124ABC"/>
    <w:rsid w:val="00124D2D"/>
    <w:rsid w:val="001252F3"/>
    <w:rsid w:val="00126F9E"/>
    <w:rsid w:val="001306B1"/>
    <w:rsid w:val="001307BE"/>
    <w:rsid w:val="00130C8F"/>
    <w:rsid w:val="001314F2"/>
    <w:rsid w:val="001317DA"/>
    <w:rsid w:val="00131B66"/>
    <w:rsid w:val="001320DB"/>
    <w:rsid w:val="0013254D"/>
    <w:rsid w:val="00132665"/>
    <w:rsid w:val="00132CF6"/>
    <w:rsid w:val="00133A3B"/>
    <w:rsid w:val="00133AAC"/>
    <w:rsid w:val="00136561"/>
    <w:rsid w:val="00136CE4"/>
    <w:rsid w:val="001400E1"/>
    <w:rsid w:val="001405FA"/>
    <w:rsid w:val="001410A1"/>
    <w:rsid w:val="001422E9"/>
    <w:rsid w:val="001425C3"/>
    <w:rsid w:val="00142A26"/>
    <w:rsid w:val="00142F16"/>
    <w:rsid w:val="00143B81"/>
    <w:rsid w:val="00143E03"/>
    <w:rsid w:val="00143E93"/>
    <w:rsid w:val="00150943"/>
    <w:rsid w:val="00151AC0"/>
    <w:rsid w:val="00152046"/>
    <w:rsid w:val="0015232F"/>
    <w:rsid w:val="00154059"/>
    <w:rsid w:val="00155326"/>
    <w:rsid w:val="00156318"/>
    <w:rsid w:val="0015639A"/>
    <w:rsid w:val="00157931"/>
    <w:rsid w:val="00157990"/>
    <w:rsid w:val="0016081D"/>
    <w:rsid w:val="00160E53"/>
    <w:rsid w:val="00161312"/>
    <w:rsid w:val="00161EDA"/>
    <w:rsid w:val="001620D2"/>
    <w:rsid w:val="001620FA"/>
    <w:rsid w:val="00162853"/>
    <w:rsid w:val="00162EB2"/>
    <w:rsid w:val="00163793"/>
    <w:rsid w:val="001641E8"/>
    <w:rsid w:val="0016545C"/>
    <w:rsid w:val="00165598"/>
    <w:rsid w:val="00165A85"/>
    <w:rsid w:val="00167AC1"/>
    <w:rsid w:val="001707DE"/>
    <w:rsid w:val="00170B04"/>
    <w:rsid w:val="00170F47"/>
    <w:rsid w:val="001714F2"/>
    <w:rsid w:val="00171672"/>
    <w:rsid w:val="00171D29"/>
    <w:rsid w:val="00173485"/>
    <w:rsid w:val="00173642"/>
    <w:rsid w:val="00174CE8"/>
    <w:rsid w:val="00174FFB"/>
    <w:rsid w:val="0017635A"/>
    <w:rsid w:val="001764D8"/>
    <w:rsid w:val="00176A8F"/>
    <w:rsid w:val="0017789F"/>
    <w:rsid w:val="001779F0"/>
    <w:rsid w:val="001804ED"/>
    <w:rsid w:val="00181338"/>
    <w:rsid w:val="00181893"/>
    <w:rsid w:val="00181C9A"/>
    <w:rsid w:val="0018225A"/>
    <w:rsid w:val="00182981"/>
    <w:rsid w:val="00183760"/>
    <w:rsid w:val="00184CF9"/>
    <w:rsid w:val="00185010"/>
    <w:rsid w:val="00186164"/>
    <w:rsid w:val="00186915"/>
    <w:rsid w:val="0018724F"/>
    <w:rsid w:val="001873E2"/>
    <w:rsid w:val="001874CF"/>
    <w:rsid w:val="00187735"/>
    <w:rsid w:val="00187C76"/>
    <w:rsid w:val="00190381"/>
    <w:rsid w:val="0019073D"/>
    <w:rsid w:val="00190D9B"/>
    <w:rsid w:val="001918D3"/>
    <w:rsid w:val="00192CA8"/>
    <w:rsid w:val="001942A8"/>
    <w:rsid w:val="00194331"/>
    <w:rsid w:val="0019433E"/>
    <w:rsid w:val="0019492D"/>
    <w:rsid w:val="0019505A"/>
    <w:rsid w:val="00195444"/>
    <w:rsid w:val="001962A3"/>
    <w:rsid w:val="001964BC"/>
    <w:rsid w:val="001971D0"/>
    <w:rsid w:val="0019731C"/>
    <w:rsid w:val="001A0075"/>
    <w:rsid w:val="001A250D"/>
    <w:rsid w:val="001A2A44"/>
    <w:rsid w:val="001A2BDB"/>
    <w:rsid w:val="001A2D19"/>
    <w:rsid w:val="001A3CE2"/>
    <w:rsid w:val="001A443A"/>
    <w:rsid w:val="001A511C"/>
    <w:rsid w:val="001A552F"/>
    <w:rsid w:val="001A5DA4"/>
    <w:rsid w:val="001A7C15"/>
    <w:rsid w:val="001A7CD1"/>
    <w:rsid w:val="001B0AF0"/>
    <w:rsid w:val="001B1742"/>
    <w:rsid w:val="001B1D89"/>
    <w:rsid w:val="001B2964"/>
    <w:rsid w:val="001B3110"/>
    <w:rsid w:val="001B44BC"/>
    <w:rsid w:val="001B4721"/>
    <w:rsid w:val="001B50A0"/>
    <w:rsid w:val="001B51F8"/>
    <w:rsid w:val="001B6545"/>
    <w:rsid w:val="001B666A"/>
    <w:rsid w:val="001B681B"/>
    <w:rsid w:val="001B74FB"/>
    <w:rsid w:val="001B77A1"/>
    <w:rsid w:val="001C0422"/>
    <w:rsid w:val="001C0E0E"/>
    <w:rsid w:val="001C1219"/>
    <w:rsid w:val="001C3178"/>
    <w:rsid w:val="001C357A"/>
    <w:rsid w:val="001C38BC"/>
    <w:rsid w:val="001C3A37"/>
    <w:rsid w:val="001C3BAE"/>
    <w:rsid w:val="001C4384"/>
    <w:rsid w:val="001C44D4"/>
    <w:rsid w:val="001C4934"/>
    <w:rsid w:val="001C573E"/>
    <w:rsid w:val="001C65FF"/>
    <w:rsid w:val="001C6B05"/>
    <w:rsid w:val="001C6E5E"/>
    <w:rsid w:val="001C70BF"/>
    <w:rsid w:val="001D234F"/>
    <w:rsid w:val="001D408D"/>
    <w:rsid w:val="001D47E5"/>
    <w:rsid w:val="001D5088"/>
    <w:rsid w:val="001D54E7"/>
    <w:rsid w:val="001D584C"/>
    <w:rsid w:val="001D66C1"/>
    <w:rsid w:val="001D77D5"/>
    <w:rsid w:val="001E03A3"/>
    <w:rsid w:val="001E0533"/>
    <w:rsid w:val="001E0BE1"/>
    <w:rsid w:val="001E0C65"/>
    <w:rsid w:val="001E23E3"/>
    <w:rsid w:val="001E33B9"/>
    <w:rsid w:val="001E387A"/>
    <w:rsid w:val="001E3DA4"/>
    <w:rsid w:val="001E48E5"/>
    <w:rsid w:val="001E4A25"/>
    <w:rsid w:val="001E561F"/>
    <w:rsid w:val="001E5C6D"/>
    <w:rsid w:val="001E684C"/>
    <w:rsid w:val="001E701C"/>
    <w:rsid w:val="001E7969"/>
    <w:rsid w:val="001E7C03"/>
    <w:rsid w:val="001F02AF"/>
    <w:rsid w:val="001F037F"/>
    <w:rsid w:val="001F0406"/>
    <w:rsid w:val="001F0EC9"/>
    <w:rsid w:val="001F1756"/>
    <w:rsid w:val="001F274B"/>
    <w:rsid w:val="001F28F4"/>
    <w:rsid w:val="001F3C55"/>
    <w:rsid w:val="001F3C79"/>
    <w:rsid w:val="001F3E68"/>
    <w:rsid w:val="001F3E96"/>
    <w:rsid w:val="001F4597"/>
    <w:rsid w:val="001F55D7"/>
    <w:rsid w:val="001F5FA8"/>
    <w:rsid w:val="001F6451"/>
    <w:rsid w:val="001F66C3"/>
    <w:rsid w:val="001F7A31"/>
    <w:rsid w:val="002007DF"/>
    <w:rsid w:val="00200D15"/>
    <w:rsid w:val="00201F7D"/>
    <w:rsid w:val="002029EF"/>
    <w:rsid w:val="00203074"/>
    <w:rsid w:val="00205103"/>
    <w:rsid w:val="0020663B"/>
    <w:rsid w:val="00207730"/>
    <w:rsid w:val="00210400"/>
    <w:rsid w:val="00210CC2"/>
    <w:rsid w:val="00210F5B"/>
    <w:rsid w:val="00211036"/>
    <w:rsid w:val="00211262"/>
    <w:rsid w:val="002113A7"/>
    <w:rsid w:val="00211636"/>
    <w:rsid w:val="00211AC9"/>
    <w:rsid w:val="00212A98"/>
    <w:rsid w:val="00212CF4"/>
    <w:rsid w:val="0021355B"/>
    <w:rsid w:val="0021492B"/>
    <w:rsid w:val="00214C37"/>
    <w:rsid w:val="00214ED2"/>
    <w:rsid w:val="002155A9"/>
    <w:rsid w:val="002156B9"/>
    <w:rsid w:val="002200D8"/>
    <w:rsid w:val="002204A1"/>
    <w:rsid w:val="002205F2"/>
    <w:rsid w:val="0022080E"/>
    <w:rsid w:val="0022139E"/>
    <w:rsid w:val="0022160A"/>
    <w:rsid w:val="0022272B"/>
    <w:rsid w:val="00222A99"/>
    <w:rsid w:val="00223667"/>
    <w:rsid w:val="00223678"/>
    <w:rsid w:val="00223E00"/>
    <w:rsid w:val="00223F33"/>
    <w:rsid w:val="00224911"/>
    <w:rsid w:val="00224FEF"/>
    <w:rsid w:val="002252E0"/>
    <w:rsid w:val="002255F6"/>
    <w:rsid w:val="00226466"/>
    <w:rsid w:val="00227993"/>
    <w:rsid w:val="0023229C"/>
    <w:rsid w:val="00232351"/>
    <w:rsid w:val="00233472"/>
    <w:rsid w:val="0023392C"/>
    <w:rsid w:val="00234111"/>
    <w:rsid w:val="00234280"/>
    <w:rsid w:val="002350E3"/>
    <w:rsid w:val="00235AFB"/>
    <w:rsid w:val="00236443"/>
    <w:rsid w:val="00237819"/>
    <w:rsid w:val="00240654"/>
    <w:rsid w:val="00240A5B"/>
    <w:rsid w:val="00240B9D"/>
    <w:rsid w:val="00241B34"/>
    <w:rsid w:val="00241C02"/>
    <w:rsid w:val="0024261F"/>
    <w:rsid w:val="00243295"/>
    <w:rsid w:val="002436BA"/>
    <w:rsid w:val="00243BAE"/>
    <w:rsid w:val="00243E3B"/>
    <w:rsid w:val="002441B6"/>
    <w:rsid w:val="00244458"/>
    <w:rsid w:val="002444ED"/>
    <w:rsid w:val="00244A15"/>
    <w:rsid w:val="00244D40"/>
    <w:rsid w:val="002457A5"/>
    <w:rsid w:val="0024620F"/>
    <w:rsid w:val="002463D8"/>
    <w:rsid w:val="00246AE9"/>
    <w:rsid w:val="0024799E"/>
    <w:rsid w:val="00251716"/>
    <w:rsid w:val="00251879"/>
    <w:rsid w:val="00251D59"/>
    <w:rsid w:val="00252588"/>
    <w:rsid w:val="00252FDC"/>
    <w:rsid w:val="00253719"/>
    <w:rsid w:val="00254196"/>
    <w:rsid w:val="002544F5"/>
    <w:rsid w:val="002547A6"/>
    <w:rsid w:val="002550D9"/>
    <w:rsid w:val="0025540B"/>
    <w:rsid w:val="002555ED"/>
    <w:rsid w:val="002576B7"/>
    <w:rsid w:val="002601FC"/>
    <w:rsid w:val="00260FA6"/>
    <w:rsid w:val="00261E29"/>
    <w:rsid w:val="00261E5B"/>
    <w:rsid w:val="00261F81"/>
    <w:rsid w:val="0026335E"/>
    <w:rsid w:val="00263470"/>
    <w:rsid w:val="00263733"/>
    <w:rsid w:val="0026412D"/>
    <w:rsid w:val="002641A7"/>
    <w:rsid w:val="0026491E"/>
    <w:rsid w:val="00264F61"/>
    <w:rsid w:val="002650C1"/>
    <w:rsid w:val="00265536"/>
    <w:rsid w:val="00266591"/>
    <w:rsid w:val="00266F3E"/>
    <w:rsid w:val="002674F6"/>
    <w:rsid w:val="002705E8"/>
    <w:rsid w:val="0027227B"/>
    <w:rsid w:val="00272464"/>
    <w:rsid w:val="002727EA"/>
    <w:rsid w:val="00272F8B"/>
    <w:rsid w:val="00273DCD"/>
    <w:rsid w:val="002740B6"/>
    <w:rsid w:val="00274291"/>
    <w:rsid w:val="00276136"/>
    <w:rsid w:val="00276CFE"/>
    <w:rsid w:val="00276E12"/>
    <w:rsid w:val="00277071"/>
    <w:rsid w:val="0027786C"/>
    <w:rsid w:val="0028081E"/>
    <w:rsid w:val="00281416"/>
    <w:rsid w:val="00283D2E"/>
    <w:rsid w:val="00284270"/>
    <w:rsid w:val="002844CC"/>
    <w:rsid w:val="00284F79"/>
    <w:rsid w:val="002852C6"/>
    <w:rsid w:val="00285CD3"/>
    <w:rsid w:val="0028686A"/>
    <w:rsid w:val="00286E66"/>
    <w:rsid w:val="00290562"/>
    <w:rsid w:val="002907C3"/>
    <w:rsid w:val="00290910"/>
    <w:rsid w:val="002911C8"/>
    <w:rsid w:val="002919B5"/>
    <w:rsid w:val="00292C6D"/>
    <w:rsid w:val="00293441"/>
    <w:rsid w:val="00293FEA"/>
    <w:rsid w:val="002941D9"/>
    <w:rsid w:val="0029493E"/>
    <w:rsid w:val="00296C2E"/>
    <w:rsid w:val="002A1B05"/>
    <w:rsid w:val="002A216F"/>
    <w:rsid w:val="002A3BD5"/>
    <w:rsid w:val="002A4277"/>
    <w:rsid w:val="002A4360"/>
    <w:rsid w:val="002A43A2"/>
    <w:rsid w:val="002A4612"/>
    <w:rsid w:val="002A4FBE"/>
    <w:rsid w:val="002A5263"/>
    <w:rsid w:val="002A659A"/>
    <w:rsid w:val="002A6821"/>
    <w:rsid w:val="002A6841"/>
    <w:rsid w:val="002A74D2"/>
    <w:rsid w:val="002A7732"/>
    <w:rsid w:val="002B1ABC"/>
    <w:rsid w:val="002B28A4"/>
    <w:rsid w:val="002B342C"/>
    <w:rsid w:val="002B36C8"/>
    <w:rsid w:val="002B3DAF"/>
    <w:rsid w:val="002B494C"/>
    <w:rsid w:val="002B58E0"/>
    <w:rsid w:val="002B7240"/>
    <w:rsid w:val="002B798E"/>
    <w:rsid w:val="002B79A0"/>
    <w:rsid w:val="002B7DDF"/>
    <w:rsid w:val="002B7EC1"/>
    <w:rsid w:val="002C055E"/>
    <w:rsid w:val="002C1F9D"/>
    <w:rsid w:val="002C43BD"/>
    <w:rsid w:val="002C5261"/>
    <w:rsid w:val="002C6091"/>
    <w:rsid w:val="002C69FA"/>
    <w:rsid w:val="002C6AE7"/>
    <w:rsid w:val="002D0562"/>
    <w:rsid w:val="002D1B5A"/>
    <w:rsid w:val="002D22B5"/>
    <w:rsid w:val="002D3EE3"/>
    <w:rsid w:val="002D5E94"/>
    <w:rsid w:val="002D61B1"/>
    <w:rsid w:val="002D632D"/>
    <w:rsid w:val="002D6473"/>
    <w:rsid w:val="002D7CA9"/>
    <w:rsid w:val="002E02A1"/>
    <w:rsid w:val="002E1C6A"/>
    <w:rsid w:val="002E1DE4"/>
    <w:rsid w:val="002E2CE4"/>
    <w:rsid w:val="002E518B"/>
    <w:rsid w:val="002E7C20"/>
    <w:rsid w:val="002F0609"/>
    <w:rsid w:val="002F1DB9"/>
    <w:rsid w:val="002F33F7"/>
    <w:rsid w:val="002F33FB"/>
    <w:rsid w:val="002F3C26"/>
    <w:rsid w:val="002F46A9"/>
    <w:rsid w:val="002F47F3"/>
    <w:rsid w:val="002F7C73"/>
    <w:rsid w:val="003009FC"/>
    <w:rsid w:val="00300B28"/>
    <w:rsid w:val="00300E9F"/>
    <w:rsid w:val="00301357"/>
    <w:rsid w:val="003016B0"/>
    <w:rsid w:val="00301D04"/>
    <w:rsid w:val="00302F1B"/>
    <w:rsid w:val="00303FCA"/>
    <w:rsid w:val="00304076"/>
    <w:rsid w:val="00304237"/>
    <w:rsid w:val="003046B3"/>
    <w:rsid w:val="00304771"/>
    <w:rsid w:val="003048B8"/>
    <w:rsid w:val="00305736"/>
    <w:rsid w:val="00306C5B"/>
    <w:rsid w:val="00306F79"/>
    <w:rsid w:val="0030780B"/>
    <w:rsid w:val="003078E0"/>
    <w:rsid w:val="00307A3D"/>
    <w:rsid w:val="003103DA"/>
    <w:rsid w:val="003117E0"/>
    <w:rsid w:val="0031223A"/>
    <w:rsid w:val="00312C3D"/>
    <w:rsid w:val="00313320"/>
    <w:rsid w:val="00313694"/>
    <w:rsid w:val="00314331"/>
    <w:rsid w:val="00316344"/>
    <w:rsid w:val="003166E8"/>
    <w:rsid w:val="00316C55"/>
    <w:rsid w:val="00317C76"/>
    <w:rsid w:val="00320214"/>
    <w:rsid w:val="003209D6"/>
    <w:rsid w:val="0032109A"/>
    <w:rsid w:val="00321330"/>
    <w:rsid w:val="0032214F"/>
    <w:rsid w:val="00322164"/>
    <w:rsid w:val="003229E0"/>
    <w:rsid w:val="00322B77"/>
    <w:rsid w:val="00323C30"/>
    <w:rsid w:val="003247BB"/>
    <w:rsid w:val="00324F61"/>
    <w:rsid w:val="0032513D"/>
    <w:rsid w:val="00325ED2"/>
    <w:rsid w:val="00326251"/>
    <w:rsid w:val="0032697E"/>
    <w:rsid w:val="00327290"/>
    <w:rsid w:val="00327DEE"/>
    <w:rsid w:val="00331BAC"/>
    <w:rsid w:val="003329CF"/>
    <w:rsid w:val="003329F3"/>
    <w:rsid w:val="00332E05"/>
    <w:rsid w:val="0033352E"/>
    <w:rsid w:val="00333690"/>
    <w:rsid w:val="00333D20"/>
    <w:rsid w:val="003340EF"/>
    <w:rsid w:val="0033446A"/>
    <w:rsid w:val="00334A49"/>
    <w:rsid w:val="00334C45"/>
    <w:rsid w:val="0033585F"/>
    <w:rsid w:val="00335BB0"/>
    <w:rsid w:val="0033627B"/>
    <w:rsid w:val="00336EAA"/>
    <w:rsid w:val="003406BD"/>
    <w:rsid w:val="003409C9"/>
    <w:rsid w:val="00343D5B"/>
    <w:rsid w:val="00343F84"/>
    <w:rsid w:val="00344135"/>
    <w:rsid w:val="00347DF6"/>
    <w:rsid w:val="00350B0A"/>
    <w:rsid w:val="00350D01"/>
    <w:rsid w:val="00350DED"/>
    <w:rsid w:val="00351A67"/>
    <w:rsid w:val="00351B63"/>
    <w:rsid w:val="00352B72"/>
    <w:rsid w:val="00352D04"/>
    <w:rsid w:val="00352E57"/>
    <w:rsid w:val="00353160"/>
    <w:rsid w:val="00353A57"/>
    <w:rsid w:val="00353B70"/>
    <w:rsid w:val="00353E12"/>
    <w:rsid w:val="003541B0"/>
    <w:rsid w:val="00354366"/>
    <w:rsid w:val="0035453D"/>
    <w:rsid w:val="00355885"/>
    <w:rsid w:val="00356033"/>
    <w:rsid w:val="0035605E"/>
    <w:rsid w:val="00357449"/>
    <w:rsid w:val="00360712"/>
    <w:rsid w:val="00361918"/>
    <w:rsid w:val="0036238B"/>
    <w:rsid w:val="0036243E"/>
    <w:rsid w:val="0036282B"/>
    <w:rsid w:val="00364943"/>
    <w:rsid w:val="003653B8"/>
    <w:rsid w:val="00365680"/>
    <w:rsid w:val="003657F3"/>
    <w:rsid w:val="00365A32"/>
    <w:rsid w:val="00366F12"/>
    <w:rsid w:val="003701F7"/>
    <w:rsid w:val="00370362"/>
    <w:rsid w:val="00370C57"/>
    <w:rsid w:val="003723F7"/>
    <w:rsid w:val="0037397C"/>
    <w:rsid w:val="0037462E"/>
    <w:rsid w:val="00374B10"/>
    <w:rsid w:val="00374F1E"/>
    <w:rsid w:val="00375F77"/>
    <w:rsid w:val="00376DEC"/>
    <w:rsid w:val="003771E5"/>
    <w:rsid w:val="00377A5A"/>
    <w:rsid w:val="0038075E"/>
    <w:rsid w:val="00380E04"/>
    <w:rsid w:val="00382658"/>
    <w:rsid w:val="00382D10"/>
    <w:rsid w:val="00384D8F"/>
    <w:rsid w:val="00385839"/>
    <w:rsid w:val="00385D98"/>
    <w:rsid w:val="00385EC5"/>
    <w:rsid w:val="00386029"/>
    <w:rsid w:val="0038634F"/>
    <w:rsid w:val="00386BD0"/>
    <w:rsid w:val="0039066E"/>
    <w:rsid w:val="0039073D"/>
    <w:rsid w:val="00391689"/>
    <w:rsid w:val="0039184B"/>
    <w:rsid w:val="00391C95"/>
    <w:rsid w:val="0039268B"/>
    <w:rsid w:val="00393241"/>
    <w:rsid w:val="00394261"/>
    <w:rsid w:val="00394448"/>
    <w:rsid w:val="00394659"/>
    <w:rsid w:val="00394AB2"/>
    <w:rsid w:val="00395378"/>
    <w:rsid w:val="00395B68"/>
    <w:rsid w:val="00396593"/>
    <w:rsid w:val="00396DAC"/>
    <w:rsid w:val="00397B3E"/>
    <w:rsid w:val="003A0214"/>
    <w:rsid w:val="003A0D5B"/>
    <w:rsid w:val="003A180C"/>
    <w:rsid w:val="003A1D17"/>
    <w:rsid w:val="003A1D74"/>
    <w:rsid w:val="003A2708"/>
    <w:rsid w:val="003A2B4D"/>
    <w:rsid w:val="003A2D2B"/>
    <w:rsid w:val="003A30EF"/>
    <w:rsid w:val="003A3B1C"/>
    <w:rsid w:val="003A478C"/>
    <w:rsid w:val="003A49F1"/>
    <w:rsid w:val="003A4F82"/>
    <w:rsid w:val="003A52B4"/>
    <w:rsid w:val="003A5525"/>
    <w:rsid w:val="003A6209"/>
    <w:rsid w:val="003A6B38"/>
    <w:rsid w:val="003B0002"/>
    <w:rsid w:val="003B1109"/>
    <w:rsid w:val="003B125D"/>
    <w:rsid w:val="003B1454"/>
    <w:rsid w:val="003B2E63"/>
    <w:rsid w:val="003B3189"/>
    <w:rsid w:val="003B3932"/>
    <w:rsid w:val="003B39C4"/>
    <w:rsid w:val="003B3A9D"/>
    <w:rsid w:val="003B4102"/>
    <w:rsid w:val="003B4442"/>
    <w:rsid w:val="003B5031"/>
    <w:rsid w:val="003B50F0"/>
    <w:rsid w:val="003B5A32"/>
    <w:rsid w:val="003B5E1D"/>
    <w:rsid w:val="003B6105"/>
    <w:rsid w:val="003B6C43"/>
    <w:rsid w:val="003B7F51"/>
    <w:rsid w:val="003C03C7"/>
    <w:rsid w:val="003C04C4"/>
    <w:rsid w:val="003C0CB8"/>
    <w:rsid w:val="003C26F4"/>
    <w:rsid w:val="003C2D85"/>
    <w:rsid w:val="003C383F"/>
    <w:rsid w:val="003C4852"/>
    <w:rsid w:val="003C6715"/>
    <w:rsid w:val="003C6F0F"/>
    <w:rsid w:val="003C7D80"/>
    <w:rsid w:val="003D0125"/>
    <w:rsid w:val="003D10C7"/>
    <w:rsid w:val="003D34B4"/>
    <w:rsid w:val="003D3600"/>
    <w:rsid w:val="003D3825"/>
    <w:rsid w:val="003D4760"/>
    <w:rsid w:val="003D717B"/>
    <w:rsid w:val="003D78A5"/>
    <w:rsid w:val="003E0663"/>
    <w:rsid w:val="003E133F"/>
    <w:rsid w:val="003E193E"/>
    <w:rsid w:val="003E31B2"/>
    <w:rsid w:val="003E41E3"/>
    <w:rsid w:val="003E59FD"/>
    <w:rsid w:val="003E68BC"/>
    <w:rsid w:val="003E696D"/>
    <w:rsid w:val="003E699C"/>
    <w:rsid w:val="003E69F3"/>
    <w:rsid w:val="003E7136"/>
    <w:rsid w:val="003E7419"/>
    <w:rsid w:val="003E782E"/>
    <w:rsid w:val="003E7A0B"/>
    <w:rsid w:val="003E7B05"/>
    <w:rsid w:val="003F0686"/>
    <w:rsid w:val="003F0E4E"/>
    <w:rsid w:val="003F2B0A"/>
    <w:rsid w:val="003F313C"/>
    <w:rsid w:val="003F37FC"/>
    <w:rsid w:val="003F3FC2"/>
    <w:rsid w:val="003F49A6"/>
    <w:rsid w:val="003F4E1F"/>
    <w:rsid w:val="003F5098"/>
    <w:rsid w:val="003F5568"/>
    <w:rsid w:val="003F5A95"/>
    <w:rsid w:val="003F6D19"/>
    <w:rsid w:val="003F76D5"/>
    <w:rsid w:val="004000D5"/>
    <w:rsid w:val="00400571"/>
    <w:rsid w:val="00401716"/>
    <w:rsid w:val="00401B7F"/>
    <w:rsid w:val="00401CA8"/>
    <w:rsid w:val="00402C25"/>
    <w:rsid w:val="00403598"/>
    <w:rsid w:val="004050D7"/>
    <w:rsid w:val="00405E1A"/>
    <w:rsid w:val="00407373"/>
    <w:rsid w:val="004078BD"/>
    <w:rsid w:val="00410132"/>
    <w:rsid w:val="004109BF"/>
    <w:rsid w:val="0041187E"/>
    <w:rsid w:val="004123BE"/>
    <w:rsid w:val="004131C3"/>
    <w:rsid w:val="004138DE"/>
    <w:rsid w:val="00414CE5"/>
    <w:rsid w:val="00416673"/>
    <w:rsid w:val="004168FC"/>
    <w:rsid w:val="004170FE"/>
    <w:rsid w:val="00417C5B"/>
    <w:rsid w:val="00420A35"/>
    <w:rsid w:val="0042160D"/>
    <w:rsid w:val="00422179"/>
    <w:rsid w:val="004223D7"/>
    <w:rsid w:val="00422776"/>
    <w:rsid w:val="00422CBD"/>
    <w:rsid w:val="00426775"/>
    <w:rsid w:val="0042681B"/>
    <w:rsid w:val="00426CEE"/>
    <w:rsid w:val="004274DD"/>
    <w:rsid w:val="0043068A"/>
    <w:rsid w:val="004306E0"/>
    <w:rsid w:val="00431862"/>
    <w:rsid w:val="004329BE"/>
    <w:rsid w:val="00432BEA"/>
    <w:rsid w:val="00432C5E"/>
    <w:rsid w:val="00434FA3"/>
    <w:rsid w:val="00435D30"/>
    <w:rsid w:val="004360E1"/>
    <w:rsid w:val="00436125"/>
    <w:rsid w:val="00436694"/>
    <w:rsid w:val="0043752B"/>
    <w:rsid w:val="00437C76"/>
    <w:rsid w:val="00442AAC"/>
    <w:rsid w:val="004441A0"/>
    <w:rsid w:val="004443BF"/>
    <w:rsid w:val="004444CA"/>
    <w:rsid w:val="004463F7"/>
    <w:rsid w:val="00446892"/>
    <w:rsid w:val="00446EE5"/>
    <w:rsid w:val="00450C30"/>
    <w:rsid w:val="00451A03"/>
    <w:rsid w:val="00454492"/>
    <w:rsid w:val="004546B2"/>
    <w:rsid w:val="00455ECA"/>
    <w:rsid w:val="00460164"/>
    <w:rsid w:val="004601C1"/>
    <w:rsid w:val="0046039A"/>
    <w:rsid w:val="00461977"/>
    <w:rsid w:val="00461A44"/>
    <w:rsid w:val="004629FD"/>
    <w:rsid w:val="00463F4D"/>
    <w:rsid w:val="004643C6"/>
    <w:rsid w:val="00465019"/>
    <w:rsid w:val="0046613F"/>
    <w:rsid w:val="0046655D"/>
    <w:rsid w:val="00466B34"/>
    <w:rsid w:val="004672DC"/>
    <w:rsid w:val="00467606"/>
    <w:rsid w:val="0046765E"/>
    <w:rsid w:val="004676E2"/>
    <w:rsid w:val="00467F47"/>
    <w:rsid w:val="004701B6"/>
    <w:rsid w:val="00470CC7"/>
    <w:rsid w:val="00470CCA"/>
    <w:rsid w:val="00470F69"/>
    <w:rsid w:val="00471EDD"/>
    <w:rsid w:val="0047400C"/>
    <w:rsid w:val="004749D9"/>
    <w:rsid w:val="0047575B"/>
    <w:rsid w:val="00476D29"/>
    <w:rsid w:val="00477A06"/>
    <w:rsid w:val="00477EAF"/>
    <w:rsid w:val="00477EE0"/>
    <w:rsid w:val="004801DD"/>
    <w:rsid w:val="00480FAB"/>
    <w:rsid w:val="0048139F"/>
    <w:rsid w:val="004827FE"/>
    <w:rsid w:val="00483ABA"/>
    <w:rsid w:val="00484118"/>
    <w:rsid w:val="00486283"/>
    <w:rsid w:val="0048697B"/>
    <w:rsid w:val="004879E9"/>
    <w:rsid w:val="004902E2"/>
    <w:rsid w:val="00490988"/>
    <w:rsid w:val="00491218"/>
    <w:rsid w:val="00493362"/>
    <w:rsid w:val="00493907"/>
    <w:rsid w:val="00494583"/>
    <w:rsid w:val="00494D91"/>
    <w:rsid w:val="00494FA0"/>
    <w:rsid w:val="00495C38"/>
    <w:rsid w:val="00495D8B"/>
    <w:rsid w:val="00495EF3"/>
    <w:rsid w:val="00496C2F"/>
    <w:rsid w:val="0049740D"/>
    <w:rsid w:val="004A269A"/>
    <w:rsid w:val="004A29F2"/>
    <w:rsid w:val="004A30FB"/>
    <w:rsid w:val="004A332A"/>
    <w:rsid w:val="004A35DD"/>
    <w:rsid w:val="004A37D3"/>
    <w:rsid w:val="004A3E0F"/>
    <w:rsid w:val="004A48EE"/>
    <w:rsid w:val="004A5864"/>
    <w:rsid w:val="004A5865"/>
    <w:rsid w:val="004A5972"/>
    <w:rsid w:val="004A604A"/>
    <w:rsid w:val="004A6C74"/>
    <w:rsid w:val="004A77DF"/>
    <w:rsid w:val="004B0295"/>
    <w:rsid w:val="004B040D"/>
    <w:rsid w:val="004B097B"/>
    <w:rsid w:val="004B29CD"/>
    <w:rsid w:val="004B3555"/>
    <w:rsid w:val="004B3CB7"/>
    <w:rsid w:val="004B3D55"/>
    <w:rsid w:val="004B4B15"/>
    <w:rsid w:val="004B4B5B"/>
    <w:rsid w:val="004B55B7"/>
    <w:rsid w:val="004B5763"/>
    <w:rsid w:val="004B6337"/>
    <w:rsid w:val="004B7046"/>
    <w:rsid w:val="004B78E8"/>
    <w:rsid w:val="004C00A6"/>
    <w:rsid w:val="004C0BBB"/>
    <w:rsid w:val="004C3867"/>
    <w:rsid w:val="004C3A73"/>
    <w:rsid w:val="004C4CD0"/>
    <w:rsid w:val="004C4D26"/>
    <w:rsid w:val="004C5160"/>
    <w:rsid w:val="004C5568"/>
    <w:rsid w:val="004C557A"/>
    <w:rsid w:val="004C57B5"/>
    <w:rsid w:val="004C5C25"/>
    <w:rsid w:val="004C5EFF"/>
    <w:rsid w:val="004C6CFF"/>
    <w:rsid w:val="004C6ED6"/>
    <w:rsid w:val="004C70DC"/>
    <w:rsid w:val="004C7268"/>
    <w:rsid w:val="004C7326"/>
    <w:rsid w:val="004C7337"/>
    <w:rsid w:val="004D0211"/>
    <w:rsid w:val="004D04C0"/>
    <w:rsid w:val="004D1AEF"/>
    <w:rsid w:val="004D1C9C"/>
    <w:rsid w:val="004D504B"/>
    <w:rsid w:val="004D536E"/>
    <w:rsid w:val="004D5A97"/>
    <w:rsid w:val="004D726E"/>
    <w:rsid w:val="004D7B6B"/>
    <w:rsid w:val="004E0040"/>
    <w:rsid w:val="004E1494"/>
    <w:rsid w:val="004E18BB"/>
    <w:rsid w:val="004E2868"/>
    <w:rsid w:val="004E317A"/>
    <w:rsid w:val="004E4116"/>
    <w:rsid w:val="004E4A75"/>
    <w:rsid w:val="004E4AC0"/>
    <w:rsid w:val="004E541A"/>
    <w:rsid w:val="004E5A5C"/>
    <w:rsid w:val="004E5B4E"/>
    <w:rsid w:val="004E5FE8"/>
    <w:rsid w:val="004E762E"/>
    <w:rsid w:val="004E76D6"/>
    <w:rsid w:val="004E7AF6"/>
    <w:rsid w:val="004F03A7"/>
    <w:rsid w:val="004F06F5"/>
    <w:rsid w:val="004F0E46"/>
    <w:rsid w:val="004F11DB"/>
    <w:rsid w:val="004F146A"/>
    <w:rsid w:val="004F191F"/>
    <w:rsid w:val="004F2A73"/>
    <w:rsid w:val="004F33A0"/>
    <w:rsid w:val="004F447D"/>
    <w:rsid w:val="004F4853"/>
    <w:rsid w:val="004F4C28"/>
    <w:rsid w:val="004F5CC5"/>
    <w:rsid w:val="004F7D36"/>
    <w:rsid w:val="005016AC"/>
    <w:rsid w:val="00501ABE"/>
    <w:rsid w:val="0050286E"/>
    <w:rsid w:val="00504FF6"/>
    <w:rsid w:val="005058A8"/>
    <w:rsid w:val="00505923"/>
    <w:rsid w:val="00510189"/>
    <w:rsid w:val="0051032E"/>
    <w:rsid w:val="005108C0"/>
    <w:rsid w:val="00511873"/>
    <w:rsid w:val="0051266C"/>
    <w:rsid w:val="00512F27"/>
    <w:rsid w:val="00513818"/>
    <w:rsid w:val="00513B7E"/>
    <w:rsid w:val="00514474"/>
    <w:rsid w:val="00514E78"/>
    <w:rsid w:val="005172F4"/>
    <w:rsid w:val="005202E0"/>
    <w:rsid w:val="005215EF"/>
    <w:rsid w:val="00522CB5"/>
    <w:rsid w:val="00522FDA"/>
    <w:rsid w:val="005231C6"/>
    <w:rsid w:val="00523C8D"/>
    <w:rsid w:val="00525137"/>
    <w:rsid w:val="005251DD"/>
    <w:rsid w:val="005277C5"/>
    <w:rsid w:val="0053017A"/>
    <w:rsid w:val="00530492"/>
    <w:rsid w:val="00530D8D"/>
    <w:rsid w:val="00530FEF"/>
    <w:rsid w:val="005311D6"/>
    <w:rsid w:val="00531F2C"/>
    <w:rsid w:val="00532AB1"/>
    <w:rsid w:val="00532C18"/>
    <w:rsid w:val="00533796"/>
    <w:rsid w:val="005339BC"/>
    <w:rsid w:val="00533C24"/>
    <w:rsid w:val="0053448E"/>
    <w:rsid w:val="00534675"/>
    <w:rsid w:val="00535359"/>
    <w:rsid w:val="005357A2"/>
    <w:rsid w:val="00535A51"/>
    <w:rsid w:val="00535BCB"/>
    <w:rsid w:val="00535EF0"/>
    <w:rsid w:val="00537171"/>
    <w:rsid w:val="0053734B"/>
    <w:rsid w:val="00537AFD"/>
    <w:rsid w:val="00537CB4"/>
    <w:rsid w:val="00540A0C"/>
    <w:rsid w:val="00540BBC"/>
    <w:rsid w:val="00541E59"/>
    <w:rsid w:val="00542686"/>
    <w:rsid w:val="0054268D"/>
    <w:rsid w:val="005426C1"/>
    <w:rsid w:val="005431DC"/>
    <w:rsid w:val="00544EA1"/>
    <w:rsid w:val="00550B47"/>
    <w:rsid w:val="005513D5"/>
    <w:rsid w:val="005523B9"/>
    <w:rsid w:val="00552887"/>
    <w:rsid w:val="00553225"/>
    <w:rsid w:val="00553D09"/>
    <w:rsid w:val="005545E0"/>
    <w:rsid w:val="00554865"/>
    <w:rsid w:val="00554E57"/>
    <w:rsid w:val="00555182"/>
    <w:rsid w:val="00555944"/>
    <w:rsid w:val="00557D10"/>
    <w:rsid w:val="0056048E"/>
    <w:rsid w:val="0056105B"/>
    <w:rsid w:val="00561CBF"/>
    <w:rsid w:val="00562749"/>
    <w:rsid w:val="00562DE9"/>
    <w:rsid w:val="005638A5"/>
    <w:rsid w:val="00564286"/>
    <w:rsid w:val="00566381"/>
    <w:rsid w:val="0056667C"/>
    <w:rsid w:val="00566A03"/>
    <w:rsid w:val="00566C62"/>
    <w:rsid w:val="005718E3"/>
    <w:rsid w:val="00572DA2"/>
    <w:rsid w:val="00574240"/>
    <w:rsid w:val="0057459E"/>
    <w:rsid w:val="00574F14"/>
    <w:rsid w:val="00575BE3"/>
    <w:rsid w:val="00575CDC"/>
    <w:rsid w:val="0058053D"/>
    <w:rsid w:val="00580E2E"/>
    <w:rsid w:val="00582178"/>
    <w:rsid w:val="00582677"/>
    <w:rsid w:val="00583078"/>
    <w:rsid w:val="00583D5B"/>
    <w:rsid w:val="00583FFD"/>
    <w:rsid w:val="00587B35"/>
    <w:rsid w:val="00587CCD"/>
    <w:rsid w:val="00590528"/>
    <w:rsid w:val="005908AE"/>
    <w:rsid w:val="0059176E"/>
    <w:rsid w:val="00591A22"/>
    <w:rsid w:val="005925A8"/>
    <w:rsid w:val="00593152"/>
    <w:rsid w:val="00593CA3"/>
    <w:rsid w:val="00594161"/>
    <w:rsid w:val="005947A6"/>
    <w:rsid w:val="00594969"/>
    <w:rsid w:val="00594D56"/>
    <w:rsid w:val="00594EAA"/>
    <w:rsid w:val="00595A95"/>
    <w:rsid w:val="00596C5E"/>
    <w:rsid w:val="00596F4F"/>
    <w:rsid w:val="005974BB"/>
    <w:rsid w:val="005977BA"/>
    <w:rsid w:val="00597827"/>
    <w:rsid w:val="0059787F"/>
    <w:rsid w:val="00597C5E"/>
    <w:rsid w:val="005A08BD"/>
    <w:rsid w:val="005A1C19"/>
    <w:rsid w:val="005A1CEC"/>
    <w:rsid w:val="005A21E0"/>
    <w:rsid w:val="005A23B5"/>
    <w:rsid w:val="005A33A1"/>
    <w:rsid w:val="005A5497"/>
    <w:rsid w:val="005A54EE"/>
    <w:rsid w:val="005A5884"/>
    <w:rsid w:val="005A6E4A"/>
    <w:rsid w:val="005A7500"/>
    <w:rsid w:val="005A785E"/>
    <w:rsid w:val="005B1BDB"/>
    <w:rsid w:val="005B310D"/>
    <w:rsid w:val="005B3247"/>
    <w:rsid w:val="005B3409"/>
    <w:rsid w:val="005B34D1"/>
    <w:rsid w:val="005B366C"/>
    <w:rsid w:val="005B3B37"/>
    <w:rsid w:val="005B4A14"/>
    <w:rsid w:val="005B55C6"/>
    <w:rsid w:val="005B6AFE"/>
    <w:rsid w:val="005B7B12"/>
    <w:rsid w:val="005C1495"/>
    <w:rsid w:val="005C1D5E"/>
    <w:rsid w:val="005C2412"/>
    <w:rsid w:val="005C3084"/>
    <w:rsid w:val="005C3588"/>
    <w:rsid w:val="005C3F9F"/>
    <w:rsid w:val="005C4A94"/>
    <w:rsid w:val="005C4B5D"/>
    <w:rsid w:val="005C53CB"/>
    <w:rsid w:val="005C59F6"/>
    <w:rsid w:val="005C760A"/>
    <w:rsid w:val="005C7F1E"/>
    <w:rsid w:val="005D1508"/>
    <w:rsid w:val="005D1AF2"/>
    <w:rsid w:val="005D4067"/>
    <w:rsid w:val="005D5802"/>
    <w:rsid w:val="005D5A35"/>
    <w:rsid w:val="005D5B8F"/>
    <w:rsid w:val="005D5D32"/>
    <w:rsid w:val="005D5F92"/>
    <w:rsid w:val="005D6CFC"/>
    <w:rsid w:val="005D71E0"/>
    <w:rsid w:val="005D73E2"/>
    <w:rsid w:val="005E04A2"/>
    <w:rsid w:val="005E0D10"/>
    <w:rsid w:val="005E0F80"/>
    <w:rsid w:val="005E1641"/>
    <w:rsid w:val="005E1E4B"/>
    <w:rsid w:val="005E24EF"/>
    <w:rsid w:val="005E362D"/>
    <w:rsid w:val="005E492C"/>
    <w:rsid w:val="005E4BAA"/>
    <w:rsid w:val="005E5724"/>
    <w:rsid w:val="005E5B56"/>
    <w:rsid w:val="005E5E2D"/>
    <w:rsid w:val="005E6B78"/>
    <w:rsid w:val="005E74B2"/>
    <w:rsid w:val="005F03D8"/>
    <w:rsid w:val="005F0BB0"/>
    <w:rsid w:val="005F2F28"/>
    <w:rsid w:val="005F358F"/>
    <w:rsid w:val="005F4057"/>
    <w:rsid w:val="005F4088"/>
    <w:rsid w:val="005F6119"/>
    <w:rsid w:val="00600A3D"/>
    <w:rsid w:val="0060107A"/>
    <w:rsid w:val="0060154D"/>
    <w:rsid w:val="006016B1"/>
    <w:rsid w:val="00601AFF"/>
    <w:rsid w:val="00602D1D"/>
    <w:rsid w:val="006031A6"/>
    <w:rsid w:val="006038F7"/>
    <w:rsid w:val="00604307"/>
    <w:rsid w:val="0060487F"/>
    <w:rsid w:val="006059EB"/>
    <w:rsid w:val="0060616C"/>
    <w:rsid w:val="00606B93"/>
    <w:rsid w:val="006118AA"/>
    <w:rsid w:val="006125CA"/>
    <w:rsid w:val="00612CCA"/>
    <w:rsid w:val="00613EF5"/>
    <w:rsid w:val="006143E7"/>
    <w:rsid w:val="00614460"/>
    <w:rsid w:val="006153E3"/>
    <w:rsid w:val="006158DF"/>
    <w:rsid w:val="00616CD8"/>
    <w:rsid w:val="00617557"/>
    <w:rsid w:val="00617D2D"/>
    <w:rsid w:val="00617D83"/>
    <w:rsid w:val="00617F45"/>
    <w:rsid w:val="00620AC5"/>
    <w:rsid w:val="00621575"/>
    <w:rsid w:val="006215FC"/>
    <w:rsid w:val="006216A3"/>
    <w:rsid w:val="00622166"/>
    <w:rsid w:val="0062290D"/>
    <w:rsid w:val="00623800"/>
    <w:rsid w:val="00624093"/>
    <w:rsid w:val="00626328"/>
    <w:rsid w:val="00626CE6"/>
    <w:rsid w:val="00627CE0"/>
    <w:rsid w:val="00627F84"/>
    <w:rsid w:val="00630F66"/>
    <w:rsid w:val="006311EF"/>
    <w:rsid w:val="0063332A"/>
    <w:rsid w:val="006347F9"/>
    <w:rsid w:val="00634C90"/>
    <w:rsid w:val="006350ED"/>
    <w:rsid w:val="00635E79"/>
    <w:rsid w:val="00637306"/>
    <w:rsid w:val="0063756F"/>
    <w:rsid w:val="006404A7"/>
    <w:rsid w:val="006407F3"/>
    <w:rsid w:val="00640C2B"/>
    <w:rsid w:val="00642977"/>
    <w:rsid w:val="00643175"/>
    <w:rsid w:val="006444E7"/>
    <w:rsid w:val="00644C5B"/>
    <w:rsid w:val="00644E74"/>
    <w:rsid w:val="006451E4"/>
    <w:rsid w:val="006460B8"/>
    <w:rsid w:val="00651D5D"/>
    <w:rsid w:val="006520C7"/>
    <w:rsid w:val="00652C32"/>
    <w:rsid w:val="006530B8"/>
    <w:rsid w:val="006535D6"/>
    <w:rsid w:val="00655F7D"/>
    <w:rsid w:val="006573BB"/>
    <w:rsid w:val="006578B8"/>
    <w:rsid w:val="00657E87"/>
    <w:rsid w:val="00660206"/>
    <w:rsid w:val="00660265"/>
    <w:rsid w:val="00660457"/>
    <w:rsid w:val="00660E1E"/>
    <w:rsid w:val="006625BA"/>
    <w:rsid w:val="00663662"/>
    <w:rsid w:val="006637B1"/>
    <w:rsid w:val="00663BFD"/>
    <w:rsid w:val="00664C40"/>
    <w:rsid w:val="00665D67"/>
    <w:rsid w:val="00665D77"/>
    <w:rsid w:val="006660CD"/>
    <w:rsid w:val="00667556"/>
    <w:rsid w:val="006676D0"/>
    <w:rsid w:val="00667C83"/>
    <w:rsid w:val="00670300"/>
    <w:rsid w:val="00670CA8"/>
    <w:rsid w:val="006710C9"/>
    <w:rsid w:val="00671437"/>
    <w:rsid w:val="00672256"/>
    <w:rsid w:val="006741D9"/>
    <w:rsid w:val="00674FAC"/>
    <w:rsid w:val="00675120"/>
    <w:rsid w:val="00675D35"/>
    <w:rsid w:val="00675E37"/>
    <w:rsid w:val="006762AC"/>
    <w:rsid w:val="00676531"/>
    <w:rsid w:val="00676E82"/>
    <w:rsid w:val="00680292"/>
    <w:rsid w:val="0068260E"/>
    <w:rsid w:val="006836E2"/>
    <w:rsid w:val="0068373D"/>
    <w:rsid w:val="00683BFE"/>
    <w:rsid w:val="0068416C"/>
    <w:rsid w:val="00685E66"/>
    <w:rsid w:val="0068672C"/>
    <w:rsid w:val="00686B72"/>
    <w:rsid w:val="00686D87"/>
    <w:rsid w:val="00690A09"/>
    <w:rsid w:val="00692418"/>
    <w:rsid w:val="00692D61"/>
    <w:rsid w:val="00693FEA"/>
    <w:rsid w:val="006945AA"/>
    <w:rsid w:val="006945DF"/>
    <w:rsid w:val="00694B93"/>
    <w:rsid w:val="00695170"/>
    <w:rsid w:val="00695BEF"/>
    <w:rsid w:val="006960D6"/>
    <w:rsid w:val="00696AA5"/>
    <w:rsid w:val="006977F6"/>
    <w:rsid w:val="00697A13"/>
    <w:rsid w:val="006A0A8D"/>
    <w:rsid w:val="006A109C"/>
    <w:rsid w:val="006A1A80"/>
    <w:rsid w:val="006A3B4D"/>
    <w:rsid w:val="006A456E"/>
    <w:rsid w:val="006A672B"/>
    <w:rsid w:val="006B05C6"/>
    <w:rsid w:val="006B0978"/>
    <w:rsid w:val="006B2EE3"/>
    <w:rsid w:val="006B38E0"/>
    <w:rsid w:val="006B3F8A"/>
    <w:rsid w:val="006B5CA3"/>
    <w:rsid w:val="006B6A7E"/>
    <w:rsid w:val="006B6CEE"/>
    <w:rsid w:val="006B78D8"/>
    <w:rsid w:val="006C090F"/>
    <w:rsid w:val="006C113F"/>
    <w:rsid w:val="006C23CB"/>
    <w:rsid w:val="006C2A26"/>
    <w:rsid w:val="006C38DD"/>
    <w:rsid w:val="006C437B"/>
    <w:rsid w:val="006C4BB5"/>
    <w:rsid w:val="006C5561"/>
    <w:rsid w:val="006C5577"/>
    <w:rsid w:val="006C559A"/>
    <w:rsid w:val="006C58FA"/>
    <w:rsid w:val="006D042D"/>
    <w:rsid w:val="006D06EF"/>
    <w:rsid w:val="006D07DB"/>
    <w:rsid w:val="006D090F"/>
    <w:rsid w:val="006D15EB"/>
    <w:rsid w:val="006D1D8E"/>
    <w:rsid w:val="006D41A6"/>
    <w:rsid w:val="006D4FC9"/>
    <w:rsid w:val="006D61F6"/>
    <w:rsid w:val="006D6AF7"/>
    <w:rsid w:val="006D704E"/>
    <w:rsid w:val="006E157B"/>
    <w:rsid w:val="006E15C0"/>
    <w:rsid w:val="006E15CB"/>
    <w:rsid w:val="006E1F4C"/>
    <w:rsid w:val="006E279A"/>
    <w:rsid w:val="006E2964"/>
    <w:rsid w:val="006E2F3F"/>
    <w:rsid w:val="006E313B"/>
    <w:rsid w:val="006E32B9"/>
    <w:rsid w:val="006E442A"/>
    <w:rsid w:val="006E5875"/>
    <w:rsid w:val="006E5CFD"/>
    <w:rsid w:val="006E5F51"/>
    <w:rsid w:val="006E62CA"/>
    <w:rsid w:val="006E6701"/>
    <w:rsid w:val="006E73B9"/>
    <w:rsid w:val="006F1411"/>
    <w:rsid w:val="006F1640"/>
    <w:rsid w:val="006F2BEE"/>
    <w:rsid w:val="006F3708"/>
    <w:rsid w:val="006F38BB"/>
    <w:rsid w:val="006F38C7"/>
    <w:rsid w:val="006F3E6B"/>
    <w:rsid w:val="006F4A59"/>
    <w:rsid w:val="006F4A60"/>
    <w:rsid w:val="006F4D1E"/>
    <w:rsid w:val="006F756C"/>
    <w:rsid w:val="006F75D2"/>
    <w:rsid w:val="00700B14"/>
    <w:rsid w:val="00700C69"/>
    <w:rsid w:val="00700F9B"/>
    <w:rsid w:val="007014C7"/>
    <w:rsid w:val="00701F7D"/>
    <w:rsid w:val="00702926"/>
    <w:rsid w:val="00702D6F"/>
    <w:rsid w:val="007039D1"/>
    <w:rsid w:val="007054B9"/>
    <w:rsid w:val="007058F0"/>
    <w:rsid w:val="00705D98"/>
    <w:rsid w:val="00706E5E"/>
    <w:rsid w:val="00707891"/>
    <w:rsid w:val="00707D58"/>
    <w:rsid w:val="007115E4"/>
    <w:rsid w:val="00711EF1"/>
    <w:rsid w:val="0071229A"/>
    <w:rsid w:val="007146CC"/>
    <w:rsid w:val="00714815"/>
    <w:rsid w:val="007168D3"/>
    <w:rsid w:val="007177F5"/>
    <w:rsid w:val="00717F72"/>
    <w:rsid w:val="00720FA2"/>
    <w:rsid w:val="007211F5"/>
    <w:rsid w:val="00721268"/>
    <w:rsid w:val="0072169E"/>
    <w:rsid w:val="00723014"/>
    <w:rsid w:val="00723C09"/>
    <w:rsid w:val="00723F20"/>
    <w:rsid w:val="0072459F"/>
    <w:rsid w:val="00724666"/>
    <w:rsid w:val="0072472C"/>
    <w:rsid w:val="007253C1"/>
    <w:rsid w:val="00725409"/>
    <w:rsid w:val="00725534"/>
    <w:rsid w:val="00726043"/>
    <w:rsid w:val="0072704A"/>
    <w:rsid w:val="00730AE8"/>
    <w:rsid w:val="00732475"/>
    <w:rsid w:val="00733482"/>
    <w:rsid w:val="00733D4F"/>
    <w:rsid w:val="00734321"/>
    <w:rsid w:val="00734D71"/>
    <w:rsid w:val="007351BA"/>
    <w:rsid w:val="0073572E"/>
    <w:rsid w:val="007363A9"/>
    <w:rsid w:val="00736EB6"/>
    <w:rsid w:val="00740652"/>
    <w:rsid w:val="00740F02"/>
    <w:rsid w:val="00740FEC"/>
    <w:rsid w:val="00741493"/>
    <w:rsid w:val="007422AE"/>
    <w:rsid w:val="007426B3"/>
    <w:rsid w:val="007426FD"/>
    <w:rsid w:val="00742D7C"/>
    <w:rsid w:val="00743AE1"/>
    <w:rsid w:val="00744376"/>
    <w:rsid w:val="007449EA"/>
    <w:rsid w:val="007457CF"/>
    <w:rsid w:val="00746426"/>
    <w:rsid w:val="00746DD9"/>
    <w:rsid w:val="00747567"/>
    <w:rsid w:val="0075023D"/>
    <w:rsid w:val="00750310"/>
    <w:rsid w:val="0075057A"/>
    <w:rsid w:val="00751771"/>
    <w:rsid w:val="00751BFF"/>
    <w:rsid w:val="00751D88"/>
    <w:rsid w:val="00751EA2"/>
    <w:rsid w:val="00752180"/>
    <w:rsid w:val="007521A1"/>
    <w:rsid w:val="0075245C"/>
    <w:rsid w:val="0075315D"/>
    <w:rsid w:val="00754253"/>
    <w:rsid w:val="00754A13"/>
    <w:rsid w:val="007558D3"/>
    <w:rsid w:val="00755D3A"/>
    <w:rsid w:val="00755E71"/>
    <w:rsid w:val="007563E7"/>
    <w:rsid w:val="00756B64"/>
    <w:rsid w:val="00760141"/>
    <w:rsid w:val="007609C6"/>
    <w:rsid w:val="007610A0"/>
    <w:rsid w:val="007620F2"/>
    <w:rsid w:val="00764561"/>
    <w:rsid w:val="00764664"/>
    <w:rsid w:val="007655B1"/>
    <w:rsid w:val="007657B9"/>
    <w:rsid w:val="00765CCE"/>
    <w:rsid w:val="00766FF7"/>
    <w:rsid w:val="007673B7"/>
    <w:rsid w:val="007674C6"/>
    <w:rsid w:val="00767EBF"/>
    <w:rsid w:val="00771236"/>
    <w:rsid w:val="00772F26"/>
    <w:rsid w:val="00774665"/>
    <w:rsid w:val="00774782"/>
    <w:rsid w:val="007751CB"/>
    <w:rsid w:val="00776527"/>
    <w:rsid w:val="007768E3"/>
    <w:rsid w:val="00777765"/>
    <w:rsid w:val="00780B8F"/>
    <w:rsid w:val="00781249"/>
    <w:rsid w:val="0078134E"/>
    <w:rsid w:val="00781834"/>
    <w:rsid w:val="00781FA0"/>
    <w:rsid w:val="007821DB"/>
    <w:rsid w:val="007824A8"/>
    <w:rsid w:val="007825C5"/>
    <w:rsid w:val="00782818"/>
    <w:rsid w:val="007835F2"/>
    <w:rsid w:val="0078406B"/>
    <w:rsid w:val="00784C4A"/>
    <w:rsid w:val="0078561F"/>
    <w:rsid w:val="00785CFB"/>
    <w:rsid w:val="00786DA5"/>
    <w:rsid w:val="00787432"/>
    <w:rsid w:val="007879F2"/>
    <w:rsid w:val="0079033C"/>
    <w:rsid w:val="007910AE"/>
    <w:rsid w:val="00791CF8"/>
    <w:rsid w:val="00793BAE"/>
    <w:rsid w:val="00794E0A"/>
    <w:rsid w:val="007958EA"/>
    <w:rsid w:val="00796187"/>
    <w:rsid w:val="00796642"/>
    <w:rsid w:val="00796BC7"/>
    <w:rsid w:val="007977D7"/>
    <w:rsid w:val="00797802"/>
    <w:rsid w:val="00797AD0"/>
    <w:rsid w:val="007A07C6"/>
    <w:rsid w:val="007A0F38"/>
    <w:rsid w:val="007A155D"/>
    <w:rsid w:val="007A28DB"/>
    <w:rsid w:val="007A2959"/>
    <w:rsid w:val="007A2C57"/>
    <w:rsid w:val="007A327B"/>
    <w:rsid w:val="007A4606"/>
    <w:rsid w:val="007A69E3"/>
    <w:rsid w:val="007A7353"/>
    <w:rsid w:val="007B3DCC"/>
    <w:rsid w:val="007B4518"/>
    <w:rsid w:val="007B5031"/>
    <w:rsid w:val="007B5182"/>
    <w:rsid w:val="007B573F"/>
    <w:rsid w:val="007B6FDA"/>
    <w:rsid w:val="007B7A79"/>
    <w:rsid w:val="007C2CBA"/>
    <w:rsid w:val="007C4691"/>
    <w:rsid w:val="007C471B"/>
    <w:rsid w:val="007C55AE"/>
    <w:rsid w:val="007C6743"/>
    <w:rsid w:val="007C6BAA"/>
    <w:rsid w:val="007C7BEA"/>
    <w:rsid w:val="007D2051"/>
    <w:rsid w:val="007D2AD8"/>
    <w:rsid w:val="007D2C47"/>
    <w:rsid w:val="007D2E0E"/>
    <w:rsid w:val="007D44C3"/>
    <w:rsid w:val="007D7588"/>
    <w:rsid w:val="007D7DD8"/>
    <w:rsid w:val="007E07B7"/>
    <w:rsid w:val="007E0F4B"/>
    <w:rsid w:val="007E1E50"/>
    <w:rsid w:val="007E386C"/>
    <w:rsid w:val="007E6455"/>
    <w:rsid w:val="007E67F8"/>
    <w:rsid w:val="007E770F"/>
    <w:rsid w:val="007E7E61"/>
    <w:rsid w:val="007F0845"/>
    <w:rsid w:val="007F141A"/>
    <w:rsid w:val="007F14BC"/>
    <w:rsid w:val="007F16F9"/>
    <w:rsid w:val="007F5F14"/>
    <w:rsid w:val="007F61B3"/>
    <w:rsid w:val="007F7B54"/>
    <w:rsid w:val="007F7B6A"/>
    <w:rsid w:val="00800200"/>
    <w:rsid w:val="008004B5"/>
    <w:rsid w:val="008005D7"/>
    <w:rsid w:val="00801FDD"/>
    <w:rsid w:val="0080255C"/>
    <w:rsid w:val="00803424"/>
    <w:rsid w:val="00804DDA"/>
    <w:rsid w:val="00805541"/>
    <w:rsid w:val="008056F7"/>
    <w:rsid w:val="008059A4"/>
    <w:rsid w:val="008064E9"/>
    <w:rsid w:val="0080673A"/>
    <w:rsid w:val="0080798B"/>
    <w:rsid w:val="00807A2C"/>
    <w:rsid w:val="008103D8"/>
    <w:rsid w:val="008109E4"/>
    <w:rsid w:val="00810A52"/>
    <w:rsid w:val="00811257"/>
    <w:rsid w:val="0081187C"/>
    <w:rsid w:val="00811E24"/>
    <w:rsid w:val="0081248B"/>
    <w:rsid w:val="008129BC"/>
    <w:rsid w:val="00812ACA"/>
    <w:rsid w:val="00812C6D"/>
    <w:rsid w:val="00812E2B"/>
    <w:rsid w:val="00813158"/>
    <w:rsid w:val="0081330F"/>
    <w:rsid w:val="00813A70"/>
    <w:rsid w:val="00813EB9"/>
    <w:rsid w:val="008155EA"/>
    <w:rsid w:val="00816259"/>
    <w:rsid w:val="0081645F"/>
    <w:rsid w:val="008178C2"/>
    <w:rsid w:val="008178CF"/>
    <w:rsid w:val="00817AE0"/>
    <w:rsid w:val="00817C98"/>
    <w:rsid w:val="00820C9F"/>
    <w:rsid w:val="00821FF6"/>
    <w:rsid w:val="00822495"/>
    <w:rsid w:val="00823F2C"/>
    <w:rsid w:val="0082409A"/>
    <w:rsid w:val="008241C2"/>
    <w:rsid w:val="008253B3"/>
    <w:rsid w:val="008254BD"/>
    <w:rsid w:val="008263CD"/>
    <w:rsid w:val="00826C6A"/>
    <w:rsid w:val="00826D34"/>
    <w:rsid w:val="00827181"/>
    <w:rsid w:val="00827746"/>
    <w:rsid w:val="0083143E"/>
    <w:rsid w:val="0083159D"/>
    <w:rsid w:val="008334C5"/>
    <w:rsid w:val="008336D8"/>
    <w:rsid w:val="008339C4"/>
    <w:rsid w:val="008341A6"/>
    <w:rsid w:val="00834996"/>
    <w:rsid w:val="00834F0A"/>
    <w:rsid w:val="00834FAA"/>
    <w:rsid w:val="00835172"/>
    <w:rsid w:val="008355C7"/>
    <w:rsid w:val="00835E23"/>
    <w:rsid w:val="00836086"/>
    <w:rsid w:val="008362FF"/>
    <w:rsid w:val="00837AE3"/>
    <w:rsid w:val="00841D9F"/>
    <w:rsid w:val="00842604"/>
    <w:rsid w:val="00843B81"/>
    <w:rsid w:val="00843D95"/>
    <w:rsid w:val="00843ECF"/>
    <w:rsid w:val="00846673"/>
    <w:rsid w:val="00846BD7"/>
    <w:rsid w:val="00847007"/>
    <w:rsid w:val="00850AC0"/>
    <w:rsid w:val="008518B7"/>
    <w:rsid w:val="008525DA"/>
    <w:rsid w:val="0085281A"/>
    <w:rsid w:val="0085317A"/>
    <w:rsid w:val="00853794"/>
    <w:rsid w:val="00853B1C"/>
    <w:rsid w:val="00853DA2"/>
    <w:rsid w:val="00853EAB"/>
    <w:rsid w:val="00853F4C"/>
    <w:rsid w:val="00853FFE"/>
    <w:rsid w:val="00854536"/>
    <w:rsid w:val="008545A1"/>
    <w:rsid w:val="00854865"/>
    <w:rsid w:val="008559FE"/>
    <w:rsid w:val="00855A99"/>
    <w:rsid w:val="00855C0D"/>
    <w:rsid w:val="0085695F"/>
    <w:rsid w:val="00857339"/>
    <w:rsid w:val="00860288"/>
    <w:rsid w:val="0086078C"/>
    <w:rsid w:val="008615C3"/>
    <w:rsid w:val="00862A7A"/>
    <w:rsid w:val="00863374"/>
    <w:rsid w:val="00863D9E"/>
    <w:rsid w:val="0086454F"/>
    <w:rsid w:val="008645E0"/>
    <w:rsid w:val="008665C1"/>
    <w:rsid w:val="008666C3"/>
    <w:rsid w:val="0086759F"/>
    <w:rsid w:val="00867C4F"/>
    <w:rsid w:val="00867E29"/>
    <w:rsid w:val="00867FCE"/>
    <w:rsid w:val="008705E3"/>
    <w:rsid w:val="00870F2B"/>
    <w:rsid w:val="00871002"/>
    <w:rsid w:val="0087129A"/>
    <w:rsid w:val="008715FE"/>
    <w:rsid w:val="00873DE7"/>
    <w:rsid w:val="008746E6"/>
    <w:rsid w:val="008752D2"/>
    <w:rsid w:val="00876086"/>
    <w:rsid w:val="008768D6"/>
    <w:rsid w:val="00876C5B"/>
    <w:rsid w:val="00877329"/>
    <w:rsid w:val="008775D1"/>
    <w:rsid w:val="008777BB"/>
    <w:rsid w:val="008806AE"/>
    <w:rsid w:val="00880D25"/>
    <w:rsid w:val="008828CE"/>
    <w:rsid w:val="008852B1"/>
    <w:rsid w:val="0088555A"/>
    <w:rsid w:val="008866C2"/>
    <w:rsid w:val="0088733A"/>
    <w:rsid w:val="00887AEB"/>
    <w:rsid w:val="00891BE0"/>
    <w:rsid w:val="008945A1"/>
    <w:rsid w:val="00894A63"/>
    <w:rsid w:val="008950AF"/>
    <w:rsid w:val="008954FA"/>
    <w:rsid w:val="0089588C"/>
    <w:rsid w:val="00895F20"/>
    <w:rsid w:val="0089668D"/>
    <w:rsid w:val="00896BDE"/>
    <w:rsid w:val="0089783D"/>
    <w:rsid w:val="00897C0E"/>
    <w:rsid w:val="008A03E6"/>
    <w:rsid w:val="008A0861"/>
    <w:rsid w:val="008A0BB2"/>
    <w:rsid w:val="008A133B"/>
    <w:rsid w:val="008A1A90"/>
    <w:rsid w:val="008A1AB3"/>
    <w:rsid w:val="008A1D5C"/>
    <w:rsid w:val="008A27A7"/>
    <w:rsid w:val="008A3292"/>
    <w:rsid w:val="008A3A85"/>
    <w:rsid w:val="008A43E9"/>
    <w:rsid w:val="008A48AC"/>
    <w:rsid w:val="008A4CB1"/>
    <w:rsid w:val="008A4EAC"/>
    <w:rsid w:val="008A57BD"/>
    <w:rsid w:val="008A5942"/>
    <w:rsid w:val="008A60BD"/>
    <w:rsid w:val="008A615E"/>
    <w:rsid w:val="008A632B"/>
    <w:rsid w:val="008A6BFE"/>
    <w:rsid w:val="008A6C36"/>
    <w:rsid w:val="008A6DFF"/>
    <w:rsid w:val="008A7CE6"/>
    <w:rsid w:val="008B0683"/>
    <w:rsid w:val="008B06EF"/>
    <w:rsid w:val="008B0C8B"/>
    <w:rsid w:val="008B190E"/>
    <w:rsid w:val="008B1A8A"/>
    <w:rsid w:val="008B2CB6"/>
    <w:rsid w:val="008B568A"/>
    <w:rsid w:val="008B7306"/>
    <w:rsid w:val="008B775F"/>
    <w:rsid w:val="008B7C02"/>
    <w:rsid w:val="008B7EF5"/>
    <w:rsid w:val="008B7F9E"/>
    <w:rsid w:val="008C0368"/>
    <w:rsid w:val="008C07A9"/>
    <w:rsid w:val="008C0E88"/>
    <w:rsid w:val="008C0FE8"/>
    <w:rsid w:val="008C1AA8"/>
    <w:rsid w:val="008C2717"/>
    <w:rsid w:val="008C2E5B"/>
    <w:rsid w:val="008C41F7"/>
    <w:rsid w:val="008C5FBF"/>
    <w:rsid w:val="008C6CB8"/>
    <w:rsid w:val="008C6DE8"/>
    <w:rsid w:val="008C7593"/>
    <w:rsid w:val="008C7815"/>
    <w:rsid w:val="008D0171"/>
    <w:rsid w:val="008D0FEC"/>
    <w:rsid w:val="008D0FF8"/>
    <w:rsid w:val="008D2811"/>
    <w:rsid w:val="008D2A16"/>
    <w:rsid w:val="008D2ECF"/>
    <w:rsid w:val="008D39A6"/>
    <w:rsid w:val="008D3F3D"/>
    <w:rsid w:val="008D53E3"/>
    <w:rsid w:val="008E1A5A"/>
    <w:rsid w:val="008E30AD"/>
    <w:rsid w:val="008E31FF"/>
    <w:rsid w:val="008E33DD"/>
    <w:rsid w:val="008E4413"/>
    <w:rsid w:val="008E517B"/>
    <w:rsid w:val="008E6113"/>
    <w:rsid w:val="008E6AB3"/>
    <w:rsid w:val="008E6AD3"/>
    <w:rsid w:val="008E71A6"/>
    <w:rsid w:val="008E77B6"/>
    <w:rsid w:val="008F032E"/>
    <w:rsid w:val="008F0F14"/>
    <w:rsid w:val="008F2B5D"/>
    <w:rsid w:val="008F371B"/>
    <w:rsid w:val="008F3A22"/>
    <w:rsid w:val="008F3CAE"/>
    <w:rsid w:val="008F41F7"/>
    <w:rsid w:val="008F471F"/>
    <w:rsid w:val="008F4FCE"/>
    <w:rsid w:val="008F79E1"/>
    <w:rsid w:val="008F7D28"/>
    <w:rsid w:val="009003A8"/>
    <w:rsid w:val="00900873"/>
    <w:rsid w:val="00901236"/>
    <w:rsid w:val="009015BD"/>
    <w:rsid w:val="00901D1E"/>
    <w:rsid w:val="00902C13"/>
    <w:rsid w:val="00902CBE"/>
    <w:rsid w:val="00902EFF"/>
    <w:rsid w:val="00903E06"/>
    <w:rsid w:val="00904D96"/>
    <w:rsid w:val="00905425"/>
    <w:rsid w:val="009065B1"/>
    <w:rsid w:val="00910824"/>
    <w:rsid w:val="00910F93"/>
    <w:rsid w:val="00911F2B"/>
    <w:rsid w:val="00912324"/>
    <w:rsid w:val="00914426"/>
    <w:rsid w:val="00914EE3"/>
    <w:rsid w:val="0091580C"/>
    <w:rsid w:val="00915DFE"/>
    <w:rsid w:val="00915F5B"/>
    <w:rsid w:val="0091675F"/>
    <w:rsid w:val="00917709"/>
    <w:rsid w:val="00917918"/>
    <w:rsid w:val="00917FD4"/>
    <w:rsid w:val="00920D03"/>
    <w:rsid w:val="00921F14"/>
    <w:rsid w:val="00922562"/>
    <w:rsid w:val="009233EB"/>
    <w:rsid w:val="00923BAB"/>
    <w:rsid w:val="00923F10"/>
    <w:rsid w:val="009243A5"/>
    <w:rsid w:val="009251EE"/>
    <w:rsid w:val="00925217"/>
    <w:rsid w:val="00925FDB"/>
    <w:rsid w:val="00926283"/>
    <w:rsid w:val="00926E77"/>
    <w:rsid w:val="00931183"/>
    <w:rsid w:val="0093181C"/>
    <w:rsid w:val="009329C5"/>
    <w:rsid w:val="00932A93"/>
    <w:rsid w:val="00932B15"/>
    <w:rsid w:val="009348E3"/>
    <w:rsid w:val="00934AE3"/>
    <w:rsid w:val="00935835"/>
    <w:rsid w:val="00935B60"/>
    <w:rsid w:val="00935BFB"/>
    <w:rsid w:val="009362AF"/>
    <w:rsid w:val="0093781F"/>
    <w:rsid w:val="00937B11"/>
    <w:rsid w:val="00940F1F"/>
    <w:rsid w:val="00941250"/>
    <w:rsid w:val="0094143D"/>
    <w:rsid w:val="009417A2"/>
    <w:rsid w:val="00942629"/>
    <w:rsid w:val="00942A89"/>
    <w:rsid w:val="0094427A"/>
    <w:rsid w:val="00945578"/>
    <w:rsid w:val="009459C5"/>
    <w:rsid w:val="00945AA0"/>
    <w:rsid w:val="00946D52"/>
    <w:rsid w:val="0094750F"/>
    <w:rsid w:val="0094760E"/>
    <w:rsid w:val="0095013A"/>
    <w:rsid w:val="00953AEF"/>
    <w:rsid w:val="009540D9"/>
    <w:rsid w:val="009551E2"/>
    <w:rsid w:val="00955783"/>
    <w:rsid w:val="00955EA3"/>
    <w:rsid w:val="00955F37"/>
    <w:rsid w:val="009560B0"/>
    <w:rsid w:val="00957164"/>
    <w:rsid w:val="00957871"/>
    <w:rsid w:val="00960239"/>
    <w:rsid w:val="00960BD9"/>
    <w:rsid w:val="009631E0"/>
    <w:rsid w:val="00964498"/>
    <w:rsid w:val="0096650F"/>
    <w:rsid w:val="00967184"/>
    <w:rsid w:val="00967820"/>
    <w:rsid w:val="009700DB"/>
    <w:rsid w:val="009704BD"/>
    <w:rsid w:val="0097074C"/>
    <w:rsid w:val="009712F3"/>
    <w:rsid w:val="00971C65"/>
    <w:rsid w:val="00972263"/>
    <w:rsid w:val="00972D8D"/>
    <w:rsid w:val="00972E12"/>
    <w:rsid w:val="00972EB7"/>
    <w:rsid w:val="00973AAE"/>
    <w:rsid w:val="00974923"/>
    <w:rsid w:val="00974D48"/>
    <w:rsid w:val="00975655"/>
    <w:rsid w:val="009759B5"/>
    <w:rsid w:val="009773AE"/>
    <w:rsid w:val="00980621"/>
    <w:rsid w:val="00981EC7"/>
    <w:rsid w:val="00982072"/>
    <w:rsid w:val="00982718"/>
    <w:rsid w:val="009828EC"/>
    <w:rsid w:val="0098358E"/>
    <w:rsid w:val="00983CBF"/>
    <w:rsid w:val="00983ECF"/>
    <w:rsid w:val="009846A8"/>
    <w:rsid w:val="00984A20"/>
    <w:rsid w:val="00986485"/>
    <w:rsid w:val="00986745"/>
    <w:rsid w:val="00986971"/>
    <w:rsid w:val="00987109"/>
    <w:rsid w:val="0099012D"/>
    <w:rsid w:val="00991899"/>
    <w:rsid w:val="009919CF"/>
    <w:rsid w:val="009949FE"/>
    <w:rsid w:val="00996355"/>
    <w:rsid w:val="00996B72"/>
    <w:rsid w:val="00996E07"/>
    <w:rsid w:val="00997EEB"/>
    <w:rsid w:val="009A14F0"/>
    <w:rsid w:val="009A2390"/>
    <w:rsid w:val="009A2AB3"/>
    <w:rsid w:val="009A3909"/>
    <w:rsid w:val="009A4E12"/>
    <w:rsid w:val="009A4E89"/>
    <w:rsid w:val="009B052C"/>
    <w:rsid w:val="009B06E8"/>
    <w:rsid w:val="009B0AAA"/>
    <w:rsid w:val="009B0EF2"/>
    <w:rsid w:val="009B1FDF"/>
    <w:rsid w:val="009B23A3"/>
    <w:rsid w:val="009B529C"/>
    <w:rsid w:val="009B61D0"/>
    <w:rsid w:val="009B6CCD"/>
    <w:rsid w:val="009B6FD3"/>
    <w:rsid w:val="009B70BD"/>
    <w:rsid w:val="009C2524"/>
    <w:rsid w:val="009C3690"/>
    <w:rsid w:val="009C42CD"/>
    <w:rsid w:val="009C4DA1"/>
    <w:rsid w:val="009C59D8"/>
    <w:rsid w:val="009C7388"/>
    <w:rsid w:val="009C764D"/>
    <w:rsid w:val="009C7AE1"/>
    <w:rsid w:val="009D0355"/>
    <w:rsid w:val="009D0F98"/>
    <w:rsid w:val="009D1551"/>
    <w:rsid w:val="009D2859"/>
    <w:rsid w:val="009D37B4"/>
    <w:rsid w:val="009D3B5E"/>
    <w:rsid w:val="009D4173"/>
    <w:rsid w:val="009D4F8A"/>
    <w:rsid w:val="009D5354"/>
    <w:rsid w:val="009D6095"/>
    <w:rsid w:val="009D6306"/>
    <w:rsid w:val="009D7385"/>
    <w:rsid w:val="009E0015"/>
    <w:rsid w:val="009E048A"/>
    <w:rsid w:val="009E16D0"/>
    <w:rsid w:val="009E1FBA"/>
    <w:rsid w:val="009E2C54"/>
    <w:rsid w:val="009E3710"/>
    <w:rsid w:val="009E3EB9"/>
    <w:rsid w:val="009E577B"/>
    <w:rsid w:val="009E7A19"/>
    <w:rsid w:val="009E7B1F"/>
    <w:rsid w:val="009F0A61"/>
    <w:rsid w:val="009F0A68"/>
    <w:rsid w:val="009F10EF"/>
    <w:rsid w:val="009F1131"/>
    <w:rsid w:val="009F18F2"/>
    <w:rsid w:val="009F19BA"/>
    <w:rsid w:val="009F3FD0"/>
    <w:rsid w:val="009F408C"/>
    <w:rsid w:val="009F41C4"/>
    <w:rsid w:val="009F4792"/>
    <w:rsid w:val="009F4F77"/>
    <w:rsid w:val="009F5846"/>
    <w:rsid w:val="009F7D77"/>
    <w:rsid w:val="00A01900"/>
    <w:rsid w:val="00A0259C"/>
    <w:rsid w:val="00A030BD"/>
    <w:rsid w:val="00A0348B"/>
    <w:rsid w:val="00A10927"/>
    <w:rsid w:val="00A10D66"/>
    <w:rsid w:val="00A117C1"/>
    <w:rsid w:val="00A11838"/>
    <w:rsid w:val="00A11C9D"/>
    <w:rsid w:val="00A12361"/>
    <w:rsid w:val="00A127F7"/>
    <w:rsid w:val="00A13714"/>
    <w:rsid w:val="00A1420C"/>
    <w:rsid w:val="00A14EDC"/>
    <w:rsid w:val="00A1582B"/>
    <w:rsid w:val="00A15AB6"/>
    <w:rsid w:val="00A2055B"/>
    <w:rsid w:val="00A219F3"/>
    <w:rsid w:val="00A2253C"/>
    <w:rsid w:val="00A23545"/>
    <w:rsid w:val="00A236D8"/>
    <w:rsid w:val="00A23A55"/>
    <w:rsid w:val="00A23E43"/>
    <w:rsid w:val="00A24F8C"/>
    <w:rsid w:val="00A255F7"/>
    <w:rsid w:val="00A25E57"/>
    <w:rsid w:val="00A262BF"/>
    <w:rsid w:val="00A271AD"/>
    <w:rsid w:val="00A276D5"/>
    <w:rsid w:val="00A30336"/>
    <w:rsid w:val="00A30529"/>
    <w:rsid w:val="00A305BD"/>
    <w:rsid w:val="00A30BB5"/>
    <w:rsid w:val="00A30E88"/>
    <w:rsid w:val="00A3128F"/>
    <w:rsid w:val="00A326D0"/>
    <w:rsid w:val="00A34BBF"/>
    <w:rsid w:val="00A35287"/>
    <w:rsid w:val="00A35CB9"/>
    <w:rsid w:val="00A36CDA"/>
    <w:rsid w:val="00A37441"/>
    <w:rsid w:val="00A378F8"/>
    <w:rsid w:val="00A40530"/>
    <w:rsid w:val="00A40B19"/>
    <w:rsid w:val="00A418B6"/>
    <w:rsid w:val="00A41F2C"/>
    <w:rsid w:val="00A424F8"/>
    <w:rsid w:val="00A440F9"/>
    <w:rsid w:val="00A44B0D"/>
    <w:rsid w:val="00A45899"/>
    <w:rsid w:val="00A46826"/>
    <w:rsid w:val="00A46DE0"/>
    <w:rsid w:val="00A4778A"/>
    <w:rsid w:val="00A47B64"/>
    <w:rsid w:val="00A5067F"/>
    <w:rsid w:val="00A5104A"/>
    <w:rsid w:val="00A538DC"/>
    <w:rsid w:val="00A53936"/>
    <w:rsid w:val="00A55301"/>
    <w:rsid w:val="00A557BF"/>
    <w:rsid w:val="00A57B3C"/>
    <w:rsid w:val="00A602D9"/>
    <w:rsid w:val="00A6128E"/>
    <w:rsid w:val="00A61850"/>
    <w:rsid w:val="00A62CE1"/>
    <w:rsid w:val="00A631FA"/>
    <w:rsid w:val="00A63E47"/>
    <w:rsid w:val="00A64143"/>
    <w:rsid w:val="00A64203"/>
    <w:rsid w:val="00A64348"/>
    <w:rsid w:val="00A650F4"/>
    <w:rsid w:val="00A651DB"/>
    <w:rsid w:val="00A653AB"/>
    <w:rsid w:val="00A667A3"/>
    <w:rsid w:val="00A66976"/>
    <w:rsid w:val="00A675C3"/>
    <w:rsid w:val="00A70C86"/>
    <w:rsid w:val="00A70FBC"/>
    <w:rsid w:val="00A7103D"/>
    <w:rsid w:val="00A721FB"/>
    <w:rsid w:val="00A72671"/>
    <w:rsid w:val="00A727BA"/>
    <w:rsid w:val="00A72D4B"/>
    <w:rsid w:val="00A732AE"/>
    <w:rsid w:val="00A74C7F"/>
    <w:rsid w:val="00A75744"/>
    <w:rsid w:val="00A75E40"/>
    <w:rsid w:val="00A77EB2"/>
    <w:rsid w:val="00A823B7"/>
    <w:rsid w:val="00A82A03"/>
    <w:rsid w:val="00A82B66"/>
    <w:rsid w:val="00A83934"/>
    <w:rsid w:val="00A83B58"/>
    <w:rsid w:val="00A841AC"/>
    <w:rsid w:val="00A851B6"/>
    <w:rsid w:val="00A85332"/>
    <w:rsid w:val="00A85729"/>
    <w:rsid w:val="00A8574B"/>
    <w:rsid w:val="00A857C0"/>
    <w:rsid w:val="00A86068"/>
    <w:rsid w:val="00A872CE"/>
    <w:rsid w:val="00A87DA4"/>
    <w:rsid w:val="00A90368"/>
    <w:rsid w:val="00A906AC"/>
    <w:rsid w:val="00A90A66"/>
    <w:rsid w:val="00A91893"/>
    <w:rsid w:val="00A92D0B"/>
    <w:rsid w:val="00A95A3A"/>
    <w:rsid w:val="00A96463"/>
    <w:rsid w:val="00A97E3F"/>
    <w:rsid w:val="00A97F75"/>
    <w:rsid w:val="00AA0A14"/>
    <w:rsid w:val="00AA23FB"/>
    <w:rsid w:val="00AA2632"/>
    <w:rsid w:val="00AA2B03"/>
    <w:rsid w:val="00AA42AB"/>
    <w:rsid w:val="00AA534F"/>
    <w:rsid w:val="00AA559A"/>
    <w:rsid w:val="00AA7738"/>
    <w:rsid w:val="00AA7B05"/>
    <w:rsid w:val="00AB02AE"/>
    <w:rsid w:val="00AB11AB"/>
    <w:rsid w:val="00AB2AF1"/>
    <w:rsid w:val="00AB440B"/>
    <w:rsid w:val="00AB454F"/>
    <w:rsid w:val="00AB5082"/>
    <w:rsid w:val="00AB50D4"/>
    <w:rsid w:val="00AB7037"/>
    <w:rsid w:val="00AB74C5"/>
    <w:rsid w:val="00AB76C0"/>
    <w:rsid w:val="00AB7BF4"/>
    <w:rsid w:val="00AB7DF2"/>
    <w:rsid w:val="00AC144D"/>
    <w:rsid w:val="00AC1DB7"/>
    <w:rsid w:val="00AC1E3F"/>
    <w:rsid w:val="00AC2F7B"/>
    <w:rsid w:val="00AC352D"/>
    <w:rsid w:val="00AC44CA"/>
    <w:rsid w:val="00AC4F18"/>
    <w:rsid w:val="00AC5926"/>
    <w:rsid w:val="00AC6A22"/>
    <w:rsid w:val="00AC6F62"/>
    <w:rsid w:val="00AD072E"/>
    <w:rsid w:val="00AD0B46"/>
    <w:rsid w:val="00AD11EF"/>
    <w:rsid w:val="00AD186B"/>
    <w:rsid w:val="00AD22B4"/>
    <w:rsid w:val="00AD2565"/>
    <w:rsid w:val="00AD27F2"/>
    <w:rsid w:val="00AD306C"/>
    <w:rsid w:val="00AD3424"/>
    <w:rsid w:val="00AD460D"/>
    <w:rsid w:val="00AD4F85"/>
    <w:rsid w:val="00AD59BB"/>
    <w:rsid w:val="00AD5D3A"/>
    <w:rsid w:val="00AD5D68"/>
    <w:rsid w:val="00AD6C73"/>
    <w:rsid w:val="00AD6D14"/>
    <w:rsid w:val="00AD7314"/>
    <w:rsid w:val="00AD799D"/>
    <w:rsid w:val="00AE06D0"/>
    <w:rsid w:val="00AE1A78"/>
    <w:rsid w:val="00AE1E4A"/>
    <w:rsid w:val="00AE39DC"/>
    <w:rsid w:val="00AE3EC2"/>
    <w:rsid w:val="00AE642B"/>
    <w:rsid w:val="00AE6D73"/>
    <w:rsid w:val="00AE721E"/>
    <w:rsid w:val="00AE7968"/>
    <w:rsid w:val="00AF128B"/>
    <w:rsid w:val="00AF14DC"/>
    <w:rsid w:val="00AF2632"/>
    <w:rsid w:val="00AF2852"/>
    <w:rsid w:val="00AF2E94"/>
    <w:rsid w:val="00AF3225"/>
    <w:rsid w:val="00AF5175"/>
    <w:rsid w:val="00AF518B"/>
    <w:rsid w:val="00AF5275"/>
    <w:rsid w:val="00AF55D3"/>
    <w:rsid w:val="00AF5878"/>
    <w:rsid w:val="00AF5F15"/>
    <w:rsid w:val="00AF5FC0"/>
    <w:rsid w:val="00AF6367"/>
    <w:rsid w:val="00AF648D"/>
    <w:rsid w:val="00AF659A"/>
    <w:rsid w:val="00AF6A79"/>
    <w:rsid w:val="00AF6F70"/>
    <w:rsid w:val="00AF724E"/>
    <w:rsid w:val="00AF73A9"/>
    <w:rsid w:val="00AF74FD"/>
    <w:rsid w:val="00AF7C2D"/>
    <w:rsid w:val="00AF7CD0"/>
    <w:rsid w:val="00B01C2C"/>
    <w:rsid w:val="00B01E8E"/>
    <w:rsid w:val="00B0231C"/>
    <w:rsid w:val="00B0247B"/>
    <w:rsid w:val="00B04828"/>
    <w:rsid w:val="00B05DF2"/>
    <w:rsid w:val="00B06DC2"/>
    <w:rsid w:val="00B06EE6"/>
    <w:rsid w:val="00B07952"/>
    <w:rsid w:val="00B07F24"/>
    <w:rsid w:val="00B106D8"/>
    <w:rsid w:val="00B12609"/>
    <w:rsid w:val="00B12998"/>
    <w:rsid w:val="00B13134"/>
    <w:rsid w:val="00B133F1"/>
    <w:rsid w:val="00B13619"/>
    <w:rsid w:val="00B149D8"/>
    <w:rsid w:val="00B155A3"/>
    <w:rsid w:val="00B15DCD"/>
    <w:rsid w:val="00B16102"/>
    <w:rsid w:val="00B16FDA"/>
    <w:rsid w:val="00B174DD"/>
    <w:rsid w:val="00B17567"/>
    <w:rsid w:val="00B17E71"/>
    <w:rsid w:val="00B17FCE"/>
    <w:rsid w:val="00B17FDE"/>
    <w:rsid w:val="00B208FC"/>
    <w:rsid w:val="00B20C65"/>
    <w:rsid w:val="00B23632"/>
    <w:rsid w:val="00B23CF0"/>
    <w:rsid w:val="00B2424E"/>
    <w:rsid w:val="00B24545"/>
    <w:rsid w:val="00B24707"/>
    <w:rsid w:val="00B24B73"/>
    <w:rsid w:val="00B24E42"/>
    <w:rsid w:val="00B24EA2"/>
    <w:rsid w:val="00B27293"/>
    <w:rsid w:val="00B274E0"/>
    <w:rsid w:val="00B27737"/>
    <w:rsid w:val="00B309F6"/>
    <w:rsid w:val="00B3117D"/>
    <w:rsid w:val="00B31336"/>
    <w:rsid w:val="00B3229E"/>
    <w:rsid w:val="00B326B3"/>
    <w:rsid w:val="00B32DDB"/>
    <w:rsid w:val="00B35BEA"/>
    <w:rsid w:val="00B35F07"/>
    <w:rsid w:val="00B3641E"/>
    <w:rsid w:val="00B37A71"/>
    <w:rsid w:val="00B40B04"/>
    <w:rsid w:val="00B41BE6"/>
    <w:rsid w:val="00B41D75"/>
    <w:rsid w:val="00B435EF"/>
    <w:rsid w:val="00B43871"/>
    <w:rsid w:val="00B450A5"/>
    <w:rsid w:val="00B457E7"/>
    <w:rsid w:val="00B47430"/>
    <w:rsid w:val="00B47436"/>
    <w:rsid w:val="00B4769E"/>
    <w:rsid w:val="00B47FCC"/>
    <w:rsid w:val="00B50F22"/>
    <w:rsid w:val="00B51604"/>
    <w:rsid w:val="00B52D2D"/>
    <w:rsid w:val="00B53BC1"/>
    <w:rsid w:val="00B56082"/>
    <w:rsid w:val="00B561A6"/>
    <w:rsid w:val="00B60AAB"/>
    <w:rsid w:val="00B60C8D"/>
    <w:rsid w:val="00B60DCD"/>
    <w:rsid w:val="00B61046"/>
    <w:rsid w:val="00B61F2D"/>
    <w:rsid w:val="00B62960"/>
    <w:rsid w:val="00B63A11"/>
    <w:rsid w:val="00B63FD0"/>
    <w:rsid w:val="00B64D5A"/>
    <w:rsid w:val="00B65845"/>
    <w:rsid w:val="00B658EA"/>
    <w:rsid w:val="00B65C84"/>
    <w:rsid w:val="00B6608F"/>
    <w:rsid w:val="00B662E3"/>
    <w:rsid w:val="00B66C89"/>
    <w:rsid w:val="00B71161"/>
    <w:rsid w:val="00B71C2D"/>
    <w:rsid w:val="00B71E5E"/>
    <w:rsid w:val="00B72B1E"/>
    <w:rsid w:val="00B737C7"/>
    <w:rsid w:val="00B74317"/>
    <w:rsid w:val="00B752FD"/>
    <w:rsid w:val="00B75A87"/>
    <w:rsid w:val="00B7638C"/>
    <w:rsid w:val="00B765F3"/>
    <w:rsid w:val="00B76D1E"/>
    <w:rsid w:val="00B812F0"/>
    <w:rsid w:val="00B822D2"/>
    <w:rsid w:val="00B832DF"/>
    <w:rsid w:val="00B83324"/>
    <w:rsid w:val="00B83D55"/>
    <w:rsid w:val="00B83DDF"/>
    <w:rsid w:val="00B83E78"/>
    <w:rsid w:val="00B848B8"/>
    <w:rsid w:val="00B84A41"/>
    <w:rsid w:val="00B84D57"/>
    <w:rsid w:val="00B84D64"/>
    <w:rsid w:val="00B856A2"/>
    <w:rsid w:val="00B86748"/>
    <w:rsid w:val="00B87EDC"/>
    <w:rsid w:val="00B90784"/>
    <w:rsid w:val="00B90BAA"/>
    <w:rsid w:val="00B91EC9"/>
    <w:rsid w:val="00B924CA"/>
    <w:rsid w:val="00B93384"/>
    <w:rsid w:val="00B9381E"/>
    <w:rsid w:val="00B93A86"/>
    <w:rsid w:val="00B94417"/>
    <w:rsid w:val="00B95940"/>
    <w:rsid w:val="00B95EF8"/>
    <w:rsid w:val="00B95F50"/>
    <w:rsid w:val="00B96BD9"/>
    <w:rsid w:val="00B978CD"/>
    <w:rsid w:val="00BA00BE"/>
    <w:rsid w:val="00BA06CA"/>
    <w:rsid w:val="00BA2538"/>
    <w:rsid w:val="00BA452B"/>
    <w:rsid w:val="00BA4B2A"/>
    <w:rsid w:val="00BB04AD"/>
    <w:rsid w:val="00BB19EC"/>
    <w:rsid w:val="00BB1C96"/>
    <w:rsid w:val="00BB2116"/>
    <w:rsid w:val="00BB2C53"/>
    <w:rsid w:val="00BB32DA"/>
    <w:rsid w:val="00BB3972"/>
    <w:rsid w:val="00BB3A54"/>
    <w:rsid w:val="00BB40FD"/>
    <w:rsid w:val="00BB43F4"/>
    <w:rsid w:val="00BB4E21"/>
    <w:rsid w:val="00BB502A"/>
    <w:rsid w:val="00BB5CEB"/>
    <w:rsid w:val="00BB5E42"/>
    <w:rsid w:val="00BB7761"/>
    <w:rsid w:val="00BC1728"/>
    <w:rsid w:val="00BC2D43"/>
    <w:rsid w:val="00BC4CE0"/>
    <w:rsid w:val="00BC5111"/>
    <w:rsid w:val="00BC54E1"/>
    <w:rsid w:val="00BC682B"/>
    <w:rsid w:val="00BC6A12"/>
    <w:rsid w:val="00BC6B04"/>
    <w:rsid w:val="00BC706F"/>
    <w:rsid w:val="00BD053B"/>
    <w:rsid w:val="00BD0B9B"/>
    <w:rsid w:val="00BD0D8B"/>
    <w:rsid w:val="00BD0ED0"/>
    <w:rsid w:val="00BD1F94"/>
    <w:rsid w:val="00BD23CB"/>
    <w:rsid w:val="00BD3428"/>
    <w:rsid w:val="00BD366B"/>
    <w:rsid w:val="00BD3915"/>
    <w:rsid w:val="00BD4110"/>
    <w:rsid w:val="00BD5017"/>
    <w:rsid w:val="00BD56BC"/>
    <w:rsid w:val="00BD5832"/>
    <w:rsid w:val="00BD59D1"/>
    <w:rsid w:val="00BD5D91"/>
    <w:rsid w:val="00BD64E1"/>
    <w:rsid w:val="00BD6615"/>
    <w:rsid w:val="00BD6D50"/>
    <w:rsid w:val="00BD7413"/>
    <w:rsid w:val="00BE0261"/>
    <w:rsid w:val="00BE09E4"/>
    <w:rsid w:val="00BE0DB0"/>
    <w:rsid w:val="00BE1C59"/>
    <w:rsid w:val="00BE3F09"/>
    <w:rsid w:val="00BE572B"/>
    <w:rsid w:val="00BE5986"/>
    <w:rsid w:val="00BE670A"/>
    <w:rsid w:val="00BE6898"/>
    <w:rsid w:val="00BE6906"/>
    <w:rsid w:val="00BE6AAB"/>
    <w:rsid w:val="00BE795E"/>
    <w:rsid w:val="00BF0FC0"/>
    <w:rsid w:val="00BF18F4"/>
    <w:rsid w:val="00BF1A69"/>
    <w:rsid w:val="00BF1B37"/>
    <w:rsid w:val="00BF1C8D"/>
    <w:rsid w:val="00BF1D58"/>
    <w:rsid w:val="00BF36F6"/>
    <w:rsid w:val="00BF3BC8"/>
    <w:rsid w:val="00BF3DF1"/>
    <w:rsid w:val="00BF4C31"/>
    <w:rsid w:val="00BF59A0"/>
    <w:rsid w:val="00BF6C56"/>
    <w:rsid w:val="00BF6DE7"/>
    <w:rsid w:val="00BF7844"/>
    <w:rsid w:val="00BF7A9A"/>
    <w:rsid w:val="00C00F20"/>
    <w:rsid w:val="00C0118D"/>
    <w:rsid w:val="00C0165A"/>
    <w:rsid w:val="00C020FE"/>
    <w:rsid w:val="00C03388"/>
    <w:rsid w:val="00C034E6"/>
    <w:rsid w:val="00C0353A"/>
    <w:rsid w:val="00C06047"/>
    <w:rsid w:val="00C074F9"/>
    <w:rsid w:val="00C0784A"/>
    <w:rsid w:val="00C104F3"/>
    <w:rsid w:val="00C10982"/>
    <w:rsid w:val="00C10FAE"/>
    <w:rsid w:val="00C12A69"/>
    <w:rsid w:val="00C12B35"/>
    <w:rsid w:val="00C150BE"/>
    <w:rsid w:val="00C15336"/>
    <w:rsid w:val="00C15A0C"/>
    <w:rsid w:val="00C15B71"/>
    <w:rsid w:val="00C15DCB"/>
    <w:rsid w:val="00C17DDE"/>
    <w:rsid w:val="00C20744"/>
    <w:rsid w:val="00C20B74"/>
    <w:rsid w:val="00C20C4D"/>
    <w:rsid w:val="00C21937"/>
    <w:rsid w:val="00C21D46"/>
    <w:rsid w:val="00C21F94"/>
    <w:rsid w:val="00C222A1"/>
    <w:rsid w:val="00C2250A"/>
    <w:rsid w:val="00C239E5"/>
    <w:rsid w:val="00C23D22"/>
    <w:rsid w:val="00C243B5"/>
    <w:rsid w:val="00C24E77"/>
    <w:rsid w:val="00C25608"/>
    <w:rsid w:val="00C26324"/>
    <w:rsid w:val="00C2696A"/>
    <w:rsid w:val="00C26F4C"/>
    <w:rsid w:val="00C2732D"/>
    <w:rsid w:val="00C273C6"/>
    <w:rsid w:val="00C27913"/>
    <w:rsid w:val="00C300C6"/>
    <w:rsid w:val="00C30530"/>
    <w:rsid w:val="00C3252C"/>
    <w:rsid w:val="00C32552"/>
    <w:rsid w:val="00C336F4"/>
    <w:rsid w:val="00C3432C"/>
    <w:rsid w:val="00C3462A"/>
    <w:rsid w:val="00C34D86"/>
    <w:rsid w:val="00C34FDE"/>
    <w:rsid w:val="00C35C16"/>
    <w:rsid w:val="00C363B2"/>
    <w:rsid w:val="00C373AC"/>
    <w:rsid w:val="00C4053A"/>
    <w:rsid w:val="00C408C3"/>
    <w:rsid w:val="00C41233"/>
    <w:rsid w:val="00C41463"/>
    <w:rsid w:val="00C417ED"/>
    <w:rsid w:val="00C41A72"/>
    <w:rsid w:val="00C42294"/>
    <w:rsid w:val="00C42E09"/>
    <w:rsid w:val="00C4365E"/>
    <w:rsid w:val="00C43DCA"/>
    <w:rsid w:val="00C4537B"/>
    <w:rsid w:val="00C4549D"/>
    <w:rsid w:val="00C45C2B"/>
    <w:rsid w:val="00C476C5"/>
    <w:rsid w:val="00C503B0"/>
    <w:rsid w:val="00C50863"/>
    <w:rsid w:val="00C511C2"/>
    <w:rsid w:val="00C51DA5"/>
    <w:rsid w:val="00C52D50"/>
    <w:rsid w:val="00C53D82"/>
    <w:rsid w:val="00C53F31"/>
    <w:rsid w:val="00C540C9"/>
    <w:rsid w:val="00C553F5"/>
    <w:rsid w:val="00C5552E"/>
    <w:rsid w:val="00C559DD"/>
    <w:rsid w:val="00C57FA7"/>
    <w:rsid w:val="00C60696"/>
    <w:rsid w:val="00C615F1"/>
    <w:rsid w:val="00C61627"/>
    <w:rsid w:val="00C626F2"/>
    <w:rsid w:val="00C62A6E"/>
    <w:rsid w:val="00C640C6"/>
    <w:rsid w:val="00C64E60"/>
    <w:rsid w:val="00C657A4"/>
    <w:rsid w:val="00C662C1"/>
    <w:rsid w:val="00C6736C"/>
    <w:rsid w:val="00C67B02"/>
    <w:rsid w:val="00C708C0"/>
    <w:rsid w:val="00C71247"/>
    <w:rsid w:val="00C72266"/>
    <w:rsid w:val="00C72CFC"/>
    <w:rsid w:val="00C7315B"/>
    <w:rsid w:val="00C732D0"/>
    <w:rsid w:val="00C74002"/>
    <w:rsid w:val="00C7548A"/>
    <w:rsid w:val="00C757AE"/>
    <w:rsid w:val="00C75C7E"/>
    <w:rsid w:val="00C7667A"/>
    <w:rsid w:val="00C76D8E"/>
    <w:rsid w:val="00C77833"/>
    <w:rsid w:val="00C80C9B"/>
    <w:rsid w:val="00C81DE5"/>
    <w:rsid w:val="00C82F0A"/>
    <w:rsid w:val="00C83333"/>
    <w:rsid w:val="00C8335E"/>
    <w:rsid w:val="00C839D7"/>
    <w:rsid w:val="00C84605"/>
    <w:rsid w:val="00C84CE3"/>
    <w:rsid w:val="00C84FE8"/>
    <w:rsid w:val="00C85705"/>
    <w:rsid w:val="00C860F2"/>
    <w:rsid w:val="00C86F05"/>
    <w:rsid w:val="00C87626"/>
    <w:rsid w:val="00C87D46"/>
    <w:rsid w:val="00C90CF4"/>
    <w:rsid w:val="00C91671"/>
    <w:rsid w:val="00C91C19"/>
    <w:rsid w:val="00C91DC6"/>
    <w:rsid w:val="00C926BE"/>
    <w:rsid w:val="00C929A0"/>
    <w:rsid w:val="00C92F27"/>
    <w:rsid w:val="00C93389"/>
    <w:rsid w:val="00C93679"/>
    <w:rsid w:val="00C937DB"/>
    <w:rsid w:val="00C93823"/>
    <w:rsid w:val="00C93A94"/>
    <w:rsid w:val="00C94519"/>
    <w:rsid w:val="00C94E83"/>
    <w:rsid w:val="00C9531C"/>
    <w:rsid w:val="00C97768"/>
    <w:rsid w:val="00CA0CDD"/>
    <w:rsid w:val="00CA140F"/>
    <w:rsid w:val="00CA14AD"/>
    <w:rsid w:val="00CA37CA"/>
    <w:rsid w:val="00CA3CB2"/>
    <w:rsid w:val="00CA3D39"/>
    <w:rsid w:val="00CA4232"/>
    <w:rsid w:val="00CA48FB"/>
    <w:rsid w:val="00CA6BA1"/>
    <w:rsid w:val="00CA6CD5"/>
    <w:rsid w:val="00CA7734"/>
    <w:rsid w:val="00CB02DF"/>
    <w:rsid w:val="00CB0360"/>
    <w:rsid w:val="00CB0414"/>
    <w:rsid w:val="00CB0C6E"/>
    <w:rsid w:val="00CB154F"/>
    <w:rsid w:val="00CB2150"/>
    <w:rsid w:val="00CB28EE"/>
    <w:rsid w:val="00CB3ACB"/>
    <w:rsid w:val="00CB43A7"/>
    <w:rsid w:val="00CB43BC"/>
    <w:rsid w:val="00CB5996"/>
    <w:rsid w:val="00CB5B25"/>
    <w:rsid w:val="00CB7452"/>
    <w:rsid w:val="00CB7A5E"/>
    <w:rsid w:val="00CB7D09"/>
    <w:rsid w:val="00CC0922"/>
    <w:rsid w:val="00CC2642"/>
    <w:rsid w:val="00CC2E15"/>
    <w:rsid w:val="00CC2EB5"/>
    <w:rsid w:val="00CC30FE"/>
    <w:rsid w:val="00CC3908"/>
    <w:rsid w:val="00CC3C77"/>
    <w:rsid w:val="00CC42E7"/>
    <w:rsid w:val="00CC4DDF"/>
    <w:rsid w:val="00CC52A7"/>
    <w:rsid w:val="00CC5F24"/>
    <w:rsid w:val="00CC62AD"/>
    <w:rsid w:val="00CD00B4"/>
    <w:rsid w:val="00CD1484"/>
    <w:rsid w:val="00CD227A"/>
    <w:rsid w:val="00CD2B3C"/>
    <w:rsid w:val="00CD30F6"/>
    <w:rsid w:val="00CD4AD9"/>
    <w:rsid w:val="00CD4B29"/>
    <w:rsid w:val="00CD5242"/>
    <w:rsid w:val="00CD5912"/>
    <w:rsid w:val="00CD5BB2"/>
    <w:rsid w:val="00CD6EF1"/>
    <w:rsid w:val="00CD6F99"/>
    <w:rsid w:val="00CD6FC4"/>
    <w:rsid w:val="00CD70C9"/>
    <w:rsid w:val="00CE090E"/>
    <w:rsid w:val="00CE11A9"/>
    <w:rsid w:val="00CE21C7"/>
    <w:rsid w:val="00CE57D8"/>
    <w:rsid w:val="00CE617A"/>
    <w:rsid w:val="00CE77AA"/>
    <w:rsid w:val="00CE7AED"/>
    <w:rsid w:val="00CE7E17"/>
    <w:rsid w:val="00CF1152"/>
    <w:rsid w:val="00CF1A0A"/>
    <w:rsid w:val="00CF27AC"/>
    <w:rsid w:val="00CF289F"/>
    <w:rsid w:val="00CF28C2"/>
    <w:rsid w:val="00CF316F"/>
    <w:rsid w:val="00CF3E37"/>
    <w:rsid w:val="00CF42BD"/>
    <w:rsid w:val="00CF50FC"/>
    <w:rsid w:val="00CF51EC"/>
    <w:rsid w:val="00CF6CD7"/>
    <w:rsid w:val="00CF6ECE"/>
    <w:rsid w:val="00D0037A"/>
    <w:rsid w:val="00D0077F"/>
    <w:rsid w:val="00D00DAF"/>
    <w:rsid w:val="00D00F76"/>
    <w:rsid w:val="00D017EC"/>
    <w:rsid w:val="00D01CDA"/>
    <w:rsid w:val="00D02200"/>
    <w:rsid w:val="00D02924"/>
    <w:rsid w:val="00D036AB"/>
    <w:rsid w:val="00D03EC0"/>
    <w:rsid w:val="00D040DD"/>
    <w:rsid w:val="00D04A11"/>
    <w:rsid w:val="00D04E1B"/>
    <w:rsid w:val="00D04E99"/>
    <w:rsid w:val="00D05207"/>
    <w:rsid w:val="00D0533F"/>
    <w:rsid w:val="00D05407"/>
    <w:rsid w:val="00D05AB7"/>
    <w:rsid w:val="00D06281"/>
    <w:rsid w:val="00D06438"/>
    <w:rsid w:val="00D06FB4"/>
    <w:rsid w:val="00D0743A"/>
    <w:rsid w:val="00D1067C"/>
    <w:rsid w:val="00D124CF"/>
    <w:rsid w:val="00D128C8"/>
    <w:rsid w:val="00D136D4"/>
    <w:rsid w:val="00D1391B"/>
    <w:rsid w:val="00D13ECF"/>
    <w:rsid w:val="00D14148"/>
    <w:rsid w:val="00D142E5"/>
    <w:rsid w:val="00D1611E"/>
    <w:rsid w:val="00D1638D"/>
    <w:rsid w:val="00D16E69"/>
    <w:rsid w:val="00D17F4F"/>
    <w:rsid w:val="00D2002A"/>
    <w:rsid w:val="00D205A9"/>
    <w:rsid w:val="00D20710"/>
    <w:rsid w:val="00D20DE6"/>
    <w:rsid w:val="00D217EE"/>
    <w:rsid w:val="00D22468"/>
    <w:rsid w:val="00D2282B"/>
    <w:rsid w:val="00D245F0"/>
    <w:rsid w:val="00D24DA0"/>
    <w:rsid w:val="00D25220"/>
    <w:rsid w:val="00D2620E"/>
    <w:rsid w:val="00D26579"/>
    <w:rsid w:val="00D26923"/>
    <w:rsid w:val="00D26B20"/>
    <w:rsid w:val="00D27856"/>
    <w:rsid w:val="00D279D3"/>
    <w:rsid w:val="00D30740"/>
    <w:rsid w:val="00D30788"/>
    <w:rsid w:val="00D309A7"/>
    <w:rsid w:val="00D309E7"/>
    <w:rsid w:val="00D31075"/>
    <w:rsid w:val="00D31311"/>
    <w:rsid w:val="00D31445"/>
    <w:rsid w:val="00D31866"/>
    <w:rsid w:val="00D31932"/>
    <w:rsid w:val="00D32D31"/>
    <w:rsid w:val="00D34225"/>
    <w:rsid w:val="00D35A48"/>
    <w:rsid w:val="00D366D9"/>
    <w:rsid w:val="00D373D9"/>
    <w:rsid w:val="00D377ED"/>
    <w:rsid w:val="00D378CC"/>
    <w:rsid w:val="00D4042C"/>
    <w:rsid w:val="00D4171A"/>
    <w:rsid w:val="00D42312"/>
    <w:rsid w:val="00D429AE"/>
    <w:rsid w:val="00D4327D"/>
    <w:rsid w:val="00D43998"/>
    <w:rsid w:val="00D43C1F"/>
    <w:rsid w:val="00D45046"/>
    <w:rsid w:val="00D45EEE"/>
    <w:rsid w:val="00D4615E"/>
    <w:rsid w:val="00D478E2"/>
    <w:rsid w:val="00D47948"/>
    <w:rsid w:val="00D52401"/>
    <w:rsid w:val="00D5264C"/>
    <w:rsid w:val="00D52EC9"/>
    <w:rsid w:val="00D53362"/>
    <w:rsid w:val="00D547BA"/>
    <w:rsid w:val="00D54BC4"/>
    <w:rsid w:val="00D5561E"/>
    <w:rsid w:val="00D55626"/>
    <w:rsid w:val="00D556BC"/>
    <w:rsid w:val="00D5626D"/>
    <w:rsid w:val="00D56C22"/>
    <w:rsid w:val="00D5718D"/>
    <w:rsid w:val="00D57C38"/>
    <w:rsid w:val="00D57D60"/>
    <w:rsid w:val="00D60277"/>
    <w:rsid w:val="00D6083C"/>
    <w:rsid w:val="00D60E2D"/>
    <w:rsid w:val="00D60F44"/>
    <w:rsid w:val="00D611D3"/>
    <w:rsid w:val="00D62536"/>
    <w:rsid w:val="00D62901"/>
    <w:rsid w:val="00D6470C"/>
    <w:rsid w:val="00D64853"/>
    <w:rsid w:val="00D64B04"/>
    <w:rsid w:val="00D64CB5"/>
    <w:rsid w:val="00D64E9A"/>
    <w:rsid w:val="00D6524A"/>
    <w:rsid w:val="00D65B29"/>
    <w:rsid w:val="00D65C09"/>
    <w:rsid w:val="00D66CBA"/>
    <w:rsid w:val="00D66D48"/>
    <w:rsid w:val="00D70E41"/>
    <w:rsid w:val="00D712E0"/>
    <w:rsid w:val="00D71930"/>
    <w:rsid w:val="00D72379"/>
    <w:rsid w:val="00D73256"/>
    <w:rsid w:val="00D73A30"/>
    <w:rsid w:val="00D74941"/>
    <w:rsid w:val="00D74A6A"/>
    <w:rsid w:val="00D74C65"/>
    <w:rsid w:val="00D74E76"/>
    <w:rsid w:val="00D75DC2"/>
    <w:rsid w:val="00D76F27"/>
    <w:rsid w:val="00D8062F"/>
    <w:rsid w:val="00D82462"/>
    <w:rsid w:val="00D824CE"/>
    <w:rsid w:val="00D8422D"/>
    <w:rsid w:val="00D857AA"/>
    <w:rsid w:val="00D85A88"/>
    <w:rsid w:val="00D85A8C"/>
    <w:rsid w:val="00D868CE"/>
    <w:rsid w:val="00D86B73"/>
    <w:rsid w:val="00D87D8D"/>
    <w:rsid w:val="00D90C1E"/>
    <w:rsid w:val="00D91D7F"/>
    <w:rsid w:val="00D922B8"/>
    <w:rsid w:val="00D93A51"/>
    <w:rsid w:val="00D93F09"/>
    <w:rsid w:val="00D96473"/>
    <w:rsid w:val="00D97BB8"/>
    <w:rsid w:val="00DA0C01"/>
    <w:rsid w:val="00DA24BD"/>
    <w:rsid w:val="00DA2CE4"/>
    <w:rsid w:val="00DA39DC"/>
    <w:rsid w:val="00DA3FF9"/>
    <w:rsid w:val="00DA43AC"/>
    <w:rsid w:val="00DA43C2"/>
    <w:rsid w:val="00DA4AF6"/>
    <w:rsid w:val="00DA560B"/>
    <w:rsid w:val="00DA5CAB"/>
    <w:rsid w:val="00DA7613"/>
    <w:rsid w:val="00DB016E"/>
    <w:rsid w:val="00DB01A2"/>
    <w:rsid w:val="00DB06E9"/>
    <w:rsid w:val="00DB1710"/>
    <w:rsid w:val="00DB18D9"/>
    <w:rsid w:val="00DB31DE"/>
    <w:rsid w:val="00DB378E"/>
    <w:rsid w:val="00DB3CFB"/>
    <w:rsid w:val="00DB3DD4"/>
    <w:rsid w:val="00DB3E9D"/>
    <w:rsid w:val="00DB47B9"/>
    <w:rsid w:val="00DB4FB8"/>
    <w:rsid w:val="00DB4FEB"/>
    <w:rsid w:val="00DB5104"/>
    <w:rsid w:val="00DB53CE"/>
    <w:rsid w:val="00DB549D"/>
    <w:rsid w:val="00DB6361"/>
    <w:rsid w:val="00DB7969"/>
    <w:rsid w:val="00DC00D7"/>
    <w:rsid w:val="00DC0B1C"/>
    <w:rsid w:val="00DC0BB4"/>
    <w:rsid w:val="00DC257F"/>
    <w:rsid w:val="00DC344C"/>
    <w:rsid w:val="00DC408A"/>
    <w:rsid w:val="00DC472A"/>
    <w:rsid w:val="00DC4CBF"/>
    <w:rsid w:val="00DC53F9"/>
    <w:rsid w:val="00DC5B3B"/>
    <w:rsid w:val="00DC5B54"/>
    <w:rsid w:val="00DC65FC"/>
    <w:rsid w:val="00DC6796"/>
    <w:rsid w:val="00DC78DF"/>
    <w:rsid w:val="00DC7A73"/>
    <w:rsid w:val="00DD0821"/>
    <w:rsid w:val="00DD09E7"/>
    <w:rsid w:val="00DD0E32"/>
    <w:rsid w:val="00DD1278"/>
    <w:rsid w:val="00DD1A36"/>
    <w:rsid w:val="00DD1BD3"/>
    <w:rsid w:val="00DD2130"/>
    <w:rsid w:val="00DD28A1"/>
    <w:rsid w:val="00DD3532"/>
    <w:rsid w:val="00DD373E"/>
    <w:rsid w:val="00DD57AD"/>
    <w:rsid w:val="00DE009B"/>
    <w:rsid w:val="00DE200E"/>
    <w:rsid w:val="00DE2ED9"/>
    <w:rsid w:val="00DE319A"/>
    <w:rsid w:val="00DE44F1"/>
    <w:rsid w:val="00DE4D6E"/>
    <w:rsid w:val="00DE5CC4"/>
    <w:rsid w:val="00DF053A"/>
    <w:rsid w:val="00DF0DC3"/>
    <w:rsid w:val="00DF0F9D"/>
    <w:rsid w:val="00DF4A7C"/>
    <w:rsid w:val="00DF4F01"/>
    <w:rsid w:val="00DF5343"/>
    <w:rsid w:val="00DF5578"/>
    <w:rsid w:val="00DF6134"/>
    <w:rsid w:val="00DF6619"/>
    <w:rsid w:val="00DF7FEC"/>
    <w:rsid w:val="00E00A57"/>
    <w:rsid w:val="00E01149"/>
    <w:rsid w:val="00E01C0E"/>
    <w:rsid w:val="00E021AF"/>
    <w:rsid w:val="00E026C3"/>
    <w:rsid w:val="00E03B27"/>
    <w:rsid w:val="00E03BFF"/>
    <w:rsid w:val="00E03E80"/>
    <w:rsid w:val="00E04694"/>
    <w:rsid w:val="00E04A40"/>
    <w:rsid w:val="00E05778"/>
    <w:rsid w:val="00E05B2B"/>
    <w:rsid w:val="00E05DDE"/>
    <w:rsid w:val="00E06773"/>
    <w:rsid w:val="00E07309"/>
    <w:rsid w:val="00E07F05"/>
    <w:rsid w:val="00E10497"/>
    <w:rsid w:val="00E12567"/>
    <w:rsid w:val="00E127E1"/>
    <w:rsid w:val="00E13411"/>
    <w:rsid w:val="00E13688"/>
    <w:rsid w:val="00E144D2"/>
    <w:rsid w:val="00E15346"/>
    <w:rsid w:val="00E1629D"/>
    <w:rsid w:val="00E20525"/>
    <w:rsid w:val="00E21367"/>
    <w:rsid w:val="00E215EA"/>
    <w:rsid w:val="00E227EC"/>
    <w:rsid w:val="00E22B14"/>
    <w:rsid w:val="00E22DF1"/>
    <w:rsid w:val="00E23239"/>
    <w:rsid w:val="00E244A4"/>
    <w:rsid w:val="00E24619"/>
    <w:rsid w:val="00E249D7"/>
    <w:rsid w:val="00E25223"/>
    <w:rsid w:val="00E2562A"/>
    <w:rsid w:val="00E2575A"/>
    <w:rsid w:val="00E2612E"/>
    <w:rsid w:val="00E268AC"/>
    <w:rsid w:val="00E27D52"/>
    <w:rsid w:val="00E30BEA"/>
    <w:rsid w:val="00E31764"/>
    <w:rsid w:val="00E31EDE"/>
    <w:rsid w:val="00E337D9"/>
    <w:rsid w:val="00E34E4A"/>
    <w:rsid w:val="00E3501D"/>
    <w:rsid w:val="00E365B3"/>
    <w:rsid w:val="00E37188"/>
    <w:rsid w:val="00E37C45"/>
    <w:rsid w:val="00E40AAA"/>
    <w:rsid w:val="00E40D33"/>
    <w:rsid w:val="00E40FF2"/>
    <w:rsid w:val="00E416D9"/>
    <w:rsid w:val="00E41D90"/>
    <w:rsid w:val="00E41F2B"/>
    <w:rsid w:val="00E430DC"/>
    <w:rsid w:val="00E438CF"/>
    <w:rsid w:val="00E43C41"/>
    <w:rsid w:val="00E43F41"/>
    <w:rsid w:val="00E44EFF"/>
    <w:rsid w:val="00E450CE"/>
    <w:rsid w:val="00E459D3"/>
    <w:rsid w:val="00E45A00"/>
    <w:rsid w:val="00E45CE7"/>
    <w:rsid w:val="00E4631F"/>
    <w:rsid w:val="00E46EC6"/>
    <w:rsid w:val="00E47D22"/>
    <w:rsid w:val="00E50030"/>
    <w:rsid w:val="00E513F8"/>
    <w:rsid w:val="00E522BB"/>
    <w:rsid w:val="00E5293D"/>
    <w:rsid w:val="00E52CE8"/>
    <w:rsid w:val="00E53695"/>
    <w:rsid w:val="00E55BA4"/>
    <w:rsid w:val="00E571F2"/>
    <w:rsid w:val="00E57429"/>
    <w:rsid w:val="00E577FC"/>
    <w:rsid w:val="00E57D11"/>
    <w:rsid w:val="00E6020A"/>
    <w:rsid w:val="00E603A8"/>
    <w:rsid w:val="00E607E4"/>
    <w:rsid w:val="00E60B29"/>
    <w:rsid w:val="00E62585"/>
    <w:rsid w:val="00E62F7C"/>
    <w:rsid w:val="00E635DD"/>
    <w:rsid w:val="00E648B9"/>
    <w:rsid w:val="00E65FE2"/>
    <w:rsid w:val="00E66A76"/>
    <w:rsid w:val="00E6711F"/>
    <w:rsid w:val="00E6715B"/>
    <w:rsid w:val="00E67DD2"/>
    <w:rsid w:val="00E7056D"/>
    <w:rsid w:val="00E70960"/>
    <w:rsid w:val="00E71983"/>
    <w:rsid w:val="00E71A58"/>
    <w:rsid w:val="00E72D50"/>
    <w:rsid w:val="00E73018"/>
    <w:rsid w:val="00E736F5"/>
    <w:rsid w:val="00E73C92"/>
    <w:rsid w:val="00E744C3"/>
    <w:rsid w:val="00E75E97"/>
    <w:rsid w:val="00E760AD"/>
    <w:rsid w:val="00E767BA"/>
    <w:rsid w:val="00E7724B"/>
    <w:rsid w:val="00E77B8A"/>
    <w:rsid w:val="00E809D6"/>
    <w:rsid w:val="00E80FFE"/>
    <w:rsid w:val="00E8216E"/>
    <w:rsid w:val="00E82428"/>
    <w:rsid w:val="00E836A0"/>
    <w:rsid w:val="00E84F21"/>
    <w:rsid w:val="00E86860"/>
    <w:rsid w:val="00E874D3"/>
    <w:rsid w:val="00E87A29"/>
    <w:rsid w:val="00E900D3"/>
    <w:rsid w:val="00E9077B"/>
    <w:rsid w:val="00E90AD8"/>
    <w:rsid w:val="00E910FB"/>
    <w:rsid w:val="00E912C2"/>
    <w:rsid w:val="00E921C7"/>
    <w:rsid w:val="00E928ED"/>
    <w:rsid w:val="00E92995"/>
    <w:rsid w:val="00E94612"/>
    <w:rsid w:val="00E94870"/>
    <w:rsid w:val="00E94BE9"/>
    <w:rsid w:val="00E94C1F"/>
    <w:rsid w:val="00E94C99"/>
    <w:rsid w:val="00E94D06"/>
    <w:rsid w:val="00E9545D"/>
    <w:rsid w:val="00E95594"/>
    <w:rsid w:val="00E95797"/>
    <w:rsid w:val="00E9682F"/>
    <w:rsid w:val="00E96A8D"/>
    <w:rsid w:val="00E972BA"/>
    <w:rsid w:val="00E97535"/>
    <w:rsid w:val="00EA06CB"/>
    <w:rsid w:val="00EA0C68"/>
    <w:rsid w:val="00EA3EBE"/>
    <w:rsid w:val="00EA3FAC"/>
    <w:rsid w:val="00EA4153"/>
    <w:rsid w:val="00EA4370"/>
    <w:rsid w:val="00EA5CD6"/>
    <w:rsid w:val="00EA6DFB"/>
    <w:rsid w:val="00EA7135"/>
    <w:rsid w:val="00EB02BB"/>
    <w:rsid w:val="00EB0A71"/>
    <w:rsid w:val="00EB0BFB"/>
    <w:rsid w:val="00EB1B8D"/>
    <w:rsid w:val="00EB1C78"/>
    <w:rsid w:val="00EB20A0"/>
    <w:rsid w:val="00EB30B6"/>
    <w:rsid w:val="00EB4EDD"/>
    <w:rsid w:val="00EB4FA4"/>
    <w:rsid w:val="00EB5146"/>
    <w:rsid w:val="00EB5466"/>
    <w:rsid w:val="00EB55E9"/>
    <w:rsid w:val="00EB5641"/>
    <w:rsid w:val="00EB5846"/>
    <w:rsid w:val="00EB5CA9"/>
    <w:rsid w:val="00EB5ED4"/>
    <w:rsid w:val="00EB6406"/>
    <w:rsid w:val="00EB6537"/>
    <w:rsid w:val="00EB6A63"/>
    <w:rsid w:val="00EB6EF5"/>
    <w:rsid w:val="00EB70E1"/>
    <w:rsid w:val="00EB7EB5"/>
    <w:rsid w:val="00EC02CF"/>
    <w:rsid w:val="00EC1F4E"/>
    <w:rsid w:val="00EC454B"/>
    <w:rsid w:val="00EC5F73"/>
    <w:rsid w:val="00EC6153"/>
    <w:rsid w:val="00EC6972"/>
    <w:rsid w:val="00EC7F92"/>
    <w:rsid w:val="00ED0504"/>
    <w:rsid w:val="00ED0A79"/>
    <w:rsid w:val="00ED118D"/>
    <w:rsid w:val="00ED2915"/>
    <w:rsid w:val="00ED2B02"/>
    <w:rsid w:val="00ED2CA5"/>
    <w:rsid w:val="00ED336F"/>
    <w:rsid w:val="00ED54D6"/>
    <w:rsid w:val="00ED5726"/>
    <w:rsid w:val="00ED64C6"/>
    <w:rsid w:val="00ED723D"/>
    <w:rsid w:val="00ED7EC3"/>
    <w:rsid w:val="00EE0384"/>
    <w:rsid w:val="00EE09C3"/>
    <w:rsid w:val="00EE10AA"/>
    <w:rsid w:val="00EE1637"/>
    <w:rsid w:val="00EE3358"/>
    <w:rsid w:val="00EE3E78"/>
    <w:rsid w:val="00EE4318"/>
    <w:rsid w:val="00EE58BF"/>
    <w:rsid w:val="00EE5E02"/>
    <w:rsid w:val="00EE617D"/>
    <w:rsid w:val="00EE61BF"/>
    <w:rsid w:val="00EE6563"/>
    <w:rsid w:val="00EE6748"/>
    <w:rsid w:val="00EE747C"/>
    <w:rsid w:val="00EF0E75"/>
    <w:rsid w:val="00EF10E5"/>
    <w:rsid w:val="00EF17BF"/>
    <w:rsid w:val="00EF1F5A"/>
    <w:rsid w:val="00EF3811"/>
    <w:rsid w:val="00EF385C"/>
    <w:rsid w:val="00EF466D"/>
    <w:rsid w:val="00EF4685"/>
    <w:rsid w:val="00EF48E7"/>
    <w:rsid w:val="00EF4AB0"/>
    <w:rsid w:val="00EF5397"/>
    <w:rsid w:val="00EF5B51"/>
    <w:rsid w:val="00EF623C"/>
    <w:rsid w:val="00EF6654"/>
    <w:rsid w:val="00EF7EB7"/>
    <w:rsid w:val="00F0129D"/>
    <w:rsid w:val="00F02E63"/>
    <w:rsid w:val="00F04811"/>
    <w:rsid w:val="00F0488C"/>
    <w:rsid w:val="00F0496E"/>
    <w:rsid w:val="00F04D10"/>
    <w:rsid w:val="00F05CBA"/>
    <w:rsid w:val="00F061D4"/>
    <w:rsid w:val="00F0625B"/>
    <w:rsid w:val="00F06769"/>
    <w:rsid w:val="00F078CB"/>
    <w:rsid w:val="00F07939"/>
    <w:rsid w:val="00F101FF"/>
    <w:rsid w:val="00F106E2"/>
    <w:rsid w:val="00F10A33"/>
    <w:rsid w:val="00F130A1"/>
    <w:rsid w:val="00F13374"/>
    <w:rsid w:val="00F1520B"/>
    <w:rsid w:val="00F15BEF"/>
    <w:rsid w:val="00F15F3F"/>
    <w:rsid w:val="00F165D7"/>
    <w:rsid w:val="00F16C0C"/>
    <w:rsid w:val="00F172BE"/>
    <w:rsid w:val="00F1776C"/>
    <w:rsid w:val="00F2037E"/>
    <w:rsid w:val="00F20586"/>
    <w:rsid w:val="00F20EF6"/>
    <w:rsid w:val="00F2103E"/>
    <w:rsid w:val="00F214FC"/>
    <w:rsid w:val="00F23FFF"/>
    <w:rsid w:val="00F2441D"/>
    <w:rsid w:val="00F24D2C"/>
    <w:rsid w:val="00F24F20"/>
    <w:rsid w:val="00F24FAA"/>
    <w:rsid w:val="00F25456"/>
    <w:rsid w:val="00F25568"/>
    <w:rsid w:val="00F256F6"/>
    <w:rsid w:val="00F26197"/>
    <w:rsid w:val="00F26426"/>
    <w:rsid w:val="00F26B9E"/>
    <w:rsid w:val="00F26CF5"/>
    <w:rsid w:val="00F31F76"/>
    <w:rsid w:val="00F3364D"/>
    <w:rsid w:val="00F34509"/>
    <w:rsid w:val="00F34B6F"/>
    <w:rsid w:val="00F35395"/>
    <w:rsid w:val="00F35ACD"/>
    <w:rsid w:val="00F36BF8"/>
    <w:rsid w:val="00F36F92"/>
    <w:rsid w:val="00F37760"/>
    <w:rsid w:val="00F378D9"/>
    <w:rsid w:val="00F37CC8"/>
    <w:rsid w:val="00F40185"/>
    <w:rsid w:val="00F403D1"/>
    <w:rsid w:val="00F4046E"/>
    <w:rsid w:val="00F40600"/>
    <w:rsid w:val="00F407AD"/>
    <w:rsid w:val="00F41C50"/>
    <w:rsid w:val="00F42AF8"/>
    <w:rsid w:val="00F43921"/>
    <w:rsid w:val="00F43FFB"/>
    <w:rsid w:val="00F44C5D"/>
    <w:rsid w:val="00F45820"/>
    <w:rsid w:val="00F4591F"/>
    <w:rsid w:val="00F45CB3"/>
    <w:rsid w:val="00F46FD1"/>
    <w:rsid w:val="00F4736B"/>
    <w:rsid w:val="00F47D05"/>
    <w:rsid w:val="00F50030"/>
    <w:rsid w:val="00F506B2"/>
    <w:rsid w:val="00F50854"/>
    <w:rsid w:val="00F51FC9"/>
    <w:rsid w:val="00F52B67"/>
    <w:rsid w:val="00F53631"/>
    <w:rsid w:val="00F5435A"/>
    <w:rsid w:val="00F54B31"/>
    <w:rsid w:val="00F54FD3"/>
    <w:rsid w:val="00F55CC2"/>
    <w:rsid w:val="00F56CF5"/>
    <w:rsid w:val="00F56D14"/>
    <w:rsid w:val="00F61083"/>
    <w:rsid w:val="00F62807"/>
    <w:rsid w:val="00F631EA"/>
    <w:rsid w:val="00F636E3"/>
    <w:rsid w:val="00F63855"/>
    <w:rsid w:val="00F63DDE"/>
    <w:rsid w:val="00F63FB7"/>
    <w:rsid w:val="00F6441A"/>
    <w:rsid w:val="00F64726"/>
    <w:rsid w:val="00F6519F"/>
    <w:rsid w:val="00F6561A"/>
    <w:rsid w:val="00F700C5"/>
    <w:rsid w:val="00F707FB"/>
    <w:rsid w:val="00F71BF5"/>
    <w:rsid w:val="00F727D5"/>
    <w:rsid w:val="00F7293D"/>
    <w:rsid w:val="00F72F44"/>
    <w:rsid w:val="00F739B6"/>
    <w:rsid w:val="00F73A0C"/>
    <w:rsid w:val="00F73C9E"/>
    <w:rsid w:val="00F740ED"/>
    <w:rsid w:val="00F76C87"/>
    <w:rsid w:val="00F771A5"/>
    <w:rsid w:val="00F80280"/>
    <w:rsid w:val="00F80B71"/>
    <w:rsid w:val="00F80EB9"/>
    <w:rsid w:val="00F81C3A"/>
    <w:rsid w:val="00F822CE"/>
    <w:rsid w:val="00F82F33"/>
    <w:rsid w:val="00F835FC"/>
    <w:rsid w:val="00F83E21"/>
    <w:rsid w:val="00F844AF"/>
    <w:rsid w:val="00F84E18"/>
    <w:rsid w:val="00F852E5"/>
    <w:rsid w:val="00F86C84"/>
    <w:rsid w:val="00F86CBF"/>
    <w:rsid w:val="00F90487"/>
    <w:rsid w:val="00F90D12"/>
    <w:rsid w:val="00F90FA0"/>
    <w:rsid w:val="00F9250A"/>
    <w:rsid w:val="00F92B4F"/>
    <w:rsid w:val="00F94123"/>
    <w:rsid w:val="00F95117"/>
    <w:rsid w:val="00F9668E"/>
    <w:rsid w:val="00FA05D7"/>
    <w:rsid w:val="00FA1C6C"/>
    <w:rsid w:val="00FA1C73"/>
    <w:rsid w:val="00FA3023"/>
    <w:rsid w:val="00FA309A"/>
    <w:rsid w:val="00FA51AB"/>
    <w:rsid w:val="00FA5557"/>
    <w:rsid w:val="00FA57FD"/>
    <w:rsid w:val="00FA5D63"/>
    <w:rsid w:val="00FA5FB4"/>
    <w:rsid w:val="00FA634D"/>
    <w:rsid w:val="00FA7644"/>
    <w:rsid w:val="00FA7871"/>
    <w:rsid w:val="00FB1324"/>
    <w:rsid w:val="00FB242B"/>
    <w:rsid w:val="00FB262B"/>
    <w:rsid w:val="00FB280C"/>
    <w:rsid w:val="00FB3C00"/>
    <w:rsid w:val="00FB3D7D"/>
    <w:rsid w:val="00FB48BD"/>
    <w:rsid w:val="00FB56F1"/>
    <w:rsid w:val="00FB5FD4"/>
    <w:rsid w:val="00FB67DD"/>
    <w:rsid w:val="00FB67F3"/>
    <w:rsid w:val="00FB6D5D"/>
    <w:rsid w:val="00FB7929"/>
    <w:rsid w:val="00FC09F4"/>
    <w:rsid w:val="00FC0AF4"/>
    <w:rsid w:val="00FC0D8A"/>
    <w:rsid w:val="00FC0E5F"/>
    <w:rsid w:val="00FC26DB"/>
    <w:rsid w:val="00FC3316"/>
    <w:rsid w:val="00FC35B9"/>
    <w:rsid w:val="00FC4660"/>
    <w:rsid w:val="00FC5454"/>
    <w:rsid w:val="00FC56DE"/>
    <w:rsid w:val="00FD04D7"/>
    <w:rsid w:val="00FD1627"/>
    <w:rsid w:val="00FD1FB0"/>
    <w:rsid w:val="00FD271B"/>
    <w:rsid w:val="00FD38B4"/>
    <w:rsid w:val="00FD473D"/>
    <w:rsid w:val="00FD49EB"/>
    <w:rsid w:val="00FD4B88"/>
    <w:rsid w:val="00FD4BAA"/>
    <w:rsid w:val="00FD57DE"/>
    <w:rsid w:val="00FD61C8"/>
    <w:rsid w:val="00FD63CE"/>
    <w:rsid w:val="00FD7D49"/>
    <w:rsid w:val="00FE0BA6"/>
    <w:rsid w:val="00FE11B6"/>
    <w:rsid w:val="00FE1251"/>
    <w:rsid w:val="00FE2A4F"/>
    <w:rsid w:val="00FE2F78"/>
    <w:rsid w:val="00FE375F"/>
    <w:rsid w:val="00FE44B3"/>
    <w:rsid w:val="00FE4FCB"/>
    <w:rsid w:val="00FE5A8A"/>
    <w:rsid w:val="00FE694F"/>
    <w:rsid w:val="00FF0B85"/>
    <w:rsid w:val="00FF1044"/>
    <w:rsid w:val="00FF21B9"/>
    <w:rsid w:val="00FF28E0"/>
    <w:rsid w:val="00FF2FB4"/>
    <w:rsid w:val="00FF30B3"/>
    <w:rsid w:val="00FF34FE"/>
    <w:rsid w:val="00FF35E3"/>
    <w:rsid w:val="00FF3DF3"/>
    <w:rsid w:val="00FF4027"/>
    <w:rsid w:val="00FF65DF"/>
    <w:rsid w:val="00FF7D9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5E492C"/>
    <w:pPr>
      <w:spacing w:line="288" w:lineRule="auto"/>
    </w:pPr>
    <w:rPr>
      <w:szCs w:val="24"/>
    </w:rPr>
  </w:style>
  <w:style w:type="paragraph" w:styleId="Nadpis1">
    <w:name w:val="heading 1"/>
    <w:basedOn w:val="Normln"/>
    <w:next w:val="Normln"/>
    <w:link w:val="Nadpis1Char"/>
    <w:uiPriority w:val="9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eastAsia="Times New Roman"/>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lang/>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color w:val="000000"/>
      <w:sz w:val="22"/>
      <w:szCs w:val="22"/>
    </w:rPr>
  </w:style>
  <w:style w:type="paragraph" w:customStyle="1" w:styleId="TL-Kontakty">
    <w:name w:val="TL - Kontakty"/>
    <w:next w:val="Normln"/>
    <w:link w:val="TL-KontaktyChar"/>
    <w:uiPriority w:val="99"/>
    <w:rsid w:val="005E492C"/>
    <w:pPr>
      <w:spacing w:after="80"/>
    </w:pPr>
    <w:rPr>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sz w:val="22"/>
      <w:szCs w:val="22"/>
    </w:rPr>
  </w:style>
  <w:style w:type="character" w:customStyle="1" w:styleId="TL-KontaktyChar">
    <w:name w:val="TL - Kontakty Char"/>
    <w:link w:val="TL-Kontakty"/>
    <w:uiPriority w:val="99"/>
    <w:locked/>
    <w:rsid w:val="005E492C"/>
    <w:rPr>
      <w:b/>
      <w:caps/>
      <w:color w:val="BD1B21"/>
      <w:sz w:val="22"/>
      <w:szCs w:val="22"/>
      <w:lang w:bidi="ar-SA"/>
    </w:rPr>
  </w:style>
  <w:style w:type="character" w:customStyle="1" w:styleId="TL-IdentifikaceChar">
    <w:name w:val="TL - Identifikace Char"/>
    <w:link w:val="TL-Identifikace"/>
    <w:uiPriority w:val="99"/>
    <w:locked/>
    <w:rsid w:val="005E492C"/>
    <w:rPr>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lang/>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9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uiPriority w:val="99"/>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uiPriority w:val="99"/>
    <w:locked/>
    <w:rsid w:val="00972263"/>
    <w:rPr>
      <w:rFonts w:ascii="Arial" w:hAnsi="Arial" w:cs="Times New Roman"/>
    </w:rPr>
  </w:style>
  <w:style w:type="character" w:styleId="Znakapoznpodarou">
    <w:name w:val="footnote reference"/>
    <w:basedOn w:val="Standardnpsmoodstavce"/>
    <w:uiPriority w:val="99"/>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99"/>
    <w:qFormat/>
    <w:rsid w:val="0046039A"/>
    <w:pPr>
      <w:ind w:left="708"/>
    </w:pPr>
  </w:style>
  <w:style w:type="table" w:styleId="Mkatabulky">
    <w:name w:val="Table Grid"/>
    <w:basedOn w:val="Normlntabulka"/>
    <w:uiPriority w:val="9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9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semiHidden/>
    <w:locked/>
    <w:rsid w:val="00B31336"/>
    <w:rPr>
      <w:rFonts w:cs="Times New Roman"/>
      <w:color w:val="800080"/>
      <w:u w:val="single"/>
    </w:rPr>
  </w:style>
  <w:style w:type="paragraph" w:styleId="Textvysvtlivek">
    <w:name w:val="endnote text"/>
    <w:basedOn w:val="Normln"/>
    <w:link w:val="TextvysvtlivekChar"/>
    <w:uiPriority w:val="99"/>
    <w:semiHidden/>
    <w:unhideWhenUsed/>
    <w:locked/>
    <w:rsid w:val="008103D8"/>
    <w:rPr>
      <w:szCs w:val="20"/>
    </w:rPr>
  </w:style>
  <w:style w:type="character" w:customStyle="1" w:styleId="TextvysvtlivekChar">
    <w:name w:val="Text vysvětlivek Char"/>
    <w:basedOn w:val="Standardnpsmoodstavce"/>
    <w:link w:val="Textvysvtlivek"/>
    <w:uiPriority w:val="99"/>
    <w:semiHidden/>
    <w:rsid w:val="008103D8"/>
  </w:style>
  <w:style w:type="character" w:styleId="Odkaznavysvtlivky">
    <w:name w:val="endnote reference"/>
    <w:basedOn w:val="Standardnpsmoodstavce"/>
    <w:uiPriority w:val="99"/>
    <w:semiHidden/>
    <w:unhideWhenUsed/>
    <w:locked/>
    <w:rsid w:val="008103D8"/>
    <w:rPr>
      <w:vertAlign w:val="superscript"/>
    </w:rPr>
  </w:style>
  <w:style w:type="character" w:customStyle="1" w:styleId="content">
    <w:name w:val="content"/>
    <w:basedOn w:val="Standardnpsmoodstavce"/>
    <w:rsid w:val="00306F79"/>
  </w:style>
</w:styles>
</file>

<file path=word/webSettings.xml><?xml version="1.0" encoding="utf-8"?>
<w:webSettings xmlns:r="http://schemas.openxmlformats.org/officeDocument/2006/relationships" xmlns:w="http://schemas.openxmlformats.org/wordprocessingml/2006/main">
  <w:divs>
    <w:div w:id="220672612">
      <w:bodyDiv w:val="1"/>
      <w:marLeft w:val="60"/>
      <w:marRight w:val="60"/>
      <w:marTop w:val="60"/>
      <w:marBottom w:val="15"/>
      <w:divBdr>
        <w:top w:val="none" w:sz="0" w:space="0" w:color="auto"/>
        <w:left w:val="none" w:sz="0" w:space="0" w:color="auto"/>
        <w:bottom w:val="none" w:sz="0" w:space="0" w:color="auto"/>
        <w:right w:val="none" w:sz="0" w:space="0" w:color="auto"/>
      </w:divBdr>
      <w:divsChild>
        <w:div w:id="797802405">
          <w:marLeft w:val="0"/>
          <w:marRight w:val="0"/>
          <w:marTop w:val="0"/>
          <w:marBottom w:val="0"/>
          <w:divBdr>
            <w:top w:val="none" w:sz="0" w:space="0" w:color="auto"/>
            <w:left w:val="none" w:sz="0" w:space="0" w:color="auto"/>
            <w:bottom w:val="none" w:sz="0" w:space="0" w:color="auto"/>
            <w:right w:val="none" w:sz="0" w:space="0" w:color="auto"/>
          </w:divBdr>
        </w:div>
      </w:divsChild>
    </w:div>
    <w:div w:id="1281256535">
      <w:marLeft w:val="0"/>
      <w:marRight w:val="0"/>
      <w:marTop w:val="0"/>
      <w:marBottom w:val="0"/>
      <w:divBdr>
        <w:top w:val="none" w:sz="0" w:space="0" w:color="auto"/>
        <w:left w:val="none" w:sz="0" w:space="0" w:color="auto"/>
        <w:bottom w:val="none" w:sz="0" w:space="0" w:color="auto"/>
        <w:right w:val="none" w:sz="0" w:space="0" w:color="auto"/>
      </w:divBdr>
      <w:divsChild>
        <w:div w:id="1281256534">
          <w:marLeft w:val="821"/>
          <w:marRight w:val="0"/>
          <w:marTop w:val="0"/>
          <w:marBottom w:val="0"/>
          <w:divBdr>
            <w:top w:val="none" w:sz="0" w:space="0" w:color="auto"/>
            <w:left w:val="none" w:sz="0" w:space="0" w:color="auto"/>
            <w:bottom w:val="none" w:sz="0" w:space="0" w:color="auto"/>
            <w:right w:val="none" w:sz="0" w:space="0" w:color="auto"/>
          </w:divBdr>
        </w:div>
      </w:divsChild>
    </w:div>
    <w:div w:id="1281256536">
      <w:marLeft w:val="0"/>
      <w:marRight w:val="0"/>
      <w:marTop w:val="0"/>
      <w:marBottom w:val="0"/>
      <w:divBdr>
        <w:top w:val="none" w:sz="0" w:space="0" w:color="auto"/>
        <w:left w:val="none" w:sz="0" w:space="0" w:color="auto"/>
        <w:bottom w:val="none" w:sz="0" w:space="0" w:color="auto"/>
        <w:right w:val="none" w:sz="0" w:space="0" w:color="auto"/>
      </w:divBdr>
    </w:div>
    <w:div w:id="1281256537">
      <w:marLeft w:val="0"/>
      <w:marRight w:val="0"/>
      <w:marTop w:val="0"/>
      <w:marBottom w:val="0"/>
      <w:divBdr>
        <w:top w:val="none" w:sz="0" w:space="0" w:color="auto"/>
        <w:left w:val="none" w:sz="0" w:space="0" w:color="auto"/>
        <w:bottom w:val="none" w:sz="0" w:space="0" w:color="auto"/>
        <w:right w:val="none" w:sz="0" w:space="0" w:color="auto"/>
      </w:divBdr>
    </w:div>
    <w:div w:id="1281256538">
      <w:marLeft w:val="0"/>
      <w:marRight w:val="0"/>
      <w:marTop w:val="0"/>
      <w:marBottom w:val="0"/>
      <w:divBdr>
        <w:top w:val="none" w:sz="0" w:space="0" w:color="auto"/>
        <w:left w:val="none" w:sz="0" w:space="0" w:color="auto"/>
        <w:bottom w:val="none" w:sz="0" w:space="0" w:color="auto"/>
        <w:right w:val="none" w:sz="0" w:space="0" w:color="auto"/>
      </w:divBdr>
    </w:div>
    <w:div w:id="1281256539">
      <w:marLeft w:val="0"/>
      <w:marRight w:val="0"/>
      <w:marTop w:val="0"/>
      <w:marBottom w:val="0"/>
      <w:divBdr>
        <w:top w:val="none" w:sz="0" w:space="0" w:color="auto"/>
        <w:left w:val="none" w:sz="0" w:space="0" w:color="auto"/>
        <w:bottom w:val="none" w:sz="0" w:space="0" w:color="auto"/>
        <w:right w:val="none" w:sz="0" w:space="0" w:color="auto"/>
      </w:divBdr>
    </w:div>
    <w:div w:id="1281256540">
      <w:marLeft w:val="0"/>
      <w:marRight w:val="0"/>
      <w:marTop w:val="0"/>
      <w:marBottom w:val="0"/>
      <w:divBdr>
        <w:top w:val="none" w:sz="0" w:space="0" w:color="auto"/>
        <w:left w:val="none" w:sz="0" w:space="0" w:color="auto"/>
        <w:bottom w:val="none" w:sz="0" w:space="0" w:color="auto"/>
        <w:right w:val="none" w:sz="0" w:space="0" w:color="auto"/>
      </w:divBdr>
    </w:div>
    <w:div w:id="1281256541">
      <w:marLeft w:val="0"/>
      <w:marRight w:val="0"/>
      <w:marTop w:val="0"/>
      <w:marBottom w:val="0"/>
      <w:divBdr>
        <w:top w:val="none" w:sz="0" w:space="0" w:color="auto"/>
        <w:left w:val="none" w:sz="0" w:space="0" w:color="auto"/>
        <w:bottom w:val="none" w:sz="0" w:space="0" w:color="auto"/>
        <w:right w:val="none" w:sz="0" w:space="0" w:color="auto"/>
      </w:divBdr>
    </w:div>
    <w:div w:id="1281256542">
      <w:marLeft w:val="0"/>
      <w:marRight w:val="0"/>
      <w:marTop w:val="0"/>
      <w:marBottom w:val="0"/>
      <w:divBdr>
        <w:top w:val="none" w:sz="0" w:space="0" w:color="auto"/>
        <w:left w:val="none" w:sz="0" w:space="0" w:color="auto"/>
        <w:bottom w:val="none" w:sz="0" w:space="0" w:color="auto"/>
        <w:right w:val="none" w:sz="0" w:space="0" w:color="auto"/>
      </w:divBdr>
    </w:div>
    <w:div w:id="1281256543">
      <w:marLeft w:val="0"/>
      <w:marRight w:val="0"/>
      <w:marTop w:val="0"/>
      <w:marBottom w:val="0"/>
      <w:divBdr>
        <w:top w:val="none" w:sz="0" w:space="0" w:color="auto"/>
        <w:left w:val="none" w:sz="0" w:space="0" w:color="auto"/>
        <w:bottom w:val="none" w:sz="0" w:space="0" w:color="auto"/>
        <w:right w:val="none" w:sz="0" w:space="0" w:color="auto"/>
      </w:divBdr>
    </w:div>
    <w:div w:id="1281256544">
      <w:marLeft w:val="0"/>
      <w:marRight w:val="0"/>
      <w:marTop w:val="0"/>
      <w:marBottom w:val="0"/>
      <w:divBdr>
        <w:top w:val="none" w:sz="0" w:space="0" w:color="auto"/>
        <w:left w:val="none" w:sz="0" w:space="0" w:color="auto"/>
        <w:bottom w:val="none" w:sz="0" w:space="0" w:color="auto"/>
        <w:right w:val="none" w:sz="0" w:space="0" w:color="auto"/>
      </w:divBdr>
    </w:div>
    <w:div w:id="1281256545">
      <w:marLeft w:val="0"/>
      <w:marRight w:val="0"/>
      <w:marTop w:val="0"/>
      <w:marBottom w:val="0"/>
      <w:divBdr>
        <w:top w:val="none" w:sz="0" w:space="0" w:color="auto"/>
        <w:left w:val="none" w:sz="0" w:space="0" w:color="auto"/>
        <w:bottom w:val="none" w:sz="0" w:space="0" w:color="auto"/>
        <w:right w:val="none" w:sz="0" w:space="0" w:color="auto"/>
      </w:divBdr>
    </w:div>
    <w:div w:id="1281256546">
      <w:marLeft w:val="0"/>
      <w:marRight w:val="0"/>
      <w:marTop w:val="0"/>
      <w:marBottom w:val="0"/>
      <w:divBdr>
        <w:top w:val="none" w:sz="0" w:space="0" w:color="auto"/>
        <w:left w:val="none" w:sz="0" w:space="0" w:color="auto"/>
        <w:bottom w:val="none" w:sz="0" w:space="0" w:color="auto"/>
        <w:right w:val="none" w:sz="0" w:space="0" w:color="auto"/>
      </w:divBdr>
    </w:div>
    <w:div w:id="1281256547">
      <w:marLeft w:val="0"/>
      <w:marRight w:val="0"/>
      <w:marTop w:val="0"/>
      <w:marBottom w:val="0"/>
      <w:divBdr>
        <w:top w:val="none" w:sz="0" w:space="0" w:color="auto"/>
        <w:left w:val="none" w:sz="0" w:space="0" w:color="auto"/>
        <w:bottom w:val="none" w:sz="0" w:space="0" w:color="auto"/>
        <w:right w:val="none" w:sz="0" w:space="0" w:color="auto"/>
      </w:divBdr>
    </w:div>
    <w:div w:id="1281256548">
      <w:marLeft w:val="0"/>
      <w:marRight w:val="0"/>
      <w:marTop w:val="0"/>
      <w:marBottom w:val="0"/>
      <w:divBdr>
        <w:top w:val="none" w:sz="0" w:space="0" w:color="auto"/>
        <w:left w:val="none" w:sz="0" w:space="0" w:color="auto"/>
        <w:bottom w:val="none" w:sz="0" w:space="0" w:color="auto"/>
        <w:right w:val="none" w:sz="0" w:space="0" w:color="auto"/>
      </w:divBdr>
    </w:div>
    <w:div w:id="1281256549">
      <w:marLeft w:val="0"/>
      <w:marRight w:val="0"/>
      <w:marTop w:val="0"/>
      <w:marBottom w:val="0"/>
      <w:divBdr>
        <w:top w:val="none" w:sz="0" w:space="0" w:color="auto"/>
        <w:left w:val="none" w:sz="0" w:space="0" w:color="auto"/>
        <w:bottom w:val="none" w:sz="0" w:space="0" w:color="auto"/>
        <w:right w:val="none" w:sz="0" w:space="0" w:color="auto"/>
      </w:divBdr>
    </w:div>
    <w:div w:id="1281256554">
      <w:marLeft w:val="0"/>
      <w:marRight w:val="0"/>
      <w:marTop w:val="0"/>
      <w:marBottom w:val="0"/>
      <w:divBdr>
        <w:top w:val="none" w:sz="0" w:space="0" w:color="auto"/>
        <w:left w:val="none" w:sz="0" w:space="0" w:color="auto"/>
        <w:bottom w:val="none" w:sz="0" w:space="0" w:color="auto"/>
        <w:right w:val="none" w:sz="0" w:space="0" w:color="auto"/>
      </w:divBdr>
    </w:div>
    <w:div w:id="1281256555">
      <w:marLeft w:val="0"/>
      <w:marRight w:val="0"/>
      <w:marTop w:val="0"/>
      <w:marBottom w:val="0"/>
      <w:divBdr>
        <w:top w:val="none" w:sz="0" w:space="0" w:color="auto"/>
        <w:left w:val="none" w:sz="0" w:space="0" w:color="auto"/>
        <w:bottom w:val="none" w:sz="0" w:space="0" w:color="auto"/>
        <w:right w:val="none" w:sz="0" w:space="0" w:color="auto"/>
      </w:divBdr>
    </w:div>
    <w:div w:id="1281256556">
      <w:marLeft w:val="0"/>
      <w:marRight w:val="0"/>
      <w:marTop w:val="0"/>
      <w:marBottom w:val="0"/>
      <w:divBdr>
        <w:top w:val="none" w:sz="0" w:space="0" w:color="auto"/>
        <w:left w:val="none" w:sz="0" w:space="0" w:color="auto"/>
        <w:bottom w:val="none" w:sz="0" w:space="0" w:color="auto"/>
        <w:right w:val="none" w:sz="0" w:space="0" w:color="auto"/>
      </w:divBdr>
    </w:div>
    <w:div w:id="1281256557">
      <w:marLeft w:val="0"/>
      <w:marRight w:val="0"/>
      <w:marTop w:val="0"/>
      <w:marBottom w:val="0"/>
      <w:divBdr>
        <w:top w:val="none" w:sz="0" w:space="0" w:color="auto"/>
        <w:left w:val="none" w:sz="0" w:space="0" w:color="auto"/>
        <w:bottom w:val="none" w:sz="0" w:space="0" w:color="auto"/>
        <w:right w:val="none" w:sz="0" w:space="0" w:color="auto"/>
      </w:divBdr>
    </w:div>
    <w:div w:id="1281256558">
      <w:marLeft w:val="0"/>
      <w:marRight w:val="0"/>
      <w:marTop w:val="0"/>
      <w:marBottom w:val="0"/>
      <w:divBdr>
        <w:top w:val="none" w:sz="0" w:space="0" w:color="auto"/>
        <w:left w:val="none" w:sz="0" w:space="0" w:color="auto"/>
        <w:bottom w:val="none" w:sz="0" w:space="0" w:color="auto"/>
        <w:right w:val="none" w:sz="0" w:space="0" w:color="auto"/>
      </w:divBdr>
    </w:div>
    <w:div w:id="1281256559">
      <w:marLeft w:val="0"/>
      <w:marRight w:val="0"/>
      <w:marTop w:val="0"/>
      <w:marBottom w:val="0"/>
      <w:divBdr>
        <w:top w:val="none" w:sz="0" w:space="0" w:color="auto"/>
        <w:left w:val="none" w:sz="0" w:space="0" w:color="auto"/>
        <w:bottom w:val="none" w:sz="0" w:space="0" w:color="auto"/>
        <w:right w:val="none" w:sz="0" w:space="0" w:color="auto"/>
      </w:divBdr>
    </w:div>
    <w:div w:id="1281256560">
      <w:marLeft w:val="0"/>
      <w:marRight w:val="0"/>
      <w:marTop w:val="0"/>
      <w:marBottom w:val="0"/>
      <w:divBdr>
        <w:top w:val="none" w:sz="0" w:space="0" w:color="auto"/>
        <w:left w:val="none" w:sz="0" w:space="0" w:color="auto"/>
        <w:bottom w:val="none" w:sz="0" w:space="0" w:color="auto"/>
        <w:right w:val="none" w:sz="0" w:space="0" w:color="auto"/>
      </w:divBdr>
    </w:div>
    <w:div w:id="1281256561">
      <w:marLeft w:val="0"/>
      <w:marRight w:val="0"/>
      <w:marTop w:val="0"/>
      <w:marBottom w:val="0"/>
      <w:divBdr>
        <w:top w:val="none" w:sz="0" w:space="0" w:color="auto"/>
        <w:left w:val="none" w:sz="0" w:space="0" w:color="auto"/>
        <w:bottom w:val="none" w:sz="0" w:space="0" w:color="auto"/>
        <w:right w:val="none" w:sz="0" w:space="0" w:color="auto"/>
      </w:divBdr>
    </w:div>
    <w:div w:id="1281256562">
      <w:marLeft w:val="0"/>
      <w:marRight w:val="0"/>
      <w:marTop w:val="0"/>
      <w:marBottom w:val="0"/>
      <w:divBdr>
        <w:top w:val="none" w:sz="0" w:space="0" w:color="auto"/>
        <w:left w:val="none" w:sz="0" w:space="0" w:color="auto"/>
        <w:bottom w:val="none" w:sz="0" w:space="0" w:color="auto"/>
        <w:right w:val="none" w:sz="0" w:space="0" w:color="auto"/>
      </w:divBdr>
    </w:div>
    <w:div w:id="1281256563">
      <w:marLeft w:val="0"/>
      <w:marRight w:val="0"/>
      <w:marTop w:val="0"/>
      <w:marBottom w:val="0"/>
      <w:divBdr>
        <w:top w:val="none" w:sz="0" w:space="0" w:color="auto"/>
        <w:left w:val="none" w:sz="0" w:space="0" w:color="auto"/>
        <w:bottom w:val="none" w:sz="0" w:space="0" w:color="auto"/>
        <w:right w:val="none" w:sz="0" w:space="0" w:color="auto"/>
      </w:divBdr>
    </w:div>
    <w:div w:id="1281256564">
      <w:marLeft w:val="0"/>
      <w:marRight w:val="0"/>
      <w:marTop w:val="0"/>
      <w:marBottom w:val="0"/>
      <w:divBdr>
        <w:top w:val="none" w:sz="0" w:space="0" w:color="auto"/>
        <w:left w:val="none" w:sz="0" w:space="0" w:color="auto"/>
        <w:bottom w:val="none" w:sz="0" w:space="0" w:color="auto"/>
        <w:right w:val="none" w:sz="0" w:space="0" w:color="auto"/>
      </w:divBdr>
    </w:div>
    <w:div w:id="1281256565">
      <w:marLeft w:val="0"/>
      <w:marRight w:val="0"/>
      <w:marTop w:val="0"/>
      <w:marBottom w:val="0"/>
      <w:divBdr>
        <w:top w:val="none" w:sz="0" w:space="0" w:color="auto"/>
        <w:left w:val="none" w:sz="0" w:space="0" w:color="auto"/>
        <w:bottom w:val="none" w:sz="0" w:space="0" w:color="auto"/>
        <w:right w:val="none" w:sz="0" w:space="0" w:color="auto"/>
      </w:divBdr>
    </w:div>
    <w:div w:id="1281256577">
      <w:marLeft w:val="0"/>
      <w:marRight w:val="0"/>
      <w:marTop w:val="0"/>
      <w:marBottom w:val="0"/>
      <w:divBdr>
        <w:top w:val="none" w:sz="0" w:space="0" w:color="auto"/>
        <w:left w:val="none" w:sz="0" w:space="0" w:color="auto"/>
        <w:bottom w:val="none" w:sz="0" w:space="0" w:color="auto"/>
        <w:right w:val="none" w:sz="0" w:space="0" w:color="auto"/>
      </w:divBdr>
      <w:divsChild>
        <w:div w:id="1281256553">
          <w:marLeft w:val="0"/>
          <w:marRight w:val="0"/>
          <w:marTop w:val="0"/>
          <w:marBottom w:val="0"/>
          <w:divBdr>
            <w:top w:val="none" w:sz="0" w:space="0" w:color="auto"/>
            <w:left w:val="none" w:sz="0" w:space="0" w:color="auto"/>
            <w:bottom w:val="none" w:sz="0" w:space="0" w:color="auto"/>
            <w:right w:val="none" w:sz="0" w:space="0" w:color="auto"/>
          </w:divBdr>
          <w:divsChild>
            <w:div w:id="1281256573">
              <w:marLeft w:val="0"/>
              <w:marRight w:val="0"/>
              <w:marTop w:val="0"/>
              <w:marBottom w:val="0"/>
              <w:divBdr>
                <w:top w:val="none" w:sz="0" w:space="0" w:color="auto"/>
                <w:left w:val="none" w:sz="0" w:space="0" w:color="auto"/>
                <w:bottom w:val="none" w:sz="0" w:space="0" w:color="auto"/>
                <w:right w:val="none" w:sz="0" w:space="0" w:color="auto"/>
              </w:divBdr>
              <w:divsChild>
                <w:div w:id="1281256574">
                  <w:marLeft w:val="0"/>
                  <w:marRight w:val="0"/>
                  <w:marTop w:val="0"/>
                  <w:marBottom w:val="0"/>
                  <w:divBdr>
                    <w:top w:val="none" w:sz="0" w:space="0" w:color="auto"/>
                    <w:left w:val="none" w:sz="0" w:space="0" w:color="auto"/>
                    <w:bottom w:val="none" w:sz="0" w:space="0" w:color="auto"/>
                    <w:right w:val="none" w:sz="0" w:space="0" w:color="auto"/>
                  </w:divBdr>
                  <w:divsChild>
                    <w:div w:id="1281256570">
                      <w:marLeft w:val="0"/>
                      <w:marRight w:val="0"/>
                      <w:marTop w:val="0"/>
                      <w:marBottom w:val="0"/>
                      <w:divBdr>
                        <w:top w:val="none" w:sz="0" w:space="0" w:color="auto"/>
                        <w:left w:val="none" w:sz="0" w:space="0" w:color="auto"/>
                        <w:bottom w:val="none" w:sz="0" w:space="0" w:color="auto"/>
                        <w:right w:val="none" w:sz="0" w:space="0" w:color="auto"/>
                      </w:divBdr>
                      <w:divsChild>
                        <w:div w:id="1281256572">
                          <w:marLeft w:val="0"/>
                          <w:marRight w:val="0"/>
                          <w:marTop w:val="0"/>
                          <w:marBottom w:val="0"/>
                          <w:divBdr>
                            <w:top w:val="none" w:sz="0" w:space="0" w:color="auto"/>
                            <w:left w:val="none" w:sz="0" w:space="0" w:color="auto"/>
                            <w:bottom w:val="none" w:sz="0" w:space="0" w:color="auto"/>
                            <w:right w:val="none" w:sz="0" w:space="0" w:color="auto"/>
                          </w:divBdr>
                          <w:divsChild>
                            <w:div w:id="128125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56578">
                  <w:marLeft w:val="0"/>
                  <w:marRight w:val="0"/>
                  <w:marTop w:val="0"/>
                  <w:marBottom w:val="0"/>
                  <w:divBdr>
                    <w:top w:val="none" w:sz="0" w:space="0" w:color="auto"/>
                    <w:left w:val="none" w:sz="0" w:space="0" w:color="auto"/>
                    <w:bottom w:val="none" w:sz="0" w:space="0" w:color="auto"/>
                    <w:right w:val="none" w:sz="0" w:space="0" w:color="auto"/>
                  </w:divBdr>
                  <w:divsChild>
                    <w:div w:id="1281256571">
                      <w:marLeft w:val="0"/>
                      <w:marRight w:val="0"/>
                      <w:marTop w:val="0"/>
                      <w:marBottom w:val="0"/>
                      <w:divBdr>
                        <w:top w:val="none" w:sz="0" w:space="0" w:color="auto"/>
                        <w:left w:val="none" w:sz="0" w:space="0" w:color="auto"/>
                        <w:bottom w:val="none" w:sz="0" w:space="0" w:color="auto"/>
                        <w:right w:val="none" w:sz="0" w:space="0" w:color="auto"/>
                      </w:divBdr>
                      <w:divsChild>
                        <w:div w:id="1281256551">
                          <w:marLeft w:val="0"/>
                          <w:marRight w:val="0"/>
                          <w:marTop w:val="0"/>
                          <w:marBottom w:val="0"/>
                          <w:divBdr>
                            <w:top w:val="none" w:sz="0" w:space="0" w:color="auto"/>
                            <w:left w:val="none" w:sz="0" w:space="0" w:color="auto"/>
                            <w:bottom w:val="none" w:sz="0" w:space="0" w:color="auto"/>
                            <w:right w:val="none" w:sz="0" w:space="0" w:color="auto"/>
                          </w:divBdr>
                          <w:divsChild>
                            <w:div w:id="1281256576">
                              <w:marLeft w:val="0"/>
                              <w:marRight w:val="0"/>
                              <w:marTop w:val="0"/>
                              <w:marBottom w:val="0"/>
                              <w:divBdr>
                                <w:top w:val="none" w:sz="0" w:space="0" w:color="auto"/>
                                <w:left w:val="none" w:sz="0" w:space="0" w:color="auto"/>
                                <w:bottom w:val="none" w:sz="0" w:space="0" w:color="auto"/>
                                <w:right w:val="none" w:sz="0" w:space="0" w:color="auto"/>
                              </w:divBdr>
                              <w:divsChild>
                                <w:div w:id="12812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56567">
                          <w:marLeft w:val="0"/>
                          <w:marRight w:val="0"/>
                          <w:marTop w:val="0"/>
                          <w:marBottom w:val="0"/>
                          <w:divBdr>
                            <w:top w:val="none" w:sz="0" w:space="0" w:color="auto"/>
                            <w:left w:val="none" w:sz="0" w:space="0" w:color="auto"/>
                            <w:bottom w:val="none" w:sz="0" w:space="0" w:color="auto"/>
                            <w:right w:val="none" w:sz="0" w:space="0" w:color="auto"/>
                          </w:divBdr>
                          <w:divsChild>
                            <w:div w:id="1281256552">
                              <w:marLeft w:val="0"/>
                              <w:marRight w:val="0"/>
                              <w:marTop w:val="0"/>
                              <w:marBottom w:val="0"/>
                              <w:divBdr>
                                <w:top w:val="none" w:sz="0" w:space="0" w:color="auto"/>
                                <w:left w:val="none" w:sz="0" w:space="0" w:color="auto"/>
                                <w:bottom w:val="none" w:sz="0" w:space="0" w:color="auto"/>
                                <w:right w:val="none" w:sz="0" w:space="0" w:color="auto"/>
                              </w:divBdr>
                              <w:divsChild>
                                <w:div w:id="1281256566">
                                  <w:marLeft w:val="0"/>
                                  <w:marRight w:val="0"/>
                                  <w:marTop w:val="0"/>
                                  <w:marBottom w:val="0"/>
                                  <w:divBdr>
                                    <w:top w:val="none" w:sz="0" w:space="0" w:color="auto"/>
                                    <w:left w:val="none" w:sz="0" w:space="0" w:color="auto"/>
                                    <w:bottom w:val="none" w:sz="0" w:space="0" w:color="auto"/>
                                    <w:right w:val="none" w:sz="0" w:space="0" w:color="auto"/>
                                  </w:divBdr>
                                  <w:divsChild>
                                    <w:div w:id="128125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256575">
          <w:marLeft w:val="0"/>
          <w:marRight w:val="0"/>
          <w:marTop w:val="0"/>
          <w:marBottom w:val="0"/>
          <w:divBdr>
            <w:top w:val="none" w:sz="0" w:space="0" w:color="auto"/>
            <w:left w:val="none" w:sz="0" w:space="0" w:color="auto"/>
            <w:bottom w:val="none" w:sz="0" w:space="0" w:color="auto"/>
            <w:right w:val="none" w:sz="0" w:space="0" w:color="auto"/>
          </w:divBdr>
        </w:div>
      </w:divsChild>
    </w:div>
    <w:div w:id="1281256579">
      <w:marLeft w:val="0"/>
      <w:marRight w:val="0"/>
      <w:marTop w:val="0"/>
      <w:marBottom w:val="0"/>
      <w:divBdr>
        <w:top w:val="none" w:sz="0" w:space="0" w:color="auto"/>
        <w:left w:val="none" w:sz="0" w:space="0" w:color="auto"/>
        <w:bottom w:val="none" w:sz="0" w:space="0" w:color="auto"/>
        <w:right w:val="none" w:sz="0" w:space="0" w:color="auto"/>
      </w:divBdr>
    </w:div>
    <w:div w:id="1281256580">
      <w:marLeft w:val="0"/>
      <w:marRight w:val="0"/>
      <w:marTop w:val="0"/>
      <w:marBottom w:val="0"/>
      <w:divBdr>
        <w:top w:val="none" w:sz="0" w:space="0" w:color="auto"/>
        <w:left w:val="none" w:sz="0" w:space="0" w:color="auto"/>
        <w:bottom w:val="none" w:sz="0" w:space="0" w:color="auto"/>
        <w:right w:val="none" w:sz="0" w:space="0" w:color="auto"/>
      </w:divBdr>
    </w:div>
    <w:div w:id="1281256581">
      <w:marLeft w:val="0"/>
      <w:marRight w:val="0"/>
      <w:marTop w:val="0"/>
      <w:marBottom w:val="0"/>
      <w:divBdr>
        <w:top w:val="none" w:sz="0" w:space="0" w:color="auto"/>
        <w:left w:val="none" w:sz="0" w:space="0" w:color="auto"/>
        <w:bottom w:val="none" w:sz="0" w:space="0" w:color="auto"/>
        <w:right w:val="none" w:sz="0" w:space="0" w:color="auto"/>
      </w:divBdr>
    </w:div>
    <w:div w:id="1281256582">
      <w:marLeft w:val="0"/>
      <w:marRight w:val="0"/>
      <w:marTop w:val="0"/>
      <w:marBottom w:val="0"/>
      <w:divBdr>
        <w:top w:val="none" w:sz="0" w:space="0" w:color="auto"/>
        <w:left w:val="none" w:sz="0" w:space="0" w:color="auto"/>
        <w:bottom w:val="none" w:sz="0" w:space="0" w:color="auto"/>
        <w:right w:val="none" w:sz="0" w:space="0" w:color="auto"/>
      </w:divBdr>
    </w:div>
    <w:div w:id="1281256583">
      <w:marLeft w:val="0"/>
      <w:marRight w:val="0"/>
      <w:marTop w:val="0"/>
      <w:marBottom w:val="0"/>
      <w:divBdr>
        <w:top w:val="none" w:sz="0" w:space="0" w:color="auto"/>
        <w:left w:val="none" w:sz="0" w:space="0" w:color="auto"/>
        <w:bottom w:val="none" w:sz="0" w:space="0" w:color="auto"/>
        <w:right w:val="none" w:sz="0" w:space="0" w:color="auto"/>
      </w:divBdr>
    </w:div>
    <w:div w:id="1281256584">
      <w:marLeft w:val="0"/>
      <w:marRight w:val="0"/>
      <w:marTop w:val="0"/>
      <w:marBottom w:val="0"/>
      <w:divBdr>
        <w:top w:val="none" w:sz="0" w:space="0" w:color="auto"/>
        <w:left w:val="none" w:sz="0" w:space="0" w:color="auto"/>
        <w:bottom w:val="none" w:sz="0" w:space="0" w:color="auto"/>
        <w:right w:val="none" w:sz="0" w:space="0" w:color="auto"/>
      </w:divBdr>
    </w:div>
    <w:div w:id="1281256585">
      <w:marLeft w:val="0"/>
      <w:marRight w:val="0"/>
      <w:marTop w:val="0"/>
      <w:marBottom w:val="0"/>
      <w:divBdr>
        <w:top w:val="none" w:sz="0" w:space="0" w:color="auto"/>
        <w:left w:val="none" w:sz="0" w:space="0" w:color="auto"/>
        <w:bottom w:val="none" w:sz="0" w:space="0" w:color="auto"/>
        <w:right w:val="none" w:sz="0" w:space="0" w:color="auto"/>
      </w:divBdr>
    </w:div>
    <w:div w:id="1281256586">
      <w:marLeft w:val="0"/>
      <w:marRight w:val="0"/>
      <w:marTop w:val="0"/>
      <w:marBottom w:val="0"/>
      <w:divBdr>
        <w:top w:val="none" w:sz="0" w:space="0" w:color="auto"/>
        <w:left w:val="none" w:sz="0" w:space="0" w:color="auto"/>
        <w:bottom w:val="none" w:sz="0" w:space="0" w:color="auto"/>
        <w:right w:val="none" w:sz="0" w:space="0" w:color="auto"/>
      </w:divBdr>
    </w:div>
    <w:div w:id="1281256587">
      <w:marLeft w:val="0"/>
      <w:marRight w:val="0"/>
      <w:marTop w:val="0"/>
      <w:marBottom w:val="0"/>
      <w:divBdr>
        <w:top w:val="none" w:sz="0" w:space="0" w:color="auto"/>
        <w:left w:val="none" w:sz="0" w:space="0" w:color="auto"/>
        <w:bottom w:val="none" w:sz="0" w:space="0" w:color="auto"/>
        <w:right w:val="none" w:sz="0" w:space="0" w:color="auto"/>
      </w:divBdr>
    </w:div>
    <w:div w:id="1281256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image" Target="media/image16.png"/><Relationship Id="rId39" Type="http://schemas.openxmlformats.org/officeDocument/2006/relationships/image" Target="media/image29.emf"/><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image" Target="media/image32.emf"/><Relationship Id="rId47" Type="http://schemas.openxmlformats.org/officeDocument/2006/relationships/image" Target="media/image37.png"/><Relationship Id="rId50" Type="http://schemas.openxmlformats.org/officeDocument/2006/relationships/image" Target="media/image40.emf"/><Relationship Id="rId55" Type="http://schemas.openxmlformats.org/officeDocument/2006/relationships/image" Target="media/image45.png"/><Relationship Id="rId63" Type="http://schemas.openxmlformats.org/officeDocument/2006/relationships/image" Target="media/image53.png"/><Relationship Id="rId68"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image" Target="media/image35.emf"/><Relationship Id="rId53" Type="http://schemas.openxmlformats.org/officeDocument/2006/relationships/image" Target="media/image43.emf"/><Relationship Id="rId58" Type="http://schemas.openxmlformats.org/officeDocument/2006/relationships/image" Target="media/image48.emf"/><Relationship Id="rId66"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emf"/><Relationship Id="rId49" Type="http://schemas.openxmlformats.org/officeDocument/2006/relationships/image" Target="media/image39.png"/><Relationship Id="rId57" Type="http://schemas.openxmlformats.org/officeDocument/2006/relationships/image" Target="media/image47.png"/><Relationship Id="rId61" Type="http://schemas.openxmlformats.org/officeDocument/2006/relationships/image" Target="media/image51.png"/><Relationship Id="rId10" Type="http://schemas.openxmlformats.org/officeDocument/2006/relationships/header" Target="header2.xml"/><Relationship Id="rId19" Type="http://schemas.openxmlformats.org/officeDocument/2006/relationships/image" Target="media/image9.emf"/><Relationship Id="rId31" Type="http://schemas.openxmlformats.org/officeDocument/2006/relationships/image" Target="media/image21.emf"/><Relationship Id="rId44" Type="http://schemas.openxmlformats.org/officeDocument/2006/relationships/image" Target="media/image34.emf"/><Relationship Id="rId52" Type="http://schemas.openxmlformats.org/officeDocument/2006/relationships/image" Target="media/image42.emf"/><Relationship Id="rId60" Type="http://schemas.openxmlformats.org/officeDocument/2006/relationships/image" Target="media/image50.png"/><Relationship Id="rId65" Type="http://schemas.openxmlformats.org/officeDocument/2006/relationships/image" Target="media/image5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image" Target="media/image38.png"/><Relationship Id="rId56" Type="http://schemas.openxmlformats.org/officeDocument/2006/relationships/image" Target="media/image46.png"/><Relationship Id="rId64" Type="http://schemas.openxmlformats.org/officeDocument/2006/relationships/image" Target="media/image54.png"/><Relationship Id="rId69" Type="http://schemas.openxmlformats.org/officeDocument/2006/relationships/footer" Target="footer4.xml"/><Relationship Id="rId8" Type="http://schemas.openxmlformats.org/officeDocument/2006/relationships/hyperlink" Target="mailto:drahomira.dubska@czso.cz" TargetMode="External"/><Relationship Id="rId51" Type="http://schemas.openxmlformats.org/officeDocument/2006/relationships/image" Target="media/image41.e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image" Target="media/image15.emf"/><Relationship Id="rId33" Type="http://schemas.openxmlformats.org/officeDocument/2006/relationships/image" Target="media/image23.png"/><Relationship Id="rId38" Type="http://schemas.openxmlformats.org/officeDocument/2006/relationships/image" Target="media/image28.emf"/><Relationship Id="rId46" Type="http://schemas.openxmlformats.org/officeDocument/2006/relationships/image" Target="media/image36.png"/><Relationship Id="rId59" Type="http://schemas.openxmlformats.org/officeDocument/2006/relationships/image" Target="media/image49.emf"/><Relationship Id="rId67" Type="http://schemas.openxmlformats.org/officeDocument/2006/relationships/header" Target="header4.xml"/><Relationship Id="rId20" Type="http://schemas.openxmlformats.org/officeDocument/2006/relationships/image" Target="media/image10.emf"/><Relationship Id="rId41" Type="http://schemas.openxmlformats.org/officeDocument/2006/relationships/image" Target="media/image31.emf"/><Relationship Id="rId54" Type="http://schemas.openxmlformats.org/officeDocument/2006/relationships/image" Target="media/image44.png"/><Relationship Id="rId62" Type="http://schemas.openxmlformats.org/officeDocument/2006/relationships/image" Target="media/image52.png"/><Relationship Id="rId7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czso.cz/csu/czso/5013-12-n_2012-14" TargetMode="External"/><Relationship Id="rId1" Type="http://schemas.openxmlformats.org/officeDocument/2006/relationships/hyperlink" Target="http://cepin.cz/docs/dokumenty/Transformace_holma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EDFD7-B0DE-4D35-A3F5-F68EA1E0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Template>
  <TotalTime>1</TotalTime>
  <Pages>41</Pages>
  <Words>17924</Words>
  <Characters>105758</Characters>
  <Application>Microsoft Office Word</Application>
  <DocSecurity>0</DocSecurity>
  <Lines>881</Lines>
  <Paragraphs>246</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123436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Ing. Drahomíra Dubská, CSc.</cp:lastModifiedBy>
  <cp:revision>2</cp:revision>
  <cp:lastPrinted>2016-01-27T09:20:00Z</cp:lastPrinted>
  <dcterms:created xsi:type="dcterms:W3CDTF">2016-01-27T12:12:00Z</dcterms:created>
  <dcterms:modified xsi:type="dcterms:W3CDTF">2016-01-27T12:12:00Z</dcterms:modified>
</cp:coreProperties>
</file>