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B96978" w:rsidP="00417198">
      <w:pPr>
        <w:pStyle w:val="Datum0"/>
      </w:pPr>
      <w:r>
        <w:t>6. 5</w:t>
      </w:r>
      <w:r w:rsidR="00B15B01">
        <w:t>. 2016</w:t>
      </w:r>
    </w:p>
    <w:p w:rsidR="001B4EF5" w:rsidRPr="00A96D96" w:rsidRDefault="005A1E4F" w:rsidP="00417198">
      <w:pPr>
        <w:pStyle w:val="Nzev"/>
      </w:pPr>
      <w:r>
        <w:t>Počet odpracovaných hodin v ČR je jeden z nejvyšších v celé EU</w:t>
      </w:r>
    </w:p>
    <w:p w:rsidR="00276CDB" w:rsidRDefault="0002363E" w:rsidP="00276CDB">
      <w:pPr>
        <w:pStyle w:val="Perex"/>
      </w:pPr>
      <w:r>
        <w:t>Obvyklá týdenní pracovní doba</w:t>
      </w:r>
      <w:r w:rsidR="00785493">
        <w:t xml:space="preserve"> v hlavním zaměstnání</w:t>
      </w:r>
      <w:r>
        <w:t xml:space="preserve"> dosáhla v minulém roce 40,4</w:t>
      </w:r>
      <w:r w:rsidR="00704743">
        <w:t> </w:t>
      </w:r>
      <w:r>
        <w:t>hodiny. Liší se zejména podle postavení respondentů v zaměstnání a druhu vykonávané činnosti. Česká republika se co do počtu odpracovaných hodin řadí na páté místo v celé EU.</w:t>
      </w:r>
    </w:p>
    <w:p w:rsidR="005A1E4F" w:rsidRDefault="00AF42AB" w:rsidP="005A1E4F">
      <w:r>
        <w:t>O</w:t>
      </w:r>
      <w:r w:rsidR="0002363E">
        <w:t xml:space="preserve">bvyklá pracovní doba </w:t>
      </w:r>
      <w:r>
        <w:t xml:space="preserve">za týden dosáhla </w:t>
      </w:r>
      <w:r w:rsidR="0002363E">
        <w:t>v roce 2015</w:t>
      </w:r>
      <w:r>
        <w:t xml:space="preserve"> v průměru</w:t>
      </w:r>
      <w:r w:rsidR="00FA2910">
        <w:t xml:space="preserve"> 40,4 </w:t>
      </w:r>
      <w:r w:rsidR="0002363E">
        <w:t>hodiny.</w:t>
      </w:r>
      <w:r w:rsidR="002E42A6">
        <w:t xml:space="preserve"> Od </w:t>
      </w:r>
      <w:r w:rsidR="005707C8">
        <w:t xml:space="preserve">prvního </w:t>
      </w:r>
      <w:r w:rsidR="002E42A6">
        <w:t>roku výběrového šetření pracovních sil v roce 1993 se snížila o 2,7 hodiny. Počet odpracovaných hodin za týden poklesl ve všech skupinách produktivního věku s výjimkou skupiny 60-64letých.</w:t>
      </w:r>
    </w:p>
    <w:p w:rsidR="002E42A6" w:rsidRPr="009368C8" w:rsidRDefault="002E42A6" w:rsidP="005A1E4F">
      <w:pPr>
        <w:rPr>
          <w:sz w:val="16"/>
        </w:rPr>
      </w:pPr>
    </w:p>
    <w:p w:rsidR="002E42A6" w:rsidRDefault="002E42A6" w:rsidP="005A1E4F">
      <w:r>
        <w:t>Muži odpracují obvykle více hodin než že</w:t>
      </w:r>
      <w:r w:rsidR="00FA2910">
        <w:t>ny (v minulém roce to bylo 41,8 </w:t>
      </w:r>
      <w:r>
        <w:t>hodin</w:t>
      </w:r>
      <w:r w:rsidR="00704743">
        <w:t>y</w:t>
      </w:r>
      <w:r>
        <w:t>, ženy 38,6</w:t>
      </w:r>
      <w:r w:rsidR="00704743">
        <w:t> </w:t>
      </w:r>
      <w:r>
        <w:t>hodin</w:t>
      </w:r>
      <w:r w:rsidR="00704743">
        <w:t>y</w:t>
      </w:r>
      <w:r>
        <w:t xml:space="preserve">). Počet odpracovaných hodin u mužů se </w:t>
      </w:r>
      <w:r w:rsidR="00572518">
        <w:t xml:space="preserve">od roku 1993 </w:t>
      </w:r>
      <w:r>
        <w:t>snížil ve všech skupinách produktivního věku až na mladší šedesátníky.</w:t>
      </w:r>
      <w:r w:rsidR="00BC7A42">
        <w:t xml:space="preserve"> Nejvíce se snížil počet odpracovaných hodin mladých do 24 let.</w:t>
      </w:r>
      <w:r>
        <w:t xml:space="preserve"> Pokles počtu odpracovaný</w:t>
      </w:r>
      <w:r w:rsidR="00FA2910">
        <w:t>ch hodin se obdobně projevuje u </w:t>
      </w:r>
      <w:r>
        <w:t>žen</w:t>
      </w:r>
      <w:r w:rsidR="006A07DE">
        <w:t>.</w:t>
      </w:r>
      <w:r>
        <w:t xml:space="preserve"> </w:t>
      </w:r>
      <w:r w:rsidR="00E935EF">
        <w:t xml:space="preserve">Přitom vzrostla délka odpracované doby </w:t>
      </w:r>
      <w:r w:rsidR="0004496B">
        <w:t>ve skupině 60-64 let</w:t>
      </w:r>
      <w:r w:rsidR="006A07DE">
        <w:t xml:space="preserve">, </w:t>
      </w:r>
      <w:r w:rsidR="00E935EF">
        <w:t>a ve</w:t>
      </w:r>
      <w:r w:rsidR="0004496B">
        <w:t xml:space="preserve"> skupině 55-59letých</w:t>
      </w:r>
      <w:r w:rsidR="00E935EF">
        <w:t xml:space="preserve"> pracujících žen</w:t>
      </w:r>
      <w:r w:rsidR="0004496B">
        <w:t>. To je důsledkem stárnutí ekonomicky aktivní populace a zároveň zvyšování věkové hranice odchodu do starobního důchodu.</w:t>
      </w:r>
    </w:p>
    <w:p w:rsidR="0004496B" w:rsidRPr="009368C8" w:rsidRDefault="0004496B" w:rsidP="005A1E4F">
      <w:pPr>
        <w:rPr>
          <w:sz w:val="16"/>
        </w:rPr>
      </w:pPr>
    </w:p>
    <w:p w:rsidR="0004496B" w:rsidRDefault="0004496B" w:rsidP="005A1E4F">
      <w:r>
        <w:t xml:space="preserve">V rámci výběrového šetření je zjišťován i počet hodin, které respondent skutečně odpracoval v referenčním týdnu. </w:t>
      </w:r>
      <w:r w:rsidR="005707C8">
        <w:t>Průměrný p</w:t>
      </w:r>
      <w:r>
        <w:t>očet těchto hodin je nižší zejména z důvodu dovolené,</w:t>
      </w:r>
      <w:r w:rsidR="00FA2910">
        <w:t xml:space="preserve"> nemoci a státních svátků (35,8 </w:t>
      </w:r>
      <w:r>
        <w:t>hod.).</w:t>
      </w:r>
      <w:r w:rsidR="0006297D">
        <w:t xml:space="preserve"> Rozdíly ve skutečně odpracované době podle věku</w:t>
      </w:r>
      <w:r w:rsidR="00973B31">
        <w:t xml:space="preserve"> a dalších faktorů</w:t>
      </w:r>
      <w:r w:rsidR="0006297D">
        <w:t xml:space="preserve"> korespondují s rozdíly v obvykle odpracované době.</w:t>
      </w:r>
    </w:p>
    <w:p w:rsidR="00230E73" w:rsidRPr="009368C8" w:rsidRDefault="00230E73" w:rsidP="005A1E4F">
      <w:pPr>
        <w:rPr>
          <w:sz w:val="16"/>
        </w:rPr>
      </w:pPr>
    </w:p>
    <w:tbl>
      <w:tblPr>
        <w:tblW w:w="85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1"/>
        <w:gridCol w:w="654"/>
        <w:gridCol w:w="313"/>
        <w:gridCol w:w="967"/>
        <w:gridCol w:w="108"/>
        <w:gridCol w:w="493"/>
        <w:gridCol w:w="367"/>
        <w:gridCol w:w="967"/>
        <w:gridCol w:w="54"/>
        <w:gridCol w:w="493"/>
        <w:gridCol w:w="420"/>
        <w:gridCol w:w="968"/>
      </w:tblGrid>
      <w:tr w:rsidR="007C21CA" w:rsidRPr="007C21CA" w:rsidTr="005670CB">
        <w:trPr>
          <w:trHeight w:val="219"/>
        </w:trPr>
        <w:tc>
          <w:tcPr>
            <w:tcW w:w="8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7C21CA">
              <w:rPr>
                <w:rFonts w:eastAsia="Times New Roman" w:cs="Arial"/>
                <w:b/>
                <w:bCs/>
                <w:szCs w:val="20"/>
                <w:lang w:eastAsia="cs-CZ"/>
              </w:rPr>
              <w:t>Průměrný počet obvykle odpracovaných hodin v hlavním zaměstnání podle věku v roce 2015</w:t>
            </w:r>
          </w:p>
        </w:tc>
      </w:tr>
      <w:tr w:rsidR="007C21CA" w:rsidRPr="007C21CA" w:rsidTr="005670CB">
        <w:trPr>
          <w:trHeight w:val="72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9F7EEE" w:rsidRDefault="007C21CA" w:rsidP="007C21CA">
            <w:pPr>
              <w:spacing w:line="240" w:lineRule="auto"/>
              <w:jc w:val="left"/>
              <w:rPr>
                <w:rFonts w:eastAsia="Times New Roman" w:cs="Arial"/>
                <w:color w:val="FF0000"/>
                <w:sz w:val="2"/>
                <w:szCs w:val="16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1D49EA" w:rsidRPr="007C21CA" w:rsidTr="00B61A11">
        <w:trPr>
          <w:trHeight w:val="219"/>
        </w:trPr>
        <w:tc>
          <w:tcPr>
            <w:tcW w:w="27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A" w:rsidRPr="007C21CA" w:rsidRDefault="001D49EA" w:rsidP="00B61A11">
            <w:pPr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589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EA" w:rsidRPr="007C21CA" w:rsidRDefault="002D2CB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Obvykle odpracované hodi</w:t>
            </w:r>
            <w:r w:rsidR="001D49EA" w:rsidRPr="007C21CA">
              <w:rPr>
                <w:rFonts w:eastAsia="Times New Roman" w:cs="Arial"/>
                <w:sz w:val="16"/>
                <w:szCs w:val="16"/>
                <w:lang w:eastAsia="cs-CZ"/>
              </w:rPr>
              <w:t>ny</w:t>
            </w:r>
          </w:p>
        </w:tc>
      </w:tr>
      <w:tr w:rsidR="001D49EA" w:rsidRPr="007C21CA" w:rsidTr="005670CB">
        <w:trPr>
          <w:trHeight w:val="219"/>
        </w:trPr>
        <w:tc>
          <w:tcPr>
            <w:tcW w:w="2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D49EA" w:rsidRPr="007C21CA" w:rsidTr="005670CB">
        <w:trPr>
          <w:trHeight w:val="219"/>
        </w:trPr>
        <w:tc>
          <w:tcPr>
            <w:tcW w:w="274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úbytek</w:t>
            </w: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br/>
              <w:t>/přírůstek</w:t>
            </w: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br/>
              <w:t>2015/1993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úbytek</w:t>
            </w: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br/>
              <w:t>/přírůstek</w:t>
            </w: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br/>
              <w:t>2015/1993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9EA" w:rsidRPr="007C21CA" w:rsidRDefault="001D49EA" w:rsidP="007C21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úbytek</w:t>
            </w: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br/>
              <w:t>/přírůstek</w:t>
            </w: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br/>
              <w:t>2015/1993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Zaměstnaní celkem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-2,7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-2,9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-2,4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v tom věkové skupiny: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15 až 19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-7,0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-5,9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-8,7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20 až 24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-4,8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-4,6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-4,7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25 až 29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-3,3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-4,4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-0,9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30 až 34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-3,1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42,2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-3,5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-2,8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35 až 39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-3,5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-4,1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-3,1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40 až 44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-2,7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-2,7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-2,8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45 až 49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-2,2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-2,3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-2,2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50 až 54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-2,0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-2,0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-2,0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55 až 59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-0,5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-1,1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60 až 64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C21CA">
              <w:rPr>
                <w:rFonts w:eastAsia="Times New Roman" w:cs="Arial"/>
                <w:sz w:val="16"/>
                <w:szCs w:val="16"/>
                <w:lang w:eastAsia="cs-CZ"/>
              </w:rPr>
              <w:t>65 a více let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-3,6 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-3,0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6209A5" w:rsidRDefault="007C21CA" w:rsidP="007C21C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209A5">
              <w:rPr>
                <w:rFonts w:eastAsia="Times New Roman" w:cs="Arial"/>
                <w:sz w:val="16"/>
                <w:szCs w:val="16"/>
                <w:lang w:eastAsia="cs-CZ"/>
              </w:rPr>
              <w:t xml:space="preserve">-4,3 </w:t>
            </w:r>
          </w:p>
        </w:tc>
      </w:tr>
      <w:tr w:rsidR="007C21CA" w:rsidRPr="007C21CA" w:rsidTr="00B61A11">
        <w:trPr>
          <w:trHeight w:val="19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9368C8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12"/>
                <w:szCs w:val="16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A" w:rsidRPr="007C21CA" w:rsidRDefault="007C21CA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C6429F" w:rsidRPr="007C21CA" w:rsidTr="009368C8">
        <w:trPr>
          <w:trHeight w:val="170"/>
        </w:trPr>
        <w:tc>
          <w:tcPr>
            <w:tcW w:w="8642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429F" w:rsidRPr="007C21CA" w:rsidRDefault="00C6429F" w:rsidP="007C21C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7C21CA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</w:tr>
    </w:tbl>
    <w:p w:rsidR="00AA49CE" w:rsidRDefault="00AA49CE" w:rsidP="005A1E4F">
      <w:r w:rsidRPr="00AA49CE">
        <w:lastRenderedPageBreak/>
        <w:t>Dos</w:t>
      </w:r>
      <w:r>
        <w:t>ažené vzdělání nemá výraznější vliv na počet obvykle odpracovaných hodin.</w:t>
      </w:r>
      <w:r w:rsidR="00603C0E">
        <w:t xml:space="preserve"> Nejméně odpracují osoby se základním</w:t>
      </w:r>
      <w:r w:rsidR="00FA2910">
        <w:t xml:space="preserve"> vzděláním (v minulém roce 38,5 </w:t>
      </w:r>
      <w:r w:rsidR="00603C0E">
        <w:t xml:space="preserve">hod.), ale od vyučených je rozdíl mezi jednotlivými stupni vzdělání minimální. </w:t>
      </w:r>
      <w:r w:rsidR="00FA2910">
        <w:t>Pohybuje se v intervalu od 40,3 </w:t>
      </w:r>
      <w:r w:rsidR="00603C0E">
        <w:t>hodin</w:t>
      </w:r>
      <w:r w:rsidR="00631426">
        <w:t>y</w:t>
      </w:r>
      <w:r w:rsidR="00603C0E">
        <w:t xml:space="preserve"> vysokoškoláků po</w:t>
      </w:r>
      <w:r w:rsidR="00FA2910">
        <w:t xml:space="preserve"> 40,7 </w:t>
      </w:r>
      <w:r w:rsidR="00603C0E">
        <w:t>hodin</w:t>
      </w:r>
      <w:r w:rsidR="00631426">
        <w:t>y</w:t>
      </w:r>
      <w:r w:rsidR="00603C0E">
        <w:t xml:space="preserve"> u pracovníků se středním stupněm vzdělání bez maturity.</w:t>
      </w:r>
    </w:p>
    <w:p w:rsidR="004F16CA" w:rsidRDefault="004F16CA" w:rsidP="005A1E4F"/>
    <w:p w:rsidR="00295D7C" w:rsidRPr="00295D7C" w:rsidRDefault="00295D7C" w:rsidP="005A1E4F">
      <w:pPr>
        <w:rPr>
          <w:b/>
        </w:rPr>
      </w:pPr>
      <w:r>
        <w:rPr>
          <w:b/>
        </w:rPr>
        <w:t>Pracovní týden fyzicky pracujících bývá dlouhý</w:t>
      </w:r>
    </w:p>
    <w:p w:rsidR="00295D7C" w:rsidRDefault="00295D7C" w:rsidP="005A1E4F"/>
    <w:p w:rsidR="004F16CA" w:rsidRDefault="004F16CA" w:rsidP="005A1E4F">
      <w:r>
        <w:t>Podstatně větší diference jsou mezi hlavn</w:t>
      </w:r>
      <w:r w:rsidR="00306BAA">
        <w:t>ími třídami postavení v zaměstná</w:t>
      </w:r>
      <w:r>
        <w:t>ní (klasifikace CZ</w:t>
      </w:r>
      <w:r>
        <w:noBreakHyphen/>
        <w:t>ICSE). Nejvíce hodin odpracují týdně ve svém hlavním zaměstnání p</w:t>
      </w:r>
      <w:r w:rsidR="00306BAA">
        <w:t>odnikatelé se zaměstnanci (47,7 </w:t>
      </w:r>
      <w:r>
        <w:t>hod.) a po nich po</w:t>
      </w:r>
      <w:r w:rsidR="00306BAA">
        <w:t>dnikatelé bez zaměstnanců (44,1 </w:t>
      </w:r>
      <w:r>
        <w:t>hod.). S odstupem následuje nejčetnější skupina z</w:t>
      </w:r>
      <w:r w:rsidR="006D12AC">
        <w:t>aměstnanců (39,5 </w:t>
      </w:r>
      <w:r w:rsidR="00306BAA">
        <w:t>h</w:t>
      </w:r>
      <w:r>
        <w:t>od.). Pomáhající rodinní příslušníci obvykle týdně odpracují 37,1 hod</w:t>
      </w:r>
      <w:r w:rsidR="00306BAA">
        <w:t>in</w:t>
      </w:r>
      <w:r w:rsidR="00631426">
        <w:t>y</w:t>
      </w:r>
      <w:r>
        <w:t>.</w:t>
      </w:r>
    </w:p>
    <w:p w:rsidR="004F16CA" w:rsidRDefault="004F16CA" w:rsidP="005A1E4F">
      <w:pPr>
        <w:rPr>
          <w:color w:val="FF0000"/>
        </w:rPr>
      </w:pPr>
    </w:p>
    <w:tbl>
      <w:tblPr>
        <w:tblW w:w="852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8"/>
        <w:gridCol w:w="755"/>
        <w:gridCol w:w="173"/>
        <w:gridCol w:w="877"/>
        <w:gridCol w:w="201"/>
        <w:gridCol w:w="756"/>
        <w:gridCol w:w="126"/>
        <w:gridCol w:w="922"/>
        <w:gridCol w:w="169"/>
        <w:gridCol w:w="799"/>
        <w:gridCol w:w="41"/>
        <w:gridCol w:w="1078"/>
      </w:tblGrid>
      <w:tr w:rsidR="00DA621B" w:rsidRPr="00DA621B" w:rsidTr="00DA621B">
        <w:trPr>
          <w:trHeight w:val="230"/>
        </w:trPr>
        <w:tc>
          <w:tcPr>
            <w:tcW w:w="8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DA621B">
              <w:rPr>
                <w:rFonts w:eastAsia="Times New Roman" w:cs="Arial"/>
                <w:b/>
                <w:bCs/>
                <w:szCs w:val="20"/>
                <w:lang w:eastAsia="cs-CZ"/>
              </w:rPr>
              <w:t>Počet pracujících podle postavení v hlavním zaměstnání a počet obvykle odpracovaných hodin za týden v roce 2015</w:t>
            </w:r>
          </w:p>
        </w:tc>
      </w:tr>
      <w:tr w:rsidR="00DA621B" w:rsidRPr="00DA621B" w:rsidTr="0066237D">
        <w:trPr>
          <w:trHeight w:val="2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color w:val="FF0000"/>
                <w:sz w:val="8"/>
                <w:szCs w:val="16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DA621B" w:rsidRPr="00DA621B" w:rsidTr="0066237D">
        <w:trPr>
          <w:trHeight w:val="230"/>
        </w:trPr>
        <w:tc>
          <w:tcPr>
            <w:tcW w:w="26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20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A621B" w:rsidRPr="00DA621B" w:rsidTr="0066237D">
        <w:trPr>
          <w:trHeight w:val="230"/>
        </w:trPr>
        <w:tc>
          <w:tcPr>
            <w:tcW w:w="26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obvykle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odpracované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hodiny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obvykle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odpracované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hodiny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obvykle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odpracované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>hodiny</w:t>
            </w:r>
          </w:p>
        </w:tc>
      </w:tr>
      <w:tr w:rsidR="003153C2" w:rsidRPr="00DA621B" w:rsidTr="0066237D">
        <w:trPr>
          <w:trHeight w:val="23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5 041,9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2 837,3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2 204,6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38,6 </w:t>
            </w:r>
          </w:p>
        </w:tc>
      </w:tr>
      <w:tr w:rsidR="003153C2" w:rsidRPr="00DA621B" w:rsidTr="0066237D">
        <w:trPr>
          <w:trHeight w:val="23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Postavení v zaměstnání </w:t>
            </w:r>
            <w:r w:rsidRPr="00DA621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br/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DA621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podle CZ-ICSE: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3153C2" w:rsidRPr="00DA621B" w:rsidTr="0066237D">
        <w:trPr>
          <w:trHeight w:val="23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ind w:left="210" w:hanging="42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1, 4 zaměstnanci vč. členů </w:t>
            </w: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  produkčních družstev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4 167,7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2 244,8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1 922,9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38,3 </w:t>
            </w:r>
          </w:p>
        </w:tc>
      </w:tr>
      <w:tr w:rsidR="003153C2" w:rsidRPr="00DA621B" w:rsidTr="0066237D">
        <w:trPr>
          <w:trHeight w:val="23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2 zaměstnavatelé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177,7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47,7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136,7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44,1 </w:t>
            </w:r>
          </w:p>
        </w:tc>
      </w:tr>
      <w:tr w:rsidR="003153C2" w:rsidRPr="00DA621B" w:rsidTr="0066237D">
        <w:trPr>
          <w:trHeight w:val="23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3 osoby pracující na vlastní účet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666,2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448,6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217,6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40,5 </w:t>
            </w:r>
          </w:p>
        </w:tc>
      </w:tr>
      <w:tr w:rsidR="003153C2" w:rsidRPr="00DA621B" w:rsidTr="0066237D">
        <w:trPr>
          <w:trHeight w:val="23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DA621B" w:rsidRDefault="003153C2" w:rsidP="00DA621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>5 pomáhající rodinní příslušníci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3153C2" w:rsidRDefault="003153C2" w:rsidP="003153C2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3153C2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3C2" w:rsidRPr="00DA621B" w:rsidRDefault="003153C2" w:rsidP="00DA621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A621B">
              <w:rPr>
                <w:rFonts w:eastAsia="Times New Roman" w:cs="Arial"/>
                <w:sz w:val="16"/>
                <w:szCs w:val="16"/>
                <w:lang w:eastAsia="cs-CZ"/>
              </w:rPr>
              <w:t xml:space="preserve">37,1 </w:t>
            </w:r>
          </w:p>
        </w:tc>
      </w:tr>
      <w:tr w:rsidR="00DA621B" w:rsidRPr="00DA621B" w:rsidTr="0066237D">
        <w:trPr>
          <w:trHeight w:val="2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DA621B" w:rsidRPr="00DA621B" w:rsidTr="0066237D">
        <w:trPr>
          <w:trHeight w:val="230"/>
        </w:trPr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DA621B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1B" w:rsidRPr="00DA621B" w:rsidRDefault="00DA621B" w:rsidP="00DA621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7D4894" w:rsidRDefault="007D4894" w:rsidP="005A1E4F">
      <w:pPr>
        <w:rPr>
          <w:color w:val="FF0000"/>
        </w:rPr>
      </w:pPr>
    </w:p>
    <w:p w:rsidR="007D4894" w:rsidRDefault="007D4894" w:rsidP="005A1E4F">
      <w:r>
        <w:t>Zastoupení podnikatelů ovlivňuje průměrný počet obvykle odpracovaných hodin v hlavních třídác</w:t>
      </w:r>
      <w:r w:rsidR="00FE28E3">
        <w:t>h</w:t>
      </w:r>
      <w:r>
        <w:t xml:space="preserve"> klasifikace zaměstnání. V minulém roce nejvíce hodin ve svém hlavním zaměstnání odpracovali kvalifikov</w:t>
      </w:r>
      <w:r w:rsidR="00306BAA">
        <w:t>aní dělníci v zemědělství (44,6 </w:t>
      </w:r>
      <w:r>
        <w:t>hod.)</w:t>
      </w:r>
      <w:r w:rsidR="00BB3753">
        <w:t xml:space="preserve">, dále řídící pracovníci včetně zaměstnavatelů (44,0 hod.) a řemeslníci a </w:t>
      </w:r>
      <w:r w:rsidR="00246937">
        <w:t>opraváři</w:t>
      </w:r>
      <w:r w:rsidR="00306BAA">
        <w:t xml:space="preserve"> (41,7 </w:t>
      </w:r>
      <w:r w:rsidR="00BB3753">
        <w:t>hod.). Tyto tři hlavní třídy se zároveň vyznaču</w:t>
      </w:r>
      <w:r w:rsidR="00DD381C">
        <w:t>j</w:t>
      </w:r>
      <w:r w:rsidR="00BB3753">
        <w:t>í podstatně vyšším podílem podnikatelů na zaměstnanosti než ostatní třídy klasifikace zaměstnání CZ-ISCO.</w:t>
      </w:r>
    </w:p>
    <w:p w:rsidR="00246937" w:rsidRDefault="00246937" w:rsidP="005A1E4F"/>
    <w:p w:rsidR="00DD381C" w:rsidRDefault="00DD381C" w:rsidP="005A1E4F">
      <w:r>
        <w:t>Odlišný charakter vykonávaných zaměstnání a zároveň postavení v zaměstnání se promítá v rozdílném počtu odpracovaných hodin</w:t>
      </w:r>
      <w:r w:rsidR="007362EB">
        <w:t xml:space="preserve"> v odvětvových sekcích</w:t>
      </w:r>
      <w:r w:rsidR="000C17B8">
        <w:t xml:space="preserve"> CZ-NACE</w:t>
      </w:r>
      <w:r>
        <w:t>. Zaměstnání s vysokým p</w:t>
      </w:r>
      <w:r w:rsidR="000849D1">
        <w:t>odílem namáhavé fyzické práce jsou</w:t>
      </w:r>
      <w:r>
        <w:t xml:space="preserve"> výrazně zastoup</w:t>
      </w:r>
      <w:r w:rsidR="00FE28E3">
        <w:t>ena v zemědělství, lesni</w:t>
      </w:r>
      <w:r>
        <w:t>ctví a</w:t>
      </w:r>
      <w:r w:rsidR="003C0775">
        <w:t> </w:t>
      </w:r>
      <w:r>
        <w:t>rybářství a</w:t>
      </w:r>
      <w:r w:rsidR="00901099">
        <w:t> </w:t>
      </w:r>
      <w:r>
        <w:t xml:space="preserve">ve stavebnictví. Pro zemědělství a hlavně stavebnictví je </w:t>
      </w:r>
      <w:r w:rsidR="000849D1">
        <w:t xml:space="preserve">zároveň </w:t>
      </w:r>
      <w:r>
        <w:t xml:space="preserve">charakteristický vysoký podíl podnikatelů v těchto odvětvích. </w:t>
      </w:r>
      <w:r w:rsidR="00EA0042">
        <w:t>Déle se pracuje i v</w:t>
      </w:r>
      <w:r w:rsidR="00C8267A">
        <w:t xml:space="preserve"> odvětví doprava a skladování, kde práce často představuje</w:t>
      </w:r>
      <w:r w:rsidR="00D323FD">
        <w:t xml:space="preserve"> zároveň</w:t>
      </w:r>
      <w:r w:rsidR="00C8267A">
        <w:t xml:space="preserve"> větší fyzickou zátěž.</w:t>
      </w:r>
    </w:p>
    <w:p w:rsidR="00D64EDE" w:rsidRDefault="00D64EDE" w:rsidP="005A1E4F"/>
    <w:p w:rsidR="0077625C" w:rsidRDefault="0077625C" w:rsidP="005A1E4F">
      <w:pPr>
        <w:rPr>
          <w:color w:val="FF0000"/>
        </w:rPr>
      </w:pPr>
    </w:p>
    <w:p w:rsidR="0077625C" w:rsidRDefault="003615E1" w:rsidP="005A1E4F">
      <w:pPr>
        <w:rPr>
          <w:color w:val="FF000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9pt;height:319.9pt">
            <v:imagedata r:id="rId8" o:title=""/>
          </v:shape>
        </w:pict>
      </w:r>
    </w:p>
    <w:p w:rsidR="00824615" w:rsidRDefault="00824615" w:rsidP="005A1E4F">
      <w:pPr>
        <w:rPr>
          <w:b/>
        </w:rPr>
      </w:pPr>
    </w:p>
    <w:p w:rsidR="00824615" w:rsidRPr="00824615" w:rsidRDefault="00824615" w:rsidP="005A1E4F">
      <w:pPr>
        <w:rPr>
          <w:b/>
        </w:rPr>
      </w:pPr>
      <w:r>
        <w:rPr>
          <w:b/>
        </w:rPr>
        <w:t>Více let práce a méně hodin nebo méně let a více hodin práce v týdnu?</w:t>
      </w:r>
    </w:p>
    <w:p w:rsidR="00824615" w:rsidRDefault="00824615" w:rsidP="005A1E4F"/>
    <w:p w:rsidR="0077625C" w:rsidRPr="00557A48" w:rsidRDefault="00083F45" w:rsidP="005A1E4F">
      <w:r>
        <w:t xml:space="preserve">Očekávaný počet let ekonomicky aktivního života </w:t>
      </w:r>
      <w:r w:rsidR="0077625C">
        <w:t>v České republice je v rámci EU jedenáct</w:t>
      </w:r>
      <w:r>
        <w:t>ý</w:t>
      </w:r>
      <w:r w:rsidR="0077625C">
        <w:t xml:space="preserve"> </w:t>
      </w:r>
      <w:r>
        <w:t>nejvyšší</w:t>
      </w:r>
      <w:r w:rsidR="0077625C">
        <w:t xml:space="preserve">. Nedosahuje však ani </w:t>
      </w:r>
      <w:r>
        <w:t>průměru</w:t>
      </w:r>
      <w:r w:rsidR="0077625C">
        <w:t xml:space="preserve"> za všechny členské země EU. V roce 2014 činil očekávaný celkový počet let ekonomické aktivity</w:t>
      </w:r>
      <w:r w:rsidR="007B64EA">
        <w:t xml:space="preserve"> </w:t>
      </w:r>
      <w:r w:rsidR="0077625C">
        <w:t>34,9 roku proti unijnímu průměru 35,3 roku. Výrazně delší je především v zemích s velkou pracovní aktivitou v nejmladším produktivním věku (Švédsko, Dánsko, Finsko, Nizozemsko, Spojené království, Německ</w:t>
      </w:r>
      <w:r w:rsidR="00306BAA">
        <w:t>o).</w:t>
      </w:r>
      <w:r w:rsidR="004042E5">
        <w:t xml:space="preserve"> Tyto země podstatně ovlivňují očekávanou délku aktivity</w:t>
      </w:r>
      <w:r w:rsidR="00746140">
        <w:t xml:space="preserve"> </w:t>
      </w:r>
      <w:r w:rsidR="004042E5">
        <w:t>za</w:t>
      </w:r>
      <w:r w:rsidR="00CF437A">
        <w:t xml:space="preserve"> celou</w:t>
      </w:r>
      <w:r w:rsidR="004042E5">
        <w:t xml:space="preserve"> EU28</w:t>
      </w:r>
      <w:r w:rsidR="00BC342F">
        <w:t>.</w:t>
      </w:r>
      <w:r w:rsidR="00306BAA">
        <w:t xml:space="preserve"> Bližší údaje jsou uvedeny – </w:t>
      </w:r>
      <w:r w:rsidR="00557A48">
        <w:t>viz</w:t>
      </w:r>
      <w:r w:rsidR="00306BAA">
        <w:t> </w:t>
      </w:r>
      <w:hyperlink r:id="rId9" w:history="1">
        <w:r w:rsidR="00557A48" w:rsidRPr="00557A48">
          <w:rPr>
            <w:rStyle w:val="Hypertextovodkaz"/>
          </w:rPr>
          <w:t>https://www.czso.cz/csu/czso/cri/ctvrtletni-analyza-vsps-na-aktualni-tema-4-ctvrtleti-2015</w:t>
        </w:r>
      </w:hyperlink>
      <w:r w:rsidR="00BC342F">
        <w:t>.</w:t>
      </w:r>
    </w:p>
    <w:p w:rsidR="0077625C" w:rsidRDefault="0077625C" w:rsidP="005A1E4F"/>
    <w:p w:rsidR="0077625C" w:rsidRDefault="00306BAA" w:rsidP="005A1E4F">
      <w:r>
        <w:t>Naši</w:t>
      </w:r>
      <w:r w:rsidR="0077625C">
        <w:t xml:space="preserve"> pracující</w:t>
      </w:r>
      <w:r w:rsidR="004042E5">
        <w:t xml:space="preserve"> naopak</w:t>
      </w:r>
      <w:r w:rsidR="0077625C">
        <w:t xml:space="preserve"> stráví v zaměstnání podstatně delší čas</w:t>
      </w:r>
      <w:r w:rsidR="00A54DFB">
        <w:t>,</w:t>
      </w:r>
      <w:r w:rsidR="0077625C">
        <w:t xml:space="preserve"> než je průměr EU (40,4 obvykle odpracovaných</w:t>
      </w:r>
      <w:r>
        <w:t xml:space="preserve"> hodin týdně, tj. o 3,2 hodin</w:t>
      </w:r>
      <w:r w:rsidR="0077625C">
        <w:t xml:space="preserve"> více než za EU28).</w:t>
      </w:r>
      <w:r w:rsidR="00BE23A2">
        <w:t xml:space="preserve"> </w:t>
      </w:r>
      <w:r w:rsidR="00EB0A19">
        <w:t>Česká</w:t>
      </w:r>
      <w:r w:rsidR="00BE23A2">
        <w:t xml:space="preserve"> republika tak zaujímá </w:t>
      </w:r>
      <w:r w:rsidR="00BE23A2" w:rsidRPr="00564DA1">
        <w:t xml:space="preserve">páté místo ze všech zemí EU. </w:t>
      </w:r>
      <w:r w:rsidR="0009390A" w:rsidRPr="00564DA1">
        <w:t>Obvykle týdně n</w:t>
      </w:r>
      <w:r w:rsidR="00FA2910">
        <w:t>ejdéle pracují Řekové (téměř 42 </w:t>
      </w:r>
      <w:r w:rsidR="0009390A" w:rsidRPr="00564DA1">
        <w:t>hod.), v</w:t>
      </w:r>
      <w:r w:rsidR="005705C3" w:rsidRPr="00564DA1">
        <w:t>íce</w:t>
      </w:r>
      <w:r w:rsidR="00134D79">
        <w:t xml:space="preserve"> hodin než v ČR</w:t>
      </w:r>
      <w:r w:rsidR="005705C3" w:rsidRPr="00564DA1">
        <w:t xml:space="preserve"> od</w:t>
      </w:r>
      <w:r w:rsidR="0009390A" w:rsidRPr="00564DA1">
        <w:t>pracují muži a ženy v Bulharsku</w:t>
      </w:r>
      <w:r w:rsidR="005705C3" w:rsidRPr="00564DA1">
        <w:t>.</w:t>
      </w:r>
      <w:r w:rsidR="0009390A" w:rsidRPr="00564DA1">
        <w:t xml:space="preserve"> </w:t>
      </w:r>
      <w:r w:rsidR="00BE23A2" w:rsidRPr="00564DA1">
        <w:t xml:space="preserve">Před námi jsou </w:t>
      </w:r>
      <w:r w:rsidR="005705C3" w:rsidRPr="00564DA1">
        <w:t xml:space="preserve">i </w:t>
      </w:r>
      <w:r w:rsidR="00BE23A2" w:rsidRPr="00564DA1">
        <w:t>naši sousedé Polsko a</w:t>
      </w:r>
      <w:r w:rsidR="00134D79">
        <w:t> </w:t>
      </w:r>
      <w:r w:rsidR="00BE23A2" w:rsidRPr="00564DA1">
        <w:t>Slovensko, rozdíly jsou však minimální.</w:t>
      </w:r>
      <w:r w:rsidR="00BE23A2">
        <w:t xml:space="preserve"> </w:t>
      </w:r>
    </w:p>
    <w:p w:rsidR="005F34F6" w:rsidRDefault="005F34F6" w:rsidP="005A1E4F"/>
    <w:p w:rsidR="005F34F6" w:rsidRDefault="005F34F6" w:rsidP="005A1E4F"/>
    <w:p w:rsidR="00973B1A" w:rsidRDefault="00973B1A" w:rsidP="005A1E4F">
      <w:pPr>
        <w:rPr>
          <w:color w:val="00B050"/>
        </w:rPr>
      </w:pPr>
    </w:p>
    <w:p w:rsidR="00F90D3C" w:rsidRDefault="00F90D3C" w:rsidP="005A1E4F">
      <w:pPr>
        <w:rPr>
          <w:color w:val="00B050"/>
        </w:rPr>
      </w:pPr>
    </w:p>
    <w:tbl>
      <w:tblPr>
        <w:tblW w:w="85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63"/>
        <w:gridCol w:w="940"/>
        <w:gridCol w:w="194"/>
        <w:gridCol w:w="746"/>
        <w:gridCol w:w="19"/>
        <w:gridCol w:w="765"/>
        <w:gridCol w:w="157"/>
        <w:gridCol w:w="940"/>
        <w:gridCol w:w="159"/>
        <w:gridCol w:w="781"/>
        <w:gridCol w:w="80"/>
        <w:gridCol w:w="861"/>
      </w:tblGrid>
      <w:tr w:rsidR="00973B1A" w:rsidRPr="00973B1A" w:rsidTr="005770AB">
        <w:trPr>
          <w:trHeight w:val="227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73B1A">
              <w:rPr>
                <w:rFonts w:eastAsia="Times New Roman" w:cs="Arial"/>
                <w:b/>
                <w:bCs/>
                <w:szCs w:val="20"/>
                <w:lang w:eastAsia="cs-CZ"/>
              </w:rPr>
              <w:lastRenderedPageBreak/>
              <w:t>Očekávaná délka ekonomicky aktivního života 15 a víceletých a průměrná délka obvyklé týdenní pracovní doby v zemích EU28 v roce 2014</w:t>
            </w:r>
          </w:p>
        </w:tc>
      </w:tr>
      <w:tr w:rsidR="00973B1A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973B1A" w:rsidRPr="00973B1A" w:rsidTr="005770AB">
        <w:trPr>
          <w:trHeight w:val="227"/>
        </w:trPr>
        <w:tc>
          <w:tcPr>
            <w:tcW w:w="28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28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8F8" w:rsidRDefault="003838F8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Délka ekonomicky </w:t>
            </w:r>
            <w:r w:rsidR="00973B1A" w:rsidRPr="00973B1A">
              <w:rPr>
                <w:rFonts w:eastAsia="Times New Roman" w:cs="Arial"/>
                <w:sz w:val="16"/>
                <w:szCs w:val="16"/>
                <w:lang w:eastAsia="cs-CZ"/>
              </w:rPr>
              <w:t xml:space="preserve">aktivního života </w:t>
            </w:r>
          </w:p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v letech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 xml:space="preserve">Počet obvykle odpracovaných hodin </w:t>
            </w: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br/>
              <w:t>za týden</w:t>
            </w:r>
          </w:p>
        </w:tc>
      </w:tr>
      <w:tr w:rsidR="00973B1A" w:rsidRPr="00973B1A" w:rsidTr="005770AB">
        <w:trPr>
          <w:trHeight w:val="227"/>
        </w:trPr>
        <w:tc>
          <w:tcPr>
            <w:tcW w:w="28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35,3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37,8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32,7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37,2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40,2 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33,6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34,7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40,6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33,2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33,4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41,1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40,4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34,9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38,0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31,5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40,4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41,9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38,5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40,5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35,6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31,1 </w:t>
            </w:r>
          </w:p>
        </w:tc>
      </w:tr>
      <w:tr w:rsidR="005770AB" w:rsidRPr="0018576C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40,2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18576C" w:rsidRDefault="005770A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18576C">
              <w:rPr>
                <w:rFonts w:cs="Arial"/>
                <w:bCs/>
                <w:sz w:val="16"/>
                <w:szCs w:val="16"/>
              </w:rPr>
              <w:t xml:space="preserve">35,3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18576C" w:rsidRDefault="005770A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18576C">
              <w:rPr>
                <w:rFonts w:cs="Arial"/>
                <w:bCs/>
                <w:sz w:val="16"/>
                <w:szCs w:val="16"/>
              </w:rPr>
              <w:t xml:space="preserve">39,4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Pr="0018576C" w:rsidRDefault="005770A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18576C">
              <w:rPr>
                <w:rFonts w:cs="Arial"/>
                <w:bCs/>
                <w:sz w:val="16"/>
                <w:szCs w:val="16"/>
              </w:rPr>
              <w:t xml:space="preserve">30,5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37,5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38,9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39,9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37,8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38,6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31,5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35,7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28,3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41,9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44,0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39,0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37,1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37,9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40,8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34,6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36,5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34,2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34,1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39,9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40,6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39,1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35,1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36,9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32,7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39,8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39,4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41,4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37,4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35,2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39,8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38,3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34,5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38,8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37,4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36,3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37,4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33,8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31,8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34,2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29,4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39,0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39,7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34,0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42,4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34,9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24,5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38,7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40,9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31,9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35,0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29,9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42,5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38,6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38,2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41,1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38,3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35,8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29,7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39,3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35,4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38,1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35,9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41,5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39,2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37,8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38,8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34,8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42,3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34,4 </w:t>
            </w:r>
          </w:p>
        </w:tc>
      </w:tr>
      <w:tr w:rsidR="005770AB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Pr="00973B1A" w:rsidRDefault="005770AB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73B1A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38,5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41,1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35,7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41,1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0AB" w:rsidRDefault="005770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31,7 </w:t>
            </w:r>
          </w:p>
        </w:tc>
      </w:tr>
      <w:tr w:rsidR="00973B1A" w:rsidRPr="00973B1A" w:rsidTr="005770AB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973B1A" w:rsidRPr="00973B1A" w:rsidTr="005770AB">
        <w:trPr>
          <w:trHeight w:val="227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973B1A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proofErr w:type="spellStart"/>
            <w:r w:rsidRPr="00CC702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Eurostat</w:t>
            </w:r>
            <w:proofErr w:type="spellEnd"/>
            <w:r w:rsidRPr="00CC702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, Labour Force Survey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1A" w:rsidRPr="00973B1A" w:rsidRDefault="00973B1A" w:rsidP="00973B1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8F7D4C" w:rsidRDefault="00973B1A" w:rsidP="005A1E4F">
      <w:pPr>
        <w:rPr>
          <w:color w:val="00B050"/>
        </w:rPr>
      </w:pPr>
      <w:r>
        <w:rPr>
          <w:color w:val="00B050"/>
        </w:rPr>
        <w:t xml:space="preserve"> </w:t>
      </w:r>
    </w:p>
    <w:p w:rsidR="008F7D4C" w:rsidRDefault="008F7D4C" w:rsidP="008F7D4C">
      <w:r>
        <w:t>Počet odpracovaných hodin zásadně ovlivňuje využívání částečných úvazků. V hlavním zaměstnání na kratší úvazek pracuje v rámci zemí EU pětina všech osob v zaměstnání, v České republice však tento způsob využívá pouze 5,5 % všech pracujících.</w:t>
      </w:r>
    </w:p>
    <w:p w:rsidR="006C72D4" w:rsidRDefault="006C72D4" w:rsidP="008F7D4C"/>
    <w:p w:rsidR="00A25A87" w:rsidRDefault="006C72D4" w:rsidP="008F7D4C">
      <w:r>
        <w:t>Pro ekonomicky vyspělé země je charakteristick</w:t>
      </w:r>
      <w:r w:rsidR="003C0775">
        <w:t>ý</w:t>
      </w:r>
      <w:r>
        <w:t xml:space="preserve"> </w:t>
      </w:r>
      <w:r w:rsidR="003C0775">
        <w:t xml:space="preserve">nejdelší </w:t>
      </w:r>
      <w:r>
        <w:t>ekonomicky aktivní život a zároveň</w:t>
      </w:r>
      <w:r w:rsidR="003C0775">
        <w:t xml:space="preserve"> se</w:t>
      </w:r>
      <w:r>
        <w:t xml:space="preserve"> v těchto zemích odpracuje týdně méně hodin než v ostatních státech. To je typické zejména pro Německo a Rakousko, severské státy, Spojené království a Irsko. V těchto zemích pracuje na kratší úvazek až čtvrtina všech pracujících, v Nizozemsku je to dokonce polovina všech zaměstnaných.</w:t>
      </w:r>
    </w:p>
    <w:p w:rsidR="006C72D4" w:rsidRDefault="006C72D4" w:rsidP="008F7D4C"/>
    <w:p w:rsidR="00A25A87" w:rsidRDefault="00A25A87" w:rsidP="008F7D4C">
      <w:r>
        <w:t xml:space="preserve">Na kratší úvazek pracují především ženy. V roce 2014 </w:t>
      </w:r>
      <w:r w:rsidR="00CE24AB">
        <w:t xml:space="preserve">jich </w:t>
      </w:r>
      <w:r>
        <w:t xml:space="preserve">byla téměř třetina (32,2 % všech pracujících žen v rámci EU). V řadě zemí je to zcela běžný způsob zaměstnání. V Rakousku </w:t>
      </w:r>
      <w:r>
        <w:lastRenderedPageBreak/>
        <w:t>a</w:t>
      </w:r>
      <w:r w:rsidR="00CA08D8">
        <w:t> </w:t>
      </w:r>
      <w:r>
        <w:t xml:space="preserve">Německu se podíl žen na kratší úvazek přibližuje </w:t>
      </w:r>
      <w:r w:rsidR="001C1293">
        <w:t>p</w:t>
      </w:r>
      <w:r>
        <w:t xml:space="preserve">olovině všech </w:t>
      </w:r>
      <w:r w:rsidR="00CE24AB">
        <w:t xml:space="preserve">pracujících </w:t>
      </w:r>
      <w:r>
        <w:t>žen (přes 46 %). Ve Spojeném království je to 41 %. V Nizozemsku podíl žen pracujících na kratší úvaz</w:t>
      </w:r>
      <w:r w:rsidR="003B4DB7">
        <w:t>ek jednoznačně dominuje nad poč</w:t>
      </w:r>
      <w:r>
        <w:t>tem žen pracujících na plnou pracovní dobu (77 % celkové ženské zaměstnanosti).</w:t>
      </w:r>
    </w:p>
    <w:p w:rsidR="00A25A87" w:rsidRDefault="00A25A87" w:rsidP="008F7D4C"/>
    <w:p w:rsidR="00A25A87" w:rsidRDefault="00A25A87" w:rsidP="008F7D4C">
      <w:r>
        <w:t xml:space="preserve">V kontrastu s tím v České republice pracuje ve věku 15-64 let na kratší úvazek necelých 10 % žen, což je šestá nejnižší hodnota v rámci </w:t>
      </w:r>
      <w:r w:rsidR="00120348">
        <w:t>celé EU.</w:t>
      </w:r>
    </w:p>
    <w:p w:rsidR="00120348" w:rsidRDefault="00120348" w:rsidP="008F7D4C"/>
    <w:p w:rsidR="00120348" w:rsidRDefault="00E42B42" w:rsidP="008F7D4C">
      <w:r>
        <w:t xml:space="preserve">Velká diference se projevuje i mezi muži. </w:t>
      </w:r>
      <w:r w:rsidR="00E672F0">
        <w:t>V průměru za EU28 pracuje na kratší úvazek každý jedenáctý muž, ale v Nizozemsku je to každý čtvrtý.</w:t>
      </w:r>
      <w:r w:rsidR="00A81818">
        <w:t xml:space="preserve"> Naopak v naší republice je podíl mužů s tímto úvazkem po Bulharsku vůbec nejnižší (2,5 %).</w:t>
      </w:r>
    </w:p>
    <w:p w:rsidR="00973B1A" w:rsidRDefault="00973B1A" w:rsidP="008F7D4C"/>
    <w:tbl>
      <w:tblPr>
        <w:tblW w:w="85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62"/>
        <w:gridCol w:w="1614"/>
        <w:gridCol w:w="212"/>
        <w:gridCol w:w="1402"/>
        <w:gridCol w:w="143"/>
        <w:gridCol w:w="1472"/>
      </w:tblGrid>
      <w:tr w:rsidR="00A81818" w:rsidRPr="00A81818" w:rsidTr="00306BAA">
        <w:trPr>
          <w:trHeight w:val="227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818" w:rsidRPr="00A81818" w:rsidRDefault="00973B1A" w:rsidP="00CD342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br w:type="page"/>
            </w:r>
            <w:r w:rsidR="00A81818" w:rsidRPr="00A81818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Podíl </w:t>
            </w:r>
            <w:r w:rsidR="00CD3423">
              <w:rPr>
                <w:rFonts w:eastAsia="Times New Roman" w:cs="Arial"/>
                <w:b/>
                <w:bCs/>
                <w:szCs w:val="20"/>
                <w:lang w:eastAsia="cs-CZ"/>
              </w:rPr>
              <w:t>kratších</w:t>
            </w:r>
            <w:r w:rsidR="00CD3423" w:rsidRPr="00A81818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="00A81818" w:rsidRPr="00A81818">
              <w:rPr>
                <w:rFonts w:eastAsia="Times New Roman" w:cs="Arial"/>
                <w:b/>
                <w:bCs/>
                <w:szCs w:val="20"/>
                <w:lang w:eastAsia="cs-CZ"/>
              </w:rPr>
              <w:t>úvazků v hlavním zaměstnání v roce 2014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18" w:rsidRPr="00A81818" w:rsidRDefault="00A81818" w:rsidP="00A8181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18" w:rsidRPr="00A81818" w:rsidRDefault="00A81818" w:rsidP="00A8181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818" w:rsidRPr="00A81818" w:rsidRDefault="00A81818" w:rsidP="00A8181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32,2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41,2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9,5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35,0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46,3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11,2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34,4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13,0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25,5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30,5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32,1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16,8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10,6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35,6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8,3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76,7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46,3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10,3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9,5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19,3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37,3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81818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A81818" w:rsidRPr="00A81818" w:rsidTr="00306BAA">
        <w:trPr>
          <w:trHeight w:val="22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A81818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proofErr w:type="spellStart"/>
            <w:r w:rsidRPr="00CC702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Eurostat</w:t>
            </w:r>
            <w:proofErr w:type="spellEnd"/>
            <w:r w:rsidRPr="00CC702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, Labour Force Survey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818" w:rsidRPr="00A81818" w:rsidRDefault="00A81818" w:rsidP="00A8181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A81818" w:rsidRDefault="00A81818" w:rsidP="005A1E4F"/>
    <w:p w:rsidR="00DF629D" w:rsidRDefault="00DF629D" w:rsidP="005A1E4F">
      <w:r>
        <w:t>Celkový počet odpracovaných hodin ovlivňují i d</w:t>
      </w:r>
      <w:r w:rsidR="00FE28E3">
        <w:t>ruhá zaměstnání. V průměru za EU</w:t>
      </w:r>
      <w:r>
        <w:t xml:space="preserve">28 mělo vedlejší zaměstnání 4 % pracujících. Významnější je jejich podíl v zemích s velkým počtem </w:t>
      </w:r>
      <w:r>
        <w:lastRenderedPageBreak/>
        <w:t xml:space="preserve">kratších úvazků. Typickým představitelem může být Švédsko, kde má druhé zaměstnání každý desátý pracující, vysoký podíl je i v Německu (9 %) nebo Dánsku (8 %). Vzhledem k tomu, že délka těchto úvazků je v porovnání s hlavním zaměstnáním přibližně třetinová, </w:t>
      </w:r>
      <w:r w:rsidR="0023225E">
        <w:t xml:space="preserve">však </w:t>
      </w:r>
      <w:r>
        <w:t>ovlivňuje celkovou pracovní dobu v jednotlivých zemích jen málo.</w:t>
      </w:r>
    </w:p>
    <w:p w:rsidR="00DF629D" w:rsidRDefault="00DF629D" w:rsidP="005A1E4F"/>
    <w:p w:rsidR="00DF629D" w:rsidRDefault="00DF629D" w:rsidP="005A1E4F">
      <w:r>
        <w:t>Celkový počet odpracovaných hodin je velmi rozdílný. Jsou země, ke kterým patří i Česká republika, kde je zatím očekávaná délka aktivního života kratší, ale v</w:t>
      </w:r>
      <w:r w:rsidR="002F2679">
        <w:t> </w:t>
      </w:r>
      <w:r>
        <w:t>zaměstnání</w:t>
      </w:r>
      <w:r w:rsidR="002F2679">
        <w:t xml:space="preserve"> se</w:t>
      </w:r>
      <w:r>
        <w:t xml:space="preserve"> týdně </w:t>
      </w:r>
      <w:r w:rsidR="002F2679">
        <w:t>odpracuje</w:t>
      </w:r>
      <w:r>
        <w:t xml:space="preserve"> velký počet hodin.</w:t>
      </w:r>
      <w:r w:rsidR="005E0487">
        <w:t xml:space="preserve"> Jsou však země</w:t>
      </w:r>
      <w:r w:rsidR="00DD49BE">
        <w:t>,</w:t>
      </w:r>
      <w:r w:rsidR="005E0487">
        <w:t xml:space="preserve"> vesměs ekonomicky vyspělé, kde je relace mezi dobou aktivního života a odpracovanou týdenní dobou obrácená.</w:t>
      </w:r>
      <w:r w:rsidR="000C5694">
        <w:t xml:space="preserve"> Tyto státy se vyznačují vysokou zaměstnaností mladých do 25 let a obdobně vysokým podílem pracujících nad 60 let. Je zřejmé, že režim nižšího počtu odpracovaných hodin umožňuje lépe sladit práci s péčí o</w:t>
      </w:r>
      <w:r w:rsidR="001F2C05">
        <w:t> </w:t>
      </w:r>
      <w:r w:rsidR="000C5694">
        <w:t>rodinu, umožňuje vyšší zapojení do dlouhodobého vzdělávacího procesu a</w:t>
      </w:r>
      <w:r w:rsidR="00306BAA">
        <w:t> </w:t>
      </w:r>
      <w:r w:rsidR="000C5694">
        <w:t>zároveň je výhodný i pro další mimopracovní aktivity.</w:t>
      </w:r>
    </w:p>
    <w:p w:rsidR="00FE402F" w:rsidRDefault="00FE402F" w:rsidP="005A1E4F"/>
    <w:p w:rsidR="001D6BBE" w:rsidRPr="001D6BBE" w:rsidRDefault="001D6BBE" w:rsidP="001D6BBE">
      <w:pPr>
        <w:rPr>
          <w:b/>
        </w:rPr>
      </w:pPr>
      <w:r>
        <w:rPr>
          <w:b/>
        </w:rPr>
        <w:t>Za více hodin vyšší odměna?</w:t>
      </w:r>
    </w:p>
    <w:p w:rsidR="001D6BBE" w:rsidRDefault="001D6BBE" w:rsidP="005A1E4F"/>
    <w:p w:rsidR="00FE28E3" w:rsidRDefault="00FE402F" w:rsidP="005A1E4F">
      <w:r>
        <w:t xml:space="preserve">Vyšší </w:t>
      </w:r>
      <w:r w:rsidR="00BF5EBE">
        <w:t>počet</w:t>
      </w:r>
      <w:r>
        <w:t xml:space="preserve"> odpracovaných hodin zdaleka neznamená vyšší příjem. Součástí výběrového šetření</w:t>
      </w:r>
      <w:r w:rsidR="006C56A8">
        <w:t xml:space="preserve"> pracovních sil</w:t>
      </w:r>
      <w:r>
        <w:t xml:space="preserve"> nejsou otázky o výši příjmu z výdělečné činnosti </w:t>
      </w:r>
      <w:r w:rsidR="00BC342F">
        <w:t xml:space="preserve">a v </w:t>
      </w:r>
      <w:proofErr w:type="spellStart"/>
      <w:r w:rsidR="00BC342F">
        <w:t>Eurostatu</w:t>
      </w:r>
      <w:proofErr w:type="spellEnd"/>
      <w:r>
        <w:t xml:space="preserve"> nejsou k dispozici ani </w:t>
      </w:r>
      <w:r w:rsidR="00BC342F">
        <w:t xml:space="preserve">přesné </w:t>
      </w:r>
      <w:r>
        <w:t>údaje o výši hrubé mzdy</w:t>
      </w:r>
      <w:r w:rsidR="00BC342F">
        <w:t xml:space="preserve"> po roce 2010</w:t>
      </w:r>
      <w:r>
        <w:t>.</w:t>
      </w:r>
      <w:r w:rsidR="001C1B4B">
        <w:t xml:space="preserve"> Pro porovnání je však možné využít makroekonomické ukazatele, a to Hrubý domácí produkt na hlavu v paritě kupní síly a</w:t>
      </w:r>
      <w:r w:rsidR="001F2C05">
        <w:t> </w:t>
      </w:r>
      <w:r w:rsidR="001C1B4B">
        <w:t xml:space="preserve">zejména Upravený hrubý disponibilní </w:t>
      </w:r>
      <w:r w:rsidR="008717AC">
        <w:t>důchod</w:t>
      </w:r>
      <w:r w:rsidR="006C56A8">
        <w:t xml:space="preserve"> domácnosti na hlavu</w:t>
      </w:r>
      <w:r w:rsidR="001C1B4B">
        <w:t xml:space="preserve"> (</w:t>
      </w:r>
      <w:r w:rsidR="001C1B4B" w:rsidRPr="00642DE9">
        <w:rPr>
          <w:lang w:val="en-US"/>
        </w:rPr>
        <w:t xml:space="preserve">Real adjusted gross </w:t>
      </w:r>
      <w:r w:rsidR="00D24ABA" w:rsidRPr="00642DE9">
        <w:rPr>
          <w:lang w:val="en-US"/>
        </w:rPr>
        <w:t>disposable</w:t>
      </w:r>
      <w:r w:rsidR="001C1B4B" w:rsidRPr="00642DE9">
        <w:rPr>
          <w:lang w:val="en-US"/>
        </w:rPr>
        <w:t xml:space="preserve"> income of households per capita</w:t>
      </w:r>
      <w:r w:rsidR="001C1B4B">
        <w:t>).</w:t>
      </w:r>
      <w:r w:rsidR="00353DD1">
        <w:t xml:space="preserve"> </w:t>
      </w:r>
      <w:r w:rsidR="00043036">
        <w:t xml:space="preserve">Hrubý disponibilní důchod </w:t>
      </w:r>
      <w:r w:rsidR="00642DE9">
        <w:t>lépe vyjadřuje skutečný objem prostředků, které má domácnost k</w:t>
      </w:r>
      <w:r w:rsidR="004410F9">
        <w:t> </w:t>
      </w:r>
      <w:r w:rsidR="00642DE9">
        <w:t>dispozici</w:t>
      </w:r>
      <w:r w:rsidR="004410F9">
        <w:t xml:space="preserve"> pro spotřebu a eventuální akumulaci</w:t>
      </w:r>
      <w:r w:rsidR="006B734C">
        <w:t>.</w:t>
      </w:r>
      <w:r w:rsidR="006B3024">
        <w:t xml:space="preserve"> </w:t>
      </w:r>
      <w:r w:rsidR="006B734C">
        <w:t>F</w:t>
      </w:r>
      <w:r w:rsidR="006B3024">
        <w:t>inanční příjem z výdělečné činnosti je jeho podstatná část</w:t>
      </w:r>
      <w:r w:rsidR="00642DE9">
        <w:t xml:space="preserve">. </w:t>
      </w:r>
      <w:r w:rsidR="007A3D65">
        <w:t>Navíc je uvedena i</w:t>
      </w:r>
      <w:r w:rsidR="0050142E">
        <w:t> </w:t>
      </w:r>
      <w:r w:rsidR="00E950C4">
        <w:t xml:space="preserve">skutečná </w:t>
      </w:r>
      <w:r w:rsidR="00642DE9">
        <w:t>spotřeba domácnosti na hlavu (</w:t>
      </w:r>
      <w:r w:rsidR="00642DE9" w:rsidRPr="00DB0F42">
        <w:rPr>
          <w:lang w:val="en-US"/>
        </w:rPr>
        <w:t xml:space="preserve">Actual individual </w:t>
      </w:r>
      <w:r w:rsidR="00DB0F42" w:rsidRPr="00DB0F42">
        <w:rPr>
          <w:lang w:val="en-US"/>
        </w:rPr>
        <w:t>consumption</w:t>
      </w:r>
      <w:r w:rsidR="00642DE9" w:rsidRPr="00DB0F42">
        <w:rPr>
          <w:lang w:val="en-US"/>
        </w:rPr>
        <w:t xml:space="preserve"> per capita in PPS – AIC).</w:t>
      </w:r>
      <w:r w:rsidR="00FE6A7A">
        <w:rPr>
          <w:lang w:val="en-US"/>
        </w:rPr>
        <w:t xml:space="preserve"> </w:t>
      </w:r>
      <w:r w:rsidR="00FE6A7A" w:rsidRPr="00FE6A7A">
        <w:t>Údaje se vztahují k roku 2014</w:t>
      </w:r>
      <w:r w:rsidR="00FE6A7A">
        <w:rPr>
          <w:lang w:val="en-US"/>
        </w:rPr>
        <w:t>.</w:t>
      </w:r>
      <w:r w:rsidR="003F73F6">
        <w:rPr>
          <w:lang w:val="en-US"/>
        </w:rPr>
        <w:t xml:space="preserve"> </w:t>
      </w:r>
      <w:r w:rsidR="00BE6139" w:rsidRPr="00BE6139">
        <w:t xml:space="preserve">V tomto roce dosáhl </w:t>
      </w:r>
      <w:r w:rsidR="00B374A4">
        <w:t>hrubý domácí produkt (</w:t>
      </w:r>
      <w:r w:rsidR="00BE6139" w:rsidRPr="00BE6139">
        <w:t>HDP</w:t>
      </w:r>
      <w:r w:rsidR="00B374A4">
        <w:t>)</w:t>
      </w:r>
      <w:r w:rsidR="00BE6139" w:rsidRPr="00BE6139">
        <w:t xml:space="preserve"> za Českou republiku</w:t>
      </w:r>
      <w:r w:rsidR="0050142E">
        <w:t xml:space="preserve"> necelých</w:t>
      </w:r>
      <w:r w:rsidR="00BE6139" w:rsidRPr="00BE6139">
        <w:t xml:space="preserve"> 4,3 bili</w:t>
      </w:r>
      <w:r w:rsidR="0050142E">
        <w:t>ónů</w:t>
      </w:r>
      <w:r w:rsidR="00BE6139" w:rsidRPr="00BE6139">
        <w:t>, hrub</w:t>
      </w:r>
      <w:r w:rsidR="00A73110">
        <w:t>ý</w:t>
      </w:r>
      <w:r w:rsidR="00BE6139" w:rsidRPr="00BE6139">
        <w:t xml:space="preserve"> upraven</w:t>
      </w:r>
      <w:r w:rsidR="00A73110">
        <w:t>ý</w:t>
      </w:r>
      <w:r w:rsidR="00BE6139" w:rsidRPr="00BE6139">
        <w:t xml:space="preserve"> disponibilní důchod domácností 2,7</w:t>
      </w:r>
      <w:r w:rsidR="003615E1">
        <w:t> </w:t>
      </w:r>
      <w:r w:rsidR="00BE6139" w:rsidRPr="00BE6139">
        <w:t>biliónů a skutečn</w:t>
      </w:r>
      <w:r w:rsidR="00A73110">
        <w:t>á</w:t>
      </w:r>
      <w:r w:rsidR="00BE6139" w:rsidRPr="00BE6139">
        <w:t xml:space="preserve"> spotřeb</w:t>
      </w:r>
      <w:r w:rsidR="00A73110">
        <w:t>a</w:t>
      </w:r>
      <w:r w:rsidR="00BE6139" w:rsidRPr="00BE6139">
        <w:t xml:space="preserve"> domácností 2,5 biliónů Kč.</w:t>
      </w:r>
    </w:p>
    <w:p w:rsidR="00BC606B" w:rsidRDefault="00BC606B" w:rsidP="005A1E4F"/>
    <w:p w:rsidR="00FE28E3" w:rsidRDefault="00FE28E3" w:rsidP="005A1E4F">
      <w:r>
        <w:t>Pro informaci jsou přiřazeny i dva demografické ukazatele, a to věkový medián populace a</w:t>
      </w:r>
      <w:r w:rsidR="006E33D5">
        <w:t> </w:t>
      </w:r>
      <w:r>
        <w:t>očekávaná délka života po dosažení jednoho roku věku.</w:t>
      </w:r>
    </w:p>
    <w:p w:rsidR="008F76E7" w:rsidRDefault="008F76E7" w:rsidP="005A1E4F"/>
    <w:p w:rsidR="00FB06A6" w:rsidRDefault="008F76E7" w:rsidP="005A1E4F">
      <w:r>
        <w:t>Zajímavé je porovnání dvou makroekonomických ukazatelů</w:t>
      </w:r>
      <w:r w:rsidR="00B374A4">
        <w:t xml:space="preserve"> </w:t>
      </w:r>
      <w:r w:rsidR="00140661" w:rsidRPr="00DB0F42">
        <w:rPr>
          <w:lang w:val="en-US"/>
        </w:rPr>
        <w:t>–</w:t>
      </w:r>
      <w:r w:rsidR="00A91000">
        <w:t xml:space="preserve"> HDP a </w:t>
      </w:r>
      <w:r w:rsidR="00B374A4">
        <w:t xml:space="preserve">hrubého </w:t>
      </w:r>
      <w:r w:rsidR="00A91000">
        <w:t>disponibilního důchodu</w:t>
      </w:r>
      <w:r>
        <w:t>.</w:t>
      </w:r>
      <w:r w:rsidR="00FB06A6">
        <w:t xml:space="preserve"> </w:t>
      </w:r>
      <w:r w:rsidR="006F36C1">
        <w:t xml:space="preserve">V Evropské unii je pouze pět zemí, ve kterých je hodnota hrubého disponibilního důchodu na hlavu ve vztahu k </w:t>
      </w:r>
      <w:r w:rsidR="00F31690">
        <w:t xml:space="preserve">průměru </w:t>
      </w:r>
      <w:r w:rsidR="006F36C1">
        <w:t>EU vyšší</w:t>
      </w:r>
      <w:r w:rsidR="00EC60D1">
        <w:t>,</w:t>
      </w:r>
      <w:r w:rsidR="006F36C1">
        <w:t xml:space="preserve"> než je tomu u HDP na hlavu.</w:t>
      </w:r>
      <w:r w:rsidR="00FB06A6">
        <w:t xml:space="preserve"> </w:t>
      </w:r>
      <w:r w:rsidR="0001416D">
        <w:t>J</w:t>
      </w:r>
      <w:r w:rsidR="007E17A1">
        <w:t>sou</w:t>
      </w:r>
      <w:r w:rsidR="00FB06A6">
        <w:t xml:space="preserve"> to především Francie, Itálie a Německo. Naopak podstatně nižší procentní podíl disponibilního důchodu na hlavu dosáhlo především Irsko, ale i</w:t>
      </w:r>
      <w:r w:rsidR="00523369">
        <w:t> </w:t>
      </w:r>
      <w:r w:rsidR="00FB06A6">
        <w:t>další země jako např. Dánsko, Švédsko a</w:t>
      </w:r>
      <w:r w:rsidR="00423CD6">
        <w:t> </w:t>
      </w:r>
      <w:r w:rsidR="00FB06A6">
        <w:t>Nizozemsko. Není k dispozici údaj za Lucembursko, ale lze oprávněně předpokládat, že rozdíl mezi těmito ukazateli bude</w:t>
      </w:r>
      <w:r w:rsidR="00FE6A7A">
        <w:t xml:space="preserve"> v tomto případě</w:t>
      </w:r>
      <w:r w:rsidR="00FB06A6">
        <w:t xml:space="preserve"> mimořádně velký.</w:t>
      </w:r>
      <w:r w:rsidR="008750F5">
        <w:t xml:space="preserve"> To signalizuje již rozdíl mezi HDP na hlavu a</w:t>
      </w:r>
      <w:r w:rsidR="00655996">
        <w:t> </w:t>
      </w:r>
      <w:r w:rsidR="00E950C4">
        <w:t xml:space="preserve">skutečnou </w:t>
      </w:r>
      <w:r w:rsidR="008750F5">
        <w:t>spotřebou domácnosti na hlavu.</w:t>
      </w:r>
    </w:p>
    <w:p w:rsidR="00BB40D0" w:rsidRDefault="00BB40D0" w:rsidP="005A1E4F"/>
    <w:p w:rsidR="00BB40D0" w:rsidRPr="003D4275" w:rsidRDefault="00BB40D0" w:rsidP="00BB40D0">
      <w:pPr>
        <w:rPr>
          <w:szCs w:val="20"/>
        </w:rPr>
      </w:pPr>
      <w:r>
        <w:rPr>
          <w:szCs w:val="20"/>
        </w:rPr>
        <w:t>Mezi země s velkým záporným rozdílem mezi hrubým</w:t>
      </w:r>
      <w:r w:rsidR="00B71D42">
        <w:rPr>
          <w:szCs w:val="20"/>
        </w:rPr>
        <w:t xml:space="preserve"> disponibilním </w:t>
      </w:r>
      <w:r>
        <w:rPr>
          <w:szCs w:val="20"/>
        </w:rPr>
        <w:t>důchodem</w:t>
      </w:r>
      <w:r w:rsidR="00B71D42">
        <w:rPr>
          <w:szCs w:val="20"/>
        </w:rPr>
        <w:t xml:space="preserve"> domácnosti</w:t>
      </w:r>
      <w:r>
        <w:rPr>
          <w:szCs w:val="20"/>
        </w:rPr>
        <w:t xml:space="preserve"> a</w:t>
      </w:r>
      <w:r w:rsidR="00B71D42">
        <w:rPr>
          <w:szCs w:val="20"/>
        </w:rPr>
        <w:t> </w:t>
      </w:r>
      <w:r>
        <w:rPr>
          <w:szCs w:val="20"/>
        </w:rPr>
        <w:t>HDP na hlavu patří i Česká republika. V roce 2014 byl tento rozdíl šestý nejvyšší ze všech zemí EU.</w:t>
      </w:r>
    </w:p>
    <w:p w:rsidR="004929D4" w:rsidRDefault="004929D4" w:rsidP="005A1E4F"/>
    <w:tbl>
      <w:tblPr>
        <w:tblW w:w="85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20"/>
        <w:gridCol w:w="143"/>
        <w:gridCol w:w="1047"/>
        <w:gridCol w:w="68"/>
        <w:gridCol w:w="1164"/>
        <w:gridCol w:w="25"/>
        <w:gridCol w:w="1011"/>
        <w:gridCol w:w="1119"/>
        <w:gridCol w:w="994"/>
        <w:gridCol w:w="812"/>
        <w:gridCol w:w="1002"/>
      </w:tblGrid>
      <w:tr w:rsidR="00237696" w:rsidRPr="00237696" w:rsidTr="00237696">
        <w:trPr>
          <w:trHeight w:val="285"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bookmarkStart w:id="0" w:name="RANGE!A1:H36"/>
            <w:r w:rsidRPr="00237696">
              <w:rPr>
                <w:rFonts w:eastAsia="Times New Roman" w:cs="Arial"/>
                <w:b/>
                <w:bCs/>
                <w:szCs w:val="20"/>
                <w:lang w:eastAsia="cs-CZ"/>
              </w:rPr>
              <w:lastRenderedPageBreak/>
              <w:t>Vybrané ukazatele trhu práce, makroekonomické a demografické ukazatele v roce 2014</w:t>
            </w:r>
            <w:bookmarkEnd w:id="0"/>
          </w:p>
        </w:tc>
      </w:tr>
      <w:tr w:rsidR="00EE4D85" w:rsidRPr="00237696" w:rsidTr="00EE4D85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237696" w:rsidRPr="00237696" w:rsidTr="00EE4D85">
        <w:trPr>
          <w:trHeight w:val="1590"/>
        </w:trPr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96" w:rsidRPr="00237696" w:rsidRDefault="00237696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96" w:rsidRDefault="00237696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Míra zaměstnanosti</w:t>
            </w:r>
          </w:p>
          <w:p w:rsidR="00397017" w:rsidRPr="00237696" w:rsidRDefault="00397017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15-64letých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96" w:rsidRPr="00237696" w:rsidRDefault="00237696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Počet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obvykle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odpracovaných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hodin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za týden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54" w:rsidRDefault="00237696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HDP </w:t>
            </w:r>
          </w:p>
          <w:p w:rsidR="00237696" w:rsidRPr="00237696" w:rsidRDefault="00237696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v paritě kupní síly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na hlavu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k průměru EU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96" w:rsidRPr="00237696" w:rsidRDefault="00237696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Hrubý upravený disponibilní důchod domácnosti na hlavu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k průměru EU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696" w:rsidRPr="00237696" w:rsidRDefault="00E950C4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Skutečná</w:t>
            </w:r>
            <w:r w:rsidR="00237696"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spotřeba</w:t>
            </w:r>
            <w:r w:rsidR="00237696"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domácností</w:t>
            </w:r>
            <w:r w:rsidR="00237696"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na hlavu</w:t>
            </w:r>
            <w:r w:rsidR="00237696"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k průměru EU</w:t>
            </w:r>
            <w:r w:rsidR="00237696"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96" w:rsidRPr="00237696" w:rsidRDefault="00237696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Věkový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medián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populace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696" w:rsidRPr="00237696" w:rsidRDefault="00237696" w:rsidP="0023769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Očekávaná délka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života </w:t>
            </w: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br/>
              <w:t>v roce 201</w:t>
            </w:r>
            <w:r w:rsidR="009E1DF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</w:tr>
      <w:tr w:rsidR="00865A7E" w:rsidRPr="00237696" w:rsidTr="000C763E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64,8 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42,2 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80,2 </w:t>
            </w:r>
          </w:p>
        </w:tc>
      </w:tr>
      <w:tr w:rsidR="00865A7E" w:rsidRPr="00237696" w:rsidTr="000C763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118,6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115,5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114,1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80,6 </w:t>
            </w:r>
          </w:p>
        </w:tc>
      </w:tr>
      <w:tr w:rsidR="00865A7E" w:rsidRPr="00237696" w:rsidTr="000C763E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61,0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43,8</w:t>
            </w:r>
            <w:r w:rsidRPr="00237696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74,1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69,0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78,1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124,8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107,3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118,2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80,1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73,8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125,9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129,1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120,8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45,6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80,4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76,3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76,6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134,3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91,0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107,3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80,7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72,6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82,8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80,8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88,6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82,5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106,9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117,3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108,3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82,1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59,6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77,3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100,1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44,7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82,5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81,8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78,5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89,6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81,9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73,7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74,0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266,4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158,9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81,5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63,3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58,3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75,3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62,4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79,7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81,5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73,1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131,0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110,3</w:t>
            </w:r>
            <w:r w:rsidRPr="00237696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115,6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81,1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129,6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124,8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122,4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80,9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67,7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77,1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62,6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81,2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80,6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61,0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53,6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74,7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82,5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78,0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80,4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61,0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77,0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75,6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73,4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76,4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68,7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110,6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111,3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113,5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80,5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74,9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123,0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113,9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114,6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81,5 </w:t>
            </w:r>
          </w:p>
        </w:tc>
      </w:tr>
      <w:tr w:rsidR="00865A7E" w:rsidRPr="00237696" w:rsidTr="000C763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109,1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106,6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120,3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7E" w:rsidRPr="00237696" w:rsidRDefault="00865A7E" w:rsidP="0023769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37696">
              <w:rPr>
                <w:rFonts w:eastAsia="Times New Roman" w:cs="Arial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A7E" w:rsidRDefault="00865A7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80,7 </w:t>
            </w:r>
          </w:p>
        </w:tc>
      </w:tr>
      <w:tr w:rsidR="00EE4D85" w:rsidRPr="00237696" w:rsidTr="00EE4D85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237696" w:rsidRPr="00237696" w:rsidTr="00237696">
        <w:trPr>
          <w:trHeight w:val="285"/>
        </w:trPr>
        <w:tc>
          <w:tcPr>
            <w:tcW w:w="4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37696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proofErr w:type="spellStart"/>
            <w:r w:rsidRPr="00CC702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Eurostat</w:t>
            </w:r>
            <w:proofErr w:type="spellEnd"/>
            <w:r w:rsidRPr="00CC702C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, Labour</w:t>
            </w:r>
            <w:r w:rsidRPr="00CC702C">
              <w:rPr>
                <w:rFonts w:eastAsia="Times New Roman" w:cs="Arial"/>
                <w:i/>
                <w:iCs/>
                <w:sz w:val="18"/>
                <w:szCs w:val="18"/>
                <w:lang w:val="en-US" w:eastAsia="cs-CZ"/>
              </w:rPr>
              <w:t xml:space="preserve"> Force Survey</w:t>
            </w:r>
            <w:r w:rsidRPr="00237696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- propočet ČSÚ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237696" w:rsidRPr="00237696" w:rsidTr="00237696">
        <w:trPr>
          <w:trHeight w:val="150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237696" w:rsidRPr="00237696" w:rsidTr="00237696">
        <w:trPr>
          <w:trHeight w:val="285"/>
        </w:trPr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110F">
              <w:rPr>
                <w:rFonts w:eastAsia="Times New Roman" w:cs="Arial"/>
                <w:i/>
                <w:iCs/>
                <w:sz w:val="16"/>
                <w:szCs w:val="16"/>
                <w:vertAlign w:val="superscript"/>
                <w:lang w:eastAsia="cs-CZ"/>
              </w:rPr>
              <w:t>1)</w:t>
            </w:r>
            <w:r w:rsidRPr="00237696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 údaj za rok 2013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96" w:rsidRPr="00237696" w:rsidRDefault="00237696" w:rsidP="0023769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FB06A6" w:rsidRDefault="00FB06A6" w:rsidP="005A1E4F"/>
    <w:p w:rsidR="00D06CEA" w:rsidRDefault="00455E3C" w:rsidP="00D06CEA">
      <w:r>
        <w:rPr>
          <w:i/>
          <w:sz w:val="18"/>
        </w:rPr>
        <w:t xml:space="preserve">Metodická poznámka: Upravený hrubý disponibilní důchod je počítán za domácnosti a neziskové instituce sloužící domácnostem. </w:t>
      </w:r>
      <w:r w:rsidR="00446C16">
        <w:rPr>
          <w:i/>
          <w:sz w:val="18"/>
        </w:rPr>
        <w:t>Pojem upravený znamená, že kromě</w:t>
      </w:r>
      <w:r>
        <w:rPr>
          <w:i/>
          <w:sz w:val="18"/>
        </w:rPr>
        <w:t xml:space="preserve"> hrubého disponibilního důchodu do něj ještě vstupují naturální transfery od vládních</w:t>
      </w:r>
      <w:r w:rsidR="00E950C4">
        <w:rPr>
          <w:i/>
          <w:sz w:val="18"/>
        </w:rPr>
        <w:t xml:space="preserve"> a neziskových</w:t>
      </w:r>
      <w:r>
        <w:rPr>
          <w:i/>
          <w:sz w:val="18"/>
        </w:rPr>
        <w:t xml:space="preserve"> institucí.</w:t>
      </w:r>
      <w:r w:rsidR="00C54F23">
        <w:rPr>
          <w:i/>
          <w:sz w:val="18"/>
        </w:rPr>
        <w:t xml:space="preserve"> </w:t>
      </w:r>
      <w:r w:rsidR="008750F5">
        <w:rPr>
          <w:i/>
          <w:sz w:val="18"/>
        </w:rPr>
        <w:t xml:space="preserve">Tato konstrukce je mezinárodně srovnatelnější než klasický hrubý disponibilní důchod. </w:t>
      </w:r>
      <w:r w:rsidR="00C54F23">
        <w:rPr>
          <w:i/>
          <w:sz w:val="18"/>
        </w:rPr>
        <w:t xml:space="preserve">Obdobně i do </w:t>
      </w:r>
      <w:r w:rsidR="00E950C4">
        <w:rPr>
          <w:i/>
          <w:sz w:val="18"/>
        </w:rPr>
        <w:t xml:space="preserve">skutečné </w:t>
      </w:r>
      <w:r w:rsidR="00C54F23">
        <w:rPr>
          <w:i/>
          <w:sz w:val="18"/>
        </w:rPr>
        <w:t xml:space="preserve">spotřeby domácností AIC </w:t>
      </w:r>
      <w:r w:rsidR="00C54F23">
        <w:rPr>
          <w:i/>
          <w:sz w:val="18"/>
        </w:rPr>
        <w:lastRenderedPageBreak/>
        <w:t>jsou zahrnuty i</w:t>
      </w:r>
      <w:r w:rsidR="008750F5">
        <w:rPr>
          <w:i/>
          <w:sz w:val="18"/>
        </w:rPr>
        <w:t> </w:t>
      </w:r>
      <w:r w:rsidR="00646C26">
        <w:rPr>
          <w:i/>
          <w:sz w:val="18"/>
        </w:rPr>
        <w:t xml:space="preserve">naturální </w:t>
      </w:r>
      <w:r w:rsidR="00C54F23">
        <w:rPr>
          <w:i/>
          <w:sz w:val="18"/>
        </w:rPr>
        <w:t xml:space="preserve">prostředky </w:t>
      </w:r>
      <w:r w:rsidR="00B374A4">
        <w:rPr>
          <w:i/>
          <w:sz w:val="18"/>
        </w:rPr>
        <w:t xml:space="preserve">vlády a </w:t>
      </w:r>
      <w:r w:rsidR="00C54F23">
        <w:rPr>
          <w:i/>
          <w:sz w:val="18"/>
        </w:rPr>
        <w:t>neziskových institucí sloužící</w:t>
      </w:r>
      <w:r w:rsidR="00B374A4">
        <w:rPr>
          <w:i/>
          <w:sz w:val="18"/>
        </w:rPr>
        <w:t>ch</w:t>
      </w:r>
      <w:r w:rsidR="00C54F23">
        <w:rPr>
          <w:i/>
          <w:sz w:val="18"/>
        </w:rPr>
        <w:t xml:space="preserve"> domácnostem (např. zdravotnictví a </w:t>
      </w:r>
      <w:r w:rsidR="00964030">
        <w:rPr>
          <w:i/>
          <w:sz w:val="18"/>
        </w:rPr>
        <w:t>vzdělávání</w:t>
      </w:r>
      <w:r w:rsidR="00C54F23">
        <w:rPr>
          <w:i/>
          <w:sz w:val="18"/>
        </w:rPr>
        <w:t>).</w:t>
      </w:r>
      <w:r>
        <w:rPr>
          <w:i/>
          <w:sz w:val="18"/>
        </w:rPr>
        <w:t xml:space="preserve"> </w:t>
      </w:r>
    </w:p>
    <w:p w:rsidR="00970FC5" w:rsidRDefault="00964030">
      <w:pPr>
        <w:spacing w:before="120"/>
        <w:rPr>
          <w:i/>
          <w:sz w:val="18"/>
        </w:rPr>
      </w:pPr>
      <w:r>
        <w:rPr>
          <w:i/>
          <w:sz w:val="18"/>
        </w:rPr>
        <w:t xml:space="preserve">Rozdíl mezi výší disponibilního důchodu a </w:t>
      </w:r>
      <w:r w:rsidR="00E950C4">
        <w:rPr>
          <w:i/>
          <w:sz w:val="18"/>
        </w:rPr>
        <w:t xml:space="preserve">skutečné </w:t>
      </w:r>
      <w:r>
        <w:rPr>
          <w:i/>
          <w:sz w:val="18"/>
        </w:rPr>
        <w:t>spotřeby</w:t>
      </w:r>
      <w:r w:rsidR="00650D7D">
        <w:rPr>
          <w:i/>
          <w:sz w:val="18"/>
        </w:rPr>
        <w:t xml:space="preserve"> domácností</w:t>
      </w:r>
      <w:r>
        <w:rPr>
          <w:i/>
          <w:sz w:val="18"/>
        </w:rPr>
        <w:t xml:space="preserve"> je položka úspory, která může být využita pro finanční nebo nefinanční investice. Metodické vymezení obou ukazatelů je definováno v Evropském systému účtů (ESA 2010). </w:t>
      </w:r>
    </w:p>
    <w:p w:rsidR="00455E3C" w:rsidRDefault="00455E3C" w:rsidP="005A1E4F">
      <w:pPr>
        <w:rPr>
          <w:szCs w:val="20"/>
        </w:rPr>
      </w:pPr>
    </w:p>
    <w:p w:rsidR="00702756" w:rsidRDefault="00912DE1" w:rsidP="005A1E4F">
      <w:pPr>
        <w:rPr>
          <w:szCs w:val="20"/>
        </w:rPr>
      </w:pPr>
      <w:r>
        <w:rPr>
          <w:szCs w:val="20"/>
        </w:rPr>
        <w:t>Je třeba vzít v úvahu, že se jedná o průměrné ukazatele, které nevypovídají o vnitřní příjmové diferenciaci v jednotlivých zemích.</w:t>
      </w:r>
      <w:r w:rsidR="00DD2F63">
        <w:rPr>
          <w:szCs w:val="20"/>
        </w:rPr>
        <w:t xml:space="preserve"> </w:t>
      </w:r>
      <w:r w:rsidR="00702756">
        <w:rPr>
          <w:szCs w:val="20"/>
        </w:rPr>
        <w:t>V každém případě je rozdíl v makroekonomických hodnotách mezi členskými zeměmi EU značný.</w:t>
      </w:r>
    </w:p>
    <w:p w:rsidR="00DD2F63" w:rsidRDefault="00DD2F63" w:rsidP="005A1E4F">
      <w:pPr>
        <w:rPr>
          <w:szCs w:val="20"/>
        </w:rPr>
      </w:pPr>
    </w:p>
    <w:p w:rsidR="00A4536C" w:rsidRPr="00A4536C" w:rsidRDefault="00A4536C" w:rsidP="005A1E4F">
      <w:pPr>
        <w:rPr>
          <w:b/>
        </w:rPr>
      </w:pPr>
      <w:r>
        <w:rPr>
          <w:b/>
        </w:rPr>
        <w:t>Evropa stárne</w:t>
      </w:r>
    </w:p>
    <w:p w:rsidR="00A4536C" w:rsidRPr="00A4536C" w:rsidRDefault="00A4536C" w:rsidP="005A1E4F">
      <w:pPr>
        <w:rPr>
          <w:b/>
        </w:rPr>
      </w:pPr>
    </w:p>
    <w:p w:rsidR="003A7CEA" w:rsidRDefault="004F321C" w:rsidP="005A1E4F">
      <w:r>
        <w:t xml:space="preserve">Rozdíly jsou i v demografické situaci členských zemí EU. </w:t>
      </w:r>
      <w:r w:rsidR="003A7CEA">
        <w:t>Podle hodnot</w:t>
      </w:r>
      <w:r w:rsidR="008C143F">
        <w:t xml:space="preserve">y věkového mediánu je nejstarší </w:t>
      </w:r>
      <w:r w:rsidR="003A7CEA">
        <w:t xml:space="preserve">Německo. </w:t>
      </w:r>
      <w:r w:rsidR="00CD6384">
        <w:t>P</w:t>
      </w:r>
      <w:r w:rsidR="003A4D04">
        <w:t>ro zajímavost uvádíme, že v předminulém roce činil věkový medián v </w:t>
      </w:r>
      <w:r w:rsidR="00CD6384">
        <w:t>Německu</w:t>
      </w:r>
      <w:r w:rsidR="003A4D04">
        <w:t xml:space="preserve"> </w:t>
      </w:r>
      <w:r w:rsidR="00CD6384">
        <w:t>45,6</w:t>
      </w:r>
      <w:r w:rsidR="003A4D04">
        <w:t xml:space="preserve"> roku</w:t>
      </w:r>
      <w:r w:rsidR="00CD6384">
        <w:t>, ale v Turecku pouze 30,4 roku</w:t>
      </w:r>
      <w:r w:rsidR="003A4D04">
        <w:t>.</w:t>
      </w:r>
      <w:r w:rsidR="00CD6384">
        <w:t xml:space="preserve"> Přitom obě země mají srovnatelný </w:t>
      </w:r>
      <w:r w:rsidR="00BF5A35">
        <w:t xml:space="preserve">celkový </w:t>
      </w:r>
      <w:r w:rsidR="00CD6384">
        <w:t>počet obyvatel.</w:t>
      </w:r>
    </w:p>
    <w:p w:rsidR="00237612" w:rsidRDefault="00237612" w:rsidP="005A1E4F"/>
    <w:p w:rsidR="00237612" w:rsidRDefault="00237612" w:rsidP="005A1E4F">
      <w:r>
        <w:t xml:space="preserve">V patnácti zemích se lidé v průměru </w:t>
      </w:r>
      <w:r w:rsidR="004137D1">
        <w:t>dožívají více než osmdesát</w:t>
      </w:r>
      <w:r>
        <w:t>i let. Patří mezi ně všechny severské státy, Irsko, Německo, Nizozemsko, Rakousko, Lucembursko a Spojené království.</w:t>
      </w:r>
      <w:r w:rsidR="004137D1">
        <w:t xml:space="preserve"> Vůbec </w:t>
      </w:r>
      <w:r w:rsidR="00D80FAD">
        <w:t>nejdelšího života se dožívají ve</w:t>
      </w:r>
      <w:r w:rsidR="004137D1">
        <w:t xml:space="preserve"> </w:t>
      </w:r>
      <w:r w:rsidR="006D12AC">
        <w:t>stát</w:t>
      </w:r>
      <w:r w:rsidR="00D80FAD">
        <w:t>ech</w:t>
      </w:r>
      <w:r w:rsidR="006D12AC">
        <w:t xml:space="preserve"> v </w:t>
      </w:r>
      <w:r w:rsidR="004137D1">
        <w:t xml:space="preserve">pásmu středomořského pobřeží od </w:t>
      </w:r>
      <w:r w:rsidR="00052D23">
        <w:t>Španělska až po Řecko.</w:t>
      </w:r>
      <w:r w:rsidR="00165164">
        <w:t xml:space="preserve"> Na rozdíl od vyspělých států položených severněji přitom většinou nepatří mezi země s nadprůměrnou výší vybraných makroekonomických ukazatelů.</w:t>
      </w:r>
      <w:r w:rsidR="00456001">
        <w:t xml:space="preserve"> Je zřejmé, že délka života je ovlivněna celkových životním stylem, klimatem, ale i dalšími faktory jako například stravovacími návyky.</w:t>
      </w:r>
      <w:r w:rsidR="00165164">
        <w:t xml:space="preserve"> </w:t>
      </w:r>
      <w:r w:rsidR="00547B8E">
        <w:t>Česká republika b</w:t>
      </w:r>
      <w:r w:rsidR="00165164">
        <w:t>ohužel patří mezi deset zemí, kde je zatím očekávaná délka života kratší.</w:t>
      </w:r>
    </w:p>
    <w:p w:rsidR="00984C63" w:rsidRDefault="00F82CC1" w:rsidP="00BD20F7">
      <w:pPr>
        <w:spacing w:before="1440"/>
        <w:rPr>
          <w:b/>
        </w:rPr>
      </w:pPr>
      <w:r>
        <w:rPr>
          <w:b/>
        </w:rPr>
        <w:t>Autor</w:t>
      </w:r>
    </w:p>
    <w:p w:rsidR="00984C63" w:rsidRDefault="00984C63" w:rsidP="00332984">
      <w:r>
        <w:t>Marta Petráňová</w:t>
      </w:r>
      <w:r w:rsidR="00F82CC1">
        <w:t>, Bohuslav Mejstřík</w:t>
      </w:r>
    </w:p>
    <w:p w:rsidR="00F82CC1" w:rsidRPr="002C5393" w:rsidRDefault="00984C63" w:rsidP="00332984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332984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332984">
      <w:r>
        <w:t xml:space="preserve">E-mail: </w:t>
      </w:r>
      <w:hyperlink r:id="rId10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1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F7728">
      <w:headerReference w:type="default" r:id="rId12"/>
      <w:footerReference w:type="default" r:id="rId13"/>
      <w:type w:val="continuous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63" w:rsidRDefault="00C71263" w:rsidP="00BA6370">
      <w:r>
        <w:separator/>
      </w:r>
    </w:p>
  </w:endnote>
  <w:endnote w:type="continuationSeparator" w:id="0">
    <w:p w:rsidR="00C71263" w:rsidRDefault="00C7126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A8" w:rsidRDefault="00D468BC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82FA8" w:rsidRPr="001404AB" w:rsidRDefault="00982FA8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82FA8" w:rsidRPr="00A81EB3" w:rsidRDefault="00982FA8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468BC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468BC" w:rsidRPr="004E479E">
                  <w:rPr>
                    <w:rFonts w:cs="Arial"/>
                    <w:szCs w:val="15"/>
                  </w:rPr>
                  <w:fldChar w:fldCharType="separate"/>
                </w:r>
                <w:r w:rsidR="00FA2910">
                  <w:rPr>
                    <w:rFonts w:cs="Arial"/>
                    <w:noProof/>
                    <w:szCs w:val="15"/>
                  </w:rPr>
                  <w:t>1</w:t>
                </w:r>
                <w:r w:rsidR="00D468B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63" w:rsidRDefault="00C71263" w:rsidP="00BA6370">
      <w:r>
        <w:separator/>
      </w:r>
    </w:p>
  </w:footnote>
  <w:footnote w:type="continuationSeparator" w:id="0">
    <w:p w:rsidR="00C71263" w:rsidRDefault="00C7126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A8" w:rsidRDefault="00D468B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34850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1319"/>
    <w:rsid w:val="000019A6"/>
    <w:rsid w:val="00003444"/>
    <w:rsid w:val="000047E8"/>
    <w:rsid w:val="00007009"/>
    <w:rsid w:val="000071D4"/>
    <w:rsid w:val="00007892"/>
    <w:rsid w:val="00007A51"/>
    <w:rsid w:val="00012F3B"/>
    <w:rsid w:val="000137F8"/>
    <w:rsid w:val="0001416D"/>
    <w:rsid w:val="00014518"/>
    <w:rsid w:val="0001558F"/>
    <w:rsid w:val="000157DB"/>
    <w:rsid w:val="000159EB"/>
    <w:rsid w:val="00015EB8"/>
    <w:rsid w:val="000164B0"/>
    <w:rsid w:val="000167FD"/>
    <w:rsid w:val="00016834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F3"/>
    <w:rsid w:val="00025336"/>
    <w:rsid w:val="00025AC6"/>
    <w:rsid w:val="000268EE"/>
    <w:rsid w:val="00027BDC"/>
    <w:rsid w:val="00031500"/>
    <w:rsid w:val="00033DA8"/>
    <w:rsid w:val="00034422"/>
    <w:rsid w:val="00034BFE"/>
    <w:rsid w:val="000359C6"/>
    <w:rsid w:val="00035FAB"/>
    <w:rsid w:val="00036556"/>
    <w:rsid w:val="00040EBD"/>
    <w:rsid w:val="00040FB8"/>
    <w:rsid w:val="0004169D"/>
    <w:rsid w:val="0004266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CCD"/>
    <w:rsid w:val="00047185"/>
    <w:rsid w:val="00051F09"/>
    <w:rsid w:val="00052D23"/>
    <w:rsid w:val="00052EBE"/>
    <w:rsid w:val="0005377B"/>
    <w:rsid w:val="00053BC0"/>
    <w:rsid w:val="00053EE4"/>
    <w:rsid w:val="000541DA"/>
    <w:rsid w:val="000549EA"/>
    <w:rsid w:val="00056954"/>
    <w:rsid w:val="0005765B"/>
    <w:rsid w:val="00061D8C"/>
    <w:rsid w:val="0006297D"/>
    <w:rsid w:val="00062B6A"/>
    <w:rsid w:val="000630B2"/>
    <w:rsid w:val="0006351B"/>
    <w:rsid w:val="00063671"/>
    <w:rsid w:val="00063C3A"/>
    <w:rsid w:val="00063DF8"/>
    <w:rsid w:val="00064321"/>
    <w:rsid w:val="000644A9"/>
    <w:rsid w:val="00064B73"/>
    <w:rsid w:val="00064E0F"/>
    <w:rsid w:val="00066D02"/>
    <w:rsid w:val="00067324"/>
    <w:rsid w:val="000700FD"/>
    <w:rsid w:val="000705D9"/>
    <w:rsid w:val="000709A3"/>
    <w:rsid w:val="00070BC1"/>
    <w:rsid w:val="00070E00"/>
    <w:rsid w:val="000714BB"/>
    <w:rsid w:val="00071BFD"/>
    <w:rsid w:val="00072AD4"/>
    <w:rsid w:val="00072BF9"/>
    <w:rsid w:val="00072D6E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CB"/>
    <w:rsid w:val="00077719"/>
    <w:rsid w:val="00077C10"/>
    <w:rsid w:val="00077C4E"/>
    <w:rsid w:val="00077D23"/>
    <w:rsid w:val="00080826"/>
    <w:rsid w:val="00081554"/>
    <w:rsid w:val="00083356"/>
    <w:rsid w:val="00083865"/>
    <w:rsid w:val="00083F45"/>
    <w:rsid w:val="000849D1"/>
    <w:rsid w:val="00084E62"/>
    <w:rsid w:val="00085912"/>
    <w:rsid w:val="000870CB"/>
    <w:rsid w:val="000875F3"/>
    <w:rsid w:val="000911F7"/>
    <w:rsid w:val="00091226"/>
    <w:rsid w:val="0009173D"/>
    <w:rsid w:val="000918B7"/>
    <w:rsid w:val="000925B8"/>
    <w:rsid w:val="0009305F"/>
    <w:rsid w:val="0009333D"/>
    <w:rsid w:val="0009390A"/>
    <w:rsid w:val="00093B31"/>
    <w:rsid w:val="00093C99"/>
    <w:rsid w:val="00094E6A"/>
    <w:rsid w:val="0009650B"/>
    <w:rsid w:val="0009733F"/>
    <w:rsid w:val="000976C6"/>
    <w:rsid w:val="000979AC"/>
    <w:rsid w:val="000A0BA8"/>
    <w:rsid w:val="000A0CBF"/>
    <w:rsid w:val="000A1A5E"/>
    <w:rsid w:val="000A25C0"/>
    <w:rsid w:val="000A5367"/>
    <w:rsid w:val="000A5C51"/>
    <w:rsid w:val="000A6C02"/>
    <w:rsid w:val="000A722C"/>
    <w:rsid w:val="000A7520"/>
    <w:rsid w:val="000A7A62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608B"/>
    <w:rsid w:val="000B6621"/>
    <w:rsid w:val="000B7300"/>
    <w:rsid w:val="000C0FC5"/>
    <w:rsid w:val="000C15F2"/>
    <w:rsid w:val="000C1623"/>
    <w:rsid w:val="000C17B8"/>
    <w:rsid w:val="000C228F"/>
    <w:rsid w:val="000C244B"/>
    <w:rsid w:val="000C2BCE"/>
    <w:rsid w:val="000C36B3"/>
    <w:rsid w:val="000C36F7"/>
    <w:rsid w:val="000C3DCE"/>
    <w:rsid w:val="000C4811"/>
    <w:rsid w:val="000C5228"/>
    <w:rsid w:val="000C5694"/>
    <w:rsid w:val="000C727D"/>
    <w:rsid w:val="000C763E"/>
    <w:rsid w:val="000D0565"/>
    <w:rsid w:val="000D06C8"/>
    <w:rsid w:val="000D073B"/>
    <w:rsid w:val="000D129C"/>
    <w:rsid w:val="000D1E3E"/>
    <w:rsid w:val="000D2811"/>
    <w:rsid w:val="000D3D55"/>
    <w:rsid w:val="000D3E9F"/>
    <w:rsid w:val="000D43C1"/>
    <w:rsid w:val="000D452C"/>
    <w:rsid w:val="000D5AE0"/>
    <w:rsid w:val="000D720A"/>
    <w:rsid w:val="000D74DD"/>
    <w:rsid w:val="000D7920"/>
    <w:rsid w:val="000E078D"/>
    <w:rsid w:val="000E083E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C82"/>
    <w:rsid w:val="000F4024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FA2"/>
    <w:rsid w:val="001029BA"/>
    <w:rsid w:val="001035D6"/>
    <w:rsid w:val="00103A40"/>
    <w:rsid w:val="0010489A"/>
    <w:rsid w:val="00105E4A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719C"/>
    <w:rsid w:val="00117496"/>
    <w:rsid w:val="00117E24"/>
    <w:rsid w:val="00120348"/>
    <w:rsid w:val="00120ED4"/>
    <w:rsid w:val="001211A5"/>
    <w:rsid w:val="00121828"/>
    <w:rsid w:val="00122281"/>
    <w:rsid w:val="001247C1"/>
    <w:rsid w:val="0012616B"/>
    <w:rsid w:val="001266B9"/>
    <w:rsid w:val="001273CD"/>
    <w:rsid w:val="00127B24"/>
    <w:rsid w:val="00127DF6"/>
    <w:rsid w:val="0013042B"/>
    <w:rsid w:val="00132F1F"/>
    <w:rsid w:val="0013431C"/>
    <w:rsid w:val="00134D79"/>
    <w:rsid w:val="00134D87"/>
    <w:rsid w:val="001355A8"/>
    <w:rsid w:val="00135CC8"/>
    <w:rsid w:val="00135E4F"/>
    <w:rsid w:val="00136138"/>
    <w:rsid w:val="00136DBB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6708"/>
    <w:rsid w:val="001469C1"/>
    <w:rsid w:val="0015059D"/>
    <w:rsid w:val="00151FA2"/>
    <w:rsid w:val="00152847"/>
    <w:rsid w:val="00153543"/>
    <w:rsid w:val="00154075"/>
    <w:rsid w:val="0015580B"/>
    <w:rsid w:val="0015655A"/>
    <w:rsid w:val="001567A9"/>
    <w:rsid w:val="001575D0"/>
    <w:rsid w:val="0016021A"/>
    <w:rsid w:val="0016067F"/>
    <w:rsid w:val="0016078B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76F6"/>
    <w:rsid w:val="00167AC2"/>
    <w:rsid w:val="00170A3B"/>
    <w:rsid w:val="00170A5A"/>
    <w:rsid w:val="00170E17"/>
    <w:rsid w:val="0017231D"/>
    <w:rsid w:val="00172671"/>
    <w:rsid w:val="00172ECB"/>
    <w:rsid w:val="00173D71"/>
    <w:rsid w:val="001752D5"/>
    <w:rsid w:val="00175DD1"/>
    <w:rsid w:val="0017668B"/>
    <w:rsid w:val="001775F8"/>
    <w:rsid w:val="00177DF4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C16"/>
    <w:rsid w:val="001A5FF4"/>
    <w:rsid w:val="001A60B0"/>
    <w:rsid w:val="001A78A2"/>
    <w:rsid w:val="001A7984"/>
    <w:rsid w:val="001B06BE"/>
    <w:rsid w:val="001B19B7"/>
    <w:rsid w:val="001B362E"/>
    <w:rsid w:val="001B3832"/>
    <w:rsid w:val="001B45B7"/>
    <w:rsid w:val="001B4D8A"/>
    <w:rsid w:val="001B4EF5"/>
    <w:rsid w:val="001B580C"/>
    <w:rsid w:val="001B5BA8"/>
    <w:rsid w:val="001B607F"/>
    <w:rsid w:val="001B7409"/>
    <w:rsid w:val="001C003A"/>
    <w:rsid w:val="001C08C0"/>
    <w:rsid w:val="001C0F23"/>
    <w:rsid w:val="001C1055"/>
    <w:rsid w:val="001C1142"/>
    <w:rsid w:val="001C1293"/>
    <w:rsid w:val="001C1B4B"/>
    <w:rsid w:val="001C2328"/>
    <w:rsid w:val="001C29A5"/>
    <w:rsid w:val="001C2EE6"/>
    <w:rsid w:val="001C3786"/>
    <w:rsid w:val="001C4514"/>
    <w:rsid w:val="001C455E"/>
    <w:rsid w:val="001C4620"/>
    <w:rsid w:val="001C5200"/>
    <w:rsid w:val="001C569C"/>
    <w:rsid w:val="001C5B5A"/>
    <w:rsid w:val="001C61C6"/>
    <w:rsid w:val="001C76C5"/>
    <w:rsid w:val="001C7BC9"/>
    <w:rsid w:val="001D0068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49EA"/>
    <w:rsid w:val="001D58A7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939"/>
    <w:rsid w:val="001F2B9C"/>
    <w:rsid w:val="001F2C05"/>
    <w:rsid w:val="001F3B36"/>
    <w:rsid w:val="001F4EE9"/>
    <w:rsid w:val="001F5420"/>
    <w:rsid w:val="001F66AC"/>
    <w:rsid w:val="001F71E0"/>
    <w:rsid w:val="001F7262"/>
    <w:rsid w:val="001F78EF"/>
    <w:rsid w:val="002006CB"/>
    <w:rsid w:val="00200EA5"/>
    <w:rsid w:val="00201664"/>
    <w:rsid w:val="00201731"/>
    <w:rsid w:val="00203483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D74"/>
    <w:rsid w:val="002204F9"/>
    <w:rsid w:val="00220993"/>
    <w:rsid w:val="00220BC0"/>
    <w:rsid w:val="00220CD1"/>
    <w:rsid w:val="00220D96"/>
    <w:rsid w:val="002217B4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B47"/>
    <w:rsid w:val="00227E40"/>
    <w:rsid w:val="00227FAB"/>
    <w:rsid w:val="00230184"/>
    <w:rsid w:val="002309F8"/>
    <w:rsid w:val="00230CDA"/>
    <w:rsid w:val="00230E73"/>
    <w:rsid w:val="0023225E"/>
    <w:rsid w:val="00232548"/>
    <w:rsid w:val="00232E59"/>
    <w:rsid w:val="00232F71"/>
    <w:rsid w:val="0023325B"/>
    <w:rsid w:val="00234BC0"/>
    <w:rsid w:val="0023523F"/>
    <w:rsid w:val="00235340"/>
    <w:rsid w:val="00235681"/>
    <w:rsid w:val="00235F0C"/>
    <w:rsid w:val="00236437"/>
    <w:rsid w:val="002366AA"/>
    <w:rsid w:val="00237612"/>
    <w:rsid w:val="00237696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A74"/>
    <w:rsid w:val="00245EBB"/>
    <w:rsid w:val="0024625D"/>
    <w:rsid w:val="00246937"/>
    <w:rsid w:val="002478C5"/>
    <w:rsid w:val="00247F49"/>
    <w:rsid w:val="002502BC"/>
    <w:rsid w:val="00250CA0"/>
    <w:rsid w:val="00250FCE"/>
    <w:rsid w:val="00251D46"/>
    <w:rsid w:val="00251DA4"/>
    <w:rsid w:val="002528B3"/>
    <w:rsid w:val="0025551C"/>
    <w:rsid w:val="00255F90"/>
    <w:rsid w:val="0025660B"/>
    <w:rsid w:val="002566A5"/>
    <w:rsid w:val="00257657"/>
    <w:rsid w:val="00257922"/>
    <w:rsid w:val="00257C61"/>
    <w:rsid w:val="0026025A"/>
    <w:rsid w:val="0026047C"/>
    <w:rsid w:val="002606BB"/>
    <w:rsid w:val="00260AC5"/>
    <w:rsid w:val="00261D84"/>
    <w:rsid w:val="00261F5A"/>
    <w:rsid w:val="0026239B"/>
    <w:rsid w:val="002623FB"/>
    <w:rsid w:val="002629EF"/>
    <w:rsid w:val="0026377A"/>
    <w:rsid w:val="002655D7"/>
    <w:rsid w:val="002661F2"/>
    <w:rsid w:val="0026749F"/>
    <w:rsid w:val="00270117"/>
    <w:rsid w:val="002705C6"/>
    <w:rsid w:val="00270889"/>
    <w:rsid w:val="00270A4D"/>
    <w:rsid w:val="002718EF"/>
    <w:rsid w:val="002730FB"/>
    <w:rsid w:val="002731FF"/>
    <w:rsid w:val="002735AD"/>
    <w:rsid w:val="00274203"/>
    <w:rsid w:val="00274B0B"/>
    <w:rsid w:val="00274C35"/>
    <w:rsid w:val="00276CDB"/>
    <w:rsid w:val="00277CA2"/>
    <w:rsid w:val="002805B5"/>
    <w:rsid w:val="00280C7F"/>
    <w:rsid w:val="00280C97"/>
    <w:rsid w:val="00281BBB"/>
    <w:rsid w:val="00281BDA"/>
    <w:rsid w:val="002827C4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FFC"/>
    <w:rsid w:val="002860D7"/>
    <w:rsid w:val="00290444"/>
    <w:rsid w:val="0029071C"/>
    <w:rsid w:val="00290921"/>
    <w:rsid w:val="002914A4"/>
    <w:rsid w:val="002914BB"/>
    <w:rsid w:val="00291683"/>
    <w:rsid w:val="002933A3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6485"/>
    <w:rsid w:val="002A68A0"/>
    <w:rsid w:val="002A6D2A"/>
    <w:rsid w:val="002A6F76"/>
    <w:rsid w:val="002A730E"/>
    <w:rsid w:val="002A7658"/>
    <w:rsid w:val="002A77E6"/>
    <w:rsid w:val="002A7C15"/>
    <w:rsid w:val="002B002F"/>
    <w:rsid w:val="002B0236"/>
    <w:rsid w:val="002B06E5"/>
    <w:rsid w:val="002B1A9B"/>
    <w:rsid w:val="002B1FC0"/>
    <w:rsid w:val="002B1FE5"/>
    <w:rsid w:val="002B2444"/>
    <w:rsid w:val="002B2B7E"/>
    <w:rsid w:val="002B2E47"/>
    <w:rsid w:val="002B3D15"/>
    <w:rsid w:val="002B532B"/>
    <w:rsid w:val="002B54EC"/>
    <w:rsid w:val="002B7105"/>
    <w:rsid w:val="002B7794"/>
    <w:rsid w:val="002B7F99"/>
    <w:rsid w:val="002C00A3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2CBA"/>
    <w:rsid w:val="002D3DE8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4F1"/>
    <w:rsid w:val="002E354F"/>
    <w:rsid w:val="002E42A6"/>
    <w:rsid w:val="002E4BFF"/>
    <w:rsid w:val="002E56CE"/>
    <w:rsid w:val="002E5F0A"/>
    <w:rsid w:val="002E649A"/>
    <w:rsid w:val="002E6D21"/>
    <w:rsid w:val="002E752A"/>
    <w:rsid w:val="002E7AA0"/>
    <w:rsid w:val="002E7E6E"/>
    <w:rsid w:val="002F0F49"/>
    <w:rsid w:val="002F1E62"/>
    <w:rsid w:val="002F2679"/>
    <w:rsid w:val="002F2B08"/>
    <w:rsid w:val="002F3852"/>
    <w:rsid w:val="002F3DA4"/>
    <w:rsid w:val="002F591B"/>
    <w:rsid w:val="002F64AB"/>
    <w:rsid w:val="002F6DC0"/>
    <w:rsid w:val="002F7519"/>
    <w:rsid w:val="0030168F"/>
    <w:rsid w:val="00301BB5"/>
    <w:rsid w:val="0030249D"/>
    <w:rsid w:val="003037DB"/>
    <w:rsid w:val="00303A19"/>
    <w:rsid w:val="0030457C"/>
    <w:rsid w:val="00304E12"/>
    <w:rsid w:val="003058D1"/>
    <w:rsid w:val="00305955"/>
    <w:rsid w:val="003066C5"/>
    <w:rsid w:val="00306BAA"/>
    <w:rsid w:val="00306F9B"/>
    <w:rsid w:val="003072D3"/>
    <w:rsid w:val="003100F8"/>
    <w:rsid w:val="003103F4"/>
    <w:rsid w:val="0031049E"/>
    <w:rsid w:val="00310574"/>
    <w:rsid w:val="003119B5"/>
    <w:rsid w:val="003121CD"/>
    <w:rsid w:val="003123D5"/>
    <w:rsid w:val="00313546"/>
    <w:rsid w:val="0031524E"/>
    <w:rsid w:val="003153C2"/>
    <w:rsid w:val="00315993"/>
    <w:rsid w:val="0031714E"/>
    <w:rsid w:val="00317347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C26"/>
    <w:rsid w:val="003250DE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8CB"/>
    <w:rsid w:val="00336B97"/>
    <w:rsid w:val="00340258"/>
    <w:rsid w:val="003403C6"/>
    <w:rsid w:val="003406D5"/>
    <w:rsid w:val="003406D9"/>
    <w:rsid w:val="0034109D"/>
    <w:rsid w:val="003421D7"/>
    <w:rsid w:val="003422C7"/>
    <w:rsid w:val="00343585"/>
    <w:rsid w:val="00343643"/>
    <w:rsid w:val="00343984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A33"/>
    <w:rsid w:val="0035285A"/>
    <w:rsid w:val="00352DEF"/>
    <w:rsid w:val="003531D4"/>
    <w:rsid w:val="00353DD1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C78"/>
    <w:rsid w:val="003642ED"/>
    <w:rsid w:val="00364588"/>
    <w:rsid w:val="00364A1A"/>
    <w:rsid w:val="003658A0"/>
    <w:rsid w:val="00366223"/>
    <w:rsid w:val="0036655D"/>
    <w:rsid w:val="003672CD"/>
    <w:rsid w:val="00367A8C"/>
    <w:rsid w:val="00367C5F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50C2"/>
    <w:rsid w:val="003752AE"/>
    <w:rsid w:val="00376002"/>
    <w:rsid w:val="00376B99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648C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500D"/>
    <w:rsid w:val="0039518F"/>
    <w:rsid w:val="0039597A"/>
    <w:rsid w:val="00396177"/>
    <w:rsid w:val="00396A43"/>
    <w:rsid w:val="00397017"/>
    <w:rsid w:val="00397580"/>
    <w:rsid w:val="003978F3"/>
    <w:rsid w:val="00397B1B"/>
    <w:rsid w:val="00397DC3"/>
    <w:rsid w:val="003A004D"/>
    <w:rsid w:val="003A0212"/>
    <w:rsid w:val="003A1A4D"/>
    <w:rsid w:val="003A304D"/>
    <w:rsid w:val="003A4A3A"/>
    <w:rsid w:val="003A4D04"/>
    <w:rsid w:val="003A4F25"/>
    <w:rsid w:val="003A531C"/>
    <w:rsid w:val="003A5393"/>
    <w:rsid w:val="003A63F0"/>
    <w:rsid w:val="003A7CEA"/>
    <w:rsid w:val="003B01EE"/>
    <w:rsid w:val="003B044F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CD5"/>
    <w:rsid w:val="003C2D14"/>
    <w:rsid w:val="003C2E0B"/>
    <w:rsid w:val="003C344E"/>
    <w:rsid w:val="003C3492"/>
    <w:rsid w:val="003C3851"/>
    <w:rsid w:val="003C5320"/>
    <w:rsid w:val="003C69B2"/>
    <w:rsid w:val="003C732F"/>
    <w:rsid w:val="003C77F3"/>
    <w:rsid w:val="003C7921"/>
    <w:rsid w:val="003D0029"/>
    <w:rsid w:val="003D0499"/>
    <w:rsid w:val="003D0585"/>
    <w:rsid w:val="003D0BA5"/>
    <w:rsid w:val="003D151A"/>
    <w:rsid w:val="003D1849"/>
    <w:rsid w:val="003D2332"/>
    <w:rsid w:val="003D2F7E"/>
    <w:rsid w:val="003D4275"/>
    <w:rsid w:val="003D458B"/>
    <w:rsid w:val="003D469C"/>
    <w:rsid w:val="003D4770"/>
    <w:rsid w:val="003D4A48"/>
    <w:rsid w:val="003D4C64"/>
    <w:rsid w:val="003D5E9A"/>
    <w:rsid w:val="003D6076"/>
    <w:rsid w:val="003D7B5F"/>
    <w:rsid w:val="003E0D57"/>
    <w:rsid w:val="003E0D9D"/>
    <w:rsid w:val="003E1731"/>
    <w:rsid w:val="003E17EE"/>
    <w:rsid w:val="003E216A"/>
    <w:rsid w:val="003E2776"/>
    <w:rsid w:val="003E405E"/>
    <w:rsid w:val="003E43C7"/>
    <w:rsid w:val="003E4488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D3A"/>
    <w:rsid w:val="003F4639"/>
    <w:rsid w:val="003F4E4C"/>
    <w:rsid w:val="003F5191"/>
    <w:rsid w:val="003F526A"/>
    <w:rsid w:val="003F652F"/>
    <w:rsid w:val="003F6B93"/>
    <w:rsid w:val="003F73F6"/>
    <w:rsid w:val="003F76A5"/>
    <w:rsid w:val="003F76E1"/>
    <w:rsid w:val="003F7CF6"/>
    <w:rsid w:val="0040113D"/>
    <w:rsid w:val="004019CD"/>
    <w:rsid w:val="00401F62"/>
    <w:rsid w:val="00401F67"/>
    <w:rsid w:val="004038BD"/>
    <w:rsid w:val="00403E1B"/>
    <w:rsid w:val="0040425E"/>
    <w:rsid w:val="004042E5"/>
    <w:rsid w:val="00404D02"/>
    <w:rsid w:val="00405244"/>
    <w:rsid w:val="00405871"/>
    <w:rsid w:val="00405B3B"/>
    <w:rsid w:val="0040634C"/>
    <w:rsid w:val="004078BA"/>
    <w:rsid w:val="00407A96"/>
    <w:rsid w:val="00410238"/>
    <w:rsid w:val="00410349"/>
    <w:rsid w:val="004104AB"/>
    <w:rsid w:val="004116C8"/>
    <w:rsid w:val="004117A2"/>
    <w:rsid w:val="004127C9"/>
    <w:rsid w:val="004137D1"/>
    <w:rsid w:val="0041524A"/>
    <w:rsid w:val="0041533C"/>
    <w:rsid w:val="004154C0"/>
    <w:rsid w:val="004159D9"/>
    <w:rsid w:val="00416C78"/>
    <w:rsid w:val="00417198"/>
    <w:rsid w:val="00417804"/>
    <w:rsid w:val="00421116"/>
    <w:rsid w:val="00422171"/>
    <w:rsid w:val="004221EB"/>
    <w:rsid w:val="00422940"/>
    <w:rsid w:val="00422ADA"/>
    <w:rsid w:val="0042329C"/>
    <w:rsid w:val="00423CD6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6883"/>
    <w:rsid w:val="00436ABE"/>
    <w:rsid w:val="00436CE0"/>
    <w:rsid w:val="004370EA"/>
    <w:rsid w:val="00437AF4"/>
    <w:rsid w:val="004406B9"/>
    <w:rsid w:val="00440F30"/>
    <w:rsid w:val="004410F9"/>
    <w:rsid w:val="00441327"/>
    <w:rsid w:val="00441462"/>
    <w:rsid w:val="0044309B"/>
    <w:rsid w:val="00443283"/>
    <w:rsid w:val="00443857"/>
    <w:rsid w:val="00444BE4"/>
    <w:rsid w:val="00444C4E"/>
    <w:rsid w:val="00444DF9"/>
    <w:rsid w:val="00445845"/>
    <w:rsid w:val="00446B38"/>
    <w:rsid w:val="00446C16"/>
    <w:rsid w:val="00446DE3"/>
    <w:rsid w:val="004470AF"/>
    <w:rsid w:val="00450138"/>
    <w:rsid w:val="00451174"/>
    <w:rsid w:val="00451D95"/>
    <w:rsid w:val="0045210B"/>
    <w:rsid w:val="0045211C"/>
    <w:rsid w:val="00452413"/>
    <w:rsid w:val="00452DD5"/>
    <w:rsid w:val="00452F71"/>
    <w:rsid w:val="00454CBC"/>
    <w:rsid w:val="0045547F"/>
    <w:rsid w:val="00455C7B"/>
    <w:rsid w:val="00455E3C"/>
    <w:rsid w:val="00456001"/>
    <w:rsid w:val="00456A39"/>
    <w:rsid w:val="00456DFE"/>
    <w:rsid w:val="00457384"/>
    <w:rsid w:val="004577D7"/>
    <w:rsid w:val="004578A2"/>
    <w:rsid w:val="00457971"/>
    <w:rsid w:val="00461258"/>
    <w:rsid w:val="004613D5"/>
    <w:rsid w:val="004613DF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2972"/>
    <w:rsid w:val="00472CC1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4C8C"/>
    <w:rsid w:val="00485388"/>
    <w:rsid w:val="00486217"/>
    <w:rsid w:val="00486A50"/>
    <w:rsid w:val="00486AD1"/>
    <w:rsid w:val="00486C7B"/>
    <w:rsid w:val="00487A9A"/>
    <w:rsid w:val="00491C4C"/>
    <w:rsid w:val="004928CE"/>
    <w:rsid w:val="004929D4"/>
    <w:rsid w:val="00492A45"/>
    <w:rsid w:val="00492A60"/>
    <w:rsid w:val="00493628"/>
    <w:rsid w:val="004939D5"/>
    <w:rsid w:val="00495614"/>
    <w:rsid w:val="00495875"/>
    <w:rsid w:val="00495C46"/>
    <w:rsid w:val="00495CD8"/>
    <w:rsid w:val="00495E0A"/>
    <w:rsid w:val="004965CB"/>
    <w:rsid w:val="00496DC4"/>
    <w:rsid w:val="00496EF6"/>
    <w:rsid w:val="004A06D8"/>
    <w:rsid w:val="004A0B1E"/>
    <w:rsid w:val="004A0EA8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DAD"/>
    <w:rsid w:val="004B02E3"/>
    <w:rsid w:val="004B1EB0"/>
    <w:rsid w:val="004B2201"/>
    <w:rsid w:val="004B2C09"/>
    <w:rsid w:val="004B37BF"/>
    <w:rsid w:val="004B3CCA"/>
    <w:rsid w:val="004B5B97"/>
    <w:rsid w:val="004B6729"/>
    <w:rsid w:val="004B7CAC"/>
    <w:rsid w:val="004C0E5B"/>
    <w:rsid w:val="004C1158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D057A"/>
    <w:rsid w:val="004D0781"/>
    <w:rsid w:val="004D0B2B"/>
    <w:rsid w:val="004D1D9D"/>
    <w:rsid w:val="004D1DFF"/>
    <w:rsid w:val="004D2A6F"/>
    <w:rsid w:val="004D2FAC"/>
    <w:rsid w:val="004D32E0"/>
    <w:rsid w:val="004D4DBD"/>
    <w:rsid w:val="004D4FF7"/>
    <w:rsid w:val="004D5D91"/>
    <w:rsid w:val="004D6AEC"/>
    <w:rsid w:val="004D7F82"/>
    <w:rsid w:val="004E014E"/>
    <w:rsid w:val="004E20ED"/>
    <w:rsid w:val="004E23CB"/>
    <w:rsid w:val="004E244B"/>
    <w:rsid w:val="004E2CCE"/>
    <w:rsid w:val="004E3308"/>
    <w:rsid w:val="004E3BDB"/>
    <w:rsid w:val="004E479E"/>
    <w:rsid w:val="004E7423"/>
    <w:rsid w:val="004E78EF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91"/>
    <w:rsid w:val="004F399E"/>
    <w:rsid w:val="004F3BF5"/>
    <w:rsid w:val="004F48C3"/>
    <w:rsid w:val="004F4BDE"/>
    <w:rsid w:val="004F5769"/>
    <w:rsid w:val="004F6394"/>
    <w:rsid w:val="004F7728"/>
    <w:rsid w:val="004F78E6"/>
    <w:rsid w:val="004F7B56"/>
    <w:rsid w:val="00500E6D"/>
    <w:rsid w:val="0050142E"/>
    <w:rsid w:val="00502894"/>
    <w:rsid w:val="00502E10"/>
    <w:rsid w:val="00503B5D"/>
    <w:rsid w:val="00504A34"/>
    <w:rsid w:val="00506466"/>
    <w:rsid w:val="00512237"/>
    <w:rsid w:val="0051299A"/>
    <w:rsid w:val="00512D99"/>
    <w:rsid w:val="00512EB4"/>
    <w:rsid w:val="00513215"/>
    <w:rsid w:val="00513286"/>
    <w:rsid w:val="005138B2"/>
    <w:rsid w:val="00513E38"/>
    <w:rsid w:val="00514206"/>
    <w:rsid w:val="005155AF"/>
    <w:rsid w:val="0051706C"/>
    <w:rsid w:val="00517E99"/>
    <w:rsid w:val="005207FA"/>
    <w:rsid w:val="00521D61"/>
    <w:rsid w:val="0052210F"/>
    <w:rsid w:val="00522EB8"/>
    <w:rsid w:val="00523369"/>
    <w:rsid w:val="00523DB2"/>
    <w:rsid w:val="005246FA"/>
    <w:rsid w:val="0052477D"/>
    <w:rsid w:val="00524B63"/>
    <w:rsid w:val="00525CBD"/>
    <w:rsid w:val="00526E2F"/>
    <w:rsid w:val="00530212"/>
    <w:rsid w:val="00530229"/>
    <w:rsid w:val="00530F10"/>
    <w:rsid w:val="005332C7"/>
    <w:rsid w:val="005336EE"/>
    <w:rsid w:val="0053410E"/>
    <w:rsid w:val="00534811"/>
    <w:rsid w:val="00535717"/>
    <w:rsid w:val="005357BE"/>
    <w:rsid w:val="00536D85"/>
    <w:rsid w:val="00536EE8"/>
    <w:rsid w:val="005376E8"/>
    <w:rsid w:val="00537A80"/>
    <w:rsid w:val="005403A2"/>
    <w:rsid w:val="00540CFD"/>
    <w:rsid w:val="0054191E"/>
    <w:rsid w:val="0054324A"/>
    <w:rsid w:val="0054409D"/>
    <w:rsid w:val="00545627"/>
    <w:rsid w:val="00546594"/>
    <w:rsid w:val="00547AAE"/>
    <w:rsid w:val="00547B8E"/>
    <w:rsid w:val="00547F46"/>
    <w:rsid w:val="00547F94"/>
    <w:rsid w:val="00547FA5"/>
    <w:rsid w:val="0055059B"/>
    <w:rsid w:val="0055102F"/>
    <w:rsid w:val="00551504"/>
    <w:rsid w:val="00551D9F"/>
    <w:rsid w:val="00551F63"/>
    <w:rsid w:val="00552C05"/>
    <w:rsid w:val="00552C2F"/>
    <w:rsid w:val="00553ADE"/>
    <w:rsid w:val="005543DD"/>
    <w:rsid w:val="00554498"/>
    <w:rsid w:val="005544DC"/>
    <w:rsid w:val="00554D71"/>
    <w:rsid w:val="00554DD3"/>
    <w:rsid w:val="0055549F"/>
    <w:rsid w:val="0055672C"/>
    <w:rsid w:val="00556D3E"/>
    <w:rsid w:val="00557A48"/>
    <w:rsid w:val="00557B9F"/>
    <w:rsid w:val="0056062B"/>
    <w:rsid w:val="00560BCA"/>
    <w:rsid w:val="00561613"/>
    <w:rsid w:val="005619D2"/>
    <w:rsid w:val="00561F70"/>
    <w:rsid w:val="0056263D"/>
    <w:rsid w:val="005639EB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D4D"/>
    <w:rsid w:val="005705C3"/>
    <w:rsid w:val="005707C8"/>
    <w:rsid w:val="00570DF9"/>
    <w:rsid w:val="00570ED1"/>
    <w:rsid w:val="00571E2B"/>
    <w:rsid w:val="00572518"/>
    <w:rsid w:val="00572F80"/>
    <w:rsid w:val="00573493"/>
    <w:rsid w:val="00573B62"/>
    <w:rsid w:val="0057484E"/>
    <w:rsid w:val="00574C70"/>
    <w:rsid w:val="00576645"/>
    <w:rsid w:val="005770AB"/>
    <w:rsid w:val="0057711E"/>
    <w:rsid w:val="00577354"/>
    <w:rsid w:val="0057765B"/>
    <w:rsid w:val="00577C97"/>
    <w:rsid w:val="00580CD9"/>
    <w:rsid w:val="005818A6"/>
    <w:rsid w:val="00581B2A"/>
    <w:rsid w:val="00581F44"/>
    <w:rsid w:val="0058232A"/>
    <w:rsid w:val="0058239E"/>
    <w:rsid w:val="00583631"/>
    <w:rsid w:val="00584A56"/>
    <w:rsid w:val="005853A8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1139"/>
    <w:rsid w:val="005A1E4F"/>
    <w:rsid w:val="005A34CA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7C0"/>
    <w:rsid w:val="005B79A0"/>
    <w:rsid w:val="005B7BB8"/>
    <w:rsid w:val="005B7E7A"/>
    <w:rsid w:val="005C0595"/>
    <w:rsid w:val="005C06FD"/>
    <w:rsid w:val="005C0745"/>
    <w:rsid w:val="005C17E1"/>
    <w:rsid w:val="005C188E"/>
    <w:rsid w:val="005C1E9B"/>
    <w:rsid w:val="005C214B"/>
    <w:rsid w:val="005C24B7"/>
    <w:rsid w:val="005C2C6E"/>
    <w:rsid w:val="005C30D4"/>
    <w:rsid w:val="005C3CBD"/>
    <w:rsid w:val="005C52D0"/>
    <w:rsid w:val="005C538A"/>
    <w:rsid w:val="005C64B1"/>
    <w:rsid w:val="005C6678"/>
    <w:rsid w:val="005C7916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0487"/>
    <w:rsid w:val="005E0F18"/>
    <w:rsid w:val="005E1642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6039"/>
    <w:rsid w:val="005F05AA"/>
    <w:rsid w:val="005F0B21"/>
    <w:rsid w:val="005F1BF1"/>
    <w:rsid w:val="005F2753"/>
    <w:rsid w:val="005F27BF"/>
    <w:rsid w:val="005F2F93"/>
    <w:rsid w:val="005F34F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36FA"/>
    <w:rsid w:val="00603C0E"/>
    <w:rsid w:val="00603C28"/>
    <w:rsid w:val="0060420D"/>
    <w:rsid w:val="006047DD"/>
    <w:rsid w:val="00605971"/>
    <w:rsid w:val="00605C19"/>
    <w:rsid w:val="00605D24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77"/>
    <w:rsid w:val="0061422B"/>
    <w:rsid w:val="00614847"/>
    <w:rsid w:val="00614AF6"/>
    <w:rsid w:val="00615082"/>
    <w:rsid w:val="00615A63"/>
    <w:rsid w:val="00616176"/>
    <w:rsid w:val="00616BC8"/>
    <w:rsid w:val="0061762E"/>
    <w:rsid w:val="00620828"/>
    <w:rsid w:val="006209A5"/>
    <w:rsid w:val="00620F18"/>
    <w:rsid w:val="00621A3B"/>
    <w:rsid w:val="00622436"/>
    <w:rsid w:val="0062271A"/>
    <w:rsid w:val="006227CD"/>
    <w:rsid w:val="00622C65"/>
    <w:rsid w:val="00622DA5"/>
    <w:rsid w:val="00623201"/>
    <w:rsid w:val="00623ECC"/>
    <w:rsid w:val="00624CC4"/>
    <w:rsid w:val="00626140"/>
    <w:rsid w:val="00626DB5"/>
    <w:rsid w:val="00627788"/>
    <w:rsid w:val="0063087F"/>
    <w:rsid w:val="00631426"/>
    <w:rsid w:val="00631E0E"/>
    <w:rsid w:val="0063295F"/>
    <w:rsid w:val="00632BFD"/>
    <w:rsid w:val="00633933"/>
    <w:rsid w:val="006348AF"/>
    <w:rsid w:val="00634A38"/>
    <w:rsid w:val="00634B06"/>
    <w:rsid w:val="00634E88"/>
    <w:rsid w:val="00634F04"/>
    <w:rsid w:val="00635158"/>
    <w:rsid w:val="00635BE4"/>
    <w:rsid w:val="00635EE0"/>
    <w:rsid w:val="00636054"/>
    <w:rsid w:val="00637034"/>
    <w:rsid w:val="00637ADD"/>
    <w:rsid w:val="00637BEE"/>
    <w:rsid w:val="00637C34"/>
    <w:rsid w:val="00637DA6"/>
    <w:rsid w:val="00641FBA"/>
    <w:rsid w:val="0064237E"/>
    <w:rsid w:val="00642DE9"/>
    <w:rsid w:val="00643612"/>
    <w:rsid w:val="006442A2"/>
    <w:rsid w:val="00644D54"/>
    <w:rsid w:val="006453A1"/>
    <w:rsid w:val="0064559E"/>
    <w:rsid w:val="00645B24"/>
    <w:rsid w:val="00646BBD"/>
    <w:rsid w:val="00646C26"/>
    <w:rsid w:val="00647983"/>
    <w:rsid w:val="0065034B"/>
    <w:rsid w:val="00650D7D"/>
    <w:rsid w:val="0065251F"/>
    <w:rsid w:val="00652FA2"/>
    <w:rsid w:val="0065347E"/>
    <w:rsid w:val="0065397B"/>
    <w:rsid w:val="006543DA"/>
    <w:rsid w:val="00655996"/>
    <w:rsid w:val="006564BD"/>
    <w:rsid w:val="00656DD9"/>
    <w:rsid w:val="006571DC"/>
    <w:rsid w:val="00657234"/>
    <w:rsid w:val="0066050E"/>
    <w:rsid w:val="00660727"/>
    <w:rsid w:val="00660F25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3908"/>
    <w:rsid w:val="00673AEB"/>
    <w:rsid w:val="0067426A"/>
    <w:rsid w:val="0067459A"/>
    <w:rsid w:val="006770F3"/>
    <w:rsid w:val="006771BD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FC3"/>
    <w:rsid w:val="006A0636"/>
    <w:rsid w:val="006A07DE"/>
    <w:rsid w:val="006A0896"/>
    <w:rsid w:val="006A0C84"/>
    <w:rsid w:val="006A0EBC"/>
    <w:rsid w:val="006A1F92"/>
    <w:rsid w:val="006A2351"/>
    <w:rsid w:val="006A24C8"/>
    <w:rsid w:val="006A38A0"/>
    <w:rsid w:val="006A3B2F"/>
    <w:rsid w:val="006A527F"/>
    <w:rsid w:val="006A5825"/>
    <w:rsid w:val="006A7E2A"/>
    <w:rsid w:val="006A7EEA"/>
    <w:rsid w:val="006B0C37"/>
    <w:rsid w:val="006B13F6"/>
    <w:rsid w:val="006B1924"/>
    <w:rsid w:val="006B1FBC"/>
    <w:rsid w:val="006B2E47"/>
    <w:rsid w:val="006B2FDD"/>
    <w:rsid w:val="006B3024"/>
    <w:rsid w:val="006B3851"/>
    <w:rsid w:val="006B408C"/>
    <w:rsid w:val="006B44E9"/>
    <w:rsid w:val="006B5C9F"/>
    <w:rsid w:val="006B5CD5"/>
    <w:rsid w:val="006B6033"/>
    <w:rsid w:val="006B65B9"/>
    <w:rsid w:val="006B699D"/>
    <w:rsid w:val="006B734C"/>
    <w:rsid w:val="006B792F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72D4"/>
    <w:rsid w:val="006C735F"/>
    <w:rsid w:val="006D07C9"/>
    <w:rsid w:val="006D0C6A"/>
    <w:rsid w:val="006D12AC"/>
    <w:rsid w:val="006D2BB1"/>
    <w:rsid w:val="006D45A4"/>
    <w:rsid w:val="006D7DAC"/>
    <w:rsid w:val="006D7E16"/>
    <w:rsid w:val="006D7E3D"/>
    <w:rsid w:val="006E024F"/>
    <w:rsid w:val="006E0C61"/>
    <w:rsid w:val="006E0E3A"/>
    <w:rsid w:val="006E1A7F"/>
    <w:rsid w:val="006E2E93"/>
    <w:rsid w:val="006E33D5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E6FEE"/>
    <w:rsid w:val="006F0B1D"/>
    <w:rsid w:val="006F0CD8"/>
    <w:rsid w:val="006F19E5"/>
    <w:rsid w:val="006F1B42"/>
    <w:rsid w:val="006F272B"/>
    <w:rsid w:val="006F36C1"/>
    <w:rsid w:val="006F3EFB"/>
    <w:rsid w:val="006F5281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7D15"/>
    <w:rsid w:val="00707F7D"/>
    <w:rsid w:val="00710B20"/>
    <w:rsid w:val="00710C12"/>
    <w:rsid w:val="00712619"/>
    <w:rsid w:val="00712F92"/>
    <w:rsid w:val="00714117"/>
    <w:rsid w:val="007141B3"/>
    <w:rsid w:val="00716489"/>
    <w:rsid w:val="007177E2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910"/>
    <w:rsid w:val="00751C7A"/>
    <w:rsid w:val="00751DB0"/>
    <w:rsid w:val="007520A4"/>
    <w:rsid w:val="0075211D"/>
    <w:rsid w:val="00753714"/>
    <w:rsid w:val="00754050"/>
    <w:rsid w:val="00754693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45B4"/>
    <w:rsid w:val="007745FC"/>
    <w:rsid w:val="00774BF4"/>
    <w:rsid w:val="0077577D"/>
    <w:rsid w:val="0077625C"/>
    <w:rsid w:val="0077649C"/>
    <w:rsid w:val="007765EE"/>
    <w:rsid w:val="0077685E"/>
    <w:rsid w:val="007770C7"/>
    <w:rsid w:val="00777432"/>
    <w:rsid w:val="00777E44"/>
    <w:rsid w:val="00780F14"/>
    <w:rsid w:val="00782D30"/>
    <w:rsid w:val="007843F3"/>
    <w:rsid w:val="00785493"/>
    <w:rsid w:val="0078735E"/>
    <w:rsid w:val="007874A2"/>
    <w:rsid w:val="00787674"/>
    <w:rsid w:val="00792593"/>
    <w:rsid w:val="00793407"/>
    <w:rsid w:val="00793C81"/>
    <w:rsid w:val="00793D83"/>
    <w:rsid w:val="00793E21"/>
    <w:rsid w:val="0079568B"/>
    <w:rsid w:val="00795AEF"/>
    <w:rsid w:val="00795B84"/>
    <w:rsid w:val="00795BA4"/>
    <w:rsid w:val="0079620D"/>
    <w:rsid w:val="0079633B"/>
    <w:rsid w:val="007967D2"/>
    <w:rsid w:val="00796D77"/>
    <w:rsid w:val="00797576"/>
    <w:rsid w:val="00797DAE"/>
    <w:rsid w:val="007A0DBF"/>
    <w:rsid w:val="007A1B0E"/>
    <w:rsid w:val="007A1F00"/>
    <w:rsid w:val="007A20A2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B0A92"/>
    <w:rsid w:val="007B1BB2"/>
    <w:rsid w:val="007B253A"/>
    <w:rsid w:val="007B3D4F"/>
    <w:rsid w:val="007B64EA"/>
    <w:rsid w:val="007B6A23"/>
    <w:rsid w:val="007B7738"/>
    <w:rsid w:val="007B7A83"/>
    <w:rsid w:val="007C0E0A"/>
    <w:rsid w:val="007C13FD"/>
    <w:rsid w:val="007C196F"/>
    <w:rsid w:val="007C2022"/>
    <w:rsid w:val="007C21CA"/>
    <w:rsid w:val="007C2579"/>
    <w:rsid w:val="007C3206"/>
    <w:rsid w:val="007C3847"/>
    <w:rsid w:val="007C3874"/>
    <w:rsid w:val="007C38A7"/>
    <w:rsid w:val="007C47B1"/>
    <w:rsid w:val="007C65FB"/>
    <w:rsid w:val="007C7220"/>
    <w:rsid w:val="007D08E8"/>
    <w:rsid w:val="007D19CB"/>
    <w:rsid w:val="007D260D"/>
    <w:rsid w:val="007D3229"/>
    <w:rsid w:val="007D32AC"/>
    <w:rsid w:val="007D3DC4"/>
    <w:rsid w:val="007D4894"/>
    <w:rsid w:val="007D4EDE"/>
    <w:rsid w:val="007D657A"/>
    <w:rsid w:val="007D67E3"/>
    <w:rsid w:val="007D6943"/>
    <w:rsid w:val="007D6B51"/>
    <w:rsid w:val="007D6BB8"/>
    <w:rsid w:val="007D7148"/>
    <w:rsid w:val="007D741A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40AD"/>
    <w:rsid w:val="008055E9"/>
    <w:rsid w:val="008059B2"/>
    <w:rsid w:val="00806069"/>
    <w:rsid w:val="008066B9"/>
    <w:rsid w:val="008104F3"/>
    <w:rsid w:val="00811BF7"/>
    <w:rsid w:val="008123A1"/>
    <w:rsid w:val="00812503"/>
    <w:rsid w:val="00813325"/>
    <w:rsid w:val="008137C3"/>
    <w:rsid w:val="008141CA"/>
    <w:rsid w:val="0081538E"/>
    <w:rsid w:val="0081593D"/>
    <w:rsid w:val="00815A9F"/>
    <w:rsid w:val="00816ECC"/>
    <w:rsid w:val="00817052"/>
    <w:rsid w:val="008176FE"/>
    <w:rsid w:val="00817E62"/>
    <w:rsid w:val="008201BC"/>
    <w:rsid w:val="00821509"/>
    <w:rsid w:val="00821870"/>
    <w:rsid w:val="008219E0"/>
    <w:rsid w:val="00821F68"/>
    <w:rsid w:val="008232F5"/>
    <w:rsid w:val="008238AA"/>
    <w:rsid w:val="008238F0"/>
    <w:rsid w:val="0082395E"/>
    <w:rsid w:val="0082437F"/>
    <w:rsid w:val="00824615"/>
    <w:rsid w:val="00825619"/>
    <w:rsid w:val="00825A66"/>
    <w:rsid w:val="008260DD"/>
    <w:rsid w:val="00826647"/>
    <w:rsid w:val="00826787"/>
    <w:rsid w:val="00826CE1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6DF"/>
    <w:rsid w:val="00846916"/>
    <w:rsid w:val="00850808"/>
    <w:rsid w:val="00850A8E"/>
    <w:rsid w:val="00850EB0"/>
    <w:rsid w:val="0085146D"/>
    <w:rsid w:val="00851807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3E06"/>
    <w:rsid w:val="00864B09"/>
    <w:rsid w:val="008658D7"/>
    <w:rsid w:val="00865A7E"/>
    <w:rsid w:val="00865F25"/>
    <w:rsid w:val="00865FF3"/>
    <w:rsid w:val="00866C45"/>
    <w:rsid w:val="00867C73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73E"/>
    <w:rsid w:val="008765D9"/>
    <w:rsid w:val="00876706"/>
    <w:rsid w:val="008767C9"/>
    <w:rsid w:val="00876A55"/>
    <w:rsid w:val="00876CC7"/>
    <w:rsid w:val="00880A30"/>
    <w:rsid w:val="00880BE3"/>
    <w:rsid w:val="008818E6"/>
    <w:rsid w:val="00882535"/>
    <w:rsid w:val="00882A3F"/>
    <w:rsid w:val="0088455A"/>
    <w:rsid w:val="0088522C"/>
    <w:rsid w:val="00886A39"/>
    <w:rsid w:val="0088715D"/>
    <w:rsid w:val="00887C43"/>
    <w:rsid w:val="00890719"/>
    <w:rsid w:val="00891B16"/>
    <w:rsid w:val="008924A0"/>
    <w:rsid w:val="00892BD1"/>
    <w:rsid w:val="00893A4A"/>
    <w:rsid w:val="00894FF2"/>
    <w:rsid w:val="008951DF"/>
    <w:rsid w:val="0089588B"/>
    <w:rsid w:val="008A0438"/>
    <w:rsid w:val="008A0693"/>
    <w:rsid w:val="008A0A7E"/>
    <w:rsid w:val="008A0B0B"/>
    <w:rsid w:val="008A0C0A"/>
    <w:rsid w:val="008A143E"/>
    <w:rsid w:val="008A42B2"/>
    <w:rsid w:val="008A4BCF"/>
    <w:rsid w:val="008A64C4"/>
    <w:rsid w:val="008A79A8"/>
    <w:rsid w:val="008B0346"/>
    <w:rsid w:val="008B0D4D"/>
    <w:rsid w:val="008B0E0F"/>
    <w:rsid w:val="008B2FA4"/>
    <w:rsid w:val="008B3177"/>
    <w:rsid w:val="008B3D2D"/>
    <w:rsid w:val="008B41B2"/>
    <w:rsid w:val="008B4232"/>
    <w:rsid w:val="008B441E"/>
    <w:rsid w:val="008B4AE7"/>
    <w:rsid w:val="008B4BF3"/>
    <w:rsid w:val="008B54CB"/>
    <w:rsid w:val="008B5A47"/>
    <w:rsid w:val="008B5B39"/>
    <w:rsid w:val="008B7BAD"/>
    <w:rsid w:val="008C020A"/>
    <w:rsid w:val="008C143F"/>
    <w:rsid w:val="008C1EAA"/>
    <w:rsid w:val="008C2353"/>
    <w:rsid w:val="008C36A4"/>
    <w:rsid w:val="008C384C"/>
    <w:rsid w:val="008C3976"/>
    <w:rsid w:val="008C3CC3"/>
    <w:rsid w:val="008C4097"/>
    <w:rsid w:val="008C56E4"/>
    <w:rsid w:val="008C59E1"/>
    <w:rsid w:val="008C5C4F"/>
    <w:rsid w:val="008C62CE"/>
    <w:rsid w:val="008C64B5"/>
    <w:rsid w:val="008C6AA0"/>
    <w:rsid w:val="008C7315"/>
    <w:rsid w:val="008D09CB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5E8D"/>
    <w:rsid w:val="008D7E45"/>
    <w:rsid w:val="008E124F"/>
    <w:rsid w:val="008E2271"/>
    <w:rsid w:val="008E253C"/>
    <w:rsid w:val="008E29E0"/>
    <w:rsid w:val="008E30A4"/>
    <w:rsid w:val="008E322C"/>
    <w:rsid w:val="008E334F"/>
    <w:rsid w:val="008E3BDF"/>
    <w:rsid w:val="008E42D7"/>
    <w:rsid w:val="008F0330"/>
    <w:rsid w:val="008F29A4"/>
    <w:rsid w:val="008F29C3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1099"/>
    <w:rsid w:val="00901986"/>
    <w:rsid w:val="009025BB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20B8"/>
    <w:rsid w:val="009125FB"/>
    <w:rsid w:val="00912DE1"/>
    <w:rsid w:val="009132B6"/>
    <w:rsid w:val="00913B3E"/>
    <w:rsid w:val="00913FA9"/>
    <w:rsid w:val="0091443D"/>
    <w:rsid w:val="00914FDE"/>
    <w:rsid w:val="0091510F"/>
    <w:rsid w:val="009152C0"/>
    <w:rsid w:val="00915729"/>
    <w:rsid w:val="009157FD"/>
    <w:rsid w:val="00915906"/>
    <w:rsid w:val="00916BEE"/>
    <w:rsid w:val="00916D7E"/>
    <w:rsid w:val="009179C9"/>
    <w:rsid w:val="00917A42"/>
    <w:rsid w:val="00917E1A"/>
    <w:rsid w:val="00920124"/>
    <w:rsid w:val="0092037E"/>
    <w:rsid w:val="00921F13"/>
    <w:rsid w:val="00922961"/>
    <w:rsid w:val="00922DF6"/>
    <w:rsid w:val="00922FC5"/>
    <w:rsid w:val="009234AC"/>
    <w:rsid w:val="00923E1F"/>
    <w:rsid w:val="0092437D"/>
    <w:rsid w:val="00924CC1"/>
    <w:rsid w:val="009253C0"/>
    <w:rsid w:val="009255F6"/>
    <w:rsid w:val="00925729"/>
    <w:rsid w:val="00925917"/>
    <w:rsid w:val="009277F2"/>
    <w:rsid w:val="00927D1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DB2"/>
    <w:rsid w:val="00935190"/>
    <w:rsid w:val="009353DD"/>
    <w:rsid w:val="00935CC0"/>
    <w:rsid w:val="009368C8"/>
    <w:rsid w:val="009369D9"/>
    <w:rsid w:val="00941427"/>
    <w:rsid w:val="00941A08"/>
    <w:rsid w:val="00941BE9"/>
    <w:rsid w:val="00941BF8"/>
    <w:rsid w:val="00942340"/>
    <w:rsid w:val="00942572"/>
    <w:rsid w:val="00942CD6"/>
    <w:rsid w:val="00943878"/>
    <w:rsid w:val="00943F9A"/>
    <w:rsid w:val="00944BDC"/>
    <w:rsid w:val="00944CD1"/>
    <w:rsid w:val="00945A8F"/>
    <w:rsid w:val="00945BFA"/>
    <w:rsid w:val="00945FF8"/>
    <w:rsid w:val="009462F6"/>
    <w:rsid w:val="00947336"/>
    <w:rsid w:val="00947584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494"/>
    <w:rsid w:val="0095252D"/>
    <w:rsid w:val="00953E04"/>
    <w:rsid w:val="009553C5"/>
    <w:rsid w:val="009569A6"/>
    <w:rsid w:val="00960185"/>
    <w:rsid w:val="00960455"/>
    <w:rsid w:val="00960C7C"/>
    <w:rsid w:val="00961B48"/>
    <w:rsid w:val="0096256F"/>
    <w:rsid w:val="009629A3"/>
    <w:rsid w:val="009629E6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7095"/>
    <w:rsid w:val="009709FB"/>
    <w:rsid w:val="00970FC5"/>
    <w:rsid w:val="0097124D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6834"/>
    <w:rsid w:val="00976F08"/>
    <w:rsid w:val="009774DF"/>
    <w:rsid w:val="009776D6"/>
    <w:rsid w:val="00980191"/>
    <w:rsid w:val="0098064F"/>
    <w:rsid w:val="00982FA8"/>
    <w:rsid w:val="00983375"/>
    <w:rsid w:val="0098430A"/>
    <w:rsid w:val="009843E9"/>
    <w:rsid w:val="00984C63"/>
    <w:rsid w:val="00985A01"/>
    <w:rsid w:val="0098793A"/>
    <w:rsid w:val="00987D01"/>
    <w:rsid w:val="00987D66"/>
    <w:rsid w:val="00990A3A"/>
    <w:rsid w:val="00991419"/>
    <w:rsid w:val="00991CD1"/>
    <w:rsid w:val="00991FE7"/>
    <w:rsid w:val="00992AB3"/>
    <w:rsid w:val="00992D74"/>
    <w:rsid w:val="00992F2C"/>
    <w:rsid w:val="00992FB1"/>
    <w:rsid w:val="00995124"/>
    <w:rsid w:val="0099707E"/>
    <w:rsid w:val="00997914"/>
    <w:rsid w:val="009979AE"/>
    <w:rsid w:val="00997F33"/>
    <w:rsid w:val="009A280A"/>
    <w:rsid w:val="009A2DF9"/>
    <w:rsid w:val="009A372B"/>
    <w:rsid w:val="009A3CA8"/>
    <w:rsid w:val="009A3F2D"/>
    <w:rsid w:val="009A4EE1"/>
    <w:rsid w:val="009A5193"/>
    <w:rsid w:val="009A52C0"/>
    <w:rsid w:val="009A5F93"/>
    <w:rsid w:val="009A6C3F"/>
    <w:rsid w:val="009A7476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905"/>
    <w:rsid w:val="009C1AEA"/>
    <w:rsid w:val="009C1C02"/>
    <w:rsid w:val="009C1E31"/>
    <w:rsid w:val="009C28AA"/>
    <w:rsid w:val="009C3183"/>
    <w:rsid w:val="009C358D"/>
    <w:rsid w:val="009C400F"/>
    <w:rsid w:val="009C4A9D"/>
    <w:rsid w:val="009C739D"/>
    <w:rsid w:val="009C7874"/>
    <w:rsid w:val="009C7D3B"/>
    <w:rsid w:val="009D009E"/>
    <w:rsid w:val="009D0E61"/>
    <w:rsid w:val="009D10BC"/>
    <w:rsid w:val="009D3AEC"/>
    <w:rsid w:val="009D44C5"/>
    <w:rsid w:val="009D4AA0"/>
    <w:rsid w:val="009D5294"/>
    <w:rsid w:val="009D53BC"/>
    <w:rsid w:val="009D66C1"/>
    <w:rsid w:val="009D6D95"/>
    <w:rsid w:val="009D7CE3"/>
    <w:rsid w:val="009D7E72"/>
    <w:rsid w:val="009E03B2"/>
    <w:rsid w:val="009E06CC"/>
    <w:rsid w:val="009E0B71"/>
    <w:rsid w:val="009E0BC5"/>
    <w:rsid w:val="009E1DF6"/>
    <w:rsid w:val="009E2186"/>
    <w:rsid w:val="009E2AE2"/>
    <w:rsid w:val="009E2B01"/>
    <w:rsid w:val="009E3AA7"/>
    <w:rsid w:val="009E423B"/>
    <w:rsid w:val="009E46E4"/>
    <w:rsid w:val="009E5946"/>
    <w:rsid w:val="009E6479"/>
    <w:rsid w:val="009E6530"/>
    <w:rsid w:val="009E73A9"/>
    <w:rsid w:val="009E785D"/>
    <w:rsid w:val="009F10E2"/>
    <w:rsid w:val="009F13AF"/>
    <w:rsid w:val="009F1C14"/>
    <w:rsid w:val="009F24C1"/>
    <w:rsid w:val="009F250C"/>
    <w:rsid w:val="009F2C60"/>
    <w:rsid w:val="009F318E"/>
    <w:rsid w:val="009F3B83"/>
    <w:rsid w:val="009F4E20"/>
    <w:rsid w:val="009F5EE6"/>
    <w:rsid w:val="009F5FA7"/>
    <w:rsid w:val="009F6D50"/>
    <w:rsid w:val="009F788C"/>
    <w:rsid w:val="009F7EEE"/>
    <w:rsid w:val="00A00204"/>
    <w:rsid w:val="00A014FF"/>
    <w:rsid w:val="00A01507"/>
    <w:rsid w:val="00A01636"/>
    <w:rsid w:val="00A02174"/>
    <w:rsid w:val="00A02D14"/>
    <w:rsid w:val="00A03190"/>
    <w:rsid w:val="00A0343A"/>
    <w:rsid w:val="00A067A4"/>
    <w:rsid w:val="00A06C59"/>
    <w:rsid w:val="00A07E42"/>
    <w:rsid w:val="00A102A0"/>
    <w:rsid w:val="00A10806"/>
    <w:rsid w:val="00A10A8C"/>
    <w:rsid w:val="00A10B9B"/>
    <w:rsid w:val="00A12936"/>
    <w:rsid w:val="00A12EE6"/>
    <w:rsid w:val="00A154FA"/>
    <w:rsid w:val="00A15D3C"/>
    <w:rsid w:val="00A15F79"/>
    <w:rsid w:val="00A1643D"/>
    <w:rsid w:val="00A16B1B"/>
    <w:rsid w:val="00A1775A"/>
    <w:rsid w:val="00A17914"/>
    <w:rsid w:val="00A17C51"/>
    <w:rsid w:val="00A2098F"/>
    <w:rsid w:val="00A20BCD"/>
    <w:rsid w:val="00A2119D"/>
    <w:rsid w:val="00A22987"/>
    <w:rsid w:val="00A22BD4"/>
    <w:rsid w:val="00A22DA7"/>
    <w:rsid w:val="00A2304C"/>
    <w:rsid w:val="00A23561"/>
    <w:rsid w:val="00A24207"/>
    <w:rsid w:val="00A24A12"/>
    <w:rsid w:val="00A257C4"/>
    <w:rsid w:val="00A25977"/>
    <w:rsid w:val="00A25A87"/>
    <w:rsid w:val="00A25E4C"/>
    <w:rsid w:val="00A2706A"/>
    <w:rsid w:val="00A30589"/>
    <w:rsid w:val="00A3200E"/>
    <w:rsid w:val="00A32029"/>
    <w:rsid w:val="00A3360C"/>
    <w:rsid w:val="00A3379D"/>
    <w:rsid w:val="00A33E33"/>
    <w:rsid w:val="00A34F22"/>
    <w:rsid w:val="00A3511F"/>
    <w:rsid w:val="00A3575E"/>
    <w:rsid w:val="00A35992"/>
    <w:rsid w:val="00A360A0"/>
    <w:rsid w:val="00A3635D"/>
    <w:rsid w:val="00A37239"/>
    <w:rsid w:val="00A37521"/>
    <w:rsid w:val="00A377B5"/>
    <w:rsid w:val="00A40101"/>
    <w:rsid w:val="00A40CEA"/>
    <w:rsid w:val="00A40D1D"/>
    <w:rsid w:val="00A41A5E"/>
    <w:rsid w:val="00A41C02"/>
    <w:rsid w:val="00A429EC"/>
    <w:rsid w:val="00A4343D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DD"/>
    <w:rsid w:val="00A46C20"/>
    <w:rsid w:val="00A46D6A"/>
    <w:rsid w:val="00A46DA6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945"/>
    <w:rsid w:val="00A54B46"/>
    <w:rsid w:val="00A54DFB"/>
    <w:rsid w:val="00A55508"/>
    <w:rsid w:val="00A5574A"/>
    <w:rsid w:val="00A558C5"/>
    <w:rsid w:val="00A57076"/>
    <w:rsid w:val="00A57B25"/>
    <w:rsid w:val="00A57CE4"/>
    <w:rsid w:val="00A60620"/>
    <w:rsid w:val="00A61135"/>
    <w:rsid w:val="00A612E5"/>
    <w:rsid w:val="00A61DBD"/>
    <w:rsid w:val="00A61E50"/>
    <w:rsid w:val="00A625E1"/>
    <w:rsid w:val="00A62738"/>
    <w:rsid w:val="00A639AC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701BA"/>
    <w:rsid w:val="00A702A1"/>
    <w:rsid w:val="00A70DE7"/>
    <w:rsid w:val="00A70F56"/>
    <w:rsid w:val="00A7238A"/>
    <w:rsid w:val="00A729F9"/>
    <w:rsid w:val="00A73110"/>
    <w:rsid w:val="00A73195"/>
    <w:rsid w:val="00A747DD"/>
    <w:rsid w:val="00A75140"/>
    <w:rsid w:val="00A75253"/>
    <w:rsid w:val="00A75A14"/>
    <w:rsid w:val="00A75C16"/>
    <w:rsid w:val="00A75FC0"/>
    <w:rsid w:val="00A76220"/>
    <w:rsid w:val="00A7660D"/>
    <w:rsid w:val="00A77031"/>
    <w:rsid w:val="00A77A04"/>
    <w:rsid w:val="00A77B13"/>
    <w:rsid w:val="00A77CEE"/>
    <w:rsid w:val="00A8019A"/>
    <w:rsid w:val="00A804FB"/>
    <w:rsid w:val="00A80A88"/>
    <w:rsid w:val="00A80AB9"/>
    <w:rsid w:val="00A80DE6"/>
    <w:rsid w:val="00A81818"/>
    <w:rsid w:val="00A8192F"/>
    <w:rsid w:val="00A81EB3"/>
    <w:rsid w:val="00A827C1"/>
    <w:rsid w:val="00A83738"/>
    <w:rsid w:val="00A84AD8"/>
    <w:rsid w:val="00A84FEF"/>
    <w:rsid w:val="00A85FE3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D8"/>
    <w:rsid w:val="00A93B12"/>
    <w:rsid w:val="00A9435D"/>
    <w:rsid w:val="00A94702"/>
    <w:rsid w:val="00A95024"/>
    <w:rsid w:val="00A95402"/>
    <w:rsid w:val="00A960A4"/>
    <w:rsid w:val="00A965EC"/>
    <w:rsid w:val="00A96D96"/>
    <w:rsid w:val="00A9750B"/>
    <w:rsid w:val="00AA09A6"/>
    <w:rsid w:val="00AA17B2"/>
    <w:rsid w:val="00AA297F"/>
    <w:rsid w:val="00AA29F8"/>
    <w:rsid w:val="00AA2F21"/>
    <w:rsid w:val="00AA3505"/>
    <w:rsid w:val="00AA3B9E"/>
    <w:rsid w:val="00AA3EF6"/>
    <w:rsid w:val="00AA46FA"/>
    <w:rsid w:val="00AA49CE"/>
    <w:rsid w:val="00AA54C2"/>
    <w:rsid w:val="00AA5565"/>
    <w:rsid w:val="00AA585B"/>
    <w:rsid w:val="00AA6282"/>
    <w:rsid w:val="00AA72F3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6292"/>
    <w:rsid w:val="00AC649C"/>
    <w:rsid w:val="00AC68D2"/>
    <w:rsid w:val="00AC7327"/>
    <w:rsid w:val="00AC7AE0"/>
    <w:rsid w:val="00AD0201"/>
    <w:rsid w:val="00AD27DE"/>
    <w:rsid w:val="00AD30B6"/>
    <w:rsid w:val="00AD32BD"/>
    <w:rsid w:val="00AD4013"/>
    <w:rsid w:val="00AD540B"/>
    <w:rsid w:val="00AD6623"/>
    <w:rsid w:val="00AD6D33"/>
    <w:rsid w:val="00AD7012"/>
    <w:rsid w:val="00AD7E72"/>
    <w:rsid w:val="00AE037F"/>
    <w:rsid w:val="00AE03C4"/>
    <w:rsid w:val="00AE0614"/>
    <w:rsid w:val="00AE0701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57F2"/>
    <w:rsid w:val="00AE59B9"/>
    <w:rsid w:val="00AE5DEE"/>
    <w:rsid w:val="00AE5F5B"/>
    <w:rsid w:val="00AE6DD3"/>
    <w:rsid w:val="00AE7A76"/>
    <w:rsid w:val="00AE7EB3"/>
    <w:rsid w:val="00AF1E80"/>
    <w:rsid w:val="00AF3D6A"/>
    <w:rsid w:val="00AF42AB"/>
    <w:rsid w:val="00AF4307"/>
    <w:rsid w:val="00AF4695"/>
    <w:rsid w:val="00AF4A6D"/>
    <w:rsid w:val="00AF55A4"/>
    <w:rsid w:val="00AF57A9"/>
    <w:rsid w:val="00AF58AF"/>
    <w:rsid w:val="00AF6119"/>
    <w:rsid w:val="00AF69A9"/>
    <w:rsid w:val="00AF7554"/>
    <w:rsid w:val="00B00705"/>
    <w:rsid w:val="00B0084C"/>
    <w:rsid w:val="00B00C1D"/>
    <w:rsid w:val="00B010C3"/>
    <w:rsid w:val="00B01B9D"/>
    <w:rsid w:val="00B028FD"/>
    <w:rsid w:val="00B054EC"/>
    <w:rsid w:val="00B054F5"/>
    <w:rsid w:val="00B06C5D"/>
    <w:rsid w:val="00B06D50"/>
    <w:rsid w:val="00B078FA"/>
    <w:rsid w:val="00B107F8"/>
    <w:rsid w:val="00B10B73"/>
    <w:rsid w:val="00B11404"/>
    <w:rsid w:val="00B11F6D"/>
    <w:rsid w:val="00B13C4E"/>
    <w:rsid w:val="00B13EF3"/>
    <w:rsid w:val="00B15AE8"/>
    <w:rsid w:val="00B15B01"/>
    <w:rsid w:val="00B164B4"/>
    <w:rsid w:val="00B16C88"/>
    <w:rsid w:val="00B16D5E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3B78"/>
    <w:rsid w:val="00B253A7"/>
    <w:rsid w:val="00B2798C"/>
    <w:rsid w:val="00B307A7"/>
    <w:rsid w:val="00B30B30"/>
    <w:rsid w:val="00B312B6"/>
    <w:rsid w:val="00B33F9B"/>
    <w:rsid w:val="00B347EA"/>
    <w:rsid w:val="00B352FB"/>
    <w:rsid w:val="00B3538D"/>
    <w:rsid w:val="00B358E1"/>
    <w:rsid w:val="00B35AE9"/>
    <w:rsid w:val="00B35CEA"/>
    <w:rsid w:val="00B35DEC"/>
    <w:rsid w:val="00B3631F"/>
    <w:rsid w:val="00B363CE"/>
    <w:rsid w:val="00B367CC"/>
    <w:rsid w:val="00B36D9E"/>
    <w:rsid w:val="00B36DFD"/>
    <w:rsid w:val="00B373CD"/>
    <w:rsid w:val="00B374A4"/>
    <w:rsid w:val="00B37B69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5045B"/>
    <w:rsid w:val="00B50FBC"/>
    <w:rsid w:val="00B528CB"/>
    <w:rsid w:val="00B52A48"/>
    <w:rsid w:val="00B53CA4"/>
    <w:rsid w:val="00B5499C"/>
    <w:rsid w:val="00B54D3E"/>
    <w:rsid w:val="00B5550C"/>
    <w:rsid w:val="00B556FD"/>
    <w:rsid w:val="00B56513"/>
    <w:rsid w:val="00B56CE4"/>
    <w:rsid w:val="00B57B72"/>
    <w:rsid w:val="00B60B14"/>
    <w:rsid w:val="00B612C4"/>
    <w:rsid w:val="00B61432"/>
    <w:rsid w:val="00B61A11"/>
    <w:rsid w:val="00B61D32"/>
    <w:rsid w:val="00B61EB5"/>
    <w:rsid w:val="00B6209C"/>
    <w:rsid w:val="00B621A7"/>
    <w:rsid w:val="00B6246E"/>
    <w:rsid w:val="00B62472"/>
    <w:rsid w:val="00B6287F"/>
    <w:rsid w:val="00B62975"/>
    <w:rsid w:val="00B6382A"/>
    <w:rsid w:val="00B63E1B"/>
    <w:rsid w:val="00B63FA3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D42"/>
    <w:rsid w:val="00B7272B"/>
    <w:rsid w:val="00B72C88"/>
    <w:rsid w:val="00B738AE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F30"/>
    <w:rsid w:val="00B837E7"/>
    <w:rsid w:val="00B83FFD"/>
    <w:rsid w:val="00B85CA2"/>
    <w:rsid w:val="00B865BE"/>
    <w:rsid w:val="00B8738E"/>
    <w:rsid w:val="00B87478"/>
    <w:rsid w:val="00B874AE"/>
    <w:rsid w:val="00B87B94"/>
    <w:rsid w:val="00B90904"/>
    <w:rsid w:val="00B913D5"/>
    <w:rsid w:val="00B93089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DC5"/>
    <w:rsid w:val="00BA4482"/>
    <w:rsid w:val="00BA521F"/>
    <w:rsid w:val="00BA6370"/>
    <w:rsid w:val="00BA6DAF"/>
    <w:rsid w:val="00BA77D9"/>
    <w:rsid w:val="00BB0008"/>
    <w:rsid w:val="00BB15C5"/>
    <w:rsid w:val="00BB32E3"/>
    <w:rsid w:val="00BB3753"/>
    <w:rsid w:val="00BB3B89"/>
    <w:rsid w:val="00BB40D0"/>
    <w:rsid w:val="00BB488A"/>
    <w:rsid w:val="00BB5532"/>
    <w:rsid w:val="00BB56BB"/>
    <w:rsid w:val="00BB7C45"/>
    <w:rsid w:val="00BC20F2"/>
    <w:rsid w:val="00BC287F"/>
    <w:rsid w:val="00BC2980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7A42"/>
    <w:rsid w:val="00BC7C9C"/>
    <w:rsid w:val="00BD0A77"/>
    <w:rsid w:val="00BD0DEE"/>
    <w:rsid w:val="00BD140B"/>
    <w:rsid w:val="00BD20F7"/>
    <w:rsid w:val="00BD21DB"/>
    <w:rsid w:val="00BD3F17"/>
    <w:rsid w:val="00BD44C3"/>
    <w:rsid w:val="00BD514B"/>
    <w:rsid w:val="00BD568A"/>
    <w:rsid w:val="00BD58C5"/>
    <w:rsid w:val="00BE0244"/>
    <w:rsid w:val="00BE07C6"/>
    <w:rsid w:val="00BE0BF2"/>
    <w:rsid w:val="00BE0ED1"/>
    <w:rsid w:val="00BE23A2"/>
    <w:rsid w:val="00BE23B1"/>
    <w:rsid w:val="00BE2515"/>
    <w:rsid w:val="00BE25D9"/>
    <w:rsid w:val="00BE370C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EBE"/>
    <w:rsid w:val="00BF5FAD"/>
    <w:rsid w:val="00BF609F"/>
    <w:rsid w:val="00BF6451"/>
    <w:rsid w:val="00BF7148"/>
    <w:rsid w:val="00BF7312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C1D"/>
    <w:rsid w:val="00C07089"/>
    <w:rsid w:val="00C07C74"/>
    <w:rsid w:val="00C1000E"/>
    <w:rsid w:val="00C110C2"/>
    <w:rsid w:val="00C11E7D"/>
    <w:rsid w:val="00C1268E"/>
    <w:rsid w:val="00C13361"/>
    <w:rsid w:val="00C13B2C"/>
    <w:rsid w:val="00C13F97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9C7"/>
    <w:rsid w:val="00C17AC2"/>
    <w:rsid w:val="00C21305"/>
    <w:rsid w:val="00C224FB"/>
    <w:rsid w:val="00C22D60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D1A"/>
    <w:rsid w:val="00C30E41"/>
    <w:rsid w:val="00C339B8"/>
    <w:rsid w:val="00C33EFB"/>
    <w:rsid w:val="00C343B4"/>
    <w:rsid w:val="00C34499"/>
    <w:rsid w:val="00C34DD8"/>
    <w:rsid w:val="00C3638D"/>
    <w:rsid w:val="00C36F6C"/>
    <w:rsid w:val="00C371AF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71B"/>
    <w:rsid w:val="00C43ECE"/>
    <w:rsid w:val="00C44000"/>
    <w:rsid w:val="00C44125"/>
    <w:rsid w:val="00C442B3"/>
    <w:rsid w:val="00C44CE2"/>
    <w:rsid w:val="00C457D8"/>
    <w:rsid w:val="00C45F16"/>
    <w:rsid w:val="00C45F23"/>
    <w:rsid w:val="00C4651A"/>
    <w:rsid w:val="00C471FC"/>
    <w:rsid w:val="00C47476"/>
    <w:rsid w:val="00C47519"/>
    <w:rsid w:val="00C47887"/>
    <w:rsid w:val="00C47F56"/>
    <w:rsid w:val="00C50304"/>
    <w:rsid w:val="00C509B9"/>
    <w:rsid w:val="00C50CC9"/>
    <w:rsid w:val="00C50F9D"/>
    <w:rsid w:val="00C5103C"/>
    <w:rsid w:val="00C51CA2"/>
    <w:rsid w:val="00C51E51"/>
    <w:rsid w:val="00C5360E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5CD"/>
    <w:rsid w:val="00C57B25"/>
    <w:rsid w:val="00C60AF5"/>
    <w:rsid w:val="00C60EAC"/>
    <w:rsid w:val="00C60F83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7031F"/>
    <w:rsid w:val="00C7068E"/>
    <w:rsid w:val="00C708BE"/>
    <w:rsid w:val="00C70965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2F6"/>
    <w:rsid w:val="00C82330"/>
    <w:rsid w:val="00C8267A"/>
    <w:rsid w:val="00C827F7"/>
    <w:rsid w:val="00C82B75"/>
    <w:rsid w:val="00C8406E"/>
    <w:rsid w:val="00C84D1B"/>
    <w:rsid w:val="00C854B7"/>
    <w:rsid w:val="00C85E38"/>
    <w:rsid w:val="00C865D4"/>
    <w:rsid w:val="00C8687B"/>
    <w:rsid w:val="00C87370"/>
    <w:rsid w:val="00C904F7"/>
    <w:rsid w:val="00C91DEB"/>
    <w:rsid w:val="00C927C3"/>
    <w:rsid w:val="00C92DFD"/>
    <w:rsid w:val="00C93204"/>
    <w:rsid w:val="00C935C2"/>
    <w:rsid w:val="00C93E83"/>
    <w:rsid w:val="00C93F76"/>
    <w:rsid w:val="00C94C4E"/>
    <w:rsid w:val="00C953B0"/>
    <w:rsid w:val="00C96FD2"/>
    <w:rsid w:val="00C974A3"/>
    <w:rsid w:val="00CA033C"/>
    <w:rsid w:val="00CA08D8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5FAA"/>
    <w:rsid w:val="00CA6758"/>
    <w:rsid w:val="00CA69D1"/>
    <w:rsid w:val="00CA6BE8"/>
    <w:rsid w:val="00CA7D4C"/>
    <w:rsid w:val="00CB10FB"/>
    <w:rsid w:val="00CB18F1"/>
    <w:rsid w:val="00CB1F44"/>
    <w:rsid w:val="00CB2709"/>
    <w:rsid w:val="00CB3210"/>
    <w:rsid w:val="00CB4330"/>
    <w:rsid w:val="00CB52DC"/>
    <w:rsid w:val="00CB5413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FA0"/>
    <w:rsid w:val="00CC702C"/>
    <w:rsid w:val="00CC79CC"/>
    <w:rsid w:val="00CD011C"/>
    <w:rsid w:val="00CD0401"/>
    <w:rsid w:val="00CD090E"/>
    <w:rsid w:val="00CD1237"/>
    <w:rsid w:val="00CD2AD8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3670"/>
    <w:rsid w:val="00CE3C42"/>
    <w:rsid w:val="00CE3DE3"/>
    <w:rsid w:val="00CE456B"/>
    <w:rsid w:val="00CE4BB4"/>
    <w:rsid w:val="00CE4D8D"/>
    <w:rsid w:val="00CE504C"/>
    <w:rsid w:val="00CE66E3"/>
    <w:rsid w:val="00CE7D9F"/>
    <w:rsid w:val="00CE7FA2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45B"/>
    <w:rsid w:val="00CF63D9"/>
    <w:rsid w:val="00CF6C70"/>
    <w:rsid w:val="00CF758F"/>
    <w:rsid w:val="00D00389"/>
    <w:rsid w:val="00D00E3D"/>
    <w:rsid w:val="00D01114"/>
    <w:rsid w:val="00D012A0"/>
    <w:rsid w:val="00D01DEC"/>
    <w:rsid w:val="00D02F47"/>
    <w:rsid w:val="00D030FB"/>
    <w:rsid w:val="00D03682"/>
    <w:rsid w:val="00D0493E"/>
    <w:rsid w:val="00D05267"/>
    <w:rsid w:val="00D060FD"/>
    <w:rsid w:val="00D06CEA"/>
    <w:rsid w:val="00D07EF1"/>
    <w:rsid w:val="00D07FBD"/>
    <w:rsid w:val="00D106C3"/>
    <w:rsid w:val="00D10D96"/>
    <w:rsid w:val="00D117F9"/>
    <w:rsid w:val="00D1207B"/>
    <w:rsid w:val="00D12DDD"/>
    <w:rsid w:val="00D13143"/>
    <w:rsid w:val="00D13146"/>
    <w:rsid w:val="00D14ED9"/>
    <w:rsid w:val="00D15202"/>
    <w:rsid w:val="00D1676F"/>
    <w:rsid w:val="00D1745F"/>
    <w:rsid w:val="00D17E38"/>
    <w:rsid w:val="00D20A01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D2D"/>
    <w:rsid w:val="00D30951"/>
    <w:rsid w:val="00D309B0"/>
    <w:rsid w:val="00D317A1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502C"/>
    <w:rsid w:val="00D450DF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32B9"/>
    <w:rsid w:val="00D53B67"/>
    <w:rsid w:val="00D5486F"/>
    <w:rsid w:val="00D55302"/>
    <w:rsid w:val="00D55914"/>
    <w:rsid w:val="00D55FDD"/>
    <w:rsid w:val="00D57A3F"/>
    <w:rsid w:val="00D6074B"/>
    <w:rsid w:val="00D615EA"/>
    <w:rsid w:val="00D63BB7"/>
    <w:rsid w:val="00D64428"/>
    <w:rsid w:val="00D64EDE"/>
    <w:rsid w:val="00D65258"/>
    <w:rsid w:val="00D6586D"/>
    <w:rsid w:val="00D65F3F"/>
    <w:rsid w:val="00D66D00"/>
    <w:rsid w:val="00D7004C"/>
    <w:rsid w:val="00D70392"/>
    <w:rsid w:val="00D707DD"/>
    <w:rsid w:val="00D70A11"/>
    <w:rsid w:val="00D70F1E"/>
    <w:rsid w:val="00D70F51"/>
    <w:rsid w:val="00D712D2"/>
    <w:rsid w:val="00D71441"/>
    <w:rsid w:val="00D72771"/>
    <w:rsid w:val="00D7352C"/>
    <w:rsid w:val="00D739FE"/>
    <w:rsid w:val="00D74F97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2FFE"/>
    <w:rsid w:val="00D83417"/>
    <w:rsid w:val="00D836DF"/>
    <w:rsid w:val="00D83F11"/>
    <w:rsid w:val="00D845D8"/>
    <w:rsid w:val="00D84836"/>
    <w:rsid w:val="00D849BE"/>
    <w:rsid w:val="00D874EA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7D3"/>
    <w:rsid w:val="00DA1DD8"/>
    <w:rsid w:val="00DA30D8"/>
    <w:rsid w:val="00DA3455"/>
    <w:rsid w:val="00DA35FA"/>
    <w:rsid w:val="00DA3E01"/>
    <w:rsid w:val="00DA4472"/>
    <w:rsid w:val="00DA53BB"/>
    <w:rsid w:val="00DA5CC2"/>
    <w:rsid w:val="00DA621B"/>
    <w:rsid w:val="00DA744C"/>
    <w:rsid w:val="00DA7835"/>
    <w:rsid w:val="00DA787A"/>
    <w:rsid w:val="00DB0F42"/>
    <w:rsid w:val="00DB13C6"/>
    <w:rsid w:val="00DB1CA6"/>
    <w:rsid w:val="00DB32A6"/>
    <w:rsid w:val="00DB42B1"/>
    <w:rsid w:val="00DB4DF9"/>
    <w:rsid w:val="00DB5B70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70"/>
    <w:rsid w:val="00DC337B"/>
    <w:rsid w:val="00DC35C2"/>
    <w:rsid w:val="00DC3EF8"/>
    <w:rsid w:val="00DC4F0F"/>
    <w:rsid w:val="00DC5839"/>
    <w:rsid w:val="00DC67E3"/>
    <w:rsid w:val="00DC694D"/>
    <w:rsid w:val="00DC70F3"/>
    <w:rsid w:val="00DC7BCA"/>
    <w:rsid w:val="00DD1271"/>
    <w:rsid w:val="00DD166B"/>
    <w:rsid w:val="00DD1E9D"/>
    <w:rsid w:val="00DD2F63"/>
    <w:rsid w:val="00DD3287"/>
    <w:rsid w:val="00DD381C"/>
    <w:rsid w:val="00DD49BE"/>
    <w:rsid w:val="00DD52CE"/>
    <w:rsid w:val="00DD56E7"/>
    <w:rsid w:val="00DD5EE8"/>
    <w:rsid w:val="00DD6505"/>
    <w:rsid w:val="00DD6F53"/>
    <w:rsid w:val="00DD6FBC"/>
    <w:rsid w:val="00DD77AD"/>
    <w:rsid w:val="00DE0446"/>
    <w:rsid w:val="00DE1A57"/>
    <w:rsid w:val="00DE2EA3"/>
    <w:rsid w:val="00DE3BA7"/>
    <w:rsid w:val="00DE416B"/>
    <w:rsid w:val="00DE4688"/>
    <w:rsid w:val="00DE47E2"/>
    <w:rsid w:val="00DE4880"/>
    <w:rsid w:val="00DE5267"/>
    <w:rsid w:val="00DE58B3"/>
    <w:rsid w:val="00DE6521"/>
    <w:rsid w:val="00DE68F1"/>
    <w:rsid w:val="00DE73A5"/>
    <w:rsid w:val="00DE7A35"/>
    <w:rsid w:val="00DF0594"/>
    <w:rsid w:val="00DF0610"/>
    <w:rsid w:val="00DF0C00"/>
    <w:rsid w:val="00DF0F04"/>
    <w:rsid w:val="00DF15D5"/>
    <w:rsid w:val="00DF18A4"/>
    <w:rsid w:val="00DF1E62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760F"/>
    <w:rsid w:val="00DF7A38"/>
    <w:rsid w:val="00DF7A7E"/>
    <w:rsid w:val="00DF7AB1"/>
    <w:rsid w:val="00E00D04"/>
    <w:rsid w:val="00E01257"/>
    <w:rsid w:val="00E021F8"/>
    <w:rsid w:val="00E02487"/>
    <w:rsid w:val="00E02B2D"/>
    <w:rsid w:val="00E02C54"/>
    <w:rsid w:val="00E034DB"/>
    <w:rsid w:val="00E03A11"/>
    <w:rsid w:val="00E03B3A"/>
    <w:rsid w:val="00E03E4B"/>
    <w:rsid w:val="00E06825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94A"/>
    <w:rsid w:val="00E22703"/>
    <w:rsid w:val="00E22DF1"/>
    <w:rsid w:val="00E230E6"/>
    <w:rsid w:val="00E235A8"/>
    <w:rsid w:val="00E237B5"/>
    <w:rsid w:val="00E245EE"/>
    <w:rsid w:val="00E250E4"/>
    <w:rsid w:val="00E2523D"/>
    <w:rsid w:val="00E27849"/>
    <w:rsid w:val="00E27FFA"/>
    <w:rsid w:val="00E30042"/>
    <w:rsid w:val="00E31015"/>
    <w:rsid w:val="00E3125A"/>
    <w:rsid w:val="00E3238B"/>
    <w:rsid w:val="00E33761"/>
    <w:rsid w:val="00E33B29"/>
    <w:rsid w:val="00E34155"/>
    <w:rsid w:val="00E34850"/>
    <w:rsid w:val="00E352E8"/>
    <w:rsid w:val="00E35C11"/>
    <w:rsid w:val="00E3674C"/>
    <w:rsid w:val="00E37F64"/>
    <w:rsid w:val="00E40D6B"/>
    <w:rsid w:val="00E41A93"/>
    <w:rsid w:val="00E4229F"/>
    <w:rsid w:val="00E42B42"/>
    <w:rsid w:val="00E43231"/>
    <w:rsid w:val="00E459A2"/>
    <w:rsid w:val="00E467DC"/>
    <w:rsid w:val="00E4693D"/>
    <w:rsid w:val="00E4727C"/>
    <w:rsid w:val="00E47C1E"/>
    <w:rsid w:val="00E507DD"/>
    <w:rsid w:val="00E50E47"/>
    <w:rsid w:val="00E50F68"/>
    <w:rsid w:val="00E5289E"/>
    <w:rsid w:val="00E53A53"/>
    <w:rsid w:val="00E53CE7"/>
    <w:rsid w:val="00E5469A"/>
    <w:rsid w:val="00E54A94"/>
    <w:rsid w:val="00E54C47"/>
    <w:rsid w:val="00E5593C"/>
    <w:rsid w:val="00E562A9"/>
    <w:rsid w:val="00E5675A"/>
    <w:rsid w:val="00E57EC9"/>
    <w:rsid w:val="00E602F2"/>
    <w:rsid w:val="00E61659"/>
    <w:rsid w:val="00E6174B"/>
    <w:rsid w:val="00E6190F"/>
    <w:rsid w:val="00E61D39"/>
    <w:rsid w:val="00E625E9"/>
    <w:rsid w:val="00E6284C"/>
    <w:rsid w:val="00E62E9B"/>
    <w:rsid w:val="00E63052"/>
    <w:rsid w:val="00E6372F"/>
    <w:rsid w:val="00E64E15"/>
    <w:rsid w:val="00E65EBB"/>
    <w:rsid w:val="00E65FC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B1"/>
    <w:rsid w:val="00E734F3"/>
    <w:rsid w:val="00E73662"/>
    <w:rsid w:val="00E74575"/>
    <w:rsid w:val="00E74C9E"/>
    <w:rsid w:val="00E74ED8"/>
    <w:rsid w:val="00E758D8"/>
    <w:rsid w:val="00E75A71"/>
    <w:rsid w:val="00E76E25"/>
    <w:rsid w:val="00E771BF"/>
    <w:rsid w:val="00E815D5"/>
    <w:rsid w:val="00E818D3"/>
    <w:rsid w:val="00E8205D"/>
    <w:rsid w:val="00E8235A"/>
    <w:rsid w:val="00E83812"/>
    <w:rsid w:val="00E84198"/>
    <w:rsid w:val="00E84791"/>
    <w:rsid w:val="00E85BC6"/>
    <w:rsid w:val="00E861F0"/>
    <w:rsid w:val="00E86212"/>
    <w:rsid w:val="00E8646C"/>
    <w:rsid w:val="00E86ED3"/>
    <w:rsid w:val="00E872DA"/>
    <w:rsid w:val="00E87BC4"/>
    <w:rsid w:val="00E87EB6"/>
    <w:rsid w:val="00E901E0"/>
    <w:rsid w:val="00E91119"/>
    <w:rsid w:val="00E9128C"/>
    <w:rsid w:val="00E91B16"/>
    <w:rsid w:val="00E91C20"/>
    <w:rsid w:val="00E93105"/>
    <w:rsid w:val="00E935EF"/>
    <w:rsid w:val="00E9476B"/>
    <w:rsid w:val="00E95021"/>
    <w:rsid w:val="00E950C4"/>
    <w:rsid w:val="00E9543D"/>
    <w:rsid w:val="00E955E8"/>
    <w:rsid w:val="00E9672C"/>
    <w:rsid w:val="00E96ABD"/>
    <w:rsid w:val="00EA0042"/>
    <w:rsid w:val="00EA039E"/>
    <w:rsid w:val="00EA189D"/>
    <w:rsid w:val="00EA19CF"/>
    <w:rsid w:val="00EA2875"/>
    <w:rsid w:val="00EA2A49"/>
    <w:rsid w:val="00EA33CD"/>
    <w:rsid w:val="00EA3E14"/>
    <w:rsid w:val="00EA47D0"/>
    <w:rsid w:val="00EA5E7F"/>
    <w:rsid w:val="00EA6369"/>
    <w:rsid w:val="00EA6445"/>
    <w:rsid w:val="00EA6A04"/>
    <w:rsid w:val="00EA7444"/>
    <w:rsid w:val="00EB0A19"/>
    <w:rsid w:val="00EB0B61"/>
    <w:rsid w:val="00EB0EC0"/>
    <w:rsid w:val="00EB0F27"/>
    <w:rsid w:val="00EB0FE4"/>
    <w:rsid w:val="00EB14E8"/>
    <w:rsid w:val="00EB2975"/>
    <w:rsid w:val="00EB2B18"/>
    <w:rsid w:val="00EB2BF1"/>
    <w:rsid w:val="00EB2C84"/>
    <w:rsid w:val="00EB2D63"/>
    <w:rsid w:val="00EB32BE"/>
    <w:rsid w:val="00EB4BBF"/>
    <w:rsid w:val="00EB4E51"/>
    <w:rsid w:val="00EB5342"/>
    <w:rsid w:val="00EB5951"/>
    <w:rsid w:val="00EB5AB4"/>
    <w:rsid w:val="00EB5D9A"/>
    <w:rsid w:val="00EB64C9"/>
    <w:rsid w:val="00EB6778"/>
    <w:rsid w:val="00EB68D3"/>
    <w:rsid w:val="00EB6F20"/>
    <w:rsid w:val="00EC0268"/>
    <w:rsid w:val="00EC0697"/>
    <w:rsid w:val="00EC1AEA"/>
    <w:rsid w:val="00EC1C88"/>
    <w:rsid w:val="00EC282D"/>
    <w:rsid w:val="00EC2839"/>
    <w:rsid w:val="00EC2A5A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F08"/>
    <w:rsid w:val="00ED1E66"/>
    <w:rsid w:val="00ED25CF"/>
    <w:rsid w:val="00ED2C9B"/>
    <w:rsid w:val="00ED3E67"/>
    <w:rsid w:val="00ED4277"/>
    <w:rsid w:val="00ED54C4"/>
    <w:rsid w:val="00ED588D"/>
    <w:rsid w:val="00ED594F"/>
    <w:rsid w:val="00ED6296"/>
    <w:rsid w:val="00ED6388"/>
    <w:rsid w:val="00ED63DB"/>
    <w:rsid w:val="00ED69F6"/>
    <w:rsid w:val="00ED6FA4"/>
    <w:rsid w:val="00ED7AC7"/>
    <w:rsid w:val="00EE006D"/>
    <w:rsid w:val="00EE0195"/>
    <w:rsid w:val="00EE0EC5"/>
    <w:rsid w:val="00EE1662"/>
    <w:rsid w:val="00EE27AD"/>
    <w:rsid w:val="00EE28C0"/>
    <w:rsid w:val="00EE4D85"/>
    <w:rsid w:val="00EE5190"/>
    <w:rsid w:val="00EE6291"/>
    <w:rsid w:val="00EF0095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6AC"/>
    <w:rsid w:val="00EF5FC0"/>
    <w:rsid w:val="00EF62CF"/>
    <w:rsid w:val="00EF6381"/>
    <w:rsid w:val="00EF69D2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57D5"/>
    <w:rsid w:val="00F05CDD"/>
    <w:rsid w:val="00F066D8"/>
    <w:rsid w:val="00F06872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16A2"/>
    <w:rsid w:val="00F11B4D"/>
    <w:rsid w:val="00F1207F"/>
    <w:rsid w:val="00F128CF"/>
    <w:rsid w:val="00F129B3"/>
    <w:rsid w:val="00F12F54"/>
    <w:rsid w:val="00F13016"/>
    <w:rsid w:val="00F137B2"/>
    <w:rsid w:val="00F13C83"/>
    <w:rsid w:val="00F13F08"/>
    <w:rsid w:val="00F14ADC"/>
    <w:rsid w:val="00F14B6E"/>
    <w:rsid w:val="00F152B7"/>
    <w:rsid w:val="00F159FA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B8F"/>
    <w:rsid w:val="00F22C98"/>
    <w:rsid w:val="00F24576"/>
    <w:rsid w:val="00F24910"/>
    <w:rsid w:val="00F2515A"/>
    <w:rsid w:val="00F25648"/>
    <w:rsid w:val="00F25673"/>
    <w:rsid w:val="00F25D86"/>
    <w:rsid w:val="00F2621A"/>
    <w:rsid w:val="00F26916"/>
    <w:rsid w:val="00F26A4C"/>
    <w:rsid w:val="00F275F1"/>
    <w:rsid w:val="00F27A2D"/>
    <w:rsid w:val="00F27E81"/>
    <w:rsid w:val="00F31248"/>
    <w:rsid w:val="00F31690"/>
    <w:rsid w:val="00F32240"/>
    <w:rsid w:val="00F32752"/>
    <w:rsid w:val="00F32776"/>
    <w:rsid w:val="00F32FED"/>
    <w:rsid w:val="00F33592"/>
    <w:rsid w:val="00F33FFB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744A"/>
    <w:rsid w:val="00F47D28"/>
    <w:rsid w:val="00F50025"/>
    <w:rsid w:val="00F50338"/>
    <w:rsid w:val="00F51377"/>
    <w:rsid w:val="00F51BCF"/>
    <w:rsid w:val="00F5203B"/>
    <w:rsid w:val="00F53025"/>
    <w:rsid w:val="00F53417"/>
    <w:rsid w:val="00F53E5C"/>
    <w:rsid w:val="00F540D7"/>
    <w:rsid w:val="00F5521D"/>
    <w:rsid w:val="00F552DC"/>
    <w:rsid w:val="00F559FB"/>
    <w:rsid w:val="00F56333"/>
    <w:rsid w:val="00F57A3D"/>
    <w:rsid w:val="00F60414"/>
    <w:rsid w:val="00F608D0"/>
    <w:rsid w:val="00F60D71"/>
    <w:rsid w:val="00F6179E"/>
    <w:rsid w:val="00F61C89"/>
    <w:rsid w:val="00F62E93"/>
    <w:rsid w:val="00F643C9"/>
    <w:rsid w:val="00F64C24"/>
    <w:rsid w:val="00F656DE"/>
    <w:rsid w:val="00F67300"/>
    <w:rsid w:val="00F67542"/>
    <w:rsid w:val="00F67A92"/>
    <w:rsid w:val="00F70989"/>
    <w:rsid w:val="00F70FBB"/>
    <w:rsid w:val="00F7100E"/>
    <w:rsid w:val="00F7205F"/>
    <w:rsid w:val="00F722C2"/>
    <w:rsid w:val="00F7274C"/>
    <w:rsid w:val="00F72778"/>
    <w:rsid w:val="00F72F5B"/>
    <w:rsid w:val="00F73C0B"/>
    <w:rsid w:val="00F746C6"/>
    <w:rsid w:val="00F74E1E"/>
    <w:rsid w:val="00F75E35"/>
    <w:rsid w:val="00F764F1"/>
    <w:rsid w:val="00F76579"/>
    <w:rsid w:val="00F76C0C"/>
    <w:rsid w:val="00F76CF8"/>
    <w:rsid w:val="00F7702E"/>
    <w:rsid w:val="00F77BE1"/>
    <w:rsid w:val="00F80359"/>
    <w:rsid w:val="00F80909"/>
    <w:rsid w:val="00F80924"/>
    <w:rsid w:val="00F80E9A"/>
    <w:rsid w:val="00F8153C"/>
    <w:rsid w:val="00F81760"/>
    <w:rsid w:val="00F82221"/>
    <w:rsid w:val="00F82508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33E"/>
    <w:rsid w:val="00F8783F"/>
    <w:rsid w:val="00F90D3C"/>
    <w:rsid w:val="00F90FA4"/>
    <w:rsid w:val="00F91A62"/>
    <w:rsid w:val="00F924E5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473A"/>
    <w:rsid w:val="00FA4C30"/>
    <w:rsid w:val="00FA504D"/>
    <w:rsid w:val="00FA5E5F"/>
    <w:rsid w:val="00FA61DC"/>
    <w:rsid w:val="00FA64F8"/>
    <w:rsid w:val="00FA665C"/>
    <w:rsid w:val="00FA6921"/>
    <w:rsid w:val="00FA7210"/>
    <w:rsid w:val="00FA7EDC"/>
    <w:rsid w:val="00FB00EA"/>
    <w:rsid w:val="00FB0660"/>
    <w:rsid w:val="00FB06A6"/>
    <w:rsid w:val="00FB0ADC"/>
    <w:rsid w:val="00FB1D28"/>
    <w:rsid w:val="00FB2362"/>
    <w:rsid w:val="00FB2BD0"/>
    <w:rsid w:val="00FB2D0A"/>
    <w:rsid w:val="00FB367C"/>
    <w:rsid w:val="00FB3AA4"/>
    <w:rsid w:val="00FB3F44"/>
    <w:rsid w:val="00FB4397"/>
    <w:rsid w:val="00FB4541"/>
    <w:rsid w:val="00FB5660"/>
    <w:rsid w:val="00FB687C"/>
    <w:rsid w:val="00FB69EF"/>
    <w:rsid w:val="00FC06D6"/>
    <w:rsid w:val="00FC0AEF"/>
    <w:rsid w:val="00FC11B8"/>
    <w:rsid w:val="00FC1447"/>
    <w:rsid w:val="00FC1C8B"/>
    <w:rsid w:val="00FC1E39"/>
    <w:rsid w:val="00FC1EFF"/>
    <w:rsid w:val="00FC1F11"/>
    <w:rsid w:val="00FC2727"/>
    <w:rsid w:val="00FC3175"/>
    <w:rsid w:val="00FC320E"/>
    <w:rsid w:val="00FC430E"/>
    <w:rsid w:val="00FC45A6"/>
    <w:rsid w:val="00FC5B32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A6E"/>
    <w:rsid w:val="00FD1137"/>
    <w:rsid w:val="00FD16F2"/>
    <w:rsid w:val="00FD192F"/>
    <w:rsid w:val="00FD2427"/>
    <w:rsid w:val="00FD299E"/>
    <w:rsid w:val="00FD30A2"/>
    <w:rsid w:val="00FD4087"/>
    <w:rsid w:val="00FD42FE"/>
    <w:rsid w:val="00FD4B81"/>
    <w:rsid w:val="00FD4FD1"/>
    <w:rsid w:val="00FD5209"/>
    <w:rsid w:val="00FD53C2"/>
    <w:rsid w:val="00FD551F"/>
    <w:rsid w:val="00FD577B"/>
    <w:rsid w:val="00FD5A66"/>
    <w:rsid w:val="00FD6DB9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402F"/>
    <w:rsid w:val="00FE46C7"/>
    <w:rsid w:val="00FE4C83"/>
    <w:rsid w:val="00FE4F92"/>
    <w:rsid w:val="00FE55BA"/>
    <w:rsid w:val="00FE6A7A"/>
    <w:rsid w:val="00FE6BF3"/>
    <w:rsid w:val="00FE6E7A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5F11"/>
    <w:rsid w:val="00FF6886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cri/ctvrtletni-analyza-vsps-na-aktualni-tema-4-ctvrtleti-20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B540-5CF8-469C-8C61-0364A045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</Template>
  <TotalTime>102</TotalTime>
  <Pages>8</Pages>
  <Words>2568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17687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13</cp:revision>
  <cp:lastPrinted>2016-05-04T13:43:00Z</cp:lastPrinted>
  <dcterms:created xsi:type="dcterms:W3CDTF">2016-05-04T12:03:00Z</dcterms:created>
  <dcterms:modified xsi:type="dcterms:W3CDTF">2016-05-05T07:25:00Z</dcterms:modified>
</cp:coreProperties>
</file>