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A00" w:rsidRPr="000D55FC" w:rsidRDefault="002E6A00">
      <w:pPr>
        <w:jc w:val="center"/>
        <w:rPr>
          <w:rFonts w:ascii="Arial" w:hAnsi="Arial" w:cs="Arial"/>
          <w:bCs/>
          <w:i/>
          <w:iCs/>
        </w:rPr>
      </w:pPr>
      <w:r w:rsidRPr="000D55FC">
        <w:rPr>
          <w:rFonts w:ascii="Arial" w:hAnsi="Arial" w:cs="Arial"/>
          <w:b/>
          <w:bCs/>
          <w:i/>
          <w:iCs/>
          <w:szCs w:val="17"/>
        </w:rPr>
        <w:t>27. JUSTICE, CRIME, ACCIDENTS</w:t>
      </w:r>
    </w:p>
    <w:p w:rsidR="002E6A00" w:rsidRPr="000D55FC" w:rsidRDefault="002E6A00">
      <w:pPr>
        <w:jc w:val="both"/>
        <w:rPr>
          <w:rFonts w:ascii="Arial" w:hAnsi="Arial" w:cs="Arial"/>
          <w:i/>
          <w:iCs/>
          <w:sz w:val="20"/>
          <w:szCs w:val="17"/>
        </w:rPr>
      </w:pPr>
    </w:p>
    <w:p w:rsidR="002E6A00" w:rsidRPr="000D55FC" w:rsidRDefault="002E6A00">
      <w:pPr>
        <w:pStyle w:val="Normlnweb"/>
        <w:spacing w:before="0" w:beforeAutospacing="0" w:after="0" w:afterAutospacing="0"/>
        <w:ind w:firstLine="709"/>
        <w:jc w:val="both"/>
        <w:rPr>
          <w:rFonts w:ascii="Arial" w:hAnsi="Arial" w:cs="Arial"/>
          <w:i/>
          <w:iCs/>
          <w:color w:val="auto"/>
          <w:sz w:val="20"/>
          <w:szCs w:val="17"/>
          <w:lang w:val="en-GB"/>
        </w:rPr>
      </w:pPr>
      <w:r w:rsidRPr="000D55FC">
        <w:rPr>
          <w:rFonts w:ascii="Arial" w:hAnsi="Arial" w:cs="Arial"/>
          <w:i/>
          <w:iCs/>
          <w:color w:val="auto"/>
          <w:sz w:val="20"/>
          <w:szCs w:val="17"/>
          <w:lang w:val="en-GB"/>
        </w:rPr>
        <w:t xml:space="preserve">This chapter was prepared using information provided by </w:t>
      </w:r>
      <w:r w:rsidR="001B64B3" w:rsidRPr="000D55FC">
        <w:rPr>
          <w:rFonts w:ascii="Arial" w:hAnsi="Arial" w:cs="Arial"/>
          <w:i/>
          <w:iCs/>
          <w:color w:val="auto"/>
          <w:sz w:val="20"/>
          <w:szCs w:val="17"/>
          <w:lang w:val="en-GB"/>
        </w:rPr>
        <w:t>the </w:t>
      </w:r>
      <w:r w:rsidRPr="000D55FC">
        <w:rPr>
          <w:rFonts w:ascii="Arial" w:hAnsi="Arial" w:cs="Arial"/>
          <w:i/>
          <w:iCs/>
          <w:color w:val="auto"/>
          <w:sz w:val="20"/>
          <w:szCs w:val="17"/>
          <w:lang w:val="en-GB"/>
        </w:rPr>
        <w:t>Ministry of Justice</w:t>
      </w:r>
      <w:r w:rsidR="00D56994">
        <w:rPr>
          <w:rFonts w:ascii="Arial" w:hAnsi="Arial" w:cs="Arial"/>
          <w:i/>
          <w:iCs/>
          <w:color w:val="auto"/>
          <w:sz w:val="20"/>
          <w:szCs w:val="17"/>
          <w:lang w:val="en-GB"/>
        </w:rPr>
        <w:t xml:space="preserve">, the General Directorate of the Prison Service of the CR, the Police Presidium of the CR, the Ministry of Transport, and the Ministry of the Interior – General Directorate of the Fire and Rescue Service of the CR. The change in the territorial administrative structure of the Czech Republic effective as of 1 January 2000 is not reflected in the organisational structure of justice and prison service. </w:t>
      </w:r>
    </w:p>
    <w:p w:rsidR="002E6A00" w:rsidRPr="000D55FC" w:rsidRDefault="002E6A00">
      <w:pPr>
        <w:pStyle w:val="Normlnweb"/>
        <w:spacing w:before="0" w:beforeAutospacing="0" w:after="0" w:afterAutospacing="0"/>
        <w:jc w:val="both"/>
        <w:rPr>
          <w:rFonts w:ascii="Arial" w:hAnsi="Arial" w:cs="Arial"/>
          <w:i/>
          <w:iCs/>
          <w:color w:val="auto"/>
          <w:sz w:val="20"/>
          <w:szCs w:val="17"/>
          <w:lang w:val="en-GB"/>
        </w:rPr>
      </w:pPr>
    </w:p>
    <w:p w:rsidR="002E6A00" w:rsidRPr="000D55FC" w:rsidRDefault="002E6A00">
      <w:pPr>
        <w:pStyle w:val="Normlnweb"/>
        <w:spacing w:before="0" w:beforeAutospacing="0" w:after="0" w:afterAutospacing="0"/>
        <w:jc w:val="both"/>
        <w:rPr>
          <w:rFonts w:ascii="Arial" w:hAnsi="Arial" w:cs="Arial"/>
          <w:i/>
          <w:iCs/>
          <w:color w:val="auto"/>
          <w:sz w:val="20"/>
          <w:szCs w:val="17"/>
          <w:lang w:val="en-GB"/>
        </w:rPr>
      </w:pPr>
    </w:p>
    <w:p w:rsidR="002E6A00" w:rsidRPr="000D55FC" w:rsidRDefault="002E6A00">
      <w:pPr>
        <w:pStyle w:val="Normlnweb"/>
        <w:spacing w:before="0" w:beforeAutospacing="0" w:after="0" w:afterAutospacing="0"/>
        <w:jc w:val="both"/>
        <w:rPr>
          <w:rFonts w:ascii="Arial" w:hAnsi="Arial" w:cs="Arial"/>
          <w:i/>
          <w:iCs/>
          <w:color w:val="auto"/>
          <w:sz w:val="20"/>
          <w:szCs w:val="17"/>
          <w:lang w:val="en-GB"/>
        </w:rPr>
      </w:pPr>
    </w:p>
    <w:p w:rsidR="002E6A00" w:rsidRPr="000D55FC" w:rsidRDefault="00D56994">
      <w:pPr>
        <w:pStyle w:val="Normlnweb"/>
        <w:spacing w:before="0" w:beforeAutospacing="0" w:after="0" w:afterAutospacing="0"/>
        <w:jc w:val="both"/>
        <w:rPr>
          <w:rFonts w:ascii="Arial" w:hAnsi="Arial" w:cs="Arial"/>
          <w:i/>
          <w:iCs/>
          <w:color w:val="auto"/>
          <w:sz w:val="20"/>
          <w:szCs w:val="17"/>
          <w:lang w:val="en-GB"/>
        </w:rPr>
      </w:pPr>
      <w:r>
        <w:rPr>
          <w:rFonts w:ascii="Arial" w:hAnsi="Arial" w:cs="Arial"/>
          <w:b/>
          <w:bCs/>
          <w:i/>
          <w:iCs/>
          <w:color w:val="auto"/>
          <w:sz w:val="20"/>
          <w:szCs w:val="17"/>
          <w:lang w:val="en-GB"/>
        </w:rPr>
        <w:t>Notes on Tables</w:t>
      </w:r>
    </w:p>
    <w:p w:rsidR="002E6A00" w:rsidRPr="000D55FC" w:rsidRDefault="002E6A00">
      <w:pPr>
        <w:pStyle w:val="Normlnweb"/>
        <w:spacing w:before="0" w:beforeAutospacing="0" w:after="0" w:afterAutospacing="0"/>
        <w:jc w:val="both"/>
        <w:rPr>
          <w:rFonts w:ascii="Arial" w:hAnsi="Arial" w:cs="Arial"/>
          <w:i/>
          <w:iCs/>
          <w:color w:val="auto"/>
          <w:sz w:val="20"/>
          <w:szCs w:val="17"/>
          <w:lang w:val="en-GB"/>
        </w:rPr>
      </w:pPr>
    </w:p>
    <w:p w:rsidR="002E6A00" w:rsidRPr="000D55FC" w:rsidRDefault="002E6A00">
      <w:pPr>
        <w:pStyle w:val="Normlnweb"/>
        <w:spacing w:before="0" w:beforeAutospacing="0" w:after="0" w:afterAutospacing="0"/>
        <w:jc w:val="both"/>
        <w:rPr>
          <w:rFonts w:ascii="Arial" w:hAnsi="Arial" w:cs="Arial"/>
          <w:i/>
          <w:iCs/>
          <w:color w:val="auto"/>
          <w:sz w:val="20"/>
          <w:szCs w:val="17"/>
          <w:lang w:val="en-GB"/>
        </w:rPr>
      </w:pPr>
    </w:p>
    <w:p w:rsidR="002E6A00" w:rsidRPr="000D55FC" w:rsidRDefault="00D56994">
      <w:pPr>
        <w:pStyle w:val="Normlnweb"/>
        <w:spacing w:before="0" w:beforeAutospacing="0" w:after="0" w:afterAutospacing="0"/>
        <w:jc w:val="both"/>
        <w:rPr>
          <w:rFonts w:ascii="Arial" w:hAnsi="Arial" w:cs="Arial"/>
          <w:i/>
          <w:iCs/>
          <w:color w:val="auto"/>
          <w:sz w:val="20"/>
          <w:szCs w:val="17"/>
          <w:lang w:val="en-GB"/>
        </w:rPr>
      </w:pPr>
      <w:r>
        <w:rPr>
          <w:rFonts w:ascii="Arial" w:hAnsi="Arial" w:cs="Arial"/>
          <w:i/>
          <w:iCs/>
          <w:color w:val="auto"/>
          <w:sz w:val="20"/>
          <w:szCs w:val="17"/>
          <w:lang w:val="en-GB"/>
        </w:rPr>
        <w:t xml:space="preserve">Table </w:t>
      </w:r>
      <w:r>
        <w:rPr>
          <w:rFonts w:ascii="Arial" w:hAnsi="Arial" w:cs="Arial"/>
          <w:b/>
          <w:bCs/>
          <w:i/>
          <w:iCs/>
          <w:color w:val="auto"/>
          <w:sz w:val="20"/>
          <w:szCs w:val="17"/>
          <w:lang w:val="en-GB"/>
        </w:rPr>
        <w:t>27</w:t>
      </w:r>
      <w:r>
        <w:rPr>
          <w:rFonts w:ascii="Arial" w:hAnsi="Arial" w:cs="Arial"/>
          <w:i/>
          <w:iCs/>
          <w:color w:val="auto"/>
          <w:sz w:val="20"/>
          <w:szCs w:val="17"/>
          <w:lang w:val="en-GB"/>
        </w:rPr>
        <w:t xml:space="preserve">-1. </w:t>
      </w:r>
      <w:r>
        <w:rPr>
          <w:rFonts w:ascii="Arial" w:hAnsi="Arial" w:cs="Arial"/>
          <w:b/>
          <w:bCs/>
          <w:i/>
          <w:iCs/>
          <w:color w:val="auto"/>
          <w:sz w:val="20"/>
          <w:szCs w:val="17"/>
          <w:lang w:val="en-GB"/>
        </w:rPr>
        <w:t>Cases handled by district and regional courts</w:t>
      </w:r>
    </w:p>
    <w:p w:rsidR="002E6A00" w:rsidRPr="000D55FC" w:rsidRDefault="00D5699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Criminal cases</w:t>
      </w:r>
      <w:r>
        <w:rPr>
          <w:rFonts w:ascii="Arial" w:hAnsi="Arial" w:cs="Arial"/>
          <w:i/>
          <w:iCs/>
          <w:color w:val="auto"/>
          <w:sz w:val="20"/>
          <w:szCs w:val="17"/>
          <w:lang w:val="en-GB"/>
        </w:rPr>
        <w:t xml:space="preserve"> – cases heard by a court, based on accusation or motion for sentence submitted by the public prosecutor in which verdicts are pronounced, sentences are passed, and protective measures and indemnities caused by criminal activities are decided on. </w:t>
      </w:r>
    </w:p>
    <w:p w:rsidR="007514BD" w:rsidRPr="000D55FC" w:rsidRDefault="00D56994" w:rsidP="007514BD">
      <w:pPr>
        <w:spacing w:before="120"/>
        <w:ind w:firstLine="709"/>
        <w:jc w:val="both"/>
        <w:rPr>
          <w:rFonts w:ascii="Arial" w:hAnsi="Arial" w:cs="Arial"/>
          <w:i/>
          <w:sz w:val="20"/>
          <w:szCs w:val="20"/>
        </w:rPr>
      </w:pPr>
      <w:r>
        <w:rPr>
          <w:rFonts w:ascii="Arial" w:hAnsi="Arial" w:cs="Arial"/>
          <w:b/>
          <w:bCs/>
          <w:i/>
          <w:sz w:val="20"/>
          <w:szCs w:val="20"/>
        </w:rPr>
        <w:t>Civil cases</w:t>
      </w:r>
      <w:r>
        <w:rPr>
          <w:rFonts w:ascii="Arial" w:hAnsi="Arial" w:cs="Arial"/>
          <w:i/>
          <w:sz w:val="20"/>
          <w:szCs w:val="20"/>
        </w:rPr>
        <w:t xml:space="preserve"> – mainly cases regulated by the Act No. 40/1964 Sb., the Civil Code, as amended, since 1 January 2014 by the Act No. 89/2012 Sb., the Civil Code (hereinafter the Civil Code); further, by the Act No. 94/1963 Sb., on Family, as amended (hereinafter the Family Act, which was on 1 January 2014 replaced by the Civil Code), the Act No. 262/2006 Sb., the Labour Code, as amended (hereinafter the Labour Code), and the Act No. 513/1991 Sb., the Commercial Code, as amended (hereinafter the Commercial Code). On 1 January 2014, the Commercial Code was replaced by the Act No. 90/2012 Sb., on Commercial Corporations (hereinafter the Act on Commercial Corporations) and by the Civil Code. </w:t>
      </w:r>
    </w:p>
    <w:p w:rsidR="00221035" w:rsidRPr="000D55FC" w:rsidRDefault="00751772">
      <w:pPr>
        <w:spacing w:before="120"/>
        <w:ind w:firstLine="709"/>
        <w:jc w:val="both"/>
        <w:rPr>
          <w:rFonts w:ascii="Arial" w:hAnsi="Arial" w:cs="Arial"/>
          <w:i/>
          <w:sz w:val="20"/>
          <w:szCs w:val="20"/>
        </w:rPr>
      </w:pPr>
      <w:r w:rsidRPr="000D55FC">
        <w:rPr>
          <w:rFonts w:ascii="Arial" w:hAnsi="Arial" w:cs="Arial"/>
          <w:b/>
          <w:bCs/>
          <w:i/>
          <w:sz w:val="20"/>
          <w:szCs w:val="20"/>
        </w:rPr>
        <w:t>Commercial cases</w:t>
      </w:r>
      <w:r w:rsidRPr="000D55FC">
        <w:rPr>
          <w:rFonts w:ascii="Arial" w:hAnsi="Arial" w:cs="Arial"/>
          <w:i/>
          <w:sz w:val="20"/>
          <w:szCs w:val="20"/>
        </w:rPr>
        <w:t xml:space="preserve"> – mainly cases regulated by </w:t>
      </w:r>
      <w:r w:rsidR="0092582F" w:rsidRPr="000D55FC">
        <w:rPr>
          <w:rFonts w:ascii="Arial" w:hAnsi="Arial" w:cs="Arial"/>
          <w:i/>
          <w:sz w:val="20"/>
          <w:szCs w:val="20"/>
        </w:rPr>
        <w:t>the </w:t>
      </w:r>
      <w:r w:rsidRPr="000D55FC">
        <w:rPr>
          <w:rFonts w:ascii="Arial" w:hAnsi="Arial" w:cs="Arial"/>
          <w:i/>
          <w:sz w:val="20"/>
          <w:szCs w:val="20"/>
        </w:rPr>
        <w:t xml:space="preserve">Commercial Code </w:t>
      </w:r>
      <w:r w:rsidR="00D56994">
        <w:rPr>
          <w:rFonts w:ascii="Arial" w:hAnsi="Arial" w:cs="Arial"/>
          <w:i/>
          <w:sz w:val="20"/>
          <w:szCs w:val="20"/>
        </w:rPr>
        <w:t>or the Act on Commercial Corporations and the Act No</w:t>
      </w:r>
      <w:r w:rsidR="00174247">
        <w:rPr>
          <w:rFonts w:ascii="Arial" w:hAnsi="Arial" w:cs="Arial"/>
          <w:i/>
          <w:sz w:val="20"/>
          <w:szCs w:val="20"/>
        </w:rPr>
        <w:t>.</w:t>
      </w:r>
      <w:r w:rsidR="00D56994">
        <w:rPr>
          <w:rFonts w:ascii="Arial" w:hAnsi="Arial" w:cs="Arial"/>
          <w:i/>
          <w:sz w:val="20"/>
          <w:szCs w:val="20"/>
        </w:rPr>
        <w:t> 182/2006 Sb. on Insolvency and Procedures for Handling It (the Insolvency Act), as amended</w:t>
      </w:r>
      <w:r w:rsidR="00BF43F6">
        <w:rPr>
          <w:rFonts w:ascii="Arial" w:hAnsi="Arial" w:cs="Arial"/>
          <w:i/>
          <w:sz w:val="20"/>
          <w:szCs w:val="20"/>
        </w:rPr>
        <w:t xml:space="preserve"> (hereinafter the</w:t>
      </w:r>
      <w:r w:rsidR="007C142C">
        <w:rPr>
          <w:rFonts w:ascii="Arial" w:hAnsi="Arial" w:cs="Arial"/>
          <w:i/>
          <w:sz w:val="20"/>
          <w:szCs w:val="20"/>
        </w:rPr>
        <w:t> </w:t>
      </w:r>
      <w:r w:rsidR="00BF43F6">
        <w:rPr>
          <w:rFonts w:ascii="Arial" w:hAnsi="Arial" w:cs="Arial"/>
          <w:i/>
          <w:sz w:val="20"/>
          <w:szCs w:val="20"/>
        </w:rPr>
        <w:t>Insolvency Act)</w:t>
      </w:r>
      <w:r w:rsidR="00D56994">
        <w:rPr>
          <w:rFonts w:ascii="Arial" w:hAnsi="Arial" w:cs="Arial"/>
          <w:i/>
          <w:sz w:val="20"/>
          <w:szCs w:val="20"/>
        </w:rPr>
        <w:t xml:space="preserve">. </w:t>
      </w:r>
    </w:p>
    <w:p w:rsidR="002E6A00" w:rsidRPr="000D55FC" w:rsidRDefault="00D56994">
      <w:pPr>
        <w:pStyle w:val="Normlnweb"/>
        <w:spacing w:before="120" w:beforeAutospacing="0" w:after="0" w:afterAutospacing="0"/>
        <w:ind w:firstLine="709"/>
        <w:jc w:val="both"/>
        <w:rPr>
          <w:rFonts w:ascii="Arial" w:hAnsi="Arial" w:cs="Arial"/>
          <w:b/>
          <w:bCs/>
          <w:i/>
          <w:iCs/>
          <w:color w:val="auto"/>
          <w:sz w:val="20"/>
          <w:szCs w:val="17"/>
          <w:lang w:val="en-GB"/>
        </w:rPr>
      </w:pPr>
      <w:r>
        <w:rPr>
          <w:rFonts w:ascii="Arial" w:hAnsi="Arial" w:cs="Arial"/>
          <w:b/>
          <w:i/>
          <w:color w:val="auto"/>
          <w:sz w:val="20"/>
          <w:szCs w:val="20"/>
          <w:lang w:val="en-GB"/>
        </w:rPr>
        <w:t>Insolvency cases</w:t>
      </w:r>
      <w:r>
        <w:rPr>
          <w:rFonts w:ascii="Arial" w:hAnsi="Arial" w:cs="Arial"/>
          <w:i/>
          <w:color w:val="auto"/>
          <w:sz w:val="20"/>
          <w:szCs w:val="20"/>
          <w:lang w:val="en-GB"/>
        </w:rPr>
        <w:t xml:space="preserve"> – cases heard by courts pursuant to the Insolvency Act. Within insolvency cases, a court solves both</w:t>
      </w:r>
      <w:r w:rsidR="005C7289" w:rsidRPr="005C7289">
        <w:rPr>
          <w:rFonts w:ascii="Arial" w:hAnsi="Arial" w:cs="Arial"/>
          <w:i/>
          <w:sz w:val="20"/>
          <w:szCs w:val="20"/>
          <w:lang w:val="en-GB"/>
        </w:rPr>
        <w:t xml:space="preserve"> </w:t>
      </w:r>
      <w:r w:rsidR="005C7289" w:rsidRPr="005C7289">
        <w:rPr>
          <w:rFonts w:ascii="Arial" w:hAnsi="Arial" w:cs="Arial"/>
          <w:i/>
          <w:color w:val="auto"/>
          <w:sz w:val="20"/>
          <w:szCs w:val="20"/>
          <w:lang w:val="en-GB"/>
        </w:rPr>
        <w:t>applications for</w:t>
      </w:r>
      <w:r>
        <w:rPr>
          <w:rFonts w:ascii="Arial" w:hAnsi="Arial" w:cs="Arial"/>
          <w:i/>
          <w:color w:val="auto"/>
          <w:sz w:val="20"/>
          <w:szCs w:val="20"/>
          <w:lang w:val="en-GB"/>
        </w:rPr>
        <w:t xml:space="preserve"> insolvency (recorded in the Register INS) as well as incidental disputes caused during insolvency proceedings (actions recorded in the Register ICm). </w:t>
      </w:r>
    </w:p>
    <w:p w:rsidR="002E6A00" w:rsidRPr="000D55FC" w:rsidRDefault="00D5699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 xml:space="preserve">Registers of cases by type </w:t>
      </w:r>
      <w:r>
        <w:rPr>
          <w:rFonts w:ascii="Arial" w:hAnsi="Arial" w:cs="Arial"/>
          <w:i/>
          <w:iCs/>
          <w:color w:val="auto"/>
          <w:sz w:val="20"/>
          <w:szCs w:val="17"/>
          <w:lang w:val="en-GB"/>
        </w:rPr>
        <w:t xml:space="preserve">– the registers are listed in the latest version of the Instruction No. 505/2001–ORG of the Ministry of Justice, in which the internal and office rules of procedure for district, regional, and high courts are issued. The document also specifies the way of keeping records in individual registers. </w:t>
      </w:r>
    </w:p>
    <w:p w:rsidR="002E6A00" w:rsidRPr="000D55FC" w:rsidRDefault="00D5699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 xml:space="preserve">Register T </w:t>
      </w:r>
      <w:r>
        <w:rPr>
          <w:rFonts w:ascii="Arial" w:hAnsi="Arial" w:cs="Arial"/>
          <w:i/>
          <w:iCs/>
          <w:color w:val="auto"/>
          <w:sz w:val="20"/>
          <w:szCs w:val="17"/>
          <w:lang w:val="en-GB"/>
        </w:rPr>
        <w:t xml:space="preserve">– register incorporating all criminal cases in which the public prosecutor brought charges or, following a shortened procedure, made a motion for sentence, with the exception of juvenile cases. </w:t>
      </w:r>
    </w:p>
    <w:p w:rsidR="002E6A00" w:rsidRPr="000D55FC" w:rsidRDefault="00D5699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 xml:space="preserve">Register C </w:t>
      </w:r>
      <w:r>
        <w:rPr>
          <w:rFonts w:ascii="Arial" w:hAnsi="Arial" w:cs="Arial"/>
          <w:i/>
          <w:iCs/>
          <w:color w:val="auto"/>
          <w:sz w:val="20"/>
          <w:szCs w:val="17"/>
          <w:lang w:val="en-GB"/>
        </w:rPr>
        <w:t xml:space="preserve">– register incorporating all motions to commence civil proceedings, including declaratory motions, as well as, e.g., motions resulting from inheritance proceedings; motions to issue a payment order if </w:t>
      </w:r>
      <w:r w:rsidR="00E164F5">
        <w:rPr>
          <w:rFonts w:ascii="Arial" w:hAnsi="Arial" w:cs="Arial"/>
          <w:i/>
          <w:iCs/>
          <w:color w:val="auto"/>
          <w:sz w:val="20"/>
          <w:szCs w:val="17"/>
          <w:lang w:val="en-GB"/>
        </w:rPr>
        <w:t>a</w:t>
      </w:r>
      <w:r w:rsidR="007C142C">
        <w:rPr>
          <w:rFonts w:ascii="Arial" w:hAnsi="Arial" w:cs="Arial"/>
          <w:i/>
          <w:iCs/>
          <w:color w:val="auto"/>
          <w:sz w:val="20"/>
          <w:szCs w:val="17"/>
          <w:lang w:val="en-GB"/>
        </w:rPr>
        <w:t> </w:t>
      </w:r>
      <w:r>
        <w:rPr>
          <w:rFonts w:ascii="Arial" w:hAnsi="Arial" w:cs="Arial"/>
          <w:i/>
          <w:iCs/>
          <w:color w:val="auto"/>
          <w:sz w:val="20"/>
          <w:szCs w:val="17"/>
          <w:lang w:val="en-GB"/>
        </w:rPr>
        <w:t>payment order was cancelled or not issued; motions to dissolve a marriage; motions to determine or cancel the duty to maintain and support minors; petitions for renewal of proceedings; actions for nullity; cases in which new proceedings take place in the court of first instance in consequence of a decision of the court of appeal or the Constitutional Court, permission for renewal of proceedings or reversal of contested decision for nullity; actions or legal remedies to review the legality of decisions made by public administration authorities if the competent court is a district court; motions under Section 31 of the Act No. 216/1994 Sb., on Arbitration Proceedings and on Enforcement of Arbitration Awards, as amended.</w:t>
      </w:r>
    </w:p>
    <w:p w:rsidR="002E6A00" w:rsidRPr="000D55FC" w:rsidRDefault="00D56994">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i/>
          <w:iCs/>
          <w:color w:val="auto"/>
          <w:sz w:val="20"/>
          <w:szCs w:val="20"/>
          <w:lang w:val="en-GB"/>
        </w:rPr>
        <w:t xml:space="preserve">Regional courts enter in the Register C cases under the provisions of Section 9(2) </w:t>
      </w:r>
      <w:r>
        <w:rPr>
          <w:rFonts w:ascii="Arial" w:hAnsi="Arial" w:cs="Arial"/>
          <w:i/>
          <w:color w:val="auto"/>
          <w:sz w:val="20"/>
          <w:szCs w:val="20"/>
          <w:lang w:val="en-GB"/>
        </w:rPr>
        <w:t>of the Act No. 99/1963, the Code of Civil Procedure, as amended (hereinafter the Code of Civil Procedure), namely except for letters (d) and (e) of the Code of Civil Procedure.</w:t>
      </w:r>
    </w:p>
    <w:p w:rsidR="00751772" w:rsidRPr="000D55FC" w:rsidRDefault="00D56994" w:rsidP="00751772">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b/>
          <w:bCs/>
          <w:i/>
          <w:iCs/>
          <w:color w:val="auto"/>
          <w:sz w:val="20"/>
          <w:szCs w:val="20"/>
          <w:lang w:val="en-GB"/>
        </w:rPr>
        <w:t xml:space="preserve">Register E </w:t>
      </w:r>
      <w:r>
        <w:rPr>
          <w:rFonts w:ascii="Arial" w:hAnsi="Arial" w:cs="Arial"/>
          <w:i/>
          <w:iCs/>
          <w:color w:val="auto"/>
          <w:sz w:val="20"/>
          <w:szCs w:val="20"/>
          <w:lang w:val="en-GB"/>
        </w:rPr>
        <w:t xml:space="preserve">– register incorporating: </w:t>
      </w:r>
    </w:p>
    <w:p w:rsidR="00405666" w:rsidRPr="000D55FC" w:rsidRDefault="00D56994" w:rsidP="00B4099A">
      <w:pPr>
        <w:spacing w:before="120"/>
        <w:ind w:left="170" w:hanging="170"/>
        <w:jc w:val="both"/>
        <w:rPr>
          <w:rFonts w:ascii="Arial" w:hAnsi="Arial" w:cs="Arial"/>
          <w:i/>
          <w:sz w:val="20"/>
          <w:szCs w:val="20"/>
        </w:rPr>
      </w:pPr>
      <w:r>
        <w:rPr>
          <w:rFonts w:ascii="Arial" w:hAnsi="Arial" w:cs="Arial"/>
          <w:i/>
          <w:sz w:val="20"/>
          <w:szCs w:val="20"/>
        </w:rPr>
        <w:t xml:space="preserve">– all motions for order to execute a decision delivered to a court competent to execute a decision and also cases of sale of a pledge under Section 338(a) of the Code of Civil Procedure. Provided that in cases stated in Section 328(b)(4)(g), in Section 335(2), and in Section 338(f)(2) of the Code of Civil </w:t>
      </w:r>
      <w:r>
        <w:rPr>
          <w:rFonts w:ascii="Arial" w:hAnsi="Arial" w:cs="Arial"/>
          <w:i/>
          <w:sz w:val="20"/>
          <w:szCs w:val="20"/>
        </w:rPr>
        <w:lastRenderedPageBreak/>
        <w:t>Procedure further motions of eligible persons are delivered, they are considered as joining the proceedings and they are not recorded in the register again but they are kept under the original record;</w:t>
      </w:r>
    </w:p>
    <w:p w:rsidR="00E22A5B" w:rsidRPr="000D55FC" w:rsidRDefault="00D56994" w:rsidP="00B4099A">
      <w:pPr>
        <w:spacing w:before="120"/>
        <w:ind w:left="170" w:hanging="170"/>
        <w:jc w:val="both"/>
        <w:rPr>
          <w:rFonts w:ascii="Arial" w:hAnsi="Arial" w:cs="Arial"/>
          <w:i/>
          <w:sz w:val="20"/>
          <w:szCs w:val="20"/>
        </w:rPr>
      </w:pPr>
      <w:r>
        <w:rPr>
          <w:rFonts w:ascii="Arial" w:hAnsi="Arial" w:cs="Arial"/>
          <w:i/>
          <w:sz w:val="20"/>
          <w:szCs w:val="20"/>
        </w:rPr>
        <w:t>– requests of other courts or other entities to execute a decision or part of a decision or to execute completion of acts at realization of property belonging to a bankruptcy estate, except for execution of a decision in cases of care of court for minors;</w:t>
      </w:r>
    </w:p>
    <w:p w:rsidR="00E22A5B" w:rsidRPr="000D55FC" w:rsidRDefault="00D56994" w:rsidP="00B4099A">
      <w:pPr>
        <w:spacing w:before="120"/>
        <w:ind w:left="170" w:hanging="170"/>
        <w:jc w:val="both"/>
        <w:rPr>
          <w:rFonts w:ascii="Arial" w:hAnsi="Arial" w:cs="Arial"/>
          <w:i/>
          <w:sz w:val="20"/>
          <w:szCs w:val="20"/>
        </w:rPr>
      </w:pPr>
      <w:r>
        <w:rPr>
          <w:rFonts w:ascii="Arial" w:hAnsi="Arial" w:cs="Arial"/>
          <w:i/>
          <w:sz w:val="20"/>
          <w:szCs w:val="20"/>
        </w:rPr>
        <w:t>– realization of property (sale of movables and immovables) under Section 288 of the Insolvency Act or realization of bankrupt’s estate under Section 27(3) of the Act on Bankruptcy and Settlement;</w:t>
      </w:r>
    </w:p>
    <w:p w:rsidR="00751772" w:rsidRPr="000D55FC" w:rsidRDefault="00D56994" w:rsidP="00B4099A">
      <w:pPr>
        <w:pStyle w:val="Normlnweb"/>
        <w:spacing w:before="120" w:beforeAutospacing="0" w:after="0" w:afterAutospacing="0"/>
        <w:ind w:left="170" w:hanging="170"/>
        <w:jc w:val="both"/>
        <w:rPr>
          <w:rFonts w:ascii="Arial" w:hAnsi="Arial" w:cs="Arial"/>
          <w:i/>
          <w:iCs/>
          <w:color w:val="auto"/>
          <w:sz w:val="20"/>
          <w:szCs w:val="20"/>
          <w:lang w:val="en-GB"/>
        </w:rPr>
      </w:pPr>
      <w:r>
        <w:rPr>
          <w:rFonts w:ascii="Arial" w:hAnsi="Arial" w:cs="Arial"/>
          <w:i/>
          <w:color w:val="auto"/>
          <w:sz w:val="20"/>
          <w:szCs w:val="20"/>
          <w:lang w:val="en-GB"/>
        </w:rPr>
        <w:t>– cases excluded regarding some participant or some type of execution of a decision. Provided that during execution of a decision by means of garnishment of earnings order the payer of wages is changed, the case is not recorded in the register again but it is kept under the original record.</w:t>
      </w:r>
    </w:p>
    <w:p w:rsidR="002E6A00" w:rsidRPr="000D55FC" w:rsidRDefault="00D5699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20"/>
          <w:lang w:val="en-GB"/>
        </w:rPr>
        <w:t xml:space="preserve">Register P and Nc </w:t>
      </w:r>
      <w:r>
        <w:rPr>
          <w:rFonts w:ascii="Arial" w:hAnsi="Arial" w:cs="Arial"/>
          <w:i/>
          <w:iCs/>
          <w:color w:val="auto"/>
          <w:sz w:val="20"/>
          <w:szCs w:val="20"/>
          <w:lang w:val="en-GB"/>
        </w:rPr>
        <w:t>– register incorporating cases concerning upbringing and maintenance of</w:t>
      </w:r>
      <w:r>
        <w:rPr>
          <w:rFonts w:ascii="Arial" w:hAnsi="Arial" w:cs="Arial"/>
          <w:i/>
          <w:iCs/>
          <w:color w:val="auto"/>
          <w:sz w:val="20"/>
          <w:szCs w:val="17"/>
          <w:lang w:val="en-GB"/>
        </w:rPr>
        <w:t xml:space="preserve"> minor children, visitation orders, parental responsibility, guardianship, adoption, foster care, adjudicated treatment in a special institution, approvals of important instances of acting on behalf of minors including execution of decisions on upbringing of minor children, under the provisions of Section 176(1), Section 180(a), Sections 181, 186, 194, and 195 of the Code of Civil Procedure, and actions under Sections 228 and 229 of the Code of Civil Procedure in the matters of custodianship and Section 78 of the Family Act.</w:t>
      </w:r>
    </w:p>
    <w:p w:rsidR="002E6A00" w:rsidRPr="000D55FC" w:rsidRDefault="00D5699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 xml:space="preserve">Register Cm </w:t>
      </w:r>
      <w:r>
        <w:rPr>
          <w:rFonts w:ascii="Arial" w:hAnsi="Arial" w:cs="Arial"/>
          <w:i/>
          <w:iCs/>
          <w:color w:val="auto"/>
          <w:sz w:val="20"/>
          <w:szCs w:val="17"/>
          <w:lang w:val="en-GB"/>
        </w:rPr>
        <w:t xml:space="preserve">– register of commercial cases kept by the regional courts. It incorporates motions to issue a payment order or compulsory order to pay a bill or cheque if the protest (or objections in the event of a compulsory order to pay a bill or cheque) was filed in due time, or if </w:t>
      </w:r>
      <w:r w:rsidR="00591250">
        <w:rPr>
          <w:rFonts w:ascii="Arial" w:hAnsi="Arial" w:cs="Arial"/>
          <w:i/>
          <w:iCs/>
          <w:color w:val="auto"/>
          <w:sz w:val="20"/>
          <w:szCs w:val="17"/>
          <w:lang w:val="en-GB"/>
        </w:rPr>
        <w:t>a</w:t>
      </w:r>
      <w:r w:rsidR="007C142C">
        <w:rPr>
          <w:rFonts w:ascii="Arial" w:hAnsi="Arial" w:cs="Arial"/>
          <w:i/>
          <w:iCs/>
          <w:color w:val="auto"/>
          <w:sz w:val="20"/>
          <w:szCs w:val="17"/>
          <w:lang w:val="en-GB"/>
        </w:rPr>
        <w:t> </w:t>
      </w:r>
      <w:r>
        <w:rPr>
          <w:rFonts w:ascii="Arial" w:hAnsi="Arial" w:cs="Arial"/>
          <w:i/>
          <w:iCs/>
          <w:color w:val="auto"/>
          <w:sz w:val="20"/>
          <w:szCs w:val="17"/>
          <w:lang w:val="en-GB"/>
        </w:rPr>
        <w:t xml:space="preserve">payment order was cancelled or not issued. The register also incorporates cases in which new proceedings take place in the court of first instance in consequence of a decision of the court of appeal; petitions for renewal of proceedings; actions for nullity; and cases in which new proceedings take place in the court of first instance due to permitted renewal of proceedings. </w:t>
      </w:r>
    </w:p>
    <w:p w:rsidR="002E6A00" w:rsidRPr="000D55FC" w:rsidRDefault="00D56994">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b/>
          <w:bCs/>
          <w:i/>
          <w:iCs/>
          <w:color w:val="auto"/>
          <w:sz w:val="20"/>
          <w:szCs w:val="17"/>
          <w:lang w:val="en-GB"/>
        </w:rPr>
        <w:t xml:space="preserve">Register INS </w:t>
      </w:r>
      <w:r>
        <w:rPr>
          <w:rFonts w:ascii="Arial" w:hAnsi="Arial" w:cs="Arial"/>
          <w:bCs/>
          <w:i/>
          <w:iCs/>
          <w:color w:val="auto"/>
          <w:sz w:val="20"/>
          <w:szCs w:val="17"/>
          <w:lang w:val="en-GB"/>
        </w:rPr>
        <w:t xml:space="preserve">– </w:t>
      </w:r>
      <w:r>
        <w:rPr>
          <w:rFonts w:ascii="Arial" w:hAnsi="Arial" w:cs="Arial"/>
          <w:i/>
          <w:iCs/>
          <w:color w:val="auto"/>
          <w:sz w:val="20"/>
          <w:szCs w:val="17"/>
          <w:lang w:val="en-GB"/>
        </w:rPr>
        <w:t>register incorporating</w:t>
      </w:r>
      <w:r>
        <w:rPr>
          <w:rFonts w:ascii="Arial" w:hAnsi="Arial" w:cs="Arial"/>
          <w:b/>
          <w:bCs/>
          <w:i/>
          <w:iCs/>
          <w:color w:val="auto"/>
          <w:sz w:val="20"/>
          <w:szCs w:val="17"/>
          <w:lang w:val="en-GB"/>
        </w:rPr>
        <w:t xml:space="preserve"> </w:t>
      </w:r>
      <w:r>
        <w:rPr>
          <w:rFonts w:ascii="Arial" w:hAnsi="Arial" w:cs="Arial"/>
          <w:i/>
          <w:iCs/>
          <w:color w:val="auto"/>
          <w:sz w:val="20"/>
          <w:szCs w:val="17"/>
          <w:lang w:val="en-GB"/>
        </w:rPr>
        <w:t xml:space="preserve">bankruptcies, moratoriums, unapproved discharges from debts, motions, discharges from debts, rejected applications for discharges from debts, rejected applications for insolvency, claims, conversions to bankruptcy, reorganizations, approved discharges from debts, commenced insolvency proceedings, rejected applications for insolvency, suspended insolvency </w:t>
      </w:r>
      <w:r>
        <w:rPr>
          <w:rFonts w:ascii="Arial" w:hAnsi="Arial" w:cs="Arial"/>
          <w:i/>
          <w:iCs/>
          <w:color w:val="auto"/>
          <w:sz w:val="20"/>
          <w:szCs w:val="20"/>
          <w:lang w:val="en-GB"/>
        </w:rPr>
        <w:t xml:space="preserve">proceedings, cancellations of approved discharges from debts and bankruptcy decisions </w:t>
      </w:r>
      <w:r>
        <w:rPr>
          <w:rFonts w:ascii="Arial" w:hAnsi="Arial" w:cs="Arial"/>
          <w:i/>
          <w:color w:val="auto"/>
          <w:sz w:val="20"/>
          <w:szCs w:val="20"/>
          <w:lang w:val="en-GB"/>
        </w:rPr>
        <w:t>– the Act on Bankruptcy and Settlement or rather the Insolvency Act</w:t>
      </w:r>
      <w:r>
        <w:rPr>
          <w:rFonts w:ascii="Arial" w:hAnsi="Arial" w:cs="Arial"/>
          <w:i/>
          <w:iCs/>
          <w:color w:val="auto"/>
          <w:sz w:val="20"/>
          <w:szCs w:val="20"/>
          <w:lang w:val="en-GB"/>
        </w:rPr>
        <w:t>.</w:t>
      </w:r>
    </w:p>
    <w:p w:rsidR="002E6A00" w:rsidRPr="000D55FC" w:rsidRDefault="00D5699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20"/>
          <w:lang w:val="en-GB"/>
        </w:rPr>
        <w:t>Number of cases</w:t>
      </w:r>
      <w:r>
        <w:rPr>
          <w:rFonts w:ascii="Arial" w:hAnsi="Arial" w:cs="Arial"/>
          <w:b/>
          <w:i/>
          <w:iCs/>
          <w:color w:val="auto"/>
          <w:sz w:val="20"/>
          <w:szCs w:val="20"/>
          <w:lang w:val="en-GB"/>
        </w:rPr>
        <w:t xml:space="preserve"> </w:t>
      </w:r>
      <w:r>
        <w:rPr>
          <w:rFonts w:ascii="Arial" w:hAnsi="Arial" w:cs="Arial"/>
          <w:i/>
          <w:iCs/>
          <w:color w:val="auto"/>
          <w:sz w:val="20"/>
          <w:szCs w:val="20"/>
          <w:lang w:val="en-GB"/>
        </w:rPr>
        <w:t>– designation of matters handled by a court and incorporated in</w:t>
      </w:r>
      <w:r>
        <w:rPr>
          <w:rFonts w:ascii="Arial" w:hAnsi="Arial" w:cs="Arial"/>
          <w:i/>
          <w:iCs/>
          <w:color w:val="auto"/>
          <w:sz w:val="20"/>
          <w:szCs w:val="17"/>
          <w:lang w:val="en-GB"/>
        </w:rPr>
        <w:t xml:space="preserve"> an appropriate register. One case may involve more persons.</w:t>
      </w:r>
    </w:p>
    <w:p w:rsidR="002E6A00" w:rsidRPr="000D55FC" w:rsidRDefault="00D5699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 xml:space="preserve">Restored </w:t>
      </w:r>
      <w:r>
        <w:rPr>
          <w:rFonts w:ascii="Arial" w:hAnsi="Arial" w:cs="Arial"/>
          <w:bCs/>
          <w:i/>
          <w:iCs/>
          <w:color w:val="auto"/>
          <w:sz w:val="20"/>
          <w:szCs w:val="17"/>
          <w:lang w:val="en-GB"/>
        </w:rPr>
        <w:t>–</w:t>
      </w:r>
      <w:r>
        <w:rPr>
          <w:rFonts w:ascii="Arial" w:hAnsi="Arial" w:cs="Arial"/>
          <w:i/>
          <w:iCs/>
          <w:color w:val="auto"/>
          <w:sz w:val="20"/>
          <w:szCs w:val="17"/>
          <w:lang w:val="en-GB"/>
        </w:rPr>
        <w:t xml:space="preserve"> cases in which, in consequence of a decision of the court of higher instance, proceedings in the court of first instance have to follow after full or partial reversal of a decision or after non-compliance with a motion for change of jurisdiction or for removal or referral of the case.</w:t>
      </w:r>
    </w:p>
    <w:p w:rsidR="002E6A00" w:rsidRPr="000D55FC" w:rsidRDefault="00D5699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 xml:space="preserve">Filed </w:t>
      </w:r>
      <w:r>
        <w:rPr>
          <w:rFonts w:ascii="Arial" w:hAnsi="Arial" w:cs="Arial"/>
          <w:i/>
          <w:iCs/>
          <w:color w:val="auto"/>
          <w:sz w:val="20"/>
          <w:szCs w:val="17"/>
          <w:lang w:val="en-GB"/>
        </w:rPr>
        <w:t xml:space="preserve">– in criminal cases: the number of charges filed or motions for sentence and, possibly, of cases re-filed as the result of the application of extraordinary legal remedies. In civil cases and in P and Nc cases (care for minor children): the number of motions submitted to courts (including cases initiated by the court through its own power of initiation), which are incorporated in an appropriate register by the court. </w:t>
      </w:r>
    </w:p>
    <w:p w:rsidR="002E6A00" w:rsidRPr="000D55FC" w:rsidRDefault="00D5699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 xml:space="preserve">Settled </w:t>
      </w:r>
      <w:r>
        <w:rPr>
          <w:rFonts w:ascii="Arial" w:hAnsi="Arial" w:cs="Arial"/>
          <w:i/>
          <w:iCs/>
          <w:color w:val="auto"/>
          <w:sz w:val="20"/>
          <w:szCs w:val="17"/>
          <w:lang w:val="en-GB"/>
        </w:rPr>
        <w:t>– the number of cases (persons) decided by courts (decisions are not final).</w:t>
      </w:r>
    </w:p>
    <w:p w:rsidR="002E6A00" w:rsidRPr="000D55FC" w:rsidRDefault="00D5699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Pending</w:t>
      </w:r>
      <w:r>
        <w:rPr>
          <w:rFonts w:ascii="Arial" w:hAnsi="Arial" w:cs="Arial"/>
          <w:i/>
          <w:iCs/>
          <w:color w:val="auto"/>
          <w:sz w:val="20"/>
          <w:szCs w:val="17"/>
          <w:lang w:val="en-GB"/>
        </w:rPr>
        <w:t xml:space="preserve"> – the number of cases (persons) submitted, but not yet settled by courts. The figures always refer to 31 December of the</w:t>
      </w:r>
      <w:r w:rsidR="007C142C">
        <w:rPr>
          <w:rFonts w:ascii="Arial" w:hAnsi="Arial" w:cs="Arial"/>
          <w:i/>
          <w:iCs/>
          <w:color w:val="auto"/>
          <w:sz w:val="20"/>
          <w:szCs w:val="17"/>
          <w:lang w:val="en-GB"/>
        </w:rPr>
        <w:t> </w:t>
      </w:r>
      <w:r w:rsidR="00BF1AFF">
        <w:rPr>
          <w:rFonts w:ascii="Arial" w:hAnsi="Arial" w:cs="Arial"/>
          <w:i/>
          <w:iCs/>
          <w:color w:val="auto"/>
          <w:sz w:val="20"/>
          <w:szCs w:val="17"/>
          <w:lang w:val="en-GB"/>
        </w:rPr>
        <w:t>reference</w:t>
      </w:r>
      <w:r w:rsidR="007C142C">
        <w:rPr>
          <w:rFonts w:ascii="Arial" w:hAnsi="Arial" w:cs="Arial"/>
          <w:i/>
          <w:iCs/>
          <w:color w:val="auto"/>
          <w:sz w:val="20"/>
          <w:szCs w:val="17"/>
          <w:lang w:val="en-GB"/>
        </w:rPr>
        <w:t xml:space="preserve"> </w:t>
      </w:r>
      <w:r>
        <w:rPr>
          <w:rFonts w:ascii="Arial" w:hAnsi="Arial" w:cs="Arial"/>
          <w:i/>
          <w:iCs/>
          <w:color w:val="auto"/>
          <w:sz w:val="20"/>
          <w:szCs w:val="17"/>
          <w:lang w:val="en-GB"/>
        </w:rPr>
        <w:t xml:space="preserve">year. </w:t>
      </w:r>
    </w:p>
    <w:p w:rsidR="002E6A00" w:rsidRPr="000D55FC" w:rsidRDefault="002E6A00">
      <w:pPr>
        <w:pStyle w:val="Normlnweb"/>
        <w:spacing w:before="0" w:beforeAutospacing="0" w:after="0" w:afterAutospacing="0"/>
        <w:jc w:val="both"/>
        <w:rPr>
          <w:rFonts w:ascii="Arial" w:hAnsi="Arial" w:cs="Arial"/>
          <w:i/>
          <w:iCs/>
          <w:color w:val="auto"/>
          <w:sz w:val="20"/>
          <w:szCs w:val="17"/>
          <w:lang w:val="en-GB"/>
        </w:rPr>
      </w:pPr>
    </w:p>
    <w:p w:rsidR="002E6A00" w:rsidRPr="000D55FC" w:rsidRDefault="002E6A00">
      <w:pPr>
        <w:pStyle w:val="Normlnweb"/>
        <w:spacing w:before="0" w:beforeAutospacing="0" w:after="0" w:afterAutospacing="0"/>
        <w:jc w:val="both"/>
        <w:rPr>
          <w:rFonts w:ascii="Arial" w:hAnsi="Arial" w:cs="Arial"/>
          <w:i/>
          <w:iCs/>
          <w:color w:val="auto"/>
          <w:sz w:val="20"/>
          <w:szCs w:val="17"/>
          <w:lang w:val="en-GB"/>
        </w:rPr>
      </w:pPr>
    </w:p>
    <w:p w:rsidR="002E6A00" w:rsidRPr="000D55FC" w:rsidRDefault="00D56994">
      <w:pPr>
        <w:pStyle w:val="Normlnweb"/>
        <w:spacing w:before="0" w:beforeAutospacing="0" w:after="0" w:afterAutospacing="0"/>
        <w:jc w:val="both"/>
        <w:rPr>
          <w:rFonts w:ascii="Arial" w:hAnsi="Arial" w:cs="Arial"/>
          <w:i/>
          <w:iCs/>
          <w:color w:val="auto"/>
          <w:sz w:val="20"/>
          <w:szCs w:val="17"/>
          <w:lang w:val="en-GB"/>
        </w:rPr>
      </w:pPr>
      <w:r>
        <w:rPr>
          <w:rFonts w:ascii="Arial" w:hAnsi="Arial" w:cs="Arial"/>
          <w:i/>
          <w:iCs/>
          <w:color w:val="auto"/>
          <w:sz w:val="20"/>
          <w:szCs w:val="17"/>
          <w:lang w:val="en-GB"/>
        </w:rPr>
        <w:t xml:space="preserve">Table </w:t>
      </w:r>
      <w:r>
        <w:rPr>
          <w:rFonts w:ascii="Arial" w:hAnsi="Arial" w:cs="Arial"/>
          <w:b/>
          <w:bCs/>
          <w:i/>
          <w:iCs/>
          <w:color w:val="auto"/>
          <w:sz w:val="20"/>
          <w:szCs w:val="17"/>
          <w:lang w:val="en-GB"/>
        </w:rPr>
        <w:t>27</w:t>
      </w:r>
      <w:r>
        <w:rPr>
          <w:rFonts w:ascii="Arial" w:hAnsi="Arial" w:cs="Arial"/>
          <w:i/>
          <w:iCs/>
          <w:color w:val="auto"/>
          <w:sz w:val="20"/>
          <w:szCs w:val="17"/>
          <w:lang w:val="en-GB"/>
        </w:rPr>
        <w:t xml:space="preserve">-2. </w:t>
      </w:r>
      <w:r>
        <w:rPr>
          <w:rFonts w:ascii="Arial" w:hAnsi="Arial" w:cs="Arial"/>
          <w:b/>
          <w:bCs/>
          <w:i/>
          <w:iCs/>
          <w:color w:val="auto"/>
          <w:sz w:val="20"/>
          <w:szCs w:val="17"/>
          <w:lang w:val="en-GB"/>
        </w:rPr>
        <w:t>Final decisions of courts and average length of judicial proceedings</w:t>
      </w:r>
    </w:p>
    <w:p w:rsidR="002E6A00" w:rsidRPr="000D55FC" w:rsidRDefault="00D5699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 xml:space="preserve">Final decision </w:t>
      </w:r>
      <w:r>
        <w:rPr>
          <w:rFonts w:ascii="Arial" w:hAnsi="Arial" w:cs="Arial"/>
          <w:i/>
          <w:iCs/>
          <w:color w:val="auto"/>
          <w:sz w:val="20"/>
          <w:szCs w:val="17"/>
          <w:lang w:val="en-GB"/>
        </w:rPr>
        <w:t>– a final and conclusive judgment.</w:t>
      </w:r>
    </w:p>
    <w:p w:rsidR="002E6A00" w:rsidRPr="000D55FC" w:rsidRDefault="00D5699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 xml:space="preserve">Number of cases </w:t>
      </w:r>
      <w:r>
        <w:rPr>
          <w:rFonts w:ascii="Arial" w:hAnsi="Arial" w:cs="Arial"/>
          <w:i/>
          <w:iCs/>
          <w:color w:val="auto"/>
          <w:sz w:val="20"/>
          <w:szCs w:val="17"/>
          <w:lang w:val="en-GB"/>
        </w:rPr>
        <w:t>– the number of reference numbers under which individual cases are handled (the number of files).</w:t>
      </w:r>
    </w:p>
    <w:p w:rsidR="002E6A00" w:rsidRPr="000D55FC" w:rsidRDefault="00D5699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 xml:space="preserve">Number of rights </w:t>
      </w:r>
      <w:r>
        <w:rPr>
          <w:rFonts w:ascii="Arial" w:hAnsi="Arial" w:cs="Arial"/>
          <w:i/>
          <w:iCs/>
          <w:color w:val="auto"/>
          <w:sz w:val="20"/>
          <w:szCs w:val="17"/>
          <w:lang w:val="en-GB"/>
        </w:rPr>
        <w:t>– the number of rights exercised in a legal case.</w:t>
      </w:r>
    </w:p>
    <w:p w:rsidR="002E6A00" w:rsidRPr="000D55FC" w:rsidRDefault="00D5699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 xml:space="preserve">Proceedings involving minor children </w:t>
      </w:r>
      <w:r>
        <w:rPr>
          <w:rFonts w:ascii="Arial" w:hAnsi="Arial" w:cs="Arial"/>
          <w:i/>
          <w:iCs/>
          <w:color w:val="auto"/>
          <w:sz w:val="20"/>
          <w:szCs w:val="17"/>
          <w:lang w:val="en-GB"/>
        </w:rPr>
        <w:t xml:space="preserve">– proceedings involving persons aged below 15 years at the time the offence was committed. </w:t>
      </w:r>
    </w:p>
    <w:p w:rsidR="002E6A00" w:rsidRPr="000D55FC" w:rsidRDefault="00D5699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lastRenderedPageBreak/>
        <w:t xml:space="preserve">Legal force </w:t>
      </w:r>
      <w:r>
        <w:rPr>
          <w:rFonts w:ascii="Arial" w:hAnsi="Arial" w:cs="Arial"/>
          <w:i/>
          <w:iCs/>
          <w:color w:val="auto"/>
          <w:sz w:val="20"/>
          <w:szCs w:val="17"/>
          <w:lang w:val="en-GB"/>
        </w:rPr>
        <w:t>– an attribute of a final decision, which is binding and cannot be changed.</w:t>
      </w:r>
    </w:p>
    <w:p w:rsidR="002E6A00" w:rsidRPr="000D55FC" w:rsidRDefault="00D5699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 xml:space="preserve">Since 2006 </w:t>
      </w:r>
      <w:r>
        <w:rPr>
          <w:rFonts w:ascii="Arial" w:hAnsi="Arial" w:cs="Arial"/>
          <w:b/>
          <w:i/>
          <w:iCs/>
          <w:color w:val="auto"/>
          <w:sz w:val="20"/>
          <w:szCs w:val="17"/>
          <w:lang w:val="en-GB"/>
        </w:rPr>
        <w:t>civil cases and commercial cases</w:t>
      </w:r>
      <w:r>
        <w:rPr>
          <w:rFonts w:ascii="Arial" w:hAnsi="Arial" w:cs="Arial"/>
          <w:i/>
          <w:iCs/>
          <w:color w:val="auto"/>
          <w:sz w:val="20"/>
          <w:szCs w:val="17"/>
          <w:lang w:val="en-GB"/>
        </w:rPr>
        <w:t xml:space="preserve"> have been put together and classified as civil cases. Commercial cases ar</w:t>
      </w:r>
      <w:r w:rsidR="003247F6">
        <w:rPr>
          <w:rFonts w:ascii="Arial" w:hAnsi="Arial" w:cs="Arial"/>
          <w:i/>
          <w:iCs/>
          <w:color w:val="auto"/>
          <w:sz w:val="20"/>
          <w:szCs w:val="17"/>
          <w:lang w:val="en-GB"/>
        </w:rPr>
        <w:t>e thus included in civil cases.</w:t>
      </w:r>
    </w:p>
    <w:p w:rsidR="002E6A00" w:rsidRPr="000D55FC" w:rsidRDefault="002E6A00">
      <w:pPr>
        <w:pStyle w:val="Normlnweb"/>
        <w:spacing w:before="0" w:beforeAutospacing="0" w:after="0" w:afterAutospacing="0"/>
        <w:jc w:val="both"/>
        <w:rPr>
          <w:rFonts w:ascii="Arial" w:hAnsi="Arial" w:cs="Arial"/>
          <w:i/>
          <w:iCs/>
          <w:color w:val="auto"/>
          <w:sz w:val="20"/>
          <w:szCs w:val="17"/>
          <w:lang w:val="en-GB"/>
        </w:rPr>
      </w:pPr>
    </w:p>
    <w:p w:rsidR="002E6A00" w:rsidRPr="000D55FC" w:rsidRDefault="002E6A00">
      <w:pPr>
        <w:pStyle w:val="Normlnweb"/>
        <w:spacing w:before="0" w:beforeAutospacing="0" w:after="0" w:afterAutospacing="0"/>
        <w:jc w:val="both"/>
        <w:rPr>
          <w:rFonts w:ascii="Arial" w:hAnsi="Arial" w:cs="Arial"/>
          <w:i/>
          <w:iCs/>
          <w:color w:val="auto"/>
          <w:sz w:val="20"/>
          <w:szCs w:val="17"/>
          <w:lang w:val="en-GB"/>
        </w:rPr>
      </w:pPr>
    </w:p>
    <w:p w:rsidR="002E6A00" w:rsidRPr="000D55FC" w:rsidRDefault="00D56994">
      <w:pPr>
        <w:pStyle w:val="Normlnweb"/>
        <w:spacing w:before="0" w:beforeAutospacing="0" w:after="0" w:afterAutospacing="0"/>
        <w:jc w:val="both"/>
        <w:rPr>
          <w:rFonts w:ascii="Arial" w:hAnsi="Arial" w:cs="Arial"/>
          <w:i/>
          <w:iCs/>
          <w:color w:val="auto"/>
          <w:sz w:val="20"/>
          <w:szCs w:val="17"/>
          <w:lang w:val="en-GB"/>
        </w:rPr>
      </w:pPr>
      <w:r>
        <w:rPr>
          <w:rFonts w:ascii="Arial" w:hAnsi="Arial" w:cs="Arial"/>
          <w:i/>
          <w:iCs/>
          <w:color w:val="auto"/>
          <w:sz w:val="20"/>
          <w:szCs w:val="17"/>
          <w:lang w:val="en-GB"/>
        </w:rPr>
        <w:t xml:space="preserve">Table </w:t>
      </w:r>
      <w:r>
        <w:rPr>
          <w:rFonts w:ascii="Arial" w:hAnsi="Arial" w:cs="Arial"/>
          <w:b/>
          <w:bCs/>
          <w:i/>
          <w:iCs/>
          <w:color w:val="auto"/>
          <w:sz w:val="20"/>
          <w:szCs w:val="17"/>
          <w:lang w:val="en-GB"/>
        </w:rPr>
        <w:t>27</w:t>
      </w:r>
      <w:r>
        <w:rPr>
          <w:rFonts w:ascii="Arial" w:hAnsi="Arial" w:cs="Arial"/>
          <w:i/>
          <w:iCs/>
          <w:color w:val="auto"/>
          <w:sz w:val="20"/>
          <w:szCs w:val="17"/>
          <w:lang w:val="en-GB"/>
        </w:rPr>
        <w:t xml:space="preserve">-3. </w:t>
      </w:r>
      <w:r>
        <w:rPr>
          <w:rFonts w:ascii="Arial" w:hAnsi="Arial" w:cs="Arial"/>
          <w:b/>
          <w:bCs/>
          <w:i/>
          <w:iCs/>
          <w:color w:val="auto"/>
          <w:sz w:val="20"/>
          <w:szCs w:val="17"/>
          <w:lang w:val="en-GB"/>
        </w:rPr>
        <w:t>Prosecuted, accused, and convicted persons</w:t>
      </w:r>
    </w:p>
    <w:p w:rsidR="002E6A00" w:rsidRPr="000D55FC" w:rsidRDefault="00D5699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 xml:space="preserve">Persons prosecuted </w:t>
      </w:r>
      <w:r>
        <w:rPr>
          <w:rFonts w:ascii="Arial" w:hAnsi="Arial" w:cs="Arial"/>
          <w:i/>
          <w:iCs/>
          <w:color w:val="auto"/>
          <w:sz w:val="20"/>
          <w:szCs w:val="17"/>
          <w:lang w:val="en-GB"/>
        </w:rPr>
        <w:t xml:space="preserve">– the number of persons against whom prosecution under Section 160 </w:t>
      </w:r>
      <w:r>
        <w:rPr>
          <w:rFonts w:ascii="Arial" w:hAnsi="Arial" w:cs="Arial"/>
          <w:i/>
          <w:color w:val="auto"/>
          <w:sz w:val="20"/>
          <w:szCs w:val="20"/>
          <w:lang w:val="en-GB"/>
        </w:rPr>
        <w:t xml:space="preserve">of the Act No. 141/1961 Sb., on Criminal Proceedings (Code of Criminal Procedure), as amended (hereinafter Code of Criminal Procedure) </w:t>
      </w:r>
      <w:r>
        <w:rPr>
          <w:rFonts w:ascii="Arial" w:hAnsi="Arial" w:cs="Arial"/>
          <w:i/>
          <w:iCs/>
          <w:color w:val="auto"/>
          <w:sz w:val="20"/>
          <w:szCs w:val="17"/>
          <w:lang w:val="en-GB"/>
        </w:rPr>
        <w:t>was terminated in the</w:t>
      </w:r>
      <w:r w:rsidR="007C142C">
        <w:rPr>
          <w:rFonts w:ascii="Arial" w:hAnsi="Arial" w:cs="Arial"/>
          <w:i/>
          <w:iCs/>
          <w:color w:val="auto"/>
          <w:sz w:val="20"/>
          <w:szCs w:val="17"/>
          <w:lang w:val="en-GB"/>
        </w:rPr>
        <w:t> </w:t>
      </w:r>
      <w:r w:rsidR="004D2231">
        <w:rPr>
          <w:rFonts w:ascii="Arial" w:hAnsi="Arial" w:cs="Arial"/>
          <w:i/>
          <w:iCs/>
          <w:color w:val="auto"/>
          <w:sz w:val="20"/>
          <w:szCs w:val="17"/>
          <w:lang w:val="en-GB"/>
        </w:rPr>
        <w:t>reference</w:t>
      </w:r>
      <w:r w:rsidR="007C142C">
        <w:rPr>
          <w:rFonts w:ascii="Arial" w:hAnsi="Arial" w:cs="Arial"/>
          <w:i/>
          <w:iCs/>
          <w:color w:val="auto"/>
          <w:sz w:val="20"/>
          <w:szCs w:val="17"/>
          <w:lang w:val="en-GB"/>
        </w:rPr>
        <w:t xml:space="preserve"> </w:t>
      </w:r>
      <w:r>
        <w:rPr>
          <w:rFonts w:ascii="Arial" w:hAnsi="Arial" w:cs="Arial"/>
          <w:i/>
          <w:iCs/>
          <w:color w:val="auto"/>
          <w:sz w:val="20"/>
          <w:szCs w:val="17"/>
          <w:lang w:val="en-GB"/>
        </w:rPr>
        <w:t xml:space="preserve">year. </w:t>
      </w:r>
    </w:p>
    <w:p w:rsidR="002E6A00" w:rsidRPr="000D55FC" w:rsidRDefault="00D5699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 xml:space="preserve">Persons accused </w:t>
      </w:r>
      <w:r>
        <w:rPr>
          <w:rFonts w:ascii="Arial" w:hAnsi="Arial" w:cs="Arial"/>
          <w:i/>
          <w:iCs/>
          <w:color w:val="auto"/>
          <w:sz w:val="20"/>
          <w:szCs w:val="17"/>
          <w:lang w:val="en-GB"/>
        </w:rPr>
        <w:t xml:space="preserve">– the number of persons against whom a legal action was brought under Section 176 of the Code of Criminal Procedure. </w:t>
      </w:r>
    </w:p>
    <w:p w:rsidR="002E6A00" w:rsidRPr="000D55FC" w:rsidRDefault="00D5699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Prosecution discontinued</w:t>
      </w:r>
      <w:r>
        <w:rPr>
          <w:rFonts w:ascii="Arial" w:hAnsi="Arial" w:cs="Arial"/>
          <w:i/>
          <w:iCs/>
          <w:color w:val="auto"/>
          <w:sz w:val="20"/>
          <w:szCs w:val="17"/>
          <w:lang w:val="en-GB"/>
        </w:rPr>
        <w:t xml:space="preserve"> – the number of persons against whom prosecution was discontinued under Section 172 of the Code of Criminal Procedure or conditionally discontinued under Section 307 of the Code of Criminal Procedure.</w:t>
      </w:r>
    </w:p>
    <w:p w:rsidR="002E6A00" w:rsidRPr="000D55FC" w:rsidRDefault="00D56994">
      <w:pPr>
        <w:pStyle w:val="Normlnweb"/>
        <w:spacing w:before="120" w:beforeAutospacing="0" w:after="0" w:afterAutospacing="0"/>
        <w:ind w:firstLine="709"/>
        <w:jc w:val="both"/>
        <w:rPr>
          <w:rFonts w:ascii="Arial" w:hAnsi="Arial" w:cs="Arial"/>
          <w:b/>
          <w:bCs/>
          <w:i/>
          <w:iCs/>
          <w:color w:val="auto"/>
          <w:sz w:val="20"/>
          <w:szCs w:val="17"/>
          <w:lang w:val="en-GB"/>
        </w:rPr>
      </w:pPr>
      <w:r>
        <w:rPr>
          <w:rFonts w:ascii="Arial" w:hAnsi="Arial" w:cs="Arial"/>
          <w:b/>
          <w:bCs/>
          <w:i/>
          <w:iCs/>
          <w:color w:val="auto"/>
          <w:sz w:val="20"/>
          <w:szCs w:val="17"/>
          <w:lang w:val="en-GB"/>
        </w:rPr>
        <w:t>Interrupted</w:t>
      </w:r>
      <w:r>
        <w:rPr>
          <w:rFonts w:ascii="Arial" w:hAnsi="Arial" w:cs="Arial"/>
          <w:i/>
          <w:iCs/>
          <w:color w:val="auto"/>
          <w:sz w:val="20"/>
          <w:szCs w:val="17"/>
          <w:lang w:val="en-GB"/>
        </w:rPr>
        <w:t xml:space="preserve"> – the number of persons against whom prosecution was interrupted under Section 173 of the Code of Criminal Procedure. Prosecution interruption is an interlocutory decision; the case is not finally terminated.</w:t>
      </w:r>
    </w:p>
    <w:p w:rsidR="002E6A00" w:rsidRPr="000D55FC" w:rsidRDefault="00D5699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Passed</w:t>
      </w:r>
      <w:r>
        <w:rPr>
          <w:rFonts w:ascii="Arial" w:hAnsi="Arial" w:cs="Arial"/>
          <w:i/>
          <w:iCs/>
          <w:color w:val="auto"/>
          <w:sz w:val="20"/>
          <w:szCs w:val="17"/>
          <w:lang w:val="en-GB"/>
        </w:rPr>
        <w:t xml:space="preserve"> – the number of cases passed to another authority under Section 171 of the Code of Criminal Procedure. </w:t>
      </w:r>
    </w:p>
    <w:p w:rsidR="002E6A00" w:rsidRPr="000D55FC" w:rsidRDefault="00D5699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 xml:space="preserve">Shortened preparatory procedure </w:t>
      </w:r>
      <w:r>
        <w:rPr>
          <w:rFonts w:ascii="Arial" w:hAnsi="Arial" w:cs="Arial"/>
          <w:i/>
          <w:iCs/>
          <w:color w:val="auto"/>
          <w:sz w:val="20"/>
          <w:szCs w:val="17"/>
          <w:lang w:val="en-GB"/>
        </w:rPr>
        <w:t>– the number of persons against whom shortened preparatory procedure conducted under Section 179(a) of the Code of Criminal Procedure was terminated in the</w:t>
      </w:r>
      <w:r w:rsidR="007C142C">
        <w:rPr>
          <w:rFonts w:ascii="Arial" w:hAnsi="Arial" w:cs="Arial"/>
          <w:i/>
          <w:iCs/>
          <w:color w:val="auto"/>
          <w:sz w:val="20"/>
          <w:szCs w:val="17"/>
          <w:lang w:val="en-GB"/>
        </w:rPr>
        <w:t> </w:t>
      </w:r>
      <w:r w:rsidR="008F2805">
        <w:rPr>
          <w:rFonts w:ascii="Arial" w:hAnsi="Arial" w:cs="Arial"/>
          <w:i/>
          <w:iCs/>
          <w:color w:val="auto"/>
          <w:sz w:val="20"/>
          <w:szCs w:val="17"/>
          <w:lang w:val="en-GB"/>
        </w:rPr>
        <w:t>reference</w:t>
      </w:r>
      <w:r w:rsidR="007C142C">
        <w:rPr>
          <w:rFonts w:ascii="Arial" w:hAnsi="Arial" w:cs="Arial"/>
          <w:i/>
          <w:iCs/>
          <w:color w:val="auto"/>
          <w:sz w:val="20"/>
          <w:szCs w:val="17"/>
          <w:lang w:val="en-GB"/>
        </w:rPr>
        <w:t xml:space="preserve"> </w:t>
      </w:r>
      <w:r>
        <w:rPr>
          <w:rFonts w:ascii="Arial" w:hAnsi="Arial" w:cs="Arial"/>
          <w:i/>
          <w:iCs/>
          <w:color w:val="auto"/>
          <w:sz w:val="20"/>
          <w:szCs w:val="17"/>
          <w:lang w:val="en-GB"/>
        </w:rPr>
        <w:t>year.</w:t>
      </w:r>
    </w:p>
    <w:p w:rsidR="002E6A00" w:rsidRPr="000D55FC" w:rsidRDefault="00D5699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 xml:space="preserve">Motions for sentence </w:t>
      </w:r>
      <w:r>
        <w:rPr>
          <w:rFonts w:ascii="Arial" w:hAnsi="Arial" w:cs="Arial"/>
          <w:i/>
          <w:iCs/>
          <w:color w:val="auto"/>
          <w:sz w:val="20"/>
          <w:szCs w:val="17"/>
          <w:lang w:val="en-GB"/>
        </w:rPr>
        <w:t xml:space="preserve">– the number of persons against whom a motion for sentence was made under Section 179(c) of the Code of Criminal Procedure. </w:t>
      </w:r>
    </w:p>
    <w:p w:rsidR="002E6A00" w:rsidRPr="000D55FC" w:rsidRDefault="00D5699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 xml:space="preserve">Convicted person </w:t>
      </w:r>
      <w:r>
        <w:rPr>
          <w:rFonts w:ascii="Arial" w:hAnsi="Arial" w:cs="Arial"/>
          <w:bCs/>
          <w:i/>
          <w:iCs/>
          <w:color w:val="auto"/>
          <w:sz w:val="20"/>
          <w:szCs w:val="17"/>
          <w:lang w:val="en-GB"/>
        </w:rPr>
        <w:t>(or a </w:t>
      </w:r>
      <w:r>
        <w:rPr>
          <w:rFonts w:ascii="Arial" w:hAnsi="Arial" w:cs="Arial"/>
          <w:b/>
          <w:bCs/>
          <w:i/>
          <w:iCs/>
          <w:color w:val="auto"/>
          <w:sz w:val="20"/>
          <w:szCs w:val="17"/>
          <w:lang w:val="en-GB"/>
        </w:rPr>
        <w:t>convict</w:t>
      </w:r>
      <w:r>
        <w:rPr>
          <w:rFonts w:ascii="Arial" w:hAnsi="Arial" w:cs="Arial"/>
          <w:bCs/>
          <w:i/>
          <w:iCs/>
          <w:color w:val="auto"/>
          <w:sz w:val="20"/>
          <w:szCs w:val="17"/>
          <w:lang w:val="en-GB"/>
        </w:rPr>
        <w:t>)</w:t>
      </w:r>
      <w:r>
        <w:rPr>
          <w:rFonts w:ascii="Arial" w:hAnsi="Arial" w:cs="Arial"/>
          <w:b/>
          <w:bCs/>
          <w:i/>
          <w:iCs/>
          <w:color w:val="auto"/>
          <w:sz w:val="20"/>
          <w:szCs w:val="17"/>
          <w:lang w:val="en-GB"/>
        </w:rPr>
        <w:t xml:space="preserve"> </w:t>
      </w:r>
      <w:r>
        <w:rPr>
          <w:rFonts w:ascii="Arial" w:hAnsi="Arial" w:cs="Arial"/>
          <w:i/>
          <w:iCs/>
          <w:color w:val="auto"/>
          <w:sz w:val="20"/>
          <w:szCs w:val="17"/>
          <w:lang w:val="en-GB"/>
        </w:rPr>
        <w:t xml:space="preserve">– a person ruled guilty and sentenced by court, when the sentence has come into force. </w:t>
      </w:r>
    </w:p>
    <w:p w:rsidR="002E6A00" w:rsidRPr="000D55FC" w:rsidRDefault="00D5699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Habitual offender</w:t>
      </w:r>
      <w:r>
        <w:rPr>
          <w:rFonts w:ascii="Arial" w:hAnsi="Arial" w:cs="Arial"/>
          <w:bCs/>
          <w:i/>
          <w:iCs/>
          <w:color w:val="auto"/>
          <w:sz w:val="20"/>
          <w:szCs w:val="17"/>
          <w:lang w:val="en-GB"/>
        </w:rPr>
        <w:t xml:space="preserve"> labelled by court</w:t>
      </w:r>
      <w:r>
        <w:rPr>
          <w:rFonts w:ascii="Arial" w:hAnsi="Arial" w:cs="Arial"/>
          <w:i/>
          <w:iCs/>
          <w:color w:val="auto"/>
          <w:sz w:val="20"/>
          <w:szCs w:val="17"/>
          <w:lang w:val="en-GB"/>
        </w:rPr>
        <w:t xml:space="preserve"> – a status usually given to a person who has been previously convicted of a crime for committing subsequent crimes, which is considered an aggravating circumstance.</w:t>
      </w:r>
    </w:p>
    <w:p w:rsidR="002E6A00" w:rsidRPr="000D55FC" w:rsidRDefault="00D5699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Juvenile</w:t>
      </w:r>
      <w:r>
        <w:rPr>
          <w:rFonts w:ascii="Arial" w:hAnsi="Arial" w:cs="Arial"/>
          <w:i/>
          <w:iCs/>
          <w:color w:val="auto"/>
          <w:sz w:val="20"/>
          <w:szCs w:val="17"/>
          <w:lang w:val="en-GB"/>
        </w:rPr>
        <w:t xml:space="preserve"> – a person aged at least 15 but not more than 18 years at the time the offence was committed.</w:t>
      </w:r>
    </w:p>
    <w:p w:rsidR="002E6A00" w:rsidRPr="000D55FC" w:rsidRDefault="00D5699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Imprisonment</w:t>
      </w:r>
      <w:r>
        <w:rPr>
          <w:rFonts w:ascii="Arial" w:hAnsi="Arial" w:cs="Arial"/>
          <w:i/>
          <w:iCs/>
          <w:color w:val="auto"/>
          <w:sz w:val="20"/>
          <w:szCs w:val="17"/>
          <w:lang w:val="en-GB"/>
        </w:rPr>
        <w:t xml:space="preserve"> – a sentence served in prisons run by the Prison Service of the Czech Republic. </w:t>
      </w:r>
    </w:p>
    <w:p w:rsidR="002E6A00" w:rsidRPr="000D55FC" w:rsidRDefault="00D5699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Probation order</w:t>
      </w:r>
      <w:r>
        <w:rPr>
          <w:rFonts w:ascii="Arial" w:hAnsi="Arial" w:cs="Arial"/>
          <w:i/>
          <w:iCs/>
          <w:color w:val="auto"/>
          <w:sz w:val="20"/>
          <w:szCs w:val="17"/>
          <w:lang w:val="en-GB"/>
        </w:rPr>
        <w:t xml:space="preserve"> – sentence execution is conditionally suspended over a probationary period.</w:t>
      </w:r>
    </w:p>
    <w:p w:rsidR="002E6A00" w:rsidRPr="000D55FC" w:rsidRDefault="00D5699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Probation order</w:t>
      </w:r>
      <w:r>
        <w:rPr>
          <w:rFonts w:ascii="Arial" w:hAnsi="Arial" w:cs="Arial"/>
          <w:i/>
          <w:iCs/>
          <w:color w:val="auto"/>
          <w:sz w:val="20"/>
          <w:szCs w:val="17"/>
          <w:lang w:val="en-GB"/>
        </w:rPr>
        <w:t xml:space="preserve"> </w:t>
      </w:r>
      <w:r>
        <w:rPr>
          <w:rFonts w:ascii="Arial" w:hAnsi="Arial" w:cs="Arial"/>
          <w:b/>
          <w:bCs/>
          <w:i/>
          <w:iCs/>
          <w:color w:val="auto"/>
          <w:sz w:val="20"/>
          <w:szCs w:val="17"/>
          <w:lang w:val="en-GB"/>
        </w:rPr>
        <w:t>with supervision</w:t>
      </w:r>
      <w:r>
        <w:rPr>
          <w:rFonts w:ascii="Arial" w:hAnsi="Arial" w:cs="Arial"/>
          <w:i/>
          <w:iCs/>
          <w:color w:val="auto"/>
          <w:sz w:val="20"/>
          <w:szCs w:val="17"/>
          <w:lang w:val="en-GB"/>
        </w:rPr>
        <w:t xml:space="preserve"> – sentence execution is conditionally suspended over a probationary period and the offender is under supervision. </w:t>
      </w:r>
    </w:p>
    <w:p w:rsidR="002E6A00" w:rsidRPr="000D55FC" w:rsidRDefault="00D5699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Sentence combined with other sentences</w:t>
      </w:r>
      <w:r>
        <w:rPr>
          <w:rFonts w:ascii="Arial" w:hAnsi="Arial" w:cs="Arial"/>
          <w:i/>
          <w:iCs/>
          <w:color w:val="auto"/>
          <w:sz w:val="20"/>
          <w:szCs w:val="17"/>
          <w:lang w:val="en-GB"/>
        </w:rPr>
        <w:t xml:space="preserve"> – imposition of more sentences concurrently within the meaning of Section</w:t>
      </w:r>
      <w:r>
        <w:rPr>
          <w:rFonts w:ascii="Arial" w:hAnsi="Arial" w:cs="Arial"/>
          <w:i/>
          <w:color w:val="auto"/>
          <w:sz w:val="20"/>
          <w:szCs w:val="20"/>
          <w:lang w:val="en-GB"/>
        </w:rPr>
        <w:t> 53 of the</w:t>
      </w:r>
      <w:r w:rsidR="006F1FD5">
        <w:rPr>
          <w:rFonts w:ascii="Arial" w:hAnsi="Arial" w:cs="Arial"/>
          <w:i/>
          <w:color w:val="auto"/>
          <w:sz w:val="20"/>
          <w:szCs w:val="20"/>
          <w:lang w:val="en-GB"/>
        </w:rPr>
        <w:t xml:space="preserve"> new</w:t>
      </w:r>
      <w:r>
        <w:rPr>
          <w:rFonts w:ascii="Arial" w:hAnsi="Arial" w:cs="Arial"/>
          <w:i/>
          <w:color w:val="auto"/>
          <w:sz w:val="20"/>
          <w:szCs w:val="20"/>
          <w:lang w:val="en-GB"/>
        </w:rPr>
        <w:t> </w:t>
      </w:r>
      <w:r>
        <w:rPr>
          <w:rFonts w:ascii="Arial" w:hAnsi="Arial" w:cs="Arial"/>
          <w:bCs/>
          <w:i/>
          <w:color w:val="auto"/>
          <w:sz w:val="20"/>
          <w:szCs w:val="20"/>
          <w:lang w:val="en-GB"/>
        </w:rPr>
        <w:t>Criminal Code</w:t>
      </w:r>
      <w:r>
        <w:rPr>
          <w:rFonts w:ascii="Arial" w:hAnsi="Arial" w:cs="Arial"/>
          <w:i/>
          <w:color w:val="auto"/>
          <w:sz w:val="20"/>
          <w:szCs w:val="20"/>
          <w:lang w:val="en-GB"/>
        </w:rPr>
        <w:t>.</w:t>
      </w:r>
    </w:p>
    <w:p w:rsidR="002E6A00" w:rsidRPr="000D55FC" w:rsidRDefault="00D5699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Prohibition of activity</w:t>
      </w:r>
      <w:r>
        <w:rPr>
          <w:rFonts w:ascii="Arial" w:hAnsi="Arial" w:cs="Arial"/>
          <w:i/>
          <w:iCs/>
          <w:color w:val="auto"/>
          <w:sz w:val="20"/>
          <w:szCs w:val="17"/>
          <w:lang w:val="en-GB"/>
        </w:rPr>
        <w:t xml:space="preserve"> – professional ban or prohibition to undertake activities (carry out an occupation, profession, function) for the period of one to ten years.</w:t>
      </w:r>
    </w:p>
    <w:p w:rsidR="002E6A00" w:rsidRPr="000D55FC" w:rsidRDefault="00D5699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 xml:space="preserve">Other sentence </w:t>
      </w:r>
      <w:r>
        <w:rPr>
          <w:rFonts w:ascii="Arial" w:hAnsi="Arial" w:cs="Arial"/>
          <w:i/>
          <w:iCs/>
          <w:color w:val="auto"/>
          <w:sz w:val="20"/>
          <w:szCs w:val="17"/>
          <w:lang w:val="en-GB"/>
        </w:rPr>
        <w:t>– e.g. deprivation of titles of honour and awards, loss of military rank, forfeiture of property, forfeiture of a thing, banishment, prohibition of residence, etc.</w:t>
      </w:r>
    </w:p>
    <w:p w:rsidR="00A97B3F" w:rsidRPr="000D55FC" w:rsidRDefault="000F70A0">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Punitive</w:t>
      </w:r>
      <w:r w:rsidRPr="000F70A0">
        <w:rPr>
          <w:rFonts w:ascii="Arial" w:hAnsi="Arial" w:cs="Arial"/>
          <w:b/>
          <w:bCs/>
          <w:i/>
          <w:iCs/>
          <w:color w:val="auto"/>
          <w:sz w:val="20"/>
          <w:szCs w:val="17"/>
          <w:lang w:val="en-GB"/>
        </w:rPr>
        <w:t xml:space="preserve"> </w:t>
      </w:r>
      <w:r w:rsidR="002E1CF5" w:rsidRPr="000F70A0">
        <w:rPr>
          <w:rFonts w:ascii="Arial" w:hAnsi="Arial" w:cs="Arial"/>
          <w:b/>
          <w:bCs/>
          <w:i/>
          <w:iCs/>
          <w:color w:val="auto"/>
          <w:sz w:val="20"/>
          <w:szCs w:val="17"/>
          <w:lang w:val="en-GB"/>
        </w:rPr>
        <w:t>measure</w:t>
      </w:r>
      <w:r w:rsidR="00D47948">
        <w:rPr>
          <w:rFonts w:ascii="Arial" w:hAnsi="Arial" w:cs="Arial"/>
          <w:b/>
          <w:bCs/>
          <w:i/>
          <w:iCs/>
          <w:color w:val="auto"/>
          <w:sz w:val="20"/>
          <w:szCs w:val="17"/>
          <w:lang w:val="en-GB"/>
        </w:rPr>
        <w:t xml:space="preserve"> </w:t>
      </w:r>
      <w:r w:rsidR="00D47948">
        <w:rPr>
          <w:rFonts w:ascii="Arial" w:hAnsi="Arial" w:cs="Arial"/>
          <w:i/>
          <w:iCs/>
          <w:color w:val="auto"/>
          <w:sz w:val="20"/>
          <w:szCs w:val="17"/>
          <w:lang w:val="en-GB"/>
        </w:rPr>
        <w:t xml:space="preserve">– unlike the provisions of </w:t>
      </w:r>
      <w:r w:rsidR="00D47948">
        <w:rPr>
          <w:rFonts w:ascii="Arial" w:hAnsi="Arial" w:cs="Arial"/>
          <w:i/>
          <w:color w:val="auto"/>
          <w:sz w:val="20"/>
          <w:szCs w:val="20"/>
          <w:lang w:val="en-GB"/>
        </w:rPr>
        <w:t>the old Criminal Code or more precisely</w:t>
      </w:r>
      <w:r w:rsidR="00D56994">
        <w:rPr>
          <w:rFonts w:ascii="Arial" w:hAnsi="Arial" w:cs="Arial"/>
          <w:i/>
          <w:color w:val="auto"/>
          <w:sz w:val="20"/>
          <w:szCs w:val="20"/>
          <w:lang w:val="en-GB"/>
        </w:rPr>
        <w:t xml:space="preserve"> </w:t>
      </w:r>
      <w:r w:rsidR="00D56994">
        <w:rPr>
          <w:rFonts w:ascii="Arial" w:hAnsi="Arial" w:cs="Arial"/>
          <w:i/>
          <w:iCs/>
          <w:color w:val="auto"/>
          <w:sz w:val="20"/>
          <w:szCs w:val="17"/>
          <w:lang w:val="en-GB"/>
        </w:rPr>
        <w:t xml:space="preserve">the new Criminal Code for adult offenders, sanctions for criminal offences committed by juveniles are not called sentence but </w:t>
      </w:r>
      <w:r w:rsidR="00B66F6A">
        <w:rPr>
          <w:rFonts w:ascii="Arial" w:hAnsi="Arial" w:cs="Arial"/>
          <w:i/>
          <w:iCs/>
          <w:color w:val="auto"/>
          <w:sz w:val="20"/>
          <w:szCs w:val="17"/>
          <w:lang w:val="en-GB"/>
        </w:rPr>
        <w:t xml:space="preserve">punitive </w:t>
      </w:r>
      <w:r w:rsidR="00D56994">
        <w:rPr>
          <w:rFonts w:ascii="Arial" w:hAnsi="Arial" w:cs="Arial"/>
          <w:i/>
          <w:iCs/>
          <w:color w:val="auto"/>
          <w:sz w:val="20"/>
          <w:szCs w:val="17"/>
          <w:lang w:val="en-GB"/>
        </w:rPr>
        <w:t xml:space="preserve">measures under the Act No. 218/2003 Sb., on Liability of Juveniles for Illegal Acts and on Juvenile Courts and amending certain acts (the Act on Juvenile Courts), as amended. </w:t>
      </w:r>
    </w:p>
    <w:p w:rsidR="002E6A00" w:rsidRPr="000D55FC" w:rsidRDefault="00D5699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 xml:space="preserve">Absolute discharge </w:t>
      </w:r>
      <w:r>
        <w:rPr>
          <w:rFonts w:ascii="Arial" w:hAnsi="Arial" w:cs="Arial"/>
          <w:i/>
          <w:iCs/>
          <w:color w:val="auto"/>
          <w:sz w:val="20"/>
          <w:szCs w:val="17"/>
          <w:lang w:val="en-GB"/>
        </w:rPr>
        <w:t xml:space="preserve">– a convict is discharged without punishment under Sections 24, 25, and 26 of the old Criminal Code </w:t>
      </w:r>
      <w:r>
        <w:rPr>
          <w:rFonts w:ascii="Arial" w:hAnsi="Arial" w:cs="Arial"/>
          <w:bCs/>
          <w:i/>
          <w:color w:val="auto"/>
          <w:sz w:val="20"/>
          <w:szCs w:val="20"/>
          <w:lang w:val="en-GB"/>
        </w:rPr>
        <w:t>or Sections 46, 47, and 48 of the new Criminal Code</w:t>
      </w:r>
      <w:r>
        <w:rPr>
          <w:rFonts w:ascii="Arial" w:hAnsi="Arial" w:cs="Arial"/>
          <w:i/>
          <w:iCs/>
          <w:color w:val="auto"/>
          <w:sz w:val="20"/>
          <w:szCs w:val="17"/>
          <w:lang w:val="en-GB"/>
        </w:rPr>
        <w:t>.</w:t>
      </w:r>
    </w:p>
    <w:p w:rsidR="002E6A00" w:rsidRPr="000D55FC" w:rsidRDefault="002E6A00">
      <w:pPr>
        <w:pStyle w:val="Normlnweb"/>
        <w:spacing w:before="0" w:beforeAutospacing="0" w:after="0" w:afterAutospacing="0"/>
        <w:jc w:val="both"/>
        <w:rPr>
          <w:rFonts w:ascii="Arial" w:hAnsi="Arial" w:cs="Arial"/>
          <w:i/>
          <w:iCs/>
          <w:color w:val="auto"/>
          <w:sz w:val="20"/>
          <w:szCs w:val="17"/>
          <w:lang w:val="en-GB"/>
        </w:rPr>
      </w:pPr>
    </w:p>
    <w:p w:rsidR="002E6A00" w:rsidRPr="000D55FC" w:rsidRDefault="002E6A00">
      <w:pPr>
        <w:pStyle w:val="Normlnweb"/>
        <w:spacing w:before="0" w:beforeAutospacing="0" w:after="0" w:afterAutospacing="0"/>
        <w:jc w:val="both"/>
        <w:rPr>
          <w:rFonts w:ascii="Arial" w:hAnsi="Arial" w:cs="Arial"/>
          <w:i/>
          <w:iCs/>
          <w:color w:val="auto"/>
          <w:sz w:val="20"/>
          <w:szCs w:val="17"/>
          <w:lang w:val="en-GB"/>
        </w:rPr>
      </w:pPr>
    </w:p>
    <w:p w:rsidR="002E6A00" w:rsidRPr="000D55FC" w:rsidRDefault="00D56994">
      <w:pPr>
        <w:pStyle w:val="Normlnweb"/>
        <w:spacing w:before="0" w:beforeAutospacing="0" w:after="0" w:afterAutospacing="0"/>
        <w:ind w:left="709" w:hanging="709"/>
        <w:jc w:val="both"/>
        <w:rPr>
          <w:rFonts w:ascii="Arial" w:hAnsi="Arial" w:cs="Arial"/>
          <w:i/>
          <w:iCs/>
          <w:color w:val="auto"/>
          <w:sz w:val="20"/>
          <w:szCs w:val="17"/>
          <w:lang w:val="en-GB"/>
        </w:rPr>
      </w:pPr>
      <w:r>
        <w:rPr>
          <w:rFonts w:ascii="Arial" w:hAnsi="Arial" w:cs="Arial"/>
          <w:i/>
          <w:iCs/>
          <w:color w:val="auto"/>
          <w:sz w:val="20"/>
          <w:szCs w:val="17"/>
          <w:lang w:val="en-GB"/>
        </w:rPr>
        <w:lastRenderedPageBreak/>
        <w:t xml:space="preserve">Tables </w:t>
      </w:r>
      <w:r>
        <w:rPr>
          <w:rFonts w:ascii="Arial" w:hAnsi="Arial" w:cs="Arial"/>
          <w:b/>
          <w:bCs/>
          <w:i/>
          <w:iCs/>
          <w:color w:val="auto"/>
          <w:sz w:val="20"/>
          <w:szCs w:val="17"/>
          <w:lang w:val="en-GB"/>
        </w:rPr>
        <w:t>27</w:t>
      </w:r>
      <w:r>
        <w:rPr>
          <w:rFonts w:ascii="Arial" w:hAnsi="Arial" w:cs="Arial"/>
          <w:i/>
          <w:iCs/>
          <w:color w:val="auto"/>
          <w:sz w:val="20"/>
          <w:szCs w:val="17"/>
          <w:lang w:val="en-GB"/>
        </w:rPr>
        <w:t xml:space="preserve">-4 and </w:t>
      </w:r>
      <w:r>
        <w:rPr>
          <w:rFonts w:ascii="Arial" w:hAnsi="Arial" w:cs="Arial"/>
          <w:b/>
          <w:bCs/>
          <w:i/>
          <w:iCs/>
          <w:color w:val="auto"/>
          <w:sz w:val="20"/>
          <w:szCs w:val="17"/>
          <w:lang w:val="en-GB"/>
        </w:rPr>
        <w:t>27</w:t>
      </w:r>
      <w:r>
        <w:rPr>
          <w:rFonts w:ascii="Arial" w:hAnsi="Arial" w:cs="Arial"/>
          <w:i/>
          <w:iCs/>
          <w:color w:val="auto"/>
          <w:sz w:val="20"/>
          <w:szCs w:val="17"/>
          <w:lang w:val="en-GB"/>
        </w:rPr>
        <w:t xml:space="preserve">-5. </w:t>
      </w:r>
      <w:r>
        <w:rPr>
          <w:rFonts w:ascii="Arial" w:hAnsi="Arial" w:cs="Arial"/>
          <w:b/>
          <w:bCs/>
          <w:i/>
          <w:iCs/>
          <w:color w:val="auto"/>
          <w:sz w:val="20"/>
          <w:szCs w:val="17"/>
          <w:lang w:val="en-GB"/>
        </w:rPr>
        <w:t>All persons convicted and juveniles convicted of selected criminal offences</w:t>
      </w:r>
    </w:p>
    <w:p w:rsidR="007F7344" w:rsidRPr="000D55FC" w:rsidRDefault="00D56994">
      <w:pPr>
        <w:pStyle w:val="Normlnweb"/>
        <w:spacing w:before="120" w:beforeAutospacing="0" w:after="0" w:afterAutospacing="0"/>
        <w:ind w:firstLine="709"/>
        <w:jc w:val="both"/>
        <w:rPr>
          <w:rFonts w:ascii="Arial" w:hAnsi="Arial" w:cs="Arial"/>
          <w:i/>
          <w:color w:val="auto"/>
          <w:sz w:val="20"/>
          <w:szCs w:val="20"/>
          <w:lang w:val="en-GB"/>
        </w:rPr>
      </w:pPr>
      <w:r>
        <w:rPr>
          <w:rFonts w:ascii="Arial" w:hAnsi="Arial" w:cs="Arial"/>
          <w:i/>
          <w:color w:val="auto"/>
          <w:sz w:val="20"/>
          <w:szCs w:val="20"/>
          <w:lang w:val="en-GB"/>
        </w:rPr>
        <w:t xml:space="preserve">Data in the tables are sums of persons convicted </w:t>
      </w:r>
      <w:r w:rsidR="00771D65">
        <w:rPr>
          <w:rFonts w:ascii="Arial" w:hAnsi="Arial" w:cs="Arial"/>
          <w:i/>
          <w:color w:val="auto"/>
          <w:sz w:val="20"/>
          <w:szCs w:val="20"/>
          <w:lang w:val="en-GB"/>
        </w:rPr>
        <w:t xml:space="preserve">pursuant to </w:t>
      </w:r>
      <w:r w:rsidR="00AB0694">
        <w:rPr>
          <w:rFonts w:ascii="Arial" w:hAnsi="Arial" w:cs="Arial"/>
          <w:i/>
          <w:color w:val="auto"/>
          <w:sz w:val="20"/>
          <w:szCs w:val="20"/>
          <w:lang w:val="en-GB"/>
        </w:rPr>
        <w:t>the old and new Criminal Code.</w:t>
      </w:r>
    </w:p>
    <w:p w:rsidR="002E6A00" w:rsidRPr="000D55FC" w:rsidRDefault="00D5699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Traffic offences</w:t>
      </w:r>
      <w:r>
        <w:rPr>
          <w:rFonts w:ascii="Arial" w:hAnsi="Arial" w:cs="Arial"/>
          <w:i/>
          <w:iCs/>
          <w:color w:val="auto"/>
          <w:sz w:val="20"/>
          <w:szCs w:val="17"/>
          <w:lang w:val="en-GB"/>
        </w:rPr>
        <w:t xml:space="preserve"> – offences committed in connection with the operation of a means of transport.</w:t>
      </w:r>
    </w:p>
    <w:p w:rsidR="002E6A00" w:rsidRPr="000D55FC" w:rsidRDefault="002E6A00">
      <w:pPr>
        <w:pStyle w:val="Normlnweb"/>
        <w:spacing w:before="0" w:beforeAutospacing="0" w:after="0" w:afterAutospacing="0"/>
        <w:jc w:val="both"/>
        <w:rPr>
          <w:rFonts w:ascii="Arial" w:hAnsi="Arial" w:cs="Arial"/>
          <w:i/>
          <w:iCs/>
          <w:color w:val="auto"/>
          <w:sz w:val="20"/>
          <w:szCs w:val="17"/>
          <w:lang w:val="en-GB"/>
        </w:rPr>
      </w:pPr>
    </w:p>
    <w:p w:rsidR="005E3DA8" w:rsidRPr="000D55FC" w:rsidRDefault="005E3DA8">
      <w:pPr>
        <w:pStyle w:val="Normlnweb"/>
        <w:spacing w:before="0" w:beforeAutospacing="0" w:after="0" w:afterAutospacing="0"/>
        <w:jc w:val="both"/>
        <w:rPr>
          <w:rFonts w:ascii="Arial" w:hAnsi="Arial" w:cs="Arial"/>
          <w:i/>
          <w:iCs/>
          <w:color w:val="auto"/>
          <w:sz w:val="20"/>
          <w:szCs w:val="17"/>
          <w:lang w:val="en-GB"/>
        </w:rPr>
      </w:pPr>
    </w:p>
    <w:p w:rsidR="008A7BD0" w:rsidRPr="003247F6" w:rsidRDefault="00D56994" w:rsidP="008A7BD0">
      <w:pPr>
        <w:pStyle w:val="Zkladntext"/>
        <w:rPr>
          <w:rFonts w:ascii="Arial" w:hAnsi="Arial" w:cs="Arial"/>
          <w:sz w:val="20"/>
          <w:szCs w:val="20"/>
        </w:rPr>
      </w:pPr>
      <w:r>
        <w:rPr>
          <w:rFonts w:ascii="Arial" w:hAnsi="Arial" w:cs="Arial"/>
          <w:sz w:val="20"/>
          <w:szCs w:val="20"/>
        </w:rPr>
        <w:t xml:space="preserve">Table </w:t>
      </w:r>
      <w:r>
        <w:rPr>
          <w:rFonts w:ascii="Arial" w:hAnsi="Arial" w:cs="Arial"/>
          <w:b/>
          <w:sz w:val="20"/>
          <w:szCs w:val="20"/>
        </w:rPr>
        <w:t>27</w:t>
      </w:r>
      <w:r>
        <w:rPr>
          <w:rFonts w:ascii="Arial" w:hAnsi="Arial" w:cs="Arial"/>
          <w:sz w:val="20"/>
          <w:szCs w:val="20"/>
        </w:rPr>
        <w:t xml:space="preserve">-6. </w:t>
      </w:r>
      <w:r>
        <w:rPr>
          <w:rFonts w:ascii="Arial" w:hAnsi="Arial" w:cs="Arial"/>
          <w:b/>
          <w:sz w:val="20"/>
          <w:szCs w:val="20"/>
        </w:rPr>
        <w:t>Persons in custody and in prison</w:t>
      </w:r>
    </w:p>
    <w:p w:rsidR="008A7BD0" w:rsidRPr="000D55FC" w:rsidRDefault="00D56994" w:rsidP="005E3DA8">
      <w:pPr>
        <w:pStyle w:val="Zkladntext"/>
        <w:spacing w:before="120"/>
        <w:ind w:firstLine="709"/>
        <w:rPr>
          <w:rFonts w:ascii="Arial" w:hAnsi="Arial" w:cs="Arial"/>
          <w:sz w:val="20"/>
          <w:szCs w:val="20"/>
        </w:rPr>
      </w:pPr>
      <w:r>
        <w:rPr>
          <w:rFonts w:ascii="Arial" w:hAnsi="Arial" w:cs="Arial"/>
          <w:b/>
          <w:sz w:val="20"/>
          <w:szCs w:val="20"/>
        </w:rPr>
        <w:t>Inmate</w:t>
      </w:r>
      <w:r>
        <w:rPr>
          <w:rFonts w:ascii="Arial" w:hAnsi="Arial" w:cs="Arial"/>
          <w:sz w:val="20"/>
          <w:szCs w:val="20"/>
        </w:rPr>
        <w:t xml:space="preserve"> – a person in a security detention according to the Act No. 129/2008 Sb., on Security Detention and amending certain related acts, as amended.</w:t>
      </w:r>
    </w:p>
    <w:p w:rsidR="008A7BD0" w:rsidRPr="000D55FC" w:rsidRDefault="008A7BD0">
      <w:pPr>
        <w:pStyle w:val="Normlnweb"/>
        <w:spacing w:before="0" w:beforeAutospacing="0" w:after="0" w:afterAutospacing="0"/>
        <w:jc w:val="both"/>
        <w:rPr>
          <w:rFonts w:ascii="Arial" w:hAnsi="Arial" w:cs="Arial"/>
          <w:i/>
          <w:iCs/>
          <w:color w:val="auto"/>
          <w:sz w:val="20"/>
          <w:szCs w:val="20"/>
          <w:lang w:val="en-GB"/>
        </w:rPr>
      </w:pPr>
    </w:p>
    <w:p w:rsidR="002E6A00" w:rsidRPr="000D55FC" w:rsidRDefault="002E6A00">
      <w:pPr>
        <w:pStyle w:val="Normlnweb"/>
        <w:spacing w:before="0" w:beforeAutospacing="0" w:after="0" w:afterAutospacing="0"/>
        <w:jc w:val="both"/>
        <w:rPr>
          <w:rFonts w:ascii="Arial" w:hAnsi="Arial" w:cs="Arial"/>
          <w:i/>
          <w:iCs/>
          <w:color w:val="auto"/>
          <w:sz w:val="20"/>
          <w:szCs w:val="17"/>
          <w:lang w:val="en-GB"/>
        </w:rPr>
      </w:pPr>
    </w:p>
    <w:p w:rsidR="002E6A00" w:rsidRPr="000D55FC" w:rsidRDefault="00D56994">
      <w:pPr>
        <w:pStyle w:val="Normlnweb"/>
        <w:spacing w:before="0" w:beforeAutospacing="0" w:after="0" w:afterAutospacing="0"/>
        <w:jc w:val="both"/>
        <w:rPr>
          <w:rFonts w:ascii="Arial" w:hAnsi="Arial" w:cs="Arial"/>
          <w:i/>
          <w:iCs/>
          <w:color w:val="auto"/>
          <w:sz w:val="20"/>
          <w:szCs w:val="17"/>
          <w:lang w:val="en-GB"/>
        </w:rPr>
      </w:pPr>
      <w:r>
        <w:rPr>
          <w:rFonts w:ascii="Arial" w:hAnsi="Arial" w:cs="Arial"/>
          <w:i/>
          <w:iCs/>
          <w:color w:val="auto"/>
          <w:sz w:val="20"/>
          <w:szCs w:val="17"/>
          <w:lang w:val="en-GB"/>
        </w:rPr>
        <w:t xml:space="preserve">Table </w:t>
      </w:r>
      <w:r>
        <w:rPr>
          <w:rFonts w:ascii="Arial" w:hAnsi="Arial" w:cs="Arial"/>
          <w:b/>
          <w:bCs/>
          <w:i/>
          <w:iCs/>
          <w:color w:val="auto"/>
          <w:sz w:val="20"/>
          <w:szCs w:val="17"/>
          <w:lang w:val="en-GB"/>
        </w:rPr>
        <w:t>27</w:t>
      </w:r>
      <w:r>
        <w:rPr>
          <w:rFonts w:ascii="Arial" w:hAnsi="Arial" w:cs="Arial"/>
          <w:i/>
          <w:iCs/>
          <w:color w:val="auto"/>
          <w:sz w:val="20"/>
          <w:szCs w:val="17"/>
          <w:lang w:val="en-GB"/>
        </w:rPr>
        <w:t xml:space="preserve">-11. </w:t>
      </w:r>
      <w:r>
        <w:rPr>
          <w:rFonts w:ascii="Arial" w:hAnsi="Arial" w:cs="Arial"/>
          <w:b/>
          <w:bCs/>
          <w:i/>
          <w:iCs/>
          <w:color w:val="auto"/>
          <w:sz w:val="20"/>
          <w:szCs w:val="17"/>
          <w:lang w:val="en-GB"/>
        </w:rPr>
        <w:t>Convicts by prison category</w:t>
      </w:r>
    </w:p>
    <w:p w:rsidR="002E6A00" w:rsidRPr="000D55FC" w:rsidRDefault="00D5699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 xml:space="preserve">Juvenile prisons </w:t>
      </w:r>
      <w:r>
        <w:rPr>
          <w:rFonts w:ascii="Arial" w:hAnsi="Arial" w:cs="Arial"/>
          <w:i/>
          <w:iCs/>
          <w:color w:val="auto"/>
          <w:sz w:val="20"/>
          <w:szCs w:val="17"/>
          <w:lang w:val="en-GB"/>
        </w:rPr>
        <w:t xml:space="preserve">are used for convicted young people under the age of 19 years and for older persons if ruled by the court that they would serve their sentence among juvenile inmates after reaching the age of 19 years. </w:t>
      </w:r>
    </w:p>
    <w:p w:rsidR="002E6A00" w:rsidRPr="000D55FC" w:rsidRDefault="002E6A00">
      <w:pPr>
        <w:pStyle w:val="Normlnweb"/>
        <w:spacing w:before="0" w:beforeAutospacing="0" w:after="0" w:afterAutospacing="0"/>
        <w:jc w:val="both"/>
        <w:rPr>
          <w:rFonts w:ascii="Arial" w:hAnsi="Arial" w:cs="Arial"/>
          <w:i/>
          <w:iCs/>
          <w:color w:val="auto"/>
          <w:sz w:val="20"/>
          <w:szCs w:val="17"/>
          <w:lang w:val="en-GB"/>
        </w:rPr>
      </w:pPr>
    </w:p>
    <w:p w:rsidR="002E6A00" w:rsidRPr="000D55FC" w:rsidRDefault="002E6A00">
      <w:pPr>
        <w:pStyle w:val="Normlnweb"/>
        <w:spacing w:before="0" w:beforeAutospacing="0" w:after="0" w:afterAutospacing="0"/>
        <w:jc w:val="both"/>
        <w:rPr>
          <w:rFonts w:ascii="Arial" w:hAnsi="Arial" w:cs="Arial"/>
          <w:i/>
          <w:iCs/>
          <w:color w:val="auto"/>
          <w:sz w:val="20"/>
          <w:szCs w:val="17"/>
          <w:lang w:val="en-GB"/>
        </w:rPr>
      </w:pPr>
    </w:p>
    <w:p w:rsidR="002E6A00" w:rsidRPr="000D55FC" w:rsidRDefault="00D56994">
      <w:pPr>
        <w:pStyle w:val="Normlnweb"/>
        <w:spacing w:before="0" w:beforeAutospacing="0" w:after="0" w:afterAutospacing="0"/>
        <w:ind w:left="709" w:hanging="709"/>
        <w:jc w:val="both"/>
        <w:rPr>
          <w:rFonts w:ascii="Arial" w:hAnsi="Arial" w:cs="Arial"/>
          <w:i/>
          <w:iCs/>
          <w:color w:val="auto"/>
          <w:sz w:val="20"/>
          <w:szCs w:val="17"/>
          <w:lang w:val="en-GB"/>
        </w:rPr>
      </w:pPr>
      <w:r>
        <w:rPr>
          <w:rFonts w:ascii="Arial" w:hAnsi="Arial" w:cs="Arial"/>
          <w:i/>
          <w:iCs/>
          <w:color w:val="auto"/>
          <w:sz w:val="20"/>
          <w:szCs w:val="17"/>
          <w:lang w:val="en-GB"/>
        </w:rPr>
        <w:t xml:space="preserve">Table </w:t>
      </w:r>
      <w:r>
        <w:rPr>
          <w:rFonts w:ascii="Arial" w:hAnsi="Arial" w:cs="Arial"/>
          <w:b/>
          <w:bCs/>
          <w:i/>
          <w:iCs/>
          <w:color w:val="auto"/>
          <w:sz w:val="20"/>
          <w:szCs w:val="17"/>
          <w:lang w:val="en-GB"/>
        </w:rPr>
        <w:t>27</w:t>
      </w:r>
      <w:r>
        <w:rPr>
          <w:rFonts w:ascii="Arial" w:hAnsi="Arial" w:cs="Arial"/>
          <w:i/>
          <w:iCs/>
          <w:color w:val="auto"/>
          <w:sz w:val="20"/>
          <w:szCs w:val="17"/>
          <w:lang w:val="en-GB"/>
        </w:rPr>
        <w:t xml:space="preserve">-15. </w:t>
      </w:r>
      <w:r>
        <w:rPr>
          <w:rFonts w:ascii="Arial" w:hAnsi="Arial" w:cs="Arial"/>
          <w:b/>
          <w:bCs/>
          <w:i/>
          <w:iCs/>
          <w:color w:val="auto"/>
          <w:sz w:val="20"/>
          <w:szCs w:val="17"/>
          <w:lang w:val="en-GB"/>
        </w:rPr>
        <w:t>Extraordinary events</w:t>
      </w:r>
    </w:p>
    <w:p w:rsidR="00DB203E" w:rsidRPr="000D55FC" w:rsidRDefault="00D5699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 xml:space="preserve">Interruption of the service of imprisonment </w:t>
      </w:r>
      <w:r>
        <w:rPr>
          <w:rFonts w:ascii="Arial" w:hAnsi="Arial" w:cs="Arial"/>
          <w:i/>
          <w:iCs/>
          <w:color w:val="auto"/>
          <w:sz w:val="20"/>
          <w:szCs w:val="17"/>
          <w:lang w:val="en-GB"/>
        </w:rPr>
        <w:t xml:space="preserve">– the prison manager may interrupt, as a reward, the service of imprisonment for up to 20 days per calendar year, providing the convict </w:t>
      </w:r>
      <w:bookmarkStart w:id="0" w:name="OLE_LINK1"/>
      <w:r>
        <w:rPr>
          <w:rFonts w:ascii="Arial" w:hAnsi="Arial" w:cs="Arial"/>
          <w:i/>
          <w:iCs/>
          <w:color w:val="auto"/>
          <w:sz w:val="20"/>
          <w:szCs w:val="17"/>
          <w:lang w:val="en-GB"/>
        </w:rPr>
        <w:t>fulfils the activity scheme</w:t>
      </w:r>
      <w:bookmarkEnd w:id="0"/>
      <w:r>
        <w:rPr>
          <w:rFonts w:ascii="Arial" w:hAnsi="Arial" w:cs="Arial"/>
          <w:i/>
          <w:iCs/>
          <w:color w:val="auto"/>
          <w:sz w:val="20"/>
          <w:szCs w:val="17"/>
          <w:lang w:val="en-GB"/>
        </w:rPr>
        <w:t xml:space="preserve"> successfully and the purpose of the imprisonment is being achieved. The interruption is included in the term of imprisonment.</w:t>
      </w:r>
    </w:p>
    <w:p w:rsidR="00405666" w:rsidRPr="000D55FC" w:rsidRDefault="00405666" w:rsidP="00D4394E">
      <w:pPr>
        <w:pStyle w:val="Normlnweb"/>
        <w:spacing w:before="0" w:beforeAutospacing="0" w:after="0" w:afterAutospacing="0"/>
        <w:jc w:val="both"/>
        <w:rPr>
          <w:rFonts w:ascii="Arial" w:hAnsi="Arial" w:cs="Arial"/>
          <w:i/>
          <w:iCs/>
          <w:color w:val="auto"/>
          <w:sz w:val="20"/>
          <w:szCs w:val="17"/>
          <w:lang w:val="en-GB"/>
        </w:rPr>
      </w:pPr>
    </w:p>
    <w:p w:rsidR="00D4394E" w:rsidRPr="000D55FC" w:rsidRDefault="00D4394E" w:rsidP="00D4394E">
      <w:pPr>
        <w:pStyle w:val="Normlnweb"/>
        <w:spacing w:before="0" w:beforeAutospacing="0" w:after="0" w:afterAutospacing="0"/>
        <w:jc w:val="both"/>
        <w:rPr>
          <w:rFonts w:ascii="Arial" w:hAnsi="Arial" w:cs="Arial"/>
          <w:i/>
          <w:iCs/>
          <w:color w:val="auto"/>
          <w:sz w:val="20"/>
          <w:szCs w:val="17"/>
          <w:lang w:val="en-GB"/>
        </w:rPr>
      </w:pPr>
    </w:p>
    <w:p w:rsidR="00DB203E" w:rsidRPr="000D55FC" w:rsidRDefault="00D56994" w:rsidP="00DB203E">
      <w:pPr>
        <w:ind w:left="1134" w:hanging="1134"/>
        <w:rPr>
          <w:rFonts w:ascii="Arial" w:hAnsi="Arial" w:cs="Arial"/>
          <w:i/>
          <w:sz w:val="20"/>
          <w:szCs w:val="20"/>
        </w:rPr>
      </w:pPr>
      <w:r>
        <w:rPr>
          <w:rFonts w:ascii="Arial" w:hAnsi="Arial" w:cs="Arial"/>
          <w:i/>
          <w:sz w:val="20"/>
          <w:szCs w:val="20"/>
        </w:rPr>
        <w:t xml:space="preserve">Table </w:t>
      </w:r>
      <w:r>
        <w:rPr>
          <w:rFonts w:ascii="Arial" w:hAnsi="Arial" w:cs="Arial"/>
          <w:b/>
          <w:bCs/>
          <w:i/>
          <w:sz w:val="20"/>
        </w:rPr>
        <w:t>27</w:t>
      </w:r>
      <w:r>
        <w:rPr>
          <w:rFonts w:ascii="Arial" w:hAnsi="Arial" w:cs="Arial"/>
          <w:i/>
          <w:sz w:val="20"/>
          <w:szCs w:val="20"/>
        </w:rPr>
        <w:t xml:space="preserve">-16. </w:t>
      </w:r>
      <w:r>
        <w:rPr>
          <w:rFonts w:ascii="Arial" w:hAnsi="Arial" w:cs="Arial"/>
          <w:b/>
          <w:bCs/>
          <w:i/>
          <w:sz w:val="20"/>
        </w:rPr>
        <w:t xml:space="preserve">Persons convicted of criminal offences relating to use and distribution of addictive substances </w:t>
      </w:r>
    </w:p>
    <w:p w:rsidR="002F4764" w:rsidRPr="000D55FC" w:rsidRDefault="005C7289" w:rsidP="00751772">
      <w:pPr>
        <w:pStyle w:val="Normlnweb"/>
        <w:spacing w:before="120" w:beforeAutospacing="0" w:after="0" w:afterAutospacing="0"/>
        <w:ind w:firstLine="709"/>
        <w:jc w:val="both"/>
        <w:rPr>
          <w:rFonts w:ascii="Arial" w:hAnsi="Arial" w:cs="Arial"/>
          <w:i/>
          <w:color w:val="000000"/>
          <w:sz w:val="20"/>
          <w:szCs w:val="20"/>
          <w:lang w:val="en-GB"/>
        </w:rPr>
      </w:pPr>
      <w:r w:rsidRPr="005C7289">
        <w:rPr>
          <w:rFonts w:ascii="Arial" w:hAnsi="Arial" w:cs="Arial"/>
          <w:i/>
          <w:color w:val="000000"/>
          <w:sz w:val="20"/>
          <w:szCs w:val="20"/>
          <w:lang w:val="en-GB"/>
        </w:rPr>
        <w:t>Data in the</w:t>
      </w:r>
      <w:r w:rsidR="007C142C">
        <w:rPr>
          <w:rFonts w:ascii="Arial" w:hAnsi="Arial" w:cs="Arial"/>
          <w:i/>
          <w:color w:val="000000"/>
          <w:sz w:val="20"/>
          <w:szCs w:val="20"/>
          <w:lang w:val="en-GB"/>
        </w:rPr>
        <w:t> </w:t>
      </w:r>
      <w:r w:rsidRPr="005C7289">
        <w:rPr>
          <w:rFonts w:ascii="Arial" w:hAnsi="Arial" w:cs="Arial"/>
          <w:i/>
          <w:color w:val="000000"/>
          <w:sz w:val="20"/>
          <w:szCs w:val="20"/>
          <w:lang w:val="en-GB"/>
        </w:rPr>
        <w:t xml:space="preserve">table are sums </w:t>
      </w:r>
      <w:r w:rsidR="00D56994">
        <w:rPr>
          <w:rFonts w:ascii="Arial" w:hAnsi="Arial" w:cs="Arial"/>
          <w:i/>
          <w:color w:val="000000"/>
          <w:sz w:val="20"/>
          <w:szCs w:val="20"/>
          <w:lang w:val="en-GB"/>
        </w:rPr>
        <w:t>of persons convicted under Sections 187, 187(a), 188, 188(a), 201, 201(a) of the</w:t>
      </w:r>
      <w:r w:rsidR="007C142C">
        <w:rPr>
          <w:rFonts w:ascii="Arial" w:hAnsi="Arial" w:cs="Arial"/>
          <w:i/>
          <w:color w:val="000000"/>
          <w:sz w:val="20"/>
          <w:szCs w:val="20"/>
          <w:lang w:val="en-GB"/>
        </w:rPr>
        <w:t> </w:t>
      </w:r>
      <w:r w:rsidR="00D56994">
        <w:rPr>
          <w:rFonts w:ascii="Arial" w:hAnsi="Arial" w:cs="Arial"/>
          <w:i/>
          <w:color w:val="000000"/>
          <w:sz w:val="20"/>
          <w:szCs w:val="20"/>
          <w:lang w:val="en-GB"/>
        </w:rPr>
        <w:t>old Criminal Code and Sections 283, 284, 286, 287, 274, and 360 of the</w:t>
      </w:r>
      <w:r w:rsidR="007C142C">
        <w:rPr>
          <w:rFonts w:ascii="Arial" w:hAnsi="Arial" w:cs="Arial"/>
          <w:i/>
          <w:color w:val="000000"/>
          <w:sz w:val="20"/>
          <w:szCs w:val="20"/>
          <w:lang w:val="en-GB"/>
        </w:rPr>
        <w:t> </w:t>
      </w:r>
      <w:r w:rsidR="00D56994">
        <w:rPr>
          <w:rFonts w:ascii="Arial" w:hAnsi="Arial" w:cs="Arial"/>
          <w:i/>
          <w:color w:val="000000"/>
          <w:sz w:val="20"/>
          <w:szCs w:val="20"/>
          <w:lang w:val="en-GB"/>
        </w:rPr>
        <w:t xml:space="preserve">new Criminal Code. </w:t>
      </w:r>
    </w:p>
    <w:p w:rsidR="00751772" w:rsidRPr="000D55FC" w:rsidRDefault="00751772" w:rsidP="007C142C">
      <w:pPr>
        <w:pStyle w:val="Normlnweb"/>
        <w:spacing w:before="0" w:beforeAutospacing="0" w:after="0" w:afterAutospacing="0"/>
        <w:jc w:val="both"/>
        <w:rPr>
          <w:rFonts w:ascii="Arial" w:hAnsi="Arial" w:cs="Arial"/>
          <w:i/>
          <w:iCs/>
          <w:color w:val="auto"/>
          <w:sz w:val="20"/>
          <w:szCs w:val="17"/>
          <w:lang w:val="en-GB"/>
        </w:rPr>
      </w:pPr>
    </w:p>
    <w:p w:rsidR="00D4394E" w:rsidRPr="000D55FC" w:rsidRDefault="00D4394E">
      <w:pPr>
        <w:pStyle w:val="Normlnweb"/>
        <w:spacing w:before="0" w:beforeAutospacing="0" w:after="0" w:afterAutospacing="0"/>
        <w:jc w:val="both"/>
        <w:rPr>
          <w:rFonts w:ascii="Arial" w:hAnsi="Arial" w:cs="Arial"/>
          <w:i/>
          <w:iCs/>
          <w:color w:val="auto"/>
          <w:sz w:val="20"/>
          <w:szCs w:val="17"/>
          <w:lang w:val="en-GB"/>
        </w:rPr>
      </w:pPr>
    </w:p>
    <w:p w:rsidR="002E6A00" w:rsidRPr="000D55FC" w:rsidRDefault="00D56994">
      <w:pPr>
        <w:pStyle w:val="Normlnweb"/>
        <w:spacing w:before="0" w:beforeAutospacing="0" w:after="0" w:afterAutospacing="0"/>
        <w:jc w:val="both"/>
        <w:rPr>
          <w:rFonts w:ascii="Arial" w:hAnsi="Arial" w:cs="Arial"/>
          <w:i/>
          <w:iCs/>
          <w:color w:val="auto"/>
          <w:sz w:val="20"/>
          <w:szCs w:val="17"/>
          <w:lang w:val="en-GB"/>
        </w:rPr>
      </w:pPr>
      <w:r>
        <w:rPr>
          <w:rFonts w:ascii="Arial" w:hAnsi="Arial" w:cs="Arial"/>
          <w:i/>
          <w:iCs/>
          <w:color w:val="auto"/>
          <w:sz w:val="20"/>
          <w:szCs w:val="17"/>
          <w:lang w:val="en-GB"/>
        </w:rPr>
        <w:t xml:space="preserve">Table </w:t>
      </w:r>
      <w:r>
        <w:rPr>
          <w:rFonts w:ascii="Arial" w:hAnsi="Arial" w:cs="Arial"/>
          <w:b/>
          <w:bCs/>
          <w:i/>
          <w:iCs/>
          <w:color w:val="auto"/>
          <w:sz w:val="20"/>
          <w:szCs w:val="17"/>
          <w:lang w:val="en-GB"/>
        </w:rPr>
        <w:t>27</w:t>
      </w:r>
      <w:r>
        <w:rPr>
          <w:rFonts w:ascii="Arial" w:hAnsi="Arial" w:cs="Arial"/>
          <w:i/>
          <w:iCs/>
          <w:color w:val="auto"/>
          <w:sz w:val="20"/>
          <w:szCs w:val="17"/>
          <w:lang w:val="en-GB"/>
        </w:rPr>
        <w:t xml:space="preserve">-17. </w:t>
      </w:r>
      <w:r>
        <w:rPr>
          <w:rFonts w:ascii="Arial" w:hAnsi="Arial" w:cs="Arial"/>
          <w:b/>
          <w:bCs/>
          <w:i/>
          <w:iCs/>
          <w:color w:val="auto"/>
          <w:sz w:val="20"/>
          <w:szCs w:val="17"/>
          <w:lang w:val="en-GB"/>
        </w:rPr>
        <w:t>Crime</w:t>
      </w:r>
    </w:p>
    <w:p w:rsidR="002E6A00" w:rsidRPr="000D55FC" w:rsidRDefault="00CE3AF0">
      <w:pPr>
        <w:pStyle w:val="Normlnweb"/>
        <w:spacing w:before="120" w:beforeAutospacing="0" w:after="0" w:afterAutospacing="0"/>
        <w:ind w:firstLine="709"/>
        <w:jc w:val="both"/>
        <w:rPr>
          <w:rFonts w:ascii="Arial" w:hAnsi="Arial" w:cs="Arial"/>
          <w:i/>
          <w:iCs/>
          <w:color w:val="auto"/>
          <w:sz w:val="20"/>
          <w:szCs w:val="17"/>
          <w:lang w:val="en-GB"/>
        </w:rPr>
      </w:pPr>
      <w:r w:rsidRPr="000D55FC">
        <w:rPr>
          <w:rFonts w:ascii="Arial" w:hAnsi="Arial" w:cs="Arial"/>
          <w:b/>
          <w:bCs/>
          <w:i/>
          <w:iCs/>
          <w:color w:val="auto"/>
          <w:sz w:val="20"/>
          <w:szCs w:val="17"/>
          <w:lang w:val="en-GB"/>
        </w:rPr>
        <w:t>Crime</w:t>
      </w:r>
      <w:r w:rsidR="003C45CC">
        <w:rPr>
          <w:rFonts w:ascii="Arial" w:hAnsi="Arial" w:cs="Arial"/>
          <w:b/>
          <w:bCs/>
          <w:i/>
          <w:iCs/>
          <w:color w:val="auto"/>
          <w:sz w:val="20"/>
          <w:szCs w:val="17"/>
          <w:lang w:val="en-GB"/>
        </w:rPr>
        <w:t>,</w:t>
      </w:r>
      <w:r w:rsidR="00D56994">
        <w:rPr>
          <w:rFonts w:ascii="Arial" w:hAnsi="Arial" w:cs="Arial"/>
          <w:b/>
          <w:bCs/>
          <w:i/>
          <w:iCs/>
          <w:color w:val="auto"/>
          <w:sz w:val="20"/>
          <w:szCs w:val="17"/>
          <w:lang w:val="en-GB"/>
        </w:rPr>
        <w:t xml:space="preserve"> total </w:t>
      </w:r>
      <w:r w:rsidR="00D56994">
        <w:rPr>
          <w:rFonts w:ascii="Arial" w:hAnsi="Arial" w:cs="Arial"/>
          <w:i/>
          <w:iCs/>
          <w:color w:val="auto"/>
          <w:sz w:val="20"/>
          <w:szCs w:val="17"/>
          <w:lang w:val="en-GB"/>
        </w:rPr>
        <w:t>includes offences under the old and new Criminal Code; the classification of offences for the needs of the Police of the Czech Republic differs from that in the </w:t>
      </w:r>
      <w:r w:rsidR="00DA3F28">
        <w:rPr>
          <w:rFonts w:ascii="Arial" w:hAnsi="Arial" w:cs="Arial"/>
          <w:i/>
          <w:iCs/>
          <w:color w:val="auto"/>
          <w:sz w:val="20"/>
          <w:szCs w:val="17"/>
          <w:lang w:val="en-GB"/>
        </w:rPr>
        <w:t xml:space="preserve">new </w:t>
      </w:r>
      <w:r w:rsidR="00D56994">
        <w:rPr>
          <w:rFonts w:ascii="Arial" w:hAnsi="Arial" w:cs="Arial"/>
          <w:i/>
          <w:iCs/>
          <w:color w:val="auto"/>
          <w:sz w:val="20"/>
          <w:szCs w:val="17"/>
          <w:lang w:val="en-GB"/>
        </w:rPr>
        <w:t xml:space="preserve">Criminal Code. More detailed information on crime and its classification can be found on </w:t>
      </w:r>
      <w:r w:rsidR="00862D3D">
        <w:rPr>
          <w:rFonts w:ascii="Arial" w:hAnsi="Arial" w:cs="Arial"/>
          <w:i/>
          <w:iCs/>
          <w:color w:val="auto"/>
          <w:sz w:val="20"/>
          <w:szCs w:val="17"/>
          <w:lang w:val="en-GB"/>
        </w:rPr>
        <w:t>the</w:t>
      </w:r>
      <w:r w:rsidR="007C142C">
        <w:rPr>
          <w:rFonts w:ascii="Arial" w:hAnsi="Arial" w:cs="Arial"/>
          <w:i/>
          <w:iCs/>
          <w:color w:val="auto"/>
          <w:sz w:val="20"/>
          <w:szCs w:val="17"/>
          <w:lang w:val="en-GB"/>
        </w:rPr>
        <w:t> </w:t>
      </w:r>
      <w:r w:rsidR="00862D3D">
        <w:rPr>
          <w:rFonts w:ascii="Arial" w:hAnsi="Arial" w:cs="Arial"/>
          <w:i/>
          <w:iCs/>
          <w:color w:val="auto"/>
          <w:sz w:val="20"/>
          <w:szCs w:val="17"/>
          <w:lang w:val="en-GB"/>
        </w:rPr>
        <w:t>website</w:t>
      </w:r>
      <w:r w:rsidR="00D56994">
        <w:rPr>
          <w:rFonts w:ascii="Arial" w:hAnsi="Arial" w:cs="Arial"/>
          <w:i/>
          <w:iCs/>
          <w:color w:val="auto"/>
          <w:sz w:val="20"/>
          <w:szCs w:val="17"/>
          <w:lang w:val="en-GB"/>
        </w:rPr>
        <w:t xml:space="preserve"> of the Ministry of the Interior.</w:t>
      </w:r>
    </w:p>
    <w:p w:rsidR="002E6A00" w:rsidRPr="000D55FC" w:rsidRDefault="00D5699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lang w:val="en-GB"/>
        </w:rPr>
        <w:t xml:space="preserve">Cleared-up offences </w:t>
      </w:r>
      <w:r>
        <w:rPr>
          <w:rFonts w:ascii="Arial" w:hAnsi="Arial" w:cs="Arial"/>
          <w:i/>
          <w:iCs/>
          <w:color w:val="auto"/>
          <w:sz w:val="20"/>
          <w:lang w:val="en-GB"/>
        </w:rPr>
        <w:t xml:space="preserve">– offences committed and cleared up in the reference period. Cleared-up offences committed in previous years are classified independently as offences </w:t>
      </w:r>
      <w:r>
        <w:rPr>
          <w:rFonts w:ascii="Arial" w:hAnsi="Arial" w:cs="Arial"/>
          <w:b/>
          <w:bCs/>
          <w:i/>
          <w:iCs/>
          <w:color w:val="auto"/>
          <w:sz w:val="20"/>
          <w:lang w:val="en-GB"/>
        </w:rPr>
        <w:t>cleared up later</w:t>
      </w:r>
      <w:r>
        <w:rPr>
          <w:rFonts w:ascii="Arial" w:hAnsi="Arial" w:cs="Arial"/>
          <w:i/>
          <w:iCs/>
          <w:color w:val="auto"/>
          <w:sz w:val="20"/>
          <w:lang w:val="en-GB"/>
        </w:rPr>
        <w:t>.</w:t>
      </w:r>
    </w:p>
    <w:p w:rsidR="002E6A00" w:rsidRPr="000D55FC" w:rsidRDefault="002E6A00">
      <w:pPr>
        <w:pStyle w:val="Normlnweb"/>
        <w:spacing w:before="0" w:beforeAutospacing="0" w:after="0" w:afterAutospacing="0"/>
        <w:jc w:val="both"/>
        <w:rPr>
          <w:rFonts w:ascii="Arial" w:hAnsi="Arial" w:cs="Arial"/>
          <w:i/>
          <w:iCs/>
          <w:color w:val="auto"/>
          <w:sz w:val="20"/>
          <w:szCs w:val="17"/>
          <w:lang w:val="en-GB"/>
        </w:rPr>
      </w:pPr>
    </w:p>
    <w:p w:rsidR="002E6A00" w:rsidRPr="000D55FC" w:rsidRDefault="002E6A00">
      <w:pPr>
        <w:pStyle w:val="Normlnweb"/>
        <w:spacing w:before="0" w:beforeAutospacing="0" w:after="0" w:afterAutospacing="0"/>
        <w:jc w:val="both"/>
        <w:rPr>
          <w:rFonts w:ascii="Arial" w:hAnsi="Arial" w:cs="Arial"/>
          <w:i/>
          <w:iCs/>
          <w:color w:val="auto"/>
          <w:sz w:val="20"/>
          <w:szCs w:val="17"/>
          <w:lang w:val="en-GB"/>
        </w:rPr>
      </w:pPr>
    </w:p>
    <w:p w:rsidR="002E6A00" w:rsidRPr="000D55FC" w:rsidRDefault="00D56994" w:rsidP="007C142C">
      <w:pPr>
        <w:pStyle w:val="Normlnweb"/>
        <w:spacing w:before="0" w:beforeAutospacing="0" w:after="0" w:afterAutospacing="0"/>
        <w:jc w:val="both"/>
        <w:rPr>
          <w:rFonts w:ascii="Arial" w:hAnsi="Arial" w:cs="Arial"/>
          <w:i/>
          <w:iCs/>
          <w:color w:val="auto"/>
          <w:sz w:val="20"/>
          <w:szCs w:val="17"/>
          <w:lang w:val="en-GB"/>
        </w:rPr>
      </w:pPr>
      <w:r>
        <w:rPr>
          <w:rFonts w:ascii="Arial" w:hAnsi="Arial" w:cs="Arial"/>
          <w:i/>
          <w:iCs/>
          <w:color w:val="auto"/>
          <w:sz w:val="20"/>
          <w:lang w:val="en-GB"/>
        </w:rPr>
        <w:t xml:space="preserve">Tables </w:t>
      </w:r>
      <w:r>
        <w:rPr>
          <w:rFonts w:ascii="Arial" w:hAnsi="Arial" w:cs="Arial"/>
          <w:b/>
          <w:bCs/>
          <w:i/>
          <w:iCs/>
          <w:color w:val="auto"/>
          <w:sz w:val="20"/>
          <w:lang w:val="en-GB"/>
        </w:rPr>
        <w:t>27</w:t>
      </w:r>
      <w:r>
        <w:rPr>
          <w:rFonts w:ascii="Arial" w:hAnsi="Arial" w:cs="Arial"/>
          <w:i/>
          <w:iCs/>
          <w:color w:val="auto"/>
          <w:sz w:val="20"/>
          <w:lang w:val="en-GB"/>
        </w:rPr>
        <w:t xml:space="preserve">-18 to </w:t>
      </w:r>
      <w:r>
        <w:rPr>
          <w:rFonts w:ascii="Arial" w:hAnsi="Arial" w:cs="Arial"/>
          <w:b/>
          <w:bCs/>
          <w:i/>
          <w:iCs/>
          <w:color w:val="auto"/>
          <w:sz w:val="20"/>
          <w:lang w:val="en-GB"/>
        </w:rPr>
        <w:t>27</w:t>
      </w:r>
      <w:r>
        <w:rPr>
          <w:rFonts w:ascii="Arial" w:hAnsi="Arial" w:cs="Arial"/>
          <w:i/>
          <w:iCs/>
          <w:color w:val="auto"/>
          <w:sz w:val="20"/>
          <w:lang w:val="en-GB"/>
        </w:rPr>
        <w:t xml:space="preserve">-21. </w:t>
      </w:r>
      <w:r>
        <w:rPr>
          <w:rFonts w:ascii="Arial" w:hAnsi="Arial" w:cs="Arial"/>
          <w:b/>
          <w:bCs/>
          <w:i/>
          <w:iCs/>
          <w:color w:val="auto"/>
          <w:sz w:val="20"/>
          <w:szCs w:val="17"/>
          <w:lang w:val="en-GB"/>
        </w:rPr>
        <w:t>Traffic accidents</w:t>
      </w:r>
    </w:p>
    <w:p w:rsidR="002E6A00" w:rsidRPr="000D55FC" w:rsidRDefault="00D56994">
      <w:pPr>
        <w:pStyle w:val="Normlnweb"/>
        <w:spacing w:before="120" w:beforeAutospacing="0" w:after="0" w:afterAutospacing="0"/>
        <w:ind w:firstLine="709"/>
        <w:jc w:val="both"/>
        <w:rPr>
          <w:rFonts w:ascii="Arial" w:eastAsia="Times New Roman" w:hAnsi="Arial" w:cs="Arial"/>
          <w:i/>
          <w:color w:val="auto"/>
          <w:sz w:val="20"/>
          <w:szCs w:val="20"/>
          <w:lang w:val="en-GB"/>
        </w:rPr>
      </w:pPr>
      <w:r>
        <w:rPr>
          <w:rFonts w:ascii="Arial" w:hAnsi="Arial" w:cs="Arial"/>
          <w:b/>
          <w:bCs/>
          <w:i/>
          <w:iCs/>
          <w:color w:val="auto"/>
          <w:sz w:val="20"/>
          <w:szCs w:val="17"/>
          <w:lang w:val="en-GB"/>
        </w:rPr>
        <w:t xml:space="preserve">Rail accidents </w:t>
      </w:r>
      <w:r>
        <w:rPr>
          <w:rFonts w:ascii="Arial" w:hAnsi="Arial" w:cs="Arial"/>
          <w:i/>
          <w:iCs/>
          <w:color w:val="auto"/>
          <w:sz w:val="20"/>
          <w:szCs w:val="17"/>
          <w:lang w:val="en-GB"/>
        </w:rPr>
        <w:t xml:space="preserve">– only serious accidents are </w:t>
      </w:r>
      <w:r w:rsidR="005C7289" w:rsidRPr="005C7289">
        <w:rPr>
          <w:rFonts w:ascii="Arial" w:eastAsia="Times New Roman" w:hAnsi="Arial" w:cs="Arial"/>
          <w:i/>
          <w:color w:val="auto"/>
          <w:sz w:val="20"/>
          <w:szCs w:val="20"/>
          <w:lang w:val="en-GB"/>
        </w:rPr>
        <w:t xml:space="preserve">shown, </w:t>
      </w:r>
      <w:r>
        <w:rPr>
          <w:rFonts w:ascii="Arial" w:eastAsia="Times New Roman" w:hAnsi="Arial" w:cs="Arial"/>
          <w:i/>
          <w:color w:val="auto"/>
          <w:sz w:val="20"/>
          <w:szCs w:val="20"/>
          <w:lang w:val="en-GB"/>
        </w:rPr>
        <w:t>excluding suicides and attempted suicides</w:t>
      </w:r>
      <w:r w:rsidR="005C7289" w:rsidRPr="005C7289">
        <w:rPr>
          <w:rFonts w:ascii="Arial" w:eastAsia="Times New Roman" w:hAnsi="Arial" w:cs="Arial"/>
          <w:i/>
          <w:color w:val="auto"/>
          <w:sz w:val="20"/>
          <w:szCs w:val="20"/>
          <w:lang w:val="en-GB"/>
        </w:rPr>
        <w:t>.</w:t>
      </w:r>
    </w:p>
    <w:p w:rsidR="002E6A00" w:rsidRPr="000D55FC" w:rsidRDefault="00D5699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Road accidents</w:t>
      </w:r>
      <w:r>
        <w:rPr>
          <w:rFonts w:ascii="Arial" w:hAnsi="Arial" w:cs="Arial"/>
          <w:i/>
          <w:iCs/>
          <w:color w:val="auto"/>
          <w:sz w:val="20"/>
          <w:szCs w:val="17"/>
          <w:lang w:val="en-GB"/>
        </w:rPr>
        <w:t xml:space="preserve"> in total – all accidents reported to the traffic police. </w:t>
      </w:r>
    </w:p>
    <w:p w:rsidR="002E6A00" w:rsidRPr="000D55FC" w:rsidRDefault="00D56994">
      <w:pPr>
        <w:pStyle w:val="Zkladntext2"/>
        <w:spacing w:before="120" w:after="0" w:line="240" w:lineRule="auto"/>
        <w:ind w:firstLine="709"/>
        <w:jc w:val="both"/>
        <w:rPr>
          <w:rFonts w:ascii="Arial" w:hAnsi="Arial" w:cs="Arial"/>
          <w:b/>
          <w:bCs/>
          <w:i/>
          <w:iCs/>
          <w:sz w:val="20"/>
          <w:szCs w:val="20"/>
        </w:rPr>
      </w:pPr>
      <w:r>
        <w:rPr>
          <w:rFonts w:ascii="Arial" w:hAnsi="Arial" w:cs="Arial"/>
          <w:i/>
          <w:sz w:val="20"/>
          <w:szCs w:val="20"/>
        </w:rPr>
        <w:t xml:space="preserve">A person involved in a traffic accident is obliged to report the accident to the traffic police in case of injury or death </w:t>
      </w:r>
      <w:r>
        <w:rPr>
          <w:rFonts w:ascii="Arial" w:hAnsi="Arial" w:cs="Arial"/>
          <w:i/>
          <w:iCs/>
          <w:sz w:val="20"/>
          <w:szCs w:val="20"/>
        </w:rPr>
        <w:t xml:space="preserve">or in case of damage to a third party’s property or material damage to any of vehicles (including load) exceeding CZK 100 000. </w:t>
      </w:r>
    </w:p>
    <w:p w:rsidR="002E6A00" w:rsidRPr="000D55FC" w:rsidRDefault="00D5699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 xml:space="preserve">Air accidents </w:t>
      </w:r>
      <w:r>
        <w:rPr>
          <w:rFonts w:ascii="Arial" w:hAnsi="Arial" w:cs="Arial"/>
          <w:i/>
          <w:iCs/>
          <w:color w:val="auto"/>
          <w:sz w:val="20"/>
          <w:szCs w:val="17"/>
          <w:lang w:val="en-GB"/>
        </w:rPr>
        <w:t xml:space="preserve">– data on air accidents are for general aviation only. </w:t>
      </w:r>
    </w:p>
    <w:p w:rsidR="002E6A00" w:rsidRPr="000D55FC" w:rsidRDefault="00D5699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 xml:space="preserve">Killed person </w:t>
      </w:r>
      <w:r>
        <w:rPr>
          <w:rFonts w:ascii="Arial" w:hAnsi="Arial" w:cs="Arial"/>
          <w:i/>
          <w:iCs/>
          <w:color w:val="auto"/>
          <w:sz w:val="20"/>
          <w:szCs w:val="17"/>
          <w:lang w:val="en-GB"/>
        </w:rPr>
        <w:t>– a person who died on the scene of the accident, during the transport to a hospital or within 30 days of the accident. (The data comply with the recommendation of the UN Economic Commission for Europe; they are reported in most of the EU countries).</w:t>
      </w:r>
    </w:p>
    <w:p w:rsidR="002E6A00" w:rsidRPr="000D55FC" w:rsidRDefault="00D56994">
      <w:pPr>
        <w:overflowPunct w:val="0"/>
        <w:autoSpaceDE w:val="0"/>
        <w:autoSpaceDN w:val="0"/>
        <w:adjustRightInd w:val="0"/>
        <w:spacing w:before="120"/>
        <w:ind w:firstLine="709"/>
        <w:jc w:val="both"/>
        <w:rPr>
          <w:rFonts w:ascii="Arial" w:hAnsi="Arial" w:cs="Arial"/>
          <w:i/>
          <w:iCs/>
          <w:sz w:val="20"/>
        </w:rPr>
      </w:pPr>
      <w:r>
        <w:rPr>
          <w:rFonts w:ascii="Arial" w:hAnsi="Arial" w:cs="Arial"/>
          <w:b/>
          <w:bCs/>
          <w:i/>
          <w:iCs/>
          <w:sz w:val="20"/>
          <w:szCs w:val="17"/>
        </w:rPr>
        <w:t>Serious injury, slight injury</w:t>
      </w:r>
      <w:r>
        <w:rPr>
          <w:rFonts w:ascii="Arial" w:hAnsi="Arial" w:cs="Arial"/>
          <w:i/>
          <w:iCs/>
          <w:sz w:val="20"/>
          <w:szCs w:val="17"/>
        </w:rPr>
        <w:t xml:space="preserve"> – classified by a medical doctor.</w:t>
      </w:r>
    </w:p>
    <w:p w:rsidR="002E6A00" w:rsidRPr="000D55FC" w:rsidRDefault="002E6A00">
      <w:pPr>
        <w:overflowPunct w:val="0"/>
        <w:autoSpaceDE w:val="0"/>
        <w:autoSpaceDN w:val="0"/>
        <w:adjustRightInd w:val="0"/>
        <w:jc w:val="both"/>
        <w:rPr>
          <w:rFonts w:ascii="Arial" w:hAnsi="Arial" w:cs="Arial"/>
          <w:i/>
          <w:iCs/>
          <w:sz w:val="20"/>
        </w:rPr>
      </w:pPr>
    </w:p>
    <w:p w:rsidR="002E6A00" w:rsidRPr="000D55FC" w:rsidRDefault="002E6A00">
      <w:pPr>
        <w:pStyle w:val="Zkladntextodsazen"/>
        <w:ind w:firstLine="0"/>
      </w:pPr>
    </w:p>
    <w:p w:rsidR="002E6A00" w:rsidRPr="003247F6" w:rsidRDefault="00D56994">
      <w:pPr>
        <w:pStyle w:val="Zkladntextodsazen"/>
        <w:ind w:firstLine="0"/>
        <w:rPr>
          <w:bCs/>
        </w:rPr>
      </w:pPr>
      <w:r>
        <w:t xml:space="preserve">Tables </w:t>
      </w:r>
      <w:r>
        <w:rPr>
          <w:b/>
          <w:bCs/>
        </w:rPr>
        <w:t>27</w:t>
      </w:r>
      <w:r>
        <w:t>-22</w:t>
      </w:r>
      <w:r w:rsidR="007C142C">
        <w:t>.</w:t>
      </w:r>
      <w:r>
        <w:t xml:space="preserve"> </w:t>
      </w:r>
      <w:r>
        <w:rPr>
          <w:b/>
          <w:bCs/>
        </w:rPr>
        <w:t>Emergencies with interventions of fire brigade units (FBU)</w:t>
      </w:r>
    </w:p>
    <w:p w:rsidR="00B33C1C" w:rsidRDefault="00D56994">
      <w:pPr>
        <w:pStyle w:val="Zkladntextodsazen"/>
        <w:spacing w:before="120"/>
      </w:pPr>
      <w:r>
        <w:rPr>
          <w:b/>
          <w:bCs/>
        </w:rPr>
        <w:t>Fire</w:t>
      </w:r>
      <w:r>
        <w:t xml:space="preserve"> – any undesirable combustion in which people or animals were killed or injured or property was damaged. A fire is also any undesirable combustion, which poses an imminent threat to human or animal life, property or the environment. </w:t>
      </w:r>
    </w:p>
    <w:p w:rsidR="002E6A00" w:rsidRPr="000D55FC" w:rsidRDefault="00D56994">
      <w:pPr>
        <w:spacing w:before="120"/>
        <w:ind w:firstLine="709"/>
        <w:jc w:val="both"/>
        <w:rPr>
          <w:rFonts w:ascii="Arial" w:hAnsi="Arial" w:cs="Arial"/>
          <w:i/>
          <w:iCs/>
          <w:sz w:val="20"/>
        </w:rPr>
      </w:pPr>
      <w:r>
        <w:rPr>
          <w:rFonts w:ascii="Arial" w:hAnsi="Arial" w:cs="Arial"/>
          <w:b/>
          <w:bCs/>
          <w:i/>
          <w:iCs/>
          <w:sz w:val="20"/>
        </w:rPr>
        <w:t xml:space="preserve">Traffic accident </w:t>
      </w:r>
      <w:r>
        <w:rPr>
          <w:rFonts w:ascii="Arial" w:hAnsi="Arial" w:cs="Arial"/>
          <w:i/>
          <w:iCs/>
          <w:sz w:val="20"/>
        </w:rPr>
        <w:t xml:space="preserve">– a collision of means of transport that requires rescue and recovery operations or damage removal; also a traffic accident in which fire brigade units only extricated a vehicle from areas off the road or a traffic accident with only minor damage (e.g. leakage of fuel, lubricant, coolant from service tanks of vehicles). </w:t>
      </w:r>
    </w:p>
    <w:p w:rsidR="00B33C1C" w:rsidRDefault="00D56994">
      <w:pPr>
        <w:pStyle w:val="Zkladntext"/>
        <w:spacing w:before="120"/>
        <w:ind w:firstLine="709"/>
        <w:rPr>
          <w:rFonts w:ascii="Arial" w:hAnsi="Arial" w:cs="Arial"/>
          <w:sz w:val="20"/>
        </w:rPr>
      </w:pPr>
      <w:r>
        <w:rPr>
          <w:rFonts w:ascii="Arial" w:hAnsi="Arial" w:cs="Arial"/>
          <w:b/>
          <w:bCs/>
          <w:sz w:val="20"/>
        </w:rPr>
        <w:t xml:space="preserve">Leakages of hazardous chemical substances </w:t>
      </w:r>
      <w:r>
        <w:rPr>
          <w:rFonts w:ascii="Arial" w:hAnsi="Arial" w:cs="Arial"/>
          <w:sz w:val="20"/>
        </w:rPr>
        <w:t>– undesirable leakage of hazardous chemical substances, including crude oil products (during production, transport or handling), and of other substances. (</w:t>
      </w:r>
      <w:r>
        <w:rPr>
          <w:rFonts w:ascii="Arial" w:hAnsi="Arial" w:cs="Arial"/>
          <w:bCs/>
          <w:sz w:val="20"/>
        </w:rPr>
        <w:t>Hazardous substances</w:t>
      </w:r>
      <w:r>
        <w:rPr>
          <w:rFonts w:ascii="Arial" w:hAnsi="Arial" w:cs="Arial"/>
          <w:sz w:val="20"/>
        </w:rPr>
        <w:t xml:space="preserve"> are defined by law.) </w:t>
      </w:r>
    </w:p>
    <w:p w:rsidR="002E6A00" w:rsidRPr="000D55FC" w:rsidRDefault="00D56994">
      <w:pPr>
        <w:overflowPunct w:val="0"/>
        <w:autoSpaceDE w:val="0"/>
        <w:autoSpaceDN w:val="0"/>
        <w:adjustRightInd w:val="0"/>
        <w:spacing w:before="120"/>
        <w:ind w:firstLine="709"/>
        <w:jc w:val="both"/>
        <w:rPr>
          <w:rFonts w:ascii="Arial" w:hAnsi="Arial" w:cs="Arial"/>
          <w:i/>
          <w:iCs/>
          <w:sz w:val="20"/>
        </w:rPr>
      </w:pPr>
      <w:r>
        <w:rPr>
          <w:rFonts w:ascii="Arial" w:hAnsi="Arial" w:cs="Arial"/>
          <w:b/>
          <w:bCs/>
          <w:i/>
          <w:iCs/>
          <w:sz w:val="20"/>
        </w:rPr>
        <w:t xml:space="preserve">Leakages of crude oil products </w:t>
      </w:r>
      <w:r>
        <w:rPr>
          <w:rFonts w:ascii="Arial" w:hAnsi="Arial" w:cs="Arial"/>
          <w:i/>
          <w:iCs/>
          <w:sz w:val="20"/>
        </w:rPr>
        <w:t xml:space="preserve">(oil accident) – leakage of crude oil products only (petrol, diesel or lubricating oils). </w:t>
      </w:r>
    </w:p>
    <w:p w:rsidR="002E6A00" w:rsidRPr="000D55FC" w:rsidRDefault="00D07875" w:rsidP="00A51D3E">
      <w:pPr>
        <w:overflowPunct w:val="0"/>
        <w:autoSpaceDE w:val="0"/>
        <w:autoSpaceDN w:val="0"/>
        <w:adjustRightInd w:val="0"/>
        <w:spacing w:before="120"/>
        <w:ind w:firstLine="709"/>
        <w:jc w:val="both"/>
        <w:rPr>
          <w:rFonts w:ascii="Arial" w:hAnsi="Arial" w:cs="Arial"/>
          <w:i/>
          <w:iCs/>
          <w:sz w:val="20"/>
        </w:rPr>
      </w:pPr>
      <w:r w:rsidRPr="000D55FC">
        <w:rPr>
          <w:rFonts w:ascii="Arial" w:hAnsi="Arial" w:cs="Arial"/>
          <w:b/>
          <w:bCs/>
          <w:i/>
          <w:iCs/>
          <w:sz w:val="20"/>
        </w:rPr>
        <w:t>Technical emergencies</w:t>
      </w:r>
      <w:r w:rsidR="004E5A62">
        <w:rPr>
          <w:rFonts w:ascii="Arial" w:hAnsi="Arial" w:cs="Arial"/>
          <w:b/>
          <w:bCs/>
          <w:i/>
          <w:iCs/>
          <w:sz w:val="20"/>
        </w:rPr>
        <w:t>,</w:t>
      </w:r>
      <w:r w:rsidR="00D56994">
        <w:rPr>
          <w:rFonts w:ascii="Arial" w:hAnsi="Arial" w:cs="Arial"/>
          <w:b/>
          <w:bCs/>
          <w:i/>
          <w:iCs/>
          <w:sz w:val="20"/>
        </w:rPr>
        <w:t xml:space="preserve"> total </w:t>
      </w:r>
      <w:r w:rsidR="00D56994">
        <w:rPr>
          <w:rFonts w:ascii="Arial" w:hAnsi="Arial" w:cs="Arial"/>
          <w:i/>
          <w:iCs/>
          <w:sz w:val="20"/>
        </w:rPr>
        <w:t xml:space="preserve">are related to an imminent danger or hazardous condition of a large extent (so-called </w:t>
      </w:r>
      <w:r w:rsidR="00D56994">
        <w:rPr>
          <w:rFonts w:ascii="Arial" w:hAnsi="Arial" w:cs="Arial"/>
          <w:b/>
          <w:bCs/>
          <w:i/>
          <w:iCs/>
          <w:sz w:val="20"/>
        </w:rPr>
        <w:t>technical accident</w:t>
      </w:r>
      <w:r w:rsidR="00D56994">
        <w:rPr>
          <w:rFonts w:ascii="Arial" w:hAnsi="Arial" w:cs="Arial"/>
          <w:i/>
          <w:iCs/>
          <w:sz w:val="20"/>
        </w:rPr>
        <w:t xml:space="preserve"> – e.g. imminent building collapse), of a lesser extent (so-called </w:t>
      </w:r>
      <w:r w:rsidR="00D56994">
        <w:rPr>
          <w:rFonts w:ascii="Arial" w:hAnsi="Arial" w:cs="Arial"/>
          <w:b/>
          <w:bCs/>
          <w:i/>
          <w:iCs/>
          <w:sz w:val="20"/>
        </w:rPr>
        <w:t>technical assistance</w:t>
      </w:r>
      <w:r w:rsidR="00D56994">
        <w:rPr>
          <w:rFonts w:ascii="Arial" w:hAnsi="Arial" w:cs="Arial"/>
          <w:i/>
          <w:iCs/>
          <w:sz w:val="20"/>
        </w:rPr>
        <w:t xml:space="preserve"> – e.g. </w:t>
      </w:r>
      <w:r w:rsidR="00D56994">
        <w:rPr>
          <w:rFonts w:ascii="Arial" w:hAnsi="Arial" w:cs="Arial"/>
          <w:i/>
          <w:sz w:val="20"/>
          <w:szCs w:val="20"/>
        </w:rPr>
        <w:t>people stuck in </w:t>
      </w:r>
      <w:r w:rsidR="00D56994">
        <w:rPr>
          <w:rFonts w:ascii="Arial" w:hAnsi="Arial" w:cs="Arial"/>
          <w:i/>
          <w:iCs/>
          <w:sz w:val="20"/>
        </w:rPr>
        <w:t>lifts,</w:t>
      </w:r>
      <w:r w:rsidR="00D56994">
        <w:rPr>
          <w:rFonts w:ascii="Arial" w:hAnsi="Arial" w:cs="Arial"/>
          <w:bCs/>
          <w:i/>
          <w:iCs/>
          <w:sz w:val="20"/>
        </w:rPr>
        <w:t xml:space="preserve"> in locked rooms, gas</w:t>
      </w:r>
      <w:r w:rsidR="00D56994">
        <w:rPr>
          <w:rFonts w:ascii="Arial" w:hAnsi="Arial" w:cs="Arial"/>
          <w:i/>
          <w:iCs/>
          <w:sz w:val="20"/>
        </w:rPr>
        <w:t xml:space="preserve"> or water escape), in technological operation of plants</w:t>
      </w:r>
      <w:r w:rsidR="00D56994">
        <w:rPr>
          <w:rFonts w:ascii="Arial" w:hAnsi="Arial" w:cs="Arial"/>
          <w:b/>
          <w:bCs/>
          <w:i/>
          <w:iCs/>
          <w:sz w:val="20"/>
        </w:rPr>
        <w:t xml:space="preserve"> </w:t>
      </w:r>
      <w:r w:rsidR="00D56994">
        <w:rPr>
          <w:rFonts w:ascii="Arial" w:hAnsi="Arial" w:cs="Arial"/>
          <w:i/>
          <w:iCs/>
          <w:sz w:val="20"/>
        </w:rPr>
        <w:t xml:space="preserve">(so-called </w:t>
      </w:r>
      <w:r w:rsidR="00D56994">
        <w:rPr>
          <w:rFonts w:ascii="Arial" w:hAnsi="Arial" w:cs="Arial"/>
          <w:b/>
          <w:bCs/>
          <w:i/>
          <w:iCs/>
          <w:sz w:val="20"/>
        </w:rPr>
        <w:t>technological assistance</w:t>
      </w:r>
      <w:r w:rsidR="00D56994">
        <w:rPr>
          <w:rFonts w:ascii="Arial" w:hAnsi="Arial" w:cs="Arial"/>
          <w:i/>
          <w:iCs/>
          <w:sz w:val="20"/>
        </w:rPr>
        <w:t xml:space="preserve"> – e.g. emergencies requiring assistance in dangerous activities), and so-called </w:t>
      </w:r>
      <w:r w:rsidR="00D56994">
        <w:rPr>
          <w:rFonts w:ascii="Arial" w:hAnsi="Arial" w:cs="Arial"/>
          <w:b/>
          <w:bCs/>
          <w:i/>
          <w:iCs/>
          <w:sz w:val="20"/>
        </w:rPr>
        <w:t>other assistance</w:t>
      </w:r>
      <w:r w:rsidR="00D56994">
        <w:rPr>
          <w:rFonts w:ascii="Arial" w:hAnsi="Arial" w:cs="Arial"/>
          <w:i/>
          <w:iCs/>
          <w:sz w:val="20"/>
        </w:rPr>
        <w:t xml:space="preserve"> – e.g.</w:t>
      </w:r>
      <w:r w:rsidR="00D56994">
        <w:rPr>
          <w:rFonts w:ascii="Arial" w:hAnsi="Arial" w:cs="Arial"/>
          <w:bCs/>
          <w:i/>
          <w:sz w:val="20"/>
          <w:szCs w:val="20"/>
        </w:rPr>
        <w:t> transport of a patient or a physician, monitoring of watercourses and the like also upon a request by another service</w:t>
      </w:r>
      <w:r w:rsidR="00D56994">
        <w:rPr>
          <w:rFonts w:ascii="Arial" w:hAnsi="Arial" w:cs="Arial"/>
          <w:i/>
          <w:iCs/>
          <w:sz w:val="20"/>
        </w:rPr>
        <w:t xml:space="preserve">. </w:t>
      </w:r>
    </w:p>
    <w:p w:rsidR="002E6A00" w:rsidRPr="000D55FC" w:rsidRDefault="00D56994">
      <w:pPr>
        <w:overflowPunct w:val="0"/>
        <w:autoSpaceDE w:val="0"/>
        <w:autoSpaceDN w:val="0"/>
        <w:adjustRightInd w:val="0"/>
        <w:spacing w:before="120"/>
        <w:ind w:firstLine="709"/>
        <w:jc w:val="both"/>
        <w:rPr>
          <w:rFonts w:ascii="Arial" w:hAnsi="Arial" w:cs="Arial"/>
          <w:i/>
          <w:iCs/>
          <w:sz w:val="20"/>
        </w:rPr>
      </w:pPr>
      <w:r>
        <w:rPr>
          <w:rFonts w:ascii="Arial" w:hAnsi="Arial" w:cs="Arial"/>
          <w:b/>
          <w:bCs/>
          <w:i/>
          <w:iCs/>
          <w:sz w:val="20"/>
        </w:rPr>
        <w:t xml:space="preserve">Radiation emergency </w:t>
      </w:r>
      <w:r>
        <w:rPr>
          <w:rFonts w:ascii="Arial" w:hAnsi="Arial" w:cs="Arial"/>
          <w:i/>
          <w:iCs/>
          <w:sz w:val="20"/>
        </w:rPr>
        <w:t xml:space="preserve">– an event resulting in an impermissible release of radioactive substances or ionising radiation; </w:t>
      </w:r>
      <w:r>
        <w:rPr>
          <w:rFonts w:ascii="Arial" w:hAnsi="Arial" w:cs="Arial"/>
          <w:b/>
          <w:bCs/>
          <w:i/>
          <w:iCs/>
          <w:sz w:val="20"/>
        </w:rPr>
        <w:t xml:space="preserve">radiation accident </w:t>
      </w:r>
      <w:r>
        <w:rPr>
          <w:rFonts w:ascii="Arial" w:hAnsi="Arial" w:cs="Arial"/>
          <w:bCs/>
          <w:i/>
          <w:iCs/>
          <w:sz w:val="20"/>
        </w:rPr>
        <w:t>–</w:t>
      </w:r>
      <w:r>
        <w:rPr>
          <w:rFonts w:ascii="Arial" w:hAnsi="Arial" w:cs="Arial"/>
          <w:i/>
          <w:iCs/>
          <w:sz w:val="20"/>
        </w:rPr>
        <w:t xml:space="preserve"> an accident, consequences of which require urgent measures to be taken to protect the population and the environment. </w:t>
      </w:r>
    </w:p>
    <w:p w:rsidR="002E6A00" w:rsidRPr="000D55FC" w:rsidRDefault="00D56994">
      <w:pPr>
        <w:pStyle w:val="Zkladntextodsazen"/>
        <w:spacing w:before="120"/>
      </w:pPr>
      <w:r>
        <w:rPr>
          <w:b/>
          <w:bCs/>
        </w:rPr>
        <w:t xml:space="preserve">Other emergencies </w:t>
      </w:r>
      <w:r>
        <w:t>– e.g. an epidemic or infection, interception of suspect consignments.</w:t>
      </w:r>
    </w:p>
    <w:p w:rsidR="002E6A00" w:rsidRPr="000D55FC" w:rsidRDefault="00D56994">
      <w:pPr>
        <w:pStyle w:val="Zkladntextodsazen"/>
        <w:spacing w:before="120"/>
      </w:pPr>
      <w:r>
        <w:t>Numbers of emergencies with interventions and numbers of interventions at emergencies may differ because one emergency may involve more interventions.</w:t>
      </w:r>
    </w:p>
    <w:p w:rsidR="005C7289" w:rsidRPr="007C142C" w:rsidRDefault="005C7289" w:rsidP="007C142C">
      <w:pPr>
        <w:overflowPunct w:val="0"/>
        <w:autoSpaceDE w:val="0"/>
        <w:autoSpaceDN w:val="0"/>
        <w:adjustRightInd w:val="0"/>
        <w:jc w:val="both"/>
        <w:rPr>
          <w:rFonts w:ascii="Arial" w:hAnsi="Arial" w:cs="Arial"/>
          <w:sz w:val="20"/>
          <w:szCs w:val="20"/>
        </w:rPr>
      </w:pPr>
    </w:p>
    <w:p w:rsidR="007C142C" w:rsidRPr="007C142C" w:rsidRDefault="007C142C" w:rsidP="007C142C">
      <w:pPr>
        <w:overflowPunct w:val="0"/>
        <w:autoSpaceDE w:val="0"/>
        <w:autoSpaceDN w:val="0"/>
        <w:adjustRightInd w:val="0"/>
        <w:jc w:val="both"/>
        <w:rPr>
          <w:rFonts w:ascii="Arial" w:hAnsi="Arial" w:cs="Arial"/>
          <w:sz w:val="20"/>
          <w:szCs w:val="20"/>
        </w:rPr>
      </w:pPr>
    </w:p>
    <w:p w:rsidR="005C7289" w:rsidRPr="003247F6" w:rsidRDefault="005C7289" w:rsidP="007C142C">
      <w:pPr>
        <w:overflowPunct w:val="0"/>
        <w:autoSpaceDE w:val="0"/>
        <w:autoSpaceDN w:val="0"/>
        <w:adjustRightInd w:val="0"/>
        <w:jc w:val="both"/>
        <w:rPr>
          <w:rFonts w:ascii="Arial" w:hAnsi="Arial" w:cs="Arial"/>
          <w:sz w:val="20"/>
          <w:szCs w:val="20"/>
        </w:rPr>
      </w:pPr>
      <w:r w:rsidRPr="007C142C">
        <w:rPr>
          <w:rFonts w:ascii="Arial" w:hAnsi="Arial" w:cs="Arial"/>
          <w:i/>
          <w:iCs/>
          <w:sz w:val="20"/>
        </w:rPr>
        <w:t>Tab</w:t>
      </w:r>
      <w:r w:rsidR="00D56994" w:rsidRPr="007C142C">
        <w:rPr>
          <w:rFonts w:ascii="Arial" w:hAnsi="Arial" w:cs="Arial"/>
          <w:i/>
          <w:iCs/>
          <w:sz w:val="20"/>
        </w:rPr>
        <w:t>le</w:t>
      </w:r>
      <w:r w:rsidRPr="007C142C">
        <w:rPr>
          <w:rFonts w:ascii="Arial" w:hAnsi="Arial" w:cs="Arial"/>
          <w:i/>
          <w:iCs/>
          <w:sz w:val="20"/>
        </w:rPr>
        <w:t xml:space="preserve"> </w:t>
      </w:r>
      <w:r w:rsidR="00D56994" w:rsidRPr="007C142C">
        <w:rPr>
          <w:rFonts w:ascii="Arial" w:hAnsi="Arial" w:cs="Arial"/>
          <w:b/>
          <w:i/>
          <w:iCs/>
          <w:sz w:val="20"/>
        </w:rPr>
        <w:t>27</w:t>
      </w:r>
      <w:r w:rsidRPr="007C142C">
        <w:rPr>
          <w:rFonts w:ascii="Arial" w:hAnsi="Arial" w:cs="Arial"/>
          <w:i/>
          <w:iCs/>
          <w:sz w:val="20"/>
        </w:rPr>
        <w:t xml:space="preserve">-23. </w:t>
      </w:r>
      <w:r w:rsidR="00D56994" w:rsidRPr="007C142C">
        <w:rPr>
          <w:rFonts w:ascii="Arial" w:hAnsi="Arial" w:cs="Arial"/>
          <w:b/>
          <w:i/>
          <w:iCs/>
          <w:sz w:val="20"/>
        </w:rPr>
        <w:t>Interventions of fire brigade units</w:t>
      </w:r>
      <w:r w:rsidRPr="007C142C">
        <w:rPr>
          <w:rFonts w:ascii="Arial" w:hAnsi="Arial" w:cs="Arial"/>
          <w:b/>
          <w:i/>
          <w:iCs/>
          <w:sz w:val="20"/>
        </w:rPr>
        <w:t xml:space="preserve"> (</w:t>
      </w:r>
      <w:r w:rsidR="00D56994" w:rsidRPr="007C142C">
        <w:rPr>
          <w:rFonts w:ascii="Arial" w:hAnsi="Arial" w:cs="Arial"/>
          <w:b/>
          <w:i/>
          <w:iCs/>
          <w:sz w:val="20"/>
        </w:rPr>
        <w:t>FBU</w:t>
      </w:r>
      <w:r w:rsidRPr="007C142C">
        <w:rPr>
          <w:rFonts w:ascii="Arial" w:hAnsi="Arial" w:cs="Arial"/>
          <w:b/>
          <w:i/>
          <w:iCs/>
          <w:sz w:val="20"/>
        </w:rPr>
        <w:t xml:space="preserve">) </w:t>
      </w:r>
      <w:r w:rsidR="00D56994" w:rsidRPr="007C142C">
        <w:rPr>
          <w:rFonts w:ascii="Arial" w:hAnsi="Arial" w:cs="Arial"/>
          <w:b/>
          <w:i/>
          <w:iCs/>
          <w:sz w:val="20"/>
        </w:rPr>
        <w:t>at natural disasters</w:t>
      </w:r>
    </w:p>
    <w:p w:rsidR="007F3AF5" w:rsidRPr="000D55FC" w:rsidRDefault="00D56994" w:rsidP="007F3AF5">
      <w:pPr>
        <w:spacing w:before="120"/>
        <w:ind w:firstLine="709"/>
        <w:jc w:val="both"/>
        <w:rPr>
          <w:rFonts w:ascii="Arial" w:hAnsi="Arial" w:cs="Arial"/>
          <w:i/>
          <w:iCs/>
          <w:sz w:val="20"/>
        </w:rPr>
      </w:pPr>
      <w:r>
        <w:rPr>
          <w:rFonts w:ascii="Arial" w:hAnsi="Arial" w:cs="Arial"/>
          <w:b/>
          <w:bCs/>
          <w:i/>
          <w:iCs/>
          <w:sz w:val="20"/>
        </w:rPr>
        <w:t xml:space="preserve">Natural disaster </w:t>
      </w:r>
      <w:r>
        <w:rPr>
          <w:rFonts w:ascii="Arial" w:hAnsi="Arial" w:cs="Arial"/>
          <w:i/>
          <w:iCs/>
          <w:sz w:val="20"/>
        </w:rPr>
        <w:t>– a large-scale emergency caused by adversely acting forces and phenomena that jeopardise lives, healt</w:t>
      </w:r>
      <w:r w:rsidR="007E7E59">
        <w:rPr>
          <w:rFonts w:ascii="Arial" w:hAnsi="Arial" w:cs="Arial"/>
          <w:i/>
          <w:iCs/>
          <w:sz w:val="20"/>
        </w:rPr>
        <w:t xml:space="preserve">h, property or the environment </w:t>
      </w:r>
      <w:r>
        <w:rPr>
          <w:rFonts w:ascii="Arial" w:hAnsi="Arial" w:cs="Arial"/>
          <w:i/>
          <w:iCs/>
          <w:sz w:val="20"/>
        </w:rPr>
        <w:t>e.g. floods, spates, heavy rains, snow, frost, windstorms, landslides, and earthquakes. </w:t>
      </w:r>
    </w:p>
    <w:p w:rsidR="00D56994" w:rsidRPr="000D55FC" w:rsidRDefault="00D56994" w:rsidP="007C142C">
      <w:pPr>
        <w:pStyle w:val="Zkladntext"/>
        <w:spacing w:before="120"/>
        <w:ind w:firstLine="709"/>
        <w:rPr>
          <w:rFonts w:ascii="Arial" w:hAnsi="Arial" w:cs="Arial"/>
          <w:sz w:val="20"/>
        </w:rPr>
      </w:pPr>
      <w:r>
        <w:rPr>
          <w:rFonts w:ascii="Arial" w:hAnsi="Arial" w:cs="Arial"/>
          <w:sz w:val="20"/>
          <w:szCs w:val="20"/>
        </w:rPr>
        <w:t>Natural disasters are registered by means of an attribute always in connection with the type of the emergency the consequences of which were eliminated.</w:t>
      </w:r>
      <w:r>
        <w:rPr>
          <w:rFonts w:ascii="Arial" w:hAnsi="Arial" w:cs="Arial"/>
          <w:sz w:val="20"/>
        </w:rPr>
        <w:t xml:space="preserve"> </w:t>
      </w:r>
      <w:r w:rsidR="005C7289" w:rsidRPr="005C7289">
        <w:rPr>
          <w:rFonts w:ascii="Arial" w:hAnsi="Arial" w:cs="Arial"/>
          <w:sz w:val="20"/>
        </w:rPr>
        <w:t>Classified to this category are mainly events</w:t>
      </w:r>
      <w:r>
        <w:rPr>
          <w:rFonts w:ascii="Arial" w:hAnsi="Arial" w:cs="Arial"/>
          <w:sz w:val="20"/>
        </w:rPr>
        <w:t xml:space="preserve"> connected with the declaration of a state of emergency, level of flood control activities</w:t>
      </w:r>
      <w:r w:rsidR="005C7289" w:rsidRPr="005C7289">
        <w:rPr>
          <w:rFonts w:ascii="Arial" w:hAnsi="Arial" w:cs="Arial"/>
          <w:sz w:val="20"/>
        </w:rPr>
        <w:t>,</w:t>
      </w:r>
      <w:r>
        <w:rPr>
          <w:rFonts w:ascii="Arial" w:hAnsi="Arial" w:cs="Arial"/>
          <w:sz w:val="20"/>
        </w:rPr>
        <w:t> etc.</w:t>
      </w:r>
      <w:r>
        <w:rPr>
          <w:rFonts w:ascii="Arial" w:hAnsi="Arial" w:cs="Arial"/>
          <w:sz w:val="20"/>
          <w:szCs w:val="20"/>
        </w:rPr>
        <w:t xml:space="preserve"> </w:t>
      </w:r>
    </w:p>
    <w:p w:rsidR="002E6A00" w:rsidRPr="000D55FC" w:rsidRDefault="002E6A00">
      <w:pPr>
        <w:overflowPunct w:val="0"/>
        <w:autoSpaceDE w:val="0"/>
        <w:autoSpaceDN w:val="0"/>
        <w:adjustRightInd w:val="0"/>
        <w:jc w:val="both"/>
        <w:rPr>
          <w:rFonts w:ascii="Arial" w:hAnsi="Arial" w:cs="Arial"/>
          <w:i/>
          <w:iCs/>
          <w:sz w:val="20"/>
        </w:rPr>
      </w:pPr>
    </w:p>
    <w:p w:rsidR="002E6A00" w:rsidRPr="000D55FC" w:rsidRDefault="002E6A00">
      <w:pPr>
        <w:overflowPunct w:val="0"/>
        <w:autoSpaceDE w:val="0"/>
        <w:autoSpaceDN w:val="0"/>
        <w:adjustRightInd w:val="0"/>
        <w:jc w:val="both"/>
        <w:rPr>
          <w:rFonts w:ascii="Arial" w:hAnsi="Arial" w:cs="Arial"/>
          <w:i/>
          <w:iCs/>
          <w:sz w:val="20"/>
        </w:rPr>
      </w:pPr>
    </w:p>
    <w:p w:rsidR="002E6A00" w:rsidRPr="000D55FC" w:rsidRDefault="00D56994" w:rsidP="007C142C">
      <w:pPr>
        <w:overflowPunct w:val="0"/>
        <w:autoSpaceDE w:val="0"/>
        <w:autoSpaceDN w:val="0"/>
        <w:adjustRightInd w:val="0"/>
        <w:jc w:val="both"/>
        <w:rPr>
          <w:rFonts w:ascii="Arial" w:hAnsi="Arial" w:cs="Arial"/>
          <w:i/>
          <w:iCs/>
          <w:sz w:val="20"/>
        </w:rPr>
      </w:pPr>
      <w:r>
        <w:rPr>
          <w:rFonts w:ascii="Arial" w:hAnsi="Arial" w:cs="Arial"/>
          <w:i/>
          <w:iCs/>
          <w:sz w:val="20"/>
        </w:rPr>
        <w:t xml:space="preserve">Table </w:t>
      </w:r>
      <w:r>
        <w:rPr>
          <w:rFonts w:ascii="Arial" w:hAnsi="Arial" w:cs="Arial"/>
          <w:b/>
          <w:bCs/>
          <w:i/>
          <w:iCs/>
          <w:sz w:val="20"/>
        </w:rPr>
        <w:t>27</w:t>
      </w:r>
      <w:r>
        <w:rPr>
          <w:rFonts w:ascii="Arial" w:hAnsi="Arial" w:cs="Arial"/>
          <w:i/>
          <w:iCs/>
          <w:sz w:val="20"/>
        </w:rPr>
        <w:t xml:space="preserve">-24. </w:t>
      </w:r>
      <w:r>
        <w:rPr>
          <w:rFonts w:ascii="Arial" w:hAnsi="Arial" w:cs="Arial"/>
          <w:b/>
          <w:bCs/>
          <w:i/>
          <w:iCs/>
          <w:sz w:val="20"/>
        </w:rPr>
        <w:t>Basic economic indicators of the Fire and Rescue Service of the CR</w:t>
      </w:r>
    </w:p>
    <w:p w:rsidR="002E6A00" w:rsidRPr="000D55FC" w:rsidRDefault="00D56994">
      <w:pPr>
        <w:overflowPunct w:val="0"/>
        <w:autoSpaceDE w:val="0"/>
        <w:autoSpaceDN w:val="0"/>
        <w:adjustRightInd w:val="0"/>
        <w:spacing w:before="120"/>
        <w:ind w:firstLine="709"/>
        <w:jc w:val="both"/>
        <w:rPr>
          <w:rFonts w:ascii="Arial" w:hAnsi="Arial" w:cs="Arial"/>
          <w:i/>
          <w:iCs/>
          <w:sz w:val="20"/>
        </w:rPr>
      </w:pPr>
      <w:r>
        <w:rPr>
          <w:rFonts w:ascii="Arial" w:hAnsi="Arial" w:cs="Arial"/>
          <w:b/>
          <w:bCs/>
          <w:i/>
          <w:iCs/>
          <w:sz w:val="20"/>
        </w:rPr>
        <w:t>Fire and Rescue Service of the CR</w:t>
      </w:r>
      <w:r>
        <w:rPr>
          <w:rFonts w:ascii="Arial" w:hAnsi="Arial" w:cs="Arial"/>
          <w:i/>
          <w:iCs/>
          <w:sz w:val="20"/>
        </w:rPr>
        <w:t xml:space="preserve"> – consists of the General Directorate of the Fire and Rescue Service of the CR (part of the Ministry of the Interior) and fire and rescue service in each of the regions.</w:t>
      </w:r>
    </w:p>
    <w:p w:rsidR="002E6A00" w:rsidRPr="000D55FC" w:rsidRDefault="00D56994">
      <w:pPr>
        <w:overflowPunct w:val="0"/>
        <w:autoSpaceDE w:val="0"/>
        <w:autoSpaceDN w:val="0"/>
        <w:adjustRightInd w:val="0"/>
        <w:spacing w:before="120"/>
        <w:ind w:firstLine="709"/>
        <w:jc w:val="both"/>
        <w:rPr>
          <w:rFonts w:ascii="Arial" w:hAnsi="Arial" w:cs="Arial"/>
          <w:i/>
          <w:iCs/>
          <w:sz w:val="20"/>
        </w:rPr>
      </w:pPr>
      <w:r>
        <w:rPr>
          <w:rFonts w:ascii="Arial" w:hAnsi="Arial" w:cs="Arial"/>
          <w:b/>
          <w:bCs/>
          <w:i/>
          <w:iCs/>
          <w:sz w:val="20"/>
        </w:rPr>
        <w:t>FBU II, FBU III</w:t>
      </w:r>
      <w:r>
        <w:rPr>
          <w:rFonts w:ascii="Arial" w:hAnsi="Arial" w:cs="Arial"/>
          <w:i/>
          <w:iCs/>
          <w:sz w:val="20"/>
        </w:rPr>
        <w:t xml:space="preserve"> – categories of fire brigade units </w:t>
      </w:r>
      <w:r w:rsidR="000B02B0">
        <w:rPr>
          <w:rFonts w:ascii="Arial" w:hAnsi="Arial" w:cs="Arial"/>
          <w:i/>
          <w:iCs/>
          <w:sz w:val="20"/>
        </w:rPr>
        <w:t>pursuant to</w:t>
      </w:r>
      <w:r>
        <w:rPr>
          <w:rFonts w:ascii="Arial" w:hAnsi="Arial" w:cs="Arial"/>
          <w:i/>
          <w:iCs/>
          <w:sz w:val="20"/>
        </w:rPr>
        <w:t xml:space="preserve"> the Fire Protection Act; they are voluntary municipal fire brigade units with members who perform the service as their main or second job (FBU II) or voluntarily (FBU III), the scope of operation reaches beyond their founder’s territory, usually within 10 minutes driving distance from the place of location.</w:t>
      </w:r>
    </w:p>
    <w:p w:rsidR="002E6A00" w:rsidRPr="000D55FC" w:rsidRDefault="002E6A00">
      <w:pPr>
        <w:overflowPunct w:val="0"/>
        <w:autoSpaceDE w:val="0"/>
        <w:autoSpaceDN w:val="0"/>
        <w:adjustRightInd w:val="0"/>
        <w:jc w:val="both"/>
        <w:rPr>
          <w:rFonts w:ascii="Arial" w:hAnsi="Arial" w:cs="Arial"/>
          <w:i/>
          <w:iCs/>
          <w:sz w:val="20"/>
        </w:rPr>
      </w:pPr>
    </w:p>
    <w:p w:rsidR="002E6A00" w:rsidRPr="000D55FC" w:rsidRDefault="002E6A00">
      <w:pPr>
        <w:pStyle w:val="Zkladntextodsazen"/>
        <w:ind w:firstLine="0"/>
        <w:jc w:val="left"/>
      </w:pPr>
    </w:p>
    <w:p w:rsidR="002E6A00" w:rsidRPr="000D55FC" w:rsidRDefault="00D56994">
      <w:pPr>
        <w:pStyle w:val="Zkladntextodsazen"/>
        <w:jc w:val="center"/>
      </w:pPr>
      <w:r>
        <w:t>*          *          *</w:t>
      </w:r>
    </w:p>
    <w:p w:rsidR="002E6A00" w:rsidRPr="000D55FC" w:rsidRDefault="002E6A00">
      <w:pPr>
        <w:pStyle w:val="Zkladntextodsazen"/>
        <w:ind w:firstLine="0"/>
      </w:pPr>
    </w:p>
    <w:p w:rsidR="002E6A00" w:rsidRPr="000D55FC" w:rsidRDefault="002E6A00">
      <w:pPr>
        <w:pStyle w:val="Zkladntextodsazen"/>
        <w:ind w:firstLine="0"/>
      </w:pPr>
    </w:p>
    <w:p w:rsidR="002E6A00" w:rsidRPr="000D55FC" w:rsidRDefault="00D56994">
      <w:pPr>
        <w:pStyle w:val="Zkladntextodsazen"/>
      </w:pPr>
      <w:r>
        <w:t xml:space="preserve">Further data can be found on websites at: </w:t>
      </w:r>
    </w:p>
    <w:p w:rsidR="002E6A00" w:rsidRPr="000D55FC" w:rsidRDefault="00D56994">
      <w:pPr>
        <w:pStyle w:val="Zkladntextodsazen"/>
        <w:spacing w:before="120"/>
        <w:ind w:firstLine="0"/>
        <w:rPr>
          <w:i w:val="0"/>
          <w:iCs w:val="0"/>
        </w:rPr>
      </w:pPr>
      <w:r>
        <w:rPr>
          <w:i w:val="0"/>
          <w:iCs w:val="0"/>
        </w:rPr>
        <w:t>– </w:t>
      </w:r>
      <w:hyperlink r:id="rId6" w:history="1">
        <w:r>
          <w:rPr>
            <w:rStyle w:val="Hypertextovodkaz"/>
            <w:i w:val="0"/>
            <w:iCs w:val="0"/>
          </w:rPr>
          <w:t>portal.justice.cz/justice2/uvod/uvod.aspx</w:t>
        </w:r>
      </w:hyperlink>
      <w:r w:rsidR="005C7289" w:rsidRPr="005C7289">
        <w:rPr>
          <w:i w:val="0"/>
          <w:iCs w:val="0"/>
        </w:rPr>
        <w:t xml:space="preserve"> </w:t>
      </w:r>
      <w:r w:rsidR="005C7289" w:rsidRPr="005C7289">
        <w:rPr>
          <w:iCs w:val="0"/>
        </w:rPr>
        <w:t>(</w:t>
      </w:r>
      <w:r w:rsidR="005C7289" w:rsidRPr="005C7289">
        <w:t>Czech only)</w:t>
      </w:r>
      <w:r w:rsidR="005C7289" w:rsidRPr="005C7289">
        <w:rPr>
          <w:i w:val="0"/>
          <w:iCs w:val="0"/>
        </w:rPr>
        <w:t xml:space="preserve"> </w:t>
      </w:r>
      <w:r w:rsidR="005C7289" w:rsidRPr="005C7289">
        <w:t xml:space="preserve">– Ministry of Justice </w:t>
      </w:r>
    </w:p>
    <w:p w:rsidR="009F4B71" w:rsidRPr="000D55FC" w:rsidRDefault="005C7289" w:rsidP="009F4B71">
      <w:pPr>
        <w:pStyle w:val="Zkladntextodsazen"/>
        <w:spacing w:before="120"/>
        <w:ind w:firstLine="0"/>
        <w:rPr>
          <w:i w:val="0"/>
          <w:iCs w:val="0"/>
        </w:rPr>
      </w:pPr>
      <w:r w:rsidRPr="005C7289">
        <w:rPr>
          <w:i w:val="0"/>
          <w:iCs w:val="0"/>
        </w:rPr>
        <w:lastRenderedPageBreak/>
        <w:t>– </w:t>
      </w:r>
      <w:hyperlink r:id="rId7" w:history="1">
        <w:r w:rsidR="00D56994">
          <w:rPr>
            <w:rStyle w:val="Hypertextovodkaz"/>
            <w:i w:val="0"/>
          </w:rPr>
          <w:t>www.vscr.cz/?lang=3</w:t>
        </w:r>
      </w:hyperlink>
      <w:r w:rsidRPr="005C7289">
        <w:rPr>
          <w:i w:val="0"/>
          <w:iCs w:val="0"/>
        </w:rPr>
        <w:t xml:space="preserve"> –</w:t>
      </w:r>
      <w:r w:rsidRPr="005C7289">
        <w:t xml:space="preserve"> Prison Service of the CR</w:t>
      </w:r>
    </w:p>
    <w:p w:rsidR="00340843" w:rsidRPr="000D55FC" w:rsidRDefault="005C7289" w:rsidP="00D04C30">
      <w:pPr>
        <w:pStyle w:val="Textkomente"/>
        <w:tabs>
          <w:tab w:val="left" w:pos="0"/>
          <w:tab w:val="left" w:pos="142"/>
          <w:tab w:val="left" w:pos="624"/>
          <w:tab w:val="left" w:pos="1190"/>
          <w:tab w:val="left" w:pos="2041"/>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jc w:val="both"/>
        <w:rPr>
          <w:rFonts w:ascii="Arial" w:hAnsi="Arial" w:cs="Arial"/>
          <w:lang w:val="en-GB"/>
        </w:rPr>
      </w:pPr>
      <w:r w:rsidRPr="005C7289">
        <w:rPr>
          <w:rFonts w:ascii="Arial" w:hAnsi="Arial" w:cs="Arial"/>
          <w:lang w:val="en-GB"/>
        </w:rPr>
        <w:t>– </w:t>
      </w:r>
      <w:hyperlink r:id="rId8" w:history="1">
        <w:r w:rsidR="00D56994">
          <w:rPr>
            <w:rStyle w:val="Hypertextovodkaz"/>
            <w:rFonts w:ascii="Arial" w:hAnsi="Arial" w:cs="Arial"/>
            <w:lang w:val="en-GB"/>
          </w:rPr>
          <w:t>www.policie.cz/clanek/Police-of-the-Czech-Republic.aspx</w:t>
        </w:r>
      </w:hyperlink>
      <w:r w:rsidRPr="005C7289">
        <w:rPr>
          <w:rFonts w:ascii="Arial" w:hAnsi="Arial" w:cs="Arial"/>
          <w:lang w:val="en-GB"/>
        </w:rPr>
        <w:t xml:space="preserve"> </w:t>
      </w:r>
      <w:r w:rsidRPr="005C7289">
        <w:rPr>
          <w:rFonts w:ascii="Arial" w:hAnsi="Arial" w:cs="Arial"/>
          <w:i/>
          <w:iCs/>
          <w:lang w:val="en-GB"/>
        </w:rPr>
        <w:t>– Police of the CR</w:t>
      </w:r>
    </w:p>
    <w:p w:rsidR="002E6A00" w:rsidRPr="000D55FC" w:rsidRDefault="005C7289">
      <w:pPr>
        <w:pStyle w:val="Zkladntextodsazen"/>
        <w:spacing w:before="120"/>
        <w:ind w:firstLine="0"/>
      </w:pPr>
      <w:r w:rsidRPr="005C7289">
        <w:rPr>
          <w:i w:val="0"/>
        </w:rPr>
        <w:t>– </w:t>
      </w:r>
      <w:hyperlink r:id="rId9" w:history="1">
        <w:r w:rsidR="00D56994">
          <w:rPr>
            <w:rStyle w:val="Hypertextovodkaz"/>
            <w:i w:val="0"/>
          </w:rPr>
          <w:t>www.mdcr.cz/en/HomePage.htm</w:t>
        </w:r>
      </w:hyperlink>
      <w:r w:rsidRPr="005C7289">
        <w:t xml:space="preserve"> </w:t>
      </w:r>
      <w:r w:rsidRPr="005C7289">
        <w:rPr>
          <w:i w:val="0"/>
          <w:iCs w:val="0"/>
        </w:rPr>
        <w:t>–</w:t>
      </w:r>
      <w:r w:rsidRPr="005C7289">
        <w:t xml:space="preserve"> Ministry of Transport </w:t>
      </w:r>
    </w:p>
    <w:p w:rsidR="002E6A00" w:rsidRPr="000D55FC" w:rsidRDefault="005C7289">
      <w:pPr>
        <w:pStyle w:val="Zkladntextodsazen"/>
        <w:spacing w:before="120"/>
        <w:ind w:firstLine="0"/>
      </w:pPr>
      <w:r w:rsidRPr="005C7289">
        <w:rPr>
          <w:i w:val="0"/>
        </w:rPr>
        <w:t>– </w:t>
      </w:r>
      <w:hyperlink r:id="rId10" w:history="1">
        <w:r w:rsidR="00D56994">
          <w:rPr>
            <w:rStyle w:val="Hypertextovodkaz"/>
            <w:i w:val="0"/>
          </w:rPr>
          <w:t>www.mvcr.cz/mvcren/</w:t>
        </w:r>
      </w:hyperlink>
      <w:r w:rsidRPr="005C7289">
        <w:t xml:space="preserve"> – Ministry of the Interior </w:t>
      </w:r>
    </w:p>
    <w:p w:rsidR="00B42C02" w:rsidRPr="000418F6" w:rsidRDefault="005C7289" w:rsidP="00B42C02">
      <w:pPr>
        <w:pStyle w:val="Textkomente"/>
        <w:tabs>
          <w:tab w:val="left" w:pos="0"/>
          <w:tab w:val="left" w:pos="340"/>
          <w:tab w:val="left" w:pos="624"/>
          <w:tab w:val="left" w:pos="1190"/>
          <w:tab w:val="left" w:pos="2041"/>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jc w:val="both"/>
        <w:rPr>
          <w:rFonts w:ascii="Arial" w:hAnsi="Arial" w:cs="Arial"/>
          <w:lang w:val="en-GB"/>
        </w:rPr>
      </w:pPr>
      <w:r w:rsidRPr="000418F6">
        <w:rPr>
          <w:rFonts w:ascii="Arial" w:hAnsi="Arial" w:cs="Arial"/>
          <w:lang w:val="en-GB"/>
        </w:rPr>
        <w:t>–</w:t>
      </w:r>
      <w:r w:rsidR="000418F6" w:rsidRPr="000418F6">
        <w:rPr>
          <w:rFonts w:ascii="Arial" w:hAnsi="Arial" w:cs="Arial"/>
          <w:lang w:val="en-GB"/>
        </w:rPr>
        <w:t> </w:t>
      </w:r>
      <w:hyperlink r:id="rId11" w:history="1">
        <w:r w:rsidR="007C142C" w:rsidRPr="000418F6">
          <w:rPr>
            <w:rStyle w:val="Hypertextovodkaz"/>
            <w:rFonts w:ascii="Arial" w:hAnsi="Arial" w:cs="Arial"/>
            <w:lang w:val="en-GB"/>
          </w:rPr>
          <w:t>www.hzscr.cz/hasicien/default.aspx</w:t>
        </w:r>
      </w:hyperlink>
      <w:r w:rsidR="007C142C" w:rsidRPr="000418F6">
        <w:rPr>
          <w:rFonts w:ascii="Arial" w:hAnsi="Arial" w:cs="Arial"/>
          <w:lang w:val="en-GB"/>
        </w:rPr>
        <w:t xml:space="preserve"> </w:t>
      </w:r>
      <w:r w:rsidR="000418F6" w:rsidRPr="000418F6">
        <w:rPr>
          <w:rFonts w:ascii="Arial" w:hAnsi="Arial" w:cs="Arial"/>
          <w:lang w:val="en-GB"/>
        </w:rPr>
        <w:t xml:space="preserve">– </w:t>
      </w:r>
      <w:r w:rsidR="000418F6" w:rsidRPr="000418F6">
        <w:rPr>
          <w:rFonts w:ascii="Arial" w:hAnsi="Arial" w:cs="Arial"/>
          <w:i/>
          <w:lang w:val="en-GB"/>
        </w:rPr>
        <w:t>Fire and Rescue Service of the CR</w:t>
      </w:r>
    </w:p>
    <w:sectPr w:rsidR="00B42C02" w:rsidRPr="000418F6" w:rsidSect="002E697A">
      <w:pgSz w:w="11907" w:h="16840"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800AD"/>
    <w:multiLevelType w:val="hybridMultilevel"/>
    <w:tmpl w:val="F2ECFA3A"/>
    <w:lvl w:ilvl="0" w:tplc="174068E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0C96EAA"/>
    <w:multiLevelType w:val="hybridMultilevel"/>
    <w:tmpl w:val="4EACA474"/>
    <w:lvl w:ilvl="0" w:tplc="BD0E676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59C34578"/>
    <w:multiLevelType w:val="hybridMultilevel"/>
    <w:tmpl w:val="D37E035C"/>
    <w:lvl w:ilvl="0" w:tplc="AEE4EDF8">
      <w:start w:val="25"/>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hyphenationZone w:val="425"/>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0444"/>
    <w:rsid w:val="00001974"/>
    <w:rsid w:val="00004E4C"/>
    <w:rsid w:val="00023F6C"/>
    <w:rsid w:val="00025227"/>
    <w:rsid w:val="00025E46"/>
    <w:rsid w:val="0002631F"/>
    <w:rsid w:val="00027F8D"/>
    <w:rsid w:val="0003227E"/>
    <w:rsid w:val="000326DD"/>
    <w:rsid w:val="00033FB8"/>
    <w:rsid w:val="000342DE"/>
    <w:rsid w:val="00035053"/>
    <w:rsid w:val="000418F6"/>
    <w:rsid w:val="00043B4B"/>
    <w:rsid w:val="000471FE"/>
    <w:rsid w:val="000476FF"/>
    <w:rsid w:val="00047CCA"/>
    <w:rsid w:val="000508B2"/>
    <w:rsid w:val="00052587"/>
    <w:rsid w:val="0005316A"/>
    <w:rsid w:val="000537C7"/>
    <w:rsid w:val="00060444"/>
    <w:rsid w:val="00061F6C"/>
    <w:rsid w:val="00062D37"/>
    <w:rsid w:val="00063FD7"/>
    <w:rsid w:val="00065FCF"/>
    <w:rsid w:val="00067098"/>
    <w:rsid w:val="00072F11"/>
    <w:rsid w:val="00074288"/>
    <w:rsid w:val="00077DDF"/>
    <w:rsid w:val="00081D66"/>
    <w:rsid w:val="0008351D"/>
    <w:rsid w:val="0009274D"/>
    <w:rsid w:val="00097879"/>
    <w:rsid w:val="000A194A"/>
    <w:rsid w:val="000A301B"/>
    <w:rsid w:val="000A4B5A"/>
    <w:rsid w:val="000B00E7"/>
    <w:rsid w:val="000B02B0"/>
    <w:rsid w:val="000B23C8"/>
    <w:rsid w:val="000C3CF6"/>
    <w:rsid w:val="000C4828"/>
    <w:rsid w:val="000D1EA9"/>
    <w:rsid w:val="000D2785"/>
    <w:rsid w:val="000D55FC"/>
    <w:rsid w:val="000E10D7"/>
    <w:rsid w:val="000E1A77"/>
    <w:rsid w:val="000E1D25"/>
    <w:rsid w:val="000E5BE0"/>
    <w:rsid w:val="000F3006"/>
    <w:rsid w:val="000F69A2"/>
    <w:rsid w:val="000F70A0"/>
    <w:rsid w:val="001034E7"/>
    <w:rsid w:val="0010458C"/>
    <w:rsid w:val="00105EE3"/>
    <w:rsid w:val="001072C4"/>
    <w:rsid w:val="00110CDA"/>
    <w:rsid w:val="00113542"/>
    <w:rsid w:val="00114B45"/>
    <w:rsid w:val="001229D5"/>
    <w:rsid w:val="00124731"/>
    <w:rsid w:val="0012553E"/>
    <w:rsid w:val="00131CF2"/>
    <w:rsid w:val="00131FD2"/>
    <w:rsid w:val="00132EC0"/>
    <w:rsid w:val="00132FF0"/>
    <w:rsid w:val="001332AB"/>
    <w:rsid w:val="00133ACB"/>
    <w:rsid w:val="001401B4"/>
    <w:rsid w:val="001447DE"/>
    <w:rsid w:val="00145A65"/>
    <w:rsid w:val="001521B3"/>
    <w:rsid w:val="00154BAC"/>
    <w:rsid w:val="00166CF5"/>
    <w:rsid w:val="00174247"/>
    <w:rsid w:val="00177F8F"/>
    <w:rsid w:val="001843CC"/>
    <w:rsid w:val="00191C25"/>
    <w:rsid w:val="001922FA"/>
    <w:rsid w:val="00194178"/>
    <w:rsid w:val="001A1906"/>
    <w:rsid w:val="001A464B"/>
    <w:rsid w:val="001B1353"/>
    <w:rsid w:val="001B5A95"/>
    <w:rsid w:val="001B64B3"/>
    <w:rsid w:val="001C100D"/>
    <w:rsid w:val="001C3033"/>
    <w:rsid w:val="001D5865"/>
    <w:rsid w:val="001D6A80"/>
    <w:rsid w:val="001D7A59"/>
    <w:rsid w:val="001E542F"/>
    <w:rsid w:val="001F331F"/>
    <w:rsid w:val="001F77EE"/>
    <w:rsid w:val="00204D9C"/>
    <w:rsid w:val="00205BDE"/>
    <w:rsid w:val="002066AC"/>
    <w:rsid w:val="002204CA"/>
    <w:rsid w:val="00221035"/>
    <w:rsid w:val="00223097"/>
    <w:rsid w:val="002240C4"/>
    <w:rsid w:val="00226E6A"/>
    <w:rsid w:val="00227D28"/>
    <w:rsid w:val="00230635"/>
    <w:rsid w:val="0023369D"/>
    <w:rsid w:val="002456E0"/>
    <w:rsid w:val="002470BD"/>
    <w:rsid w:val="00252AB6"/>
    <w:rsid w:val="0026056F"/>
    <w:rsid w:val="00272459"/>
    <w:rsid w:val="00273E43"/>
    <w:rsid w:val="002741C6"/>
    <w:rsid w:val="00275C52"/>
    <w:rsid w:val="00275C7D"/>
    <w:rsid w:val="002762B6"/>
    <w:rsid w:val="00277903"/>
    <w:rsid w:val="00284102"/>
    <w:rsid w:val="00284FC3"/>
    <w:rsid w:val="00286509"/>
    <w:rsid w:val="00290378"/>
    <w:rsid w:val="00292A6A"/>
    <w:rsid w:val="002977A5"/>
    <w:rsid w:val="002A2247"/>
    <w:rsid w:val="002B21AF"/>
    <w:rsid w:val="002B32AD"/>
    <w:rsid w:val="002B34FB"/>
    <w:rsid w:val="002B392D"/>
    <w:rsid w:val="002B4D1B"/>
    <w:rsid w:val="002B5A55"/>
    <w:rsid w:val="002B79F6"/>
    <w:rsid w:val="002C0E59"/>
    <w:rsid w:val="002C4E29"/>
    <w:rsid w:val="002D1959"/>
    <w:rsid w:val="002D4F34"/>
    <w:rsid w:val="002D66A7"/>
    <w:rsid w:val="002E1CF5"/>
    <w:rsid w:val="002E1E05"/>
    <w:rsid w:val="002E697A"/>
    <w:rsid w:val="002E6A00"/>
    <w:rsid w:val="002E7F2D"/>
    <w:rsid w:val="002F234E"/>
    <w:rsid w:val="002F4764"/>
    <w:rsid w:val="00304A74"/>
    <w:rsid w:val="0031732C"/>
    <w:rsid w:val="003246CA"/>
    <w:rsid w:val="003247F6"/>
    <w:rsid w:val="00324A7C"/>
    <w:rsid w:val="00325E18"/>
    <w:rsid w:val="003260CF"/>
    <w:rsid w:val="00340843"/>
    <w:rsid w:val="0034086B"/>
    <w:rsid w:val="003421B1"/>
    <w:rsid w:val="00347DEA"/>
    <w:rsid w:val="003548CC"/>
    <w:rsid w:val="00355421"/>
    <w:rsid w:val="00361693"/>
    <w:rsid w:val="00363BB9"/>
    <w:rsid w:val="0037364A"/>
    <w:rsid w:val="003739ED"/>
    <w:rsid w:val="003807D5"/>
    <w:rsid w:val="003A0D63"/>
    <w:rsid w:val="003A0E02"/>
    <w:rsid w:val="003A1BE3"/>
    <w:rsid w:val="003A46A8"/>
    <w:rsid w:val="003A4738"/>
    <w:rsid w:val="003A6727"/>
    <w:rsid w:val="003B0EE7"/>
    <w:rsid w:val="003B51B1"/>
    <w:rsid w:val="003B6B3F"/>
    <w:rsid w:val="003B776E"/>
    <w:rsid w:val="003C14F8"/>
    <w:rsid w:val="003C45CC"/>
    <w:rsid w:val="003D03A7"/>
    <w:rsid w:val="003D4864"/>
    <w:rsid w:val="003D71FA"/>
    <w:rsid w:val="003E0EB2"/>
    <w:rsid w:val="003F2BD2"/>
    <w:rsid w:val="003F3FFE"/>
    <w:rsid w:val="003F4949"/>
    <w:rsid w:val="003F4BDC"/>
    <w:rsid w:val="003F5A07"/>
    <w:rsid w:val="00401367"/>
    <w:rsid w:val="0040413F"/>
    <w:rsid w:val="00405666"/>
    <w:rsid w:val="004077C9"/>
    <w:rsid w:val="00410225"/>
    <w:rsid w:val="004110B6"/>
    <w:rsid w:val="00415112"/>
    <w:rsid w:val="004157D7"/>
    <w:rsid w:val="004179E0"/>
    <w:rsid w:val="0042265D"/>
    <w:rsid w:val="00425921"/>
    <w:rsid w:val="00425FA4"/>
    <w:rsid w:val="00430B8D"/>
    <w:rsid w:val="00432880"/>
    <w:rsid w:val="00435D95"/>
    <w:rsid w:val="0044045F"/>
    <w:rsid w:val="004449FB"/>
    <w:rsid w:val="00456D74"/>
    <w:rsid w:val="00471E24"/>
    <w:rsid w:val="00480162"/>
    <w:rsid w:val="00482912"/>
    <w:rsid w:val="00486026"/>
    <w:rsid w:val="00490170"/>
    <w:rsid w:val="00490F23"/>
    <w:rsid w:val="004939CD"/>
    <w:rsid w:val="00494EA3"/>
    <w:rsid w:val="00495966"/>
    <w:rsid w:val="00495EBB"/>
    <w:rsid w:val="00496430"/>
    <w:rsid w:val="004A0DD5"/>
    <w:rsid w:val="004A6784"/>
    <w:rsid w:val="004B2E7A"/>
    <w:rsid w:val="004B4068"/>
    <w:rsid w:val="004C4EF6"/>
    <w:rsid w:val="004C52C2"/>
    <w:rsid w:val="004D156D"/>
    <w:rsid w:val="004D2231"/>
    <w:rsid w:val="004D3789"/>
    <w:rsid w:val="004D3BA9"/>
    <w:rsid w:val="004D6768"/>
    <w:rsid w:val="004E0354"/>
    <w:rsid w:val="004E2A33"/>
    <w:rsid w:val="004E2CDA"/>
    <w:rsid w:val="004E48DE"/>
    <w:rsid w:val="004E5A62"/>
    <w:rsid w:val="004E5CFB"/>
    <w:rsid w:val="004F2DB2"/>
    <w:rsid w:val="004F3F9B"/>
    <w:rsid w:val="00506C2B"/>
    <w:rsid w:val="005071C7"/>
    <w:rsid w:val="00511B31"/>
    <w:rsid w:val="005142D0"/>
    <w:rsid w:val="005206A7"/>
    <w:rsid w:val="005231FA"/>
    <w:rsid w:val="005254E8"/>
    <w:rsid w:val="00527BBA"/>
    <w:rsid w:val="005334C6"/>
    <w:rsid w:val="00535165"/>
    <w:rsid w:val="00541FFF"/>
    <w:rsid w:val="00550E35"/>
    <w:rsid w:val="00557A07"/>
    <w:rsid w:val="00566680"/>
    <w:rsid w:val="00566C50"/>
    <w:rsid w:val="00567191"/>
    <w:rsid w:val="00567572"/>
    <w:rsid w:val="00574825"/>
    <w:rsid w:val="00574DB9"/>
    <w:rsid w:val="0058099B"/>
    <w:rsid w:val="005849BD"/>
    <w:rsid w:val="0058556C"/>
    <w:rsid w:val="00585E5A"/>
    <w:rsid w:val="0058697D"/>
    <w:rsid w:val="00590A4A"/>
    <w:rsid w:val="00591250"/>
    <w:rsid w:val="005927E0"/>
    <w:rsid w:val="00596B86"/>
    <w:rsid w:val="005976A6"/>
    <w:rsid w:val="005A009D"/>
    <w:rsid w:val="005A69C9"/>
    <w:rsid w:val="005B7A69"/>
    <w:rsid w:val="005C11CC"/>
    <w:rsid w:val="005C3E5F"/>
    <w:rsid w:val="005C4DCD"/>
    <w:rsid w:val="005C5453"/>
    <w:rsid w:val="005C7289"/>
    <w:rsid w:val="005D621C"/>
    <w:rsid w:val="005D74B9"/>
    <w:rsid w:val="005D7E18"/>
    <w:rsid w:val="005E164A"/>
    <w:rsid w:val="005E3DA8"/>
    <w:rsid w:val="005E4057"/>
    <w:rsid w:val="005E62EC"/>
    <w:rsid w:val="005F572D"/>
    <w:rsid w:val="005F618B"/>
    <w:rsid w:val="005F7237"/>
    <w:rsid w:val="006006B2"/>
    <w:rsid w:val="006101A2"/>
    <w:rsid w:val="006101DC"/>
    <w:rsid w:val="0061279F"/>
    <w:rsid w:val="006128A1"/>
    <w:rsid w:val="0061292D"/>
    <w:rsid w:val="00614A3A"/>
    <w:rsid w:val="00614C81"/>
    <w:rsid w:val="00615C8C"/>
    <w:rsid w:val="00617E4D"/>
    <w:rsid w:val="00620616"/>
    <w:rsid w:val="0062502E"/>
    <w:rsid w:val="006250D5"/>
    <w:rsid w:val="006256B7"/>
    <w:rsid w:val="00631F52"/>
    <w:rsid w:val="006332FF"/>
    <w:rsid w:val="00640353"/>
    <w:rsid w:val="00641115"/>
    <w:rsid w:val="00641A83"/>
    <w:rsid w:val="00647ECD"/>
    <w:rsid w:val="00651DFB"/>
    <w:rsid w:val="00655283"/>
    <w:rsid w:val="006556D0"/>
    <w:rsid w:val="0066440A"/>
    <w:rsid w:val="00664AA3"/>
    <w:rsid w:val="00682A90"/>
    <w:rsid w:val="00683971"/>
    <w:rsid w:val="00687B20"/>
    <w:rsid w:val="006A3771"/>
    <w:rsid w:val="006A39F9"/>
    <w:rsid w:val="006A3E3F"/>
    <w:rsid w:val="006A7A1B"/>
    <w:rsid w:val="006B0646"/>
    <w:rsid w:val="006B4031"/>
    <w:rsid w:val="006B5000"/>
    <w:rsid w:val="006B6FF5"/>
    <w:rsid w:val="006C053A"/>
    <w:rsid w:val="006C74DE"/>
    <w:rsid w:val="006D0876"/>
    <w:rsid w:val="006D22FA"/>
    <w:rsid w:val="006F1FD5"/>
    <w:rsid w:val="0070199D"/>
    <w:rsid w:val="0070258F"/>
    <w:rsid w:val="00702D0F"/>
    <w:rsid w:val="007056E5"/>
    <w:rsid w:val="007105D6"/>
    <w:rsid w:val="0071105F"/>
    <w:rsid w:val="00717DB9"/>
    <w:rsid w:val="00721596"/>
    <w:rsid w:val="007245FE"/>
    <w:rsid w:val="00725FF6"/>
    <w:rsid w:val="0073147F"/>
    <w:rsid w:val="007351F4"/>
    <w:rsid w:val="0073730F"/>
    <w:rsid w:val="00744749"/>
    <w:rsid w:val="0075148D"/>
    <w:rsid w:val="007514BD"/>
    <w:rsid w:val="00751772"/>
    <w:rsid w:val="00761979"/>
    <w:rsid w:val="0076434C"/>
    <w:rsid w:val="007646F8"/>
    <w:rsid w:val="007671FC"/>
    <w:rsid w:val="00770F85"/>
    <w:rsid w:val="00771D65"/>
    <w:rsid w:val="0077679D"/>
    <w:rsid w:val="007845DC"/>
    <w:rsid w:val="007910F6"/>
    <w:rsid w:val="007A10CE"/>
    <w:rsid w:val="007A385A"/>
    <w:rsid w:val="007B3E43"/>
    <w:rsid w:val="007B7B2B"/>
    <w:rsid w:val="007B7BD1"/>
    <w:rsid w:val="007C142C"/>
    <w:rsid w:val="007C47BC"/>
    <w:rsid w:val="007C7BA5"/>
    <w:rsid w:val="007D5566"/>
    <w:rsid w:val="007D62D1"/>
    <w:rsid w:val="007D76BD"/>
    <w:rsid w:val="007E2E0D"/>
    <w:rsid w:val="007E530D"/>
    <w:rsid w:val="007E5EDA"/>
    <w:rsid w:val="007E7E59"/>
    <w:rsid w:val="007F3AF5"/>
    <w:rsid w:val="007F7344"/>
    <w:rsid w:val="0080043A"/>
    <w:rsid w:val="00803242"/>
    <w:rsid w:val="00810EE1"/>
    <w:rsid w:val="00822BF5"/>
    <w:rsid w:val="008238E6"/>
    <w:rsid w:val="0082510F"/>
    <w:rsid w:val="0082553D"/>
    <w:rsid w:val="00825B3C"/>
    <w:rsid w:val="008269FA"/>
    <w:rsid w:val="00832F24"/>
    <w:rsid w:val="0083400A"/>
    <w:rsid w:val="0084094D"/>
    <w:rsid w:val="0084239A"/>
    <w:rsid w:val="00847A7D"/>
    <w:rsid w:val="00850F12"/>
    <w:rsid w:val="008560D8"/>
    <w:rsid w:val="00862D3D"/>
    <w:rsid w:val="0086554B"/>
    <w:rsid w:val="00867734"/>
    <w:rsid w:val="008807C6"/>
    <w:rsid w:val="008925FF"/>
    <w:rsid w:val="00892841"/>
    <w:rsid w:val="008939D2"/>
    <w:rsid w:val="00897BD4"/>
    <w:rsid w:val="008A1480"/>
    <w:rsid w:val="008A1EDF"/>
    <w:rsid w:val="008A20C5"/>
    <w:rsid w:val="008A2FB8"/>
    <w:rsid w:val="008A3DDF"/>
    <w:rsid w:val="008A4242"/>
    <w:rsid w:val="008A520C"/>
    <w:rsid w:val="008A7BD0"/>
    <w:rsid w:val="008B438D"/>
    <w:rsid w:val="008B4A6F"/>
    <w:rsid w:val="008C4311"/>
    <w:rsid w:val="008C4A1E"/>
    <w:rsid w:val="008C54EF"/>
    <w:rsid w:val="008D5191"/>
    <w:rsid w:val="008E52CE"/>
    <w:rsid w:val="008E697A"/>
    <w:rsid w:val="008E7AD7"/>
    <w:rsid w:val="008F2805"/>
    <w:rsid w:val="008F5931"/>
    <w:rsid w:val="008F6267"/>
    <w:rsid w:val="00903862"/>
    <w:rsid w:val="00911178"/>
    <w:rsid w:val="009117EB"/>
    <w:rsid w:val="009139A5"/>
    <w:rsid w:val="00914BF9"/>
    <w:rsid w:val="0092098C"/>
    <w:rsid w:val="0092582F"/>
    <w:rsid w:val="00931DCD"/>
    <w:rsid w:val="009341B6"/>
    <w:rsid w:val="00937DEF"/>
    <w:rsid w:val="0094311C"/>
    <w:rsid w:val="009440AB"/>
    <w:rsid w:val="0094707E"/>
    <w:rsid w:val="009475E9"/>
    <w:rsid w:val="009502C0"/>
    <w:rsid w:val="00952507"/>
    <w:rsid w:val="0095486C"/>
    <w:rsid w:val="00970F40"/>
    <w:rsid w:val="0097212D"/>
    <w:rsid w:val="00976622"/>
    <w:rsid w:val="00982863"/>
    <w:rsid w:val="00983ECE"/>
    <w:rsid w:val="0099164C"/>
    <w:rsid w:val="00994CD7"/>
    <w:rsid w:val="009A2C37"/>
    <w:rsid w:val="009A2D1D"/>
    <w:rsid w:val="009B2985"/>
    <w:rsid w:val="009B2AE0"/>
    <w:rsid w:val="009B3CC6"/>
    <w:rsid w:val="009B6837"/>
    <w:rsid w:val="009C0E81"/>
    <w:rsid w:val="009C249C"/>
    <w:rsid w:val="009E16EE"/>
    <w:rsid w:val="009E62C8"/>
    <w:rsid w:val="009E65F7"/>
    <w:rsid w:val="009F4B71"/>
    <w:rsid w:val="00A02DBE"/>
    <w:rsid w:val="00A05C74"/>
    <w:rsid w:val="00A06052"/>
    <w:rsid w:val="00A07B17"/>
    <w:rsid w:val="00A07E9C"/>
    <w:rsid w:val="00A120A3"/>
    <w:rsid w:val="00A139FC"/>
    <w:rsid w:val="00A23133"/>
    <w:rsid w:val="00A252D2"/>
    <w:rsid w:val="00A25815"/>
    <w:rsid w:val="00A3045B"/>
    <w:rsid w:val="00A40FF4"/>
    <w:rsid w:val="00A41E7C"/>
    <w:rsid w:val="00A45D19"/>
    <w:rsid w:val="00A51D3E"/>
    <w:rsid w:val="00A65C8E"/>
    <w:rsid w:val="00A664A5"/>
    <w:rsid w:val="00A70413"/>
    <w:rsid w:val="00A72775"/>
    <w:rsid w:val="00A7290C"/>
    <w:rsid w:val="00A732FF"/>
    <w:rsid w:val="00A764AF"/>
    <w:rsid w:val="00A7735D"/>
    <w:rsid w:val="00A82B9E"/>
    <w:rsid w:val="00A877EC"/>
    <w:rsid w:val="00A90186"/>
    <w:rsid w:val="00A902C0"/>
    <w:rsid w:val="00A91AC2"/>
    <w:rsid w:val="00A9418E"/>
    <w:rsid w:val="00A977BA"/>
    <w:rsid w:val="00A97B3F"/>
    <w:rsid w:val="00AA458D"/>
    <w:rsid w:val="00AB0694"/>
    <w:rsid w:val="00AB0928"/>
    <w:rsid w:val="00AB4552"/>
    <w:rsid w:val="00AB7A89"/>
    <w:rsid w:val="00AC0641"/>
    <w:rsid w:val="00AC3FC1"/>
    <w:rsid w:val="00AC579B"/>
    <w:rsid w:val="00AC7F7B"/>
    <w:rsid w:val="00AE43EC"/>
    <w:rsid w:val="00AE67D5"/>
    <w:rsid w:val="00AF362E"/>
    <w:rsid w:val="00B00DAD"/>
    <w:rsid w:val="00B10274"/>
    <w:rsid w:val="00B10EFB"/>
    <w:rsid w:val="00B21D39"/>
    <w:rsid w:val="00B27F15"/>
    <w:rsid w:val="00B33C1C"/>
    <w:rsid w:val="00B33EB8"/>
    <w:rsid w:val="00B3461F"/>
    <w:rsid w:val="00B35669"/>
    <w:rsid w:val="00B35968"/>
    <w:rsid w:val="00B4099A"/>
    <w:rsid w:val="00B411B6"/>
    <w:rsid w:val="00B42BFE"/>
    <w:rsid w:val="00B42C02"/>
    <w:rsid w:val="00B45E4F"/>
    <w:rsid w:val="00B47503"/>
    <w:rsid w:val="00B5342F"/>
    <w:rsid w:val="00B57948"/>
    <w:rsid w:val="00B65AC1"/>
    <w:rsid w:val="00B66F6A"/>
    <w:rsid w:val="00B70C0B"/>
    <w:rsid w:val="00B75CE3"/>
    <w:rsid w:val="00B850BF"/>
    <w:rsid w:val="00B851E1"/>
    <w:rsid w:val="00B931B6"/>
    <w:rsid w:val="00B95FFD"/>
    <w:rsid w:val="00BA0717"/>
    <w:rsid w:val="00BA182D"/>
    <w:rsid w:val="00BA4166"/>
    <w:rsid w:val="00BB201F"/>
    <w:rsid w:val="00BB6B89"/>
    <w:rsid w:val="00BB7539"/>
    <w:rsid w:val="00BB7821"/>
    <w:rsid w:val="00BC1326"/>
    <w:rsid w:val="00BD2437"/>
    <w:rsid w:val="00BD2FAC"/>
    <w:rsid w:val="00BD3FB7"/>
    <w:rsid w:val="00BE2EA3"/>
    <w:rsid w:val="00BF1643"/>
    <w:rsid w:val="00BF1AFF"/>
    <w:rsid w:val="00BF43F6"/>
    <w:rsid w:val="00C04EE4"/>
    <w:rsid w:val="00C06630"/>
    <w:rsid w:val="00C070CA"/>
    <w:rsid w:val="00C1137E"/>
    <w:rsid w:val="00C12E6A"/>
    <w:rsid w:val="00C1466D"/>
    <w:rsid w:val="00C22BDB"/>
    <w:rsid w:val="00C2525B"/>
    <w:rsid w:val="00C31562"/>
    <w:rsid w:val="00C3217C"/>
    <w:rsid w:val="00C44B70"/>
    <w:rsid w:val="00C44C55"/>
    <w:rsid w:val="00C4566A"/>
    <w:rsid w:val="00C50A1B"/>
    <w:rsid w:val="00C56CF1"/>
    <w:rsid w:val="00C57BA4"/>
    <w:rsid w:val="00C64237"/>
    <w:rsid w:val="00C65BD0"/>
    <w:rsid w:val="00C65C18"/>
    <w:rsid w:val="00C67DF6"/>
    <w:rsid w:val="00C7134B"/>
    <w:rsid w:val="00C7361C"/>
    <w:rsid w:val="00C76348"/>
    <w:rsid w:val="00C7708D"/>
    <w:rsid w:val="00C90E6F"/>
    <w:rsid w:val="00C92BC9"/>
    <w:rsid w:val="00C97308"/>
    <w:rsid w:val="00CA108F"/>
    <w:rsid w:val="00CA5900"/>
    <w:rsid w:val="00CB054C"/>
    <w:rsid w:val="00CB4C45"/>
    <w:rsid w:val="00CB5F1B"/>
    <w:rsid w:val="00CC4738"/>
    <w:rsid w:val="00CD0876"/>
    <w:rsid w:val="00CD533F"/>
    <w:rsid w:val="00CD7C35"/>
    <w:rsid w:val="00CE3AF0"/>
    <w:rsid w:val="00CE76A7"/>
    <w:rsid w:val="00D004F1"/>
    <w:rsid w:val="00D011B1"/>
    <w:rsid w:val="00D02311"/>
    <w:rsid w:val="00D044E3"/>
    <w:rsid w:val="00D04C30"/>
    <w:rsid w:val="00D04D36"/>
    <w:rsid w:val="00D062F1"/>
    <w:rsid w:val="00D07875"/>
    <w:rsid w:val="00D10ADA"/>
    <w:rsid w:val="00D11E79"/>
    <w:rsid w:val="00D20BDF"/>
    <w:rsid w:val="00D20D6B"/>
    <w:rsid w:val="00D23CC0"/>
    <w:rsid w:val="00D27010"/>
    <w:rsid w:val="00D378B2"/>
    <w:rsid w:val="00D4394E"/>
    <w:rsid w:val="00D43AC3"/>
    <w:rsid w:val="00D44E64"/>
    <w:rsid w:val="00D47948"/>
    <w:rsid w:val="00D506FC"/>
    <w:rsid w:val="00D51241"/>
    <w:rsid w:val="00D551FF"/>
    <w:rsid w:val="00D56994"/>
    <w:rsid w:val="00D61367"/>
    <w:rsid w:val="00D6417A"/>
    <w:rsid w:val="00D7565E"/>
    <w:rsid w:val="00D75DC3"/>
    <w:rsid w:val="00D76D52"/>
    <w:rsid w:val="00D8008A"/>
    <w:rsid w:val="00D8191B"/>
    <w:rsid w:val="00D82EDD"/>
    <w:rsid w:val="00D84106"/>
    <w:rsid w:val="00D857A5"/>
    <w:rsid w:val="00D868CC"/>
    <w:rsid w:val="00D94ED0"/>
    <w:rsid w:val="00D96526"/>
    <w:rsid w:val="00DA3F28"/>
    <w:rsid w:val="00DA4EFC"/>
    <w:rsid w:val="00DB203E"/>
    <w:rsid w:val="00DB2107"/>
    <w:rsid w:val="00DB3468"/>
    <w:rsid w:val="00DC0C0B"/>
    <w:rsid w:val="00DC7235"/>
    <w:rsid w:val="00DD1931"/>
    <w:rsid w:val="00DD1B11"/>
    <w:rsid w:val="00DD72BD"/>
    <w:rsid w:val="00DE1E23"/>
    <w:rsid w:val="00DE2289"/>
    <w:rsid w:val="00DE2EAE"/>
    <w:rsid w:val="00DE43DC"/>
    <w:rsid w:val="00DE454E"/>
    <w:rsid w:val="00DE6139"/>
    <w:rsid w:val="00DE7A8F"/>
    <w:rsid w:val="00DF1B22"/>
    <w:rsid w:val="00DF3C10"/>
    <w:rsid w:val="00DF7DA2"/>
    <w:rsid w:val="00E02F65"/>
    <w:rsid w:val="00E07553"/>
    <w:rsid w:val="00E13ADE"/>
    <w:rsid w:val="00E164F5"/>
    <w:rsid w:val="00E2069C"/>
    <w:rsid w:val="00E21030"/>
    <w:rsid w:val="00E22A5B"/>
    <w:rsid w:val="00E22F59"/>
    <w:rsid w:val="00E23896"/>
    <w:rsid w:val="00E263F1"/>
    <w:rsid w:val="00E33370"/>
    <w:rsid w:val="00E34574"/>
    <w:rsid w:val="00E37049"/>
    <w:rsid w:val="00E40ED6"/>
    <w:rsid w:val="00E43619"/>
    <w:rsid w:val="00E47549"/>
    <w:rsid w:val="00E54368"/>
    <w:rsid w:val="00E609EF"/>
    <w:rsid w:val="00E63F20"/>
    <w:rsid w:val="00E64DC0"/>
    <w:rsid w:val="00E65FB9"/>
    <w:rsid w:val="00E72D66"/>
    <w:rsid w:val="00E776FD"/>
    <w:rsid w:val="00E83254"/>
    <w:rsid w:val="00E856BD"/>
    <w:rsid w:val="00E939C4"/>
    <w:rsid w:val="00E9473A"/>
    <w:rsid w:val="00EA2A57"/>
    <w:rsid w:val="00EB29A6"/>
    <w:rsid w:val="00EC1AEE"/>
    <w:rsid w:val="00EC256A"/>
    <w:rsid w:val="00EC4C6B"/>
    <w:rsid w:val="00EC70C2"/>
    <w:rsid w:val="00ED5D65"/>
    <w:rsid w:val="00ED79D3"/>
    <w:rsid w:val="00EE2ECC"/>
    <w:rsid w:val="00EE6421"/>
    <w:rsid w:val="00EF271A"/>
    <w:rsid w:val="00EF29D8"/>
    <w:rsid w:val="00EF34E7"/>
    <w:rsid w:val="00EF5F99"/>
    <w:rsid w:val="00F033BC"/>
    <w:rsid w:val="00F06BF5"/>
    <w:rsid w:val="00F07237"/>
    <w:rsid w:val="00F12BA8"/>
    <w:rsid w:val="00F13DEE"/>
    <w:rsid w:val="00F165CD"/>
    <w:rsid w:val="00F34E0F"/>
    <w:rsid w:val="00F3588A"/>
    <w:rsid w:val="00F41778"/>
    <w:rsid w:val="00F4257F"/>
    <w:rsid w:val="00F47DE2"/>
    <w:rsid w:val="00F5141A"/>
    <w:rsid w:val="00F56ADA"/>
    <w:rsid w:val="00F61A87"/>
    <w:rsid w:val="00F65023"/>
    <w:rsid w:val="00F729BC"/>
    <w:rsid w:val="00F7337E"/>
    <w:rsid w:val="00F75D0B"/>
    <w:rsid w:val="00F77220"/>
    <w:rsid w:val="00F80702"/>
    <w:rsid w:val="00F84FB5"/>
    <w:rsid w:val="00F85841"/>
    <w:rsid w:val="00F90577"/>
    <w:rsid w:val="00F9614B"/>
    <w:rsid w:val="00F97778"/>
    <w:rsid w:val="00FA4BAE"/>
    <w:rsid w:val="00FB42B0"/>
    <w:rsid w:val="00FB6F97"/>
    <w:rsid w:val="00FC40D0"/>
    <w:rsid w:val="00FC7293"/>
    <w:rsid w:val="00FD3C19"/>
    <w:rsid w:val="00FD604E"/>
    <w:rsid w:val="00FE165B"/>
    <w:rsid w:val="00FE3256"/>
    <w:rsid w:val="00FE3A6C"/>
    <w:rsid w:val="00FE4728"/>
    <w:rsid w:val="00FE6E83"/>
    <w:rsid w:val="00FF4822"/>
    <w:rsid w:val="00FF786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E697A"/>
    <w:rPr>
      <w:sz w:val="24"/>
      <w:szCs w:val="24"/>
      <w:lang w:val="en-GB"/>
    </w:rPr>
  </w:style>
  <w:style w:type="paragraph" w:styleId="Nadpis1">
    <w:name w:val="heading 1"/>
    <w:basedOn w:val="Normln"/>
    <w:next w:val="Normln"/>
    <w:qFormat/>
    <w:rsid w:val="002E697A"/>
    <w:pPr>
      <w:keepNext/>
      <w:overflowPunct w:val="0"/>
      <w:autoSpaceDE w:val="0"/>
      <w:autoSpaceDN w:val="0"/>
      <w:adjustRightInd w:val="0"/>
      <w:outlineLvl w:val="0"/>
    </w:pPr>
    <w:rPr>
      <w:b/>
      <w:bCs/>
      <w:sz w:val="18"/>
      <w:szCs w:val="18"/>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2E697A"/>
    <w:pPr>
      <w:spacing w:before="100" w:beforeAutospacing="1" w:after="100" w:afterAutospacing="1"/>
    </w:pPr>
    <w:rPr>
      <w:rFonts w:ascii="Arial Unicode MS" w:eastAsia="Arial Unicode MS" w:hAnsi="Arial Unicode MS" w:cs="Arial Unicode MS"/>
      <w:color w:val="0078B3"/>
      <w:lang w:val="cs-CZ"/>
    </w:rPr>
  </w:style>
  <w:style w:type="paragraph" w:styleId="Zkladntext">
    <w:name w:val="Body Text"/>
    <w:basedOn w:val="Normln"/>
    <w:semiHidden/>
    <w:rsid w:val="002E697A"/>
    <w:pPr>
      <w:overflowPunct w:val="0"/>
      <w:autoSpaceDE w:val="0"/>
      <w:autoSpaceDN w:val="0"/>
      <w:adjustRightInd w:val="0"/>
      <w:jc w:val="both"/>
    </w:pPr>
    <w:rPr>
      <w:i/>
      <w:iCs/>
    </w:rPr>
  </w:style>
  <w:style w:type="paragraph" w:styleId="Zkladntextodsazen">
    <w:name w:val="Body Text Indent"/>
    <w:basedOn w:val="Normln"/>
    <w:semiHidden/>
    <w:rsid w:val="002E697A"/>
    <w:pPr>
      <w:overflowPunct w:val="0"/>
      <w:autoSpaceDE w:val="0"/>
      <w:autoSpaceDN w:val="0"/>
      <w:adjustRightInd w:val="0"/>
      <w:ind w:firstLine="709"/>
      <w:jc w:val="both"/>
    </w:pPr>
    <w:rPr>
      <w:rFonts w:ascii="Arial" w:hAnsi="Arial" w:cs="Arial"/>
      <w:i/>
      <w:iCs/>
      <w:sz w:val="20"/>
    </w:rPr>
  </w:style>
  <w:style w:type="character" w:styleId="Hypertextovodkaz">
    <w:name w:val="Hyperlink"/>
    <w:basedOn w:val="Standardnpsmoodstavce"/>
    <w:semiHidden/>
    <w:rsid w:val="002E697A"/>
    <w:rPr>
      <w:color w:val="0000FF"/>
      <w:u w:val="single"/>
    </w:rPr>
  </w:style>
  <w:style w:type="character" w:styleId="Sledovanodkaz">
    <w:name w:val="FollowedHyperlink"/>
    <w:basedOn w:val="Standardnpsmoodstavce"/>
    <w:semiHidden/>
    <w:rsid w:val="002E697A"/>
    <w:rPr>
      <w:color w:val="800080"/>
      <w:u w:val="single"/>
    </w:rPr>
  </w:style>
  <w:style w:type="paragraph" w:styleId="Zkladntext2">
    <w:name w:val="Body Text 2"/>
    <w:basedOn w:val="Normln"/>
    <w:semiHidden/>
    <w:rsid w:val="002E697A"/>
    <w:pPr>
      <w:spacing w:after="120" w:line="480" w:lineRule="auto"/>
    </w:pPr>
  </w:style>
  <w:style w:type="paragraph" w:styleId="Textbubliny">
    <w:name w:val="Balloon Text"/>
    <w:basedOn w:val="Normln"/>
    <w:link w:val="TextbublinyChar"/>
    <w:uiPriority w:val="99"/>
    <w:semiHidden/>
    <w:unhideWhenUsed/>
    <w:rsid w:val="00060444"/>
    <w:rPr>
      <w:rFonts w:ascii="Tahoma" w:hAnsi="Tahoma" w:cs="Tahoma"/>
      <w:sz w:val="16"/>
      <w:szCs w:val="16"/>
    </w:rPr>
  </w:style>
  <w:style w:type="character" w:customStyle="1" w:styleId="TextbublinyChar">
    <w:name w:val="Text bubliny Char"/>
    <w:basedOn w:val="Standardnpsmoodstavce"/>
    <w:link w:val="Textbubliny"/>
    <w:uiPriority w:val="99"/>
    <w:semiHidden/>
    <w:rsid w:val="00060444"/>
    <w:rPr>
      <w:rFonts w:ascii="Tahoma" w:hAnsi="Tahoma" w:cs="Tahoma"/>
      <w:sz w:val="16"/>
      <w:szCs w:val="16"/>
      <w:lang w:val="en-GB"/>
    </w:rPr>
  </w:style>
  <w:style w:type="paragraph" w:styleId="Textkomente">
    <w:name w:val="annotation text"/>
    <w:basedOn w:val="Normln"/>
    <w:link w:val="TextkomenteChar"/>
    <w:semiHidden/>
    <w:rsid w:val="00340843"/>
    <w:rPr>
      <w:sz w:val="20"/>
      <w:szCs w:val="20"/>
      <w:lang w:val="cs-CZ"/>
    </w:rPr>
  </w:style>
  <w:style w:type="character" w:customStyle="1" w:styleId="TextkomenteChar">
    <w:name w:val="Text komentáře Char"/>
    <w:basedOn w:val="Standardnpsmoodstavce"/>
    <w:link w:val="Textkomente"/>
    <w:semiHidden/>
    <w:rsid w:val="00340843"/>
  </w:style>
  <w:style w:type="character" w:customStyle="1" w:styleId="zzp-work-item-value">
    <w:name w:val="zzp-work-item-value"/>
    <w:basedOn w:val="Standardnpsmoodstavce"/>
    <w:rsid w:val="00717DB9"/>
  </w:style>
  <w:style w:type="character" w:customStyle="1" w:styleId="st">
    <w:name w:val="st"/>
    <w:basedOn w:val="Standardnpsmoodstavce"/>
    <w:rsid w:val="004939C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cie.cz/clanek/Police-of-the-Czech-Republic.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vscr.cz/?lang=3"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ortal.justice.cz/justice2/uvod/uvod.aspx" TargetMode="External"/><Relationship Id="rId11" Type="http://schemas.openxmlformats.org/officeDocument/2006/relationships/hyperlink" Target="http://www.hzscr.cz/hasicien/default.aspx" TargetMode="External"/><Relationship Id="rId5" Type="http://schemas.openxmlformats.org/officeDocument/2006/relationships/webSettings" Target="webSettings.xml"/><Relationship Id="rId10" Type="http://schemas.openxmlformats.org/officeDocument/2006/relationships/hyperlink" Target="http://www.mvcr.cz/mvcren/" TargetMode="External"/><Relationship Id="rId4" Type="http://schemas.openxmlformats.org/officeDocument/2006/relationships/settings" Target="settings.xml"/><Relationship Id="rId9" Type="http://schemas.openxmlformats.org/officeDocument/2006/relationships/hyperlink" Target="http://www.mdcr.cz/en/HomePage.ht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83A10-76A7-46F5-AD9D-046A8E1A4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2731</Words>
  <Characters>16116</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25</vt:lpstr>
    </vt:vector>
  </TitlesOfParts>
  <Company>csu</Company>
  <LinksUpToDate>false</LinksUpToDate>
  <CharactersWithSpaces>18810</CharactersWithSpaces>
  <SharedDoc>false</SharedDoc>
  <HLinks>
    <vt:vector size="30" baseType="variant">
      <vt:variant>
        <vt:i4>3473522</vt:i4>
      </vt:variant>
      <vt:variant>
        <vt:i4>12</vt:i4>
      </vt:variant>
      <vt:variant>
        <vt:i4>0</vt:i4>
      </vt:variant>
      <vt:variant>
        <vt:i4>5</vt:i4>
      </vt:variant>
      <vt:variant>
        <vt:lpwstr>http://www.mvcr.cz/mvcren/</vt:lpwstr>
      </vt:variant>
      <vt:variant>
        <vt:lpwstr/>
      </vt:variant>
      <vt:variant>
        <vt:i4>3145772</vt:i4>
      </vt:variant>
      <vt:variant>
        <vt:i4>9</vt:i4>
      </vt:variant>
      <vt:variant>
        <vt:i4>0</vt:i4>
      </vt:variant>
      <vt:variant>
        <vt:i4>5</vt:i4>
      </vt:variant>
      <vt:variant>
        <vt:lpwstr>http://www.mdcr.cz/en/HomePage.htm</vt:lpwstr>
      </vt:variant>
      <vt:variant>
        <vt:lpwstr/>
      </vt:variant>
      <vt:variant>
        <vt:i4>7536765</vt:i4>
      </vt:variant>
      <vt:variant>
        <vt:i4>6</vt:i4>
      </vt:variant>
      <vt:variant>
        <vt:i4>0</vt:i4>
      </vt:variant>
      <vt:variant>
        <vt:i4>5</vt:i4>
      </vt:variant>
      <vt:variant>
        <vt:lpwstr>http://www.policie.cz/clanek/Police-of-the-Czech-Republic.aspx</vt:lpwstr>
      </vt:variant>
      <vt:variant>
        <vt:lpwstr/>
      </vt:variant>
      <vt:variant>
        <vt:i4>6291490</vt:i4>
      </vt:variant>
      <vt:variant>
        <vt:i4>3</vt:i4>
      </vt:variant>
      <vt:variant>
        <vt:i4>0</vt:i4>
      </vt:variant>
      <vt:variant>
        <vt:i4>5</vt:i4>
      </vt:variant>
      <vt:variant>
        <vt:lpwstr>http://www.vscr.cz/?lang=3</vt:lpwstr>
      </vt:variant>
      <vt:variant>
        <vt:lpwstr/>
      </vt:variant>
      <vt:variant>
        <vt:i4>4653121</vt:i4>
      </vt:variant>
      <vt:variant>
        <vt:i4>0</vt:i4>
      </vt:variant>
      <vt:variant>
        <vt:i4>0</vt:i4>
      </vt:variant>
      <vt:variant>
        <vt:i4>5</vt:i4>
      </vt:variant>
      <vt:variant>
        <vt:lpwstr>http://portal.justice.cz/justice2/uvod/uvod.aspx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dc:title>
  <dc:creator>csu</dc:creator>
  <cp:lastModifiedBy>habartova2358</cp:lastModifiedBy>
  <cp:revision>2</cp:revision>
  <cp:lastPrinted>2015-04-21T05:59:00Z</cp:lastPrinted>
  <dcterms:created xsi:type="dcterms:W3CDTF">2015-10-12T09:19:00Z</dcterms:created>
  <dcterms:modified xsi:type="dcterms:W3CDTF">2015-10-12T09:19:00Z</dcterms:modified>
</cp:coreProperties>
</file>