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D5" w:rsidRDefault="00A85CD5">
      <w:pPr>
        <w:pStyle w:val="Nadpis4"/>
      </w:pPr>
      <w:bookmarkStart w:id="0" w:name="_GoBack"/>
      <w:bookmarkEnd w:id="0"/>
      <w:r>
        <w:t>Úvod</w:t>
      </w:r>
    </w:p>
    <w:p w:rsidR="00A85CD5" w:rsidRDefault="00A85CD5">
      <w:pPr>
        <w:jc w:val="both"/>
        <w:rPr>
          <w:rFonts w:cs="Arial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</w:r>
      <w:r w:rsidR="0036517A" w:rsidRPr="00DB3CF2">
        <w:rPr>
          <w:rFonts w:cs="Arial"/>
          <w:sz w:val="20"/>
        </w:rPr>
        <w:t>Publikace obsahuje</w:t>
      </w:r>
      <w:r w:rsidR="0036517A" w:rsidRPr="00DB3CF2">
        <w:rPr>
          <w:rFonts w:cs="Arial"/>
          <w:b/>
          <w:bCs/>
          <w:sz w:val="20"/>
        </w:rPr>
        <w:t xml:space="preserve"> </w:t>
      </w:r>
      <w:r w:rsidR="0036517A" w:rsidRPr="00DB3CF2">
        <w:rPr>
          <w:rFonts w:cs="Arial"/>
          <w:sz w:val="20"/>
        </w:rPr>
        <w:t>výsledky zpracování</w:t>
      </w:r>
      <w:r w:rsidR="00D0078C">
        <w:rPr>
          <w:rFonts w:cs="Arial"/>
          <w:sz w:val="20"/>
        </w:rPr>
        <w:t xml:space="preserve"> statistického výkazu Zdp 5-01 za rok 20</w:t>
      </w:r>
      <w:r w:rsidR="00D0078C" w:rsidRPr="00D92CF1">
        <w:rPr>
          <w:rFonts w:cs="Arial"/>
          <w:sz w:val="20"/>
        </w:rPr>
        <w:t>1</w:t>
      </w:r>
      <w:r w:rsidR="00442733" w:rsidRPr="00D92CF1">
        <w:rPr>
          <w:rFonts w:cs="Arial"/>
          <w:sz w:val="20"/>
        </w:rPr>
        <w:t>5</w:t>
      </w:r>
      <w:r w:rsidR="00D0078C">
        <w:rPr>
          <w:rFonts w:cs="Arial"/>
          <w:sz w:val="20"/>
        </w:rPr>
        <w:t xml:space="preserve">, který </w:t>
      </w:r>
      <w:r w:rsidR="0036517A" w:rsidRPr="00DB3CF2">
        <w:rPr>
          <w:rFonts w:cs="Arial"/>
          <w:sz w:val="20"/>
        </w:rPr>
        <w:t>předkládají zdravotní pojišťovny</w:t>
      </w:r>
      <w:r w:rsidR="00D0078C">
        <w:rPr>
          <w:rFonts w:cs="Arial"/>
          <w:sz w:val="20"/>
        </w:rPr>
        <w:t>;</w:t>
      </w:r>
      <w:r w:rsidR="0036517A" w:rsidRPr="00DB3CF2">
        <w:rPr>
          <w:rFonts w:cs="Arial"/>
          <w:sz w:val="20"/>
        </w:rPr>
        <w:t xml:space="preserve"> </w:t>
      </w:r>
      <w:r w:rsidR="00D0078C">
        <w:rPr>
          <w:rFonts w:cs="Arial"/>
          <w:sz w:val="20"/>
        </w:rPr>
        <w:t>v</w:t>
      </w:r>
      <w:r w:rsidR="0036517A" w:rsidRPr="00DB3CF2">
        <w:rPr>
          <w:rFonts w:cs="Arial"/>
          <w:sz w:val="20"/>
        </w:rPr>
        <w:t xml:space="preserve"> ČR aktivně působilo </w:t>
      </w:r>
      <w:r w:rsidR="006F3CD1">
        <w:rPr>
          <w:rFonts w:cs="Arial"/>
          <w:sz w:val="20"/>
        </w:rPr>
        <w:t>7</w:t>
      </w:r>
      <w:r w:rsidR="0036517A" w:rsidRPr="00DB3CF2">
        <w:rPr>
          <w:rFonts w:cs="Arial"/>
          <w:sz w:val="20"/>
        </w:rPr>
        <w:t xml:space="preserve"> zdravotních pojišťoven</w:t>
      </w:r>
      <w:r w:rsidR="00D0078C">
        <w:rPr>
          <w:rFonts w:cs="Arial"/>
          <w:sz w:val="20"/>
        </w:rPr>
        <w:t xml:space="preserve"> spravujících všeobecné zdravotní pojištění.</w:t>
      </w:r>
      <w:r w:rsidR="0036517A"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</w:rPr>
        <w:t xml:space="preserve">Jde o údaje o pracovnících a mzdách, o výnosech a tvorbě fondů, o nákladech a čerpání fondů, o vybrané položky aktiv a pasiv, dále informace o dlouhodobém nehmotném a hmotném majetku, převážně v návaznosti na účetnictví zdravotních pojišťoven (viz tabulky 1 – 7). Čísla řádků uváděná v tabulkách odpovídají číslům řádků na výkaze.  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sz w:val="20"/>
        </w:rPr>
        <w:tab/>
      </w:r>
      <w:r w:rsidRPr="00DB3CF2">
        <w:rPr>
          <w:rFonts w:cs="Arial"/>
          <w:sz w:val="20"/>
        </w:rPr>
        <w:t>Výkaznickou povinnost k výkazu Zdp 5-01 mají ekonomické subjekty, zdravotní pojišťovny  zapsané do obchodního rejstříku s převažující činností správy veřejného zdravotního pojištění a zatříděné v institucionálním sektoru vládních institucí (</w:t>
      </w:r>
      <w:proofErr w:type="gramStart"/>
      <w:r w:rsidRPr="00DB3CF2">
        <w:rPr>
          <w:rFonts w:cs="Arial"/>
          <w:sz w:val="20"/>
        </w:rPr>
        <w:t>S.13</w:t>
      </w:r>
      <w:proofErr w:type="gramEnd"/>
      <w:r w:rsidRPr="00DB3CF2">
        <w:rPr>
          <w:rFonts w:cs="Arial"/>
          <w:sz w:val="20"/>
        </w:rPr>
        <w:t xml:space="preserve">), přesněji v subsektoru fondů sociálního zabezpečení (S.1314); oddíl </w:t>
      </w:r>
      <w:r w:rsidR="0045646D">
        <w:rPr>
          <w:rFonts w:cs="Arial"/>
          <w:sz w:val="20"/>
        </w:rPr>
        <w:t>843</w:t>
      </w:r>
      <w:r w:rsidRPr="00DB3CF2">
        <w:rPr>
          <w:rFonts w:cs="Arial"/>
          <w:sz w:val="20"/>
        </w:rPr>
        <w:t xml:space="preserve"> odvětvové klasifikace ekonomických činností</w:t>
      </w:r>
      <w:r w:rsidR="0045646D">
        <w:rPr>
          <w:rFonts w:cs="Arial"/>
          <w:sz w:val="20"/>
        </w:rPr>
        <w:t xml:space="preserve"> (CZ-NACE)</w:t>
      </w:r>
      <w:r w:rsidRPr="00DB3CF2">
        <w:rPr>
          <w:rFonts w:cs="Arial"/>
          <w:sz w:val="20"/>
        </w:rPr>
        <w:t xml:space="preserve">. Zdravotní pojišťovny účtují podle směrné účtové osnovy pro zdravotní pojišťovny (Vyhláška Ministerstva financí České republiky č.503/2002 ze </w:t>
      </w:r>
      <w:r w:rsidR="00360AB8" w:rsidRPr="00DB3CF2">
        <w:rPr>
          <w:rFonts w:cs="Arial"/>
          <w:sz w:val="20"/>
        </w:rPr>
        <w:t>dne 6. listopadu</w:t>
      </w:r>
      <w:r w:rsidRPr="00DB3CF2">
        <w:rPr>
          <w:rFonts w:cs="Arial"/>
          <w:sz w:val="20"/>
        </w:rPr>
        <w:t xml:space="preserve"> 2002, ve znění pozdějších předpisů). Legislativní rámec pro činnost zdravotních pojišťoven v ČR je dán platnými zákony o Všeobecné zdravotní pojišťovně ČR a o zaměstnaneckých (oborových) pojišťovnách. V souladu s těmito zákony jsou zdravotní pojišťovny nositeli veřejného zdravotního pojištění pro pojištěnce, kteří jsou u nich registrováni.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ab/>
        <w:t xml:space="preserve">Při srovnávání údajů obsažených v této publikaci s publikací Ekonomické výsledky zdravotních pojišťoven za 4. čtvrtletí </w:t>
      </w:r>
      <w:r w:rsidR="008B6B6D">
        <w:rPr>
          <w:rFonts w:cs="Arial"/>
          <w:sz w:val="20"/>
        </w:rPr>
        <w:t>201</w:t>
      </w:r>
      <w:r w:rsidR="00B723D4" w:rsidRPr="00C80547">
        <w:rPr>
          <w:rFonts w:cs="Arial"/>
          <w:sz w:val="20"/>
        </w:rPr>
        <w:t>5</w:t>
      </w:r>
      <w:r w:rsidRPr="00DB3CF2">
        <w:rPr>
          <w:rFonts w:cs="Arial"/>
          <w:sz w:val="20"/>
        </w:rPr>
        <w:t xml:space="preserve">, kde jsou </w:t>
      </w:r>
      <w:r w:rsidR="00D0078C">
        <w:rPr>
          <w:rFonts w:cs="Arial"/>
          <w:sz w:val="20"/>
        </w:rPr>
        <w:t xml:space="preserve">také </w:t>
      </w:r>
      <w:r w:rsidRPr="00DB3CF2">
        <w:rPr>
          <w:rFonts w:cs="Arial"/>
          <w:sz w:val="20"/>
        </w:rPr>
        <w:t xml:space="preserve">publikovány roční výsledky souhrnem za 1. až 4. čtvrtletí </w:t>
      </w:r>
      <w:r w:rsidR="0083765A">
        <w:rPr>
          <w:rFonts w:cs="Arial"/>
          <w:sz w:val="20"/>
        </w:rPr>
        <w:t>2014</w:t>
      </w:r>
      <w:r w:rsidRPr="00DB3CF2">
        <w:rPr>
          <w:rFonts w:cs="Arial"/>
          <w:sz w:val="20"/>
        </w:rPr>
        <w:t xml:space="preserve"> statistického výkazu Zdp 3-04, je třeba vzít v úvahu, že i obsahově shodné ukazatele se mohou poněkud lišit. Vzhledem k dřívějšímu termínu předkládání a zpracování čtvrtletního statistického výkazu Zdp 3-04 než je uzavřeno účetnictví zdravotních pojišťoven za dané období (čtvrtletí), mohou být ve zpravodajských jednotkách v souladu s metodickými pokyny k tomuto výkazu používány kvalifikované odhady. V ročním statistickém výkaze    Zdp 5-01 je </w:t>
      </w:r>
      <w:r w:rsidR="00083AA9" w:rsidRPr="00DB3CF2">
        <w:rPr>
          <w:rFonts w:cs="Arial"/>
          <w:sz w:val="20"/>
        </w:rPr>
        <w:t>většina základních</w:t>
      </w:r>
      <w:r w:rsidRPr="00DB3CF2">
        <w:rPr>
          <w:rFonts w:cs="Arial"/>
          <w:sz w:val="20"/>
        </w:rPr>
        <w:t xml:space="preserve"> ukazatelů čerpána přímo z podkladů účetnictví, které je v době předkládání tohoto výkazu za daný rok již obvykle uzavřeno.</w:t>
      </w:r>
    </w:p>
    <w:p w:rsidR="00A85CD5" w:rsidRPr="00DB3CF2" w:rsidRDefault="00A85CD5">
      <w:pPr>
        <w:jc w:val="both"/>
        <w:rPr>
          <w:rFonts w:cs="Arial"/>
          <w:sz w:val="20"/>
        </w:rPr>
      </w:pPr>
    </w:p>
    <w:p w:rsidR="00A85CD5" w:rsidRPr="00B4519E" w:rsidRDefault="00A85CD5" w:rsidP="00B4519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sz w:val="20"/>
          <w:szCs w:val="20"/>
        </w:rPr>
      </w:pPr>
      <w:r w:rsidRPr="00DB3CF2">
        <w:rPr>
          <w:rFonts w:cs="Arial"/>
          <w:sz w:val="20"/>
        </w:rPr>
        <w:t xml:space="preserve"> </w:t>
      </w:r>
      <w:r w:rsidRPr="00DB3CF2">
        <w:rPr>
          <w:rFonts w:cs="Arial"/>
          <w:sz w:val="20"/>
          <w:szCs w:val="20"/>
        </w:rPr>
        <w:t xml:space="preserve">Předkládaná statistická publikace obsahuje údaje za rok </w:t>
      </w:r>
      <w:r w:rsidR="0083765A">
        <w:rPr>
          <w:rFonts w:cs="Arial"/>
          <w:sz w:val="20"/>
          <w:szCs w:val="20"/>
        </w:rPr>
        <w:t>201</w:t>
      </w:r>
      <w:r w:rsidR="00C80547">
        <w:rPr>
          <w:rFonts w:cs="Arial"/>
          <w:sz w:val="20"/>
          <w:szCs w:val="20"/>
        </w:rPr>
        <w:t>5</w:t>
      </w:r>
      <w:r w:rsidRPr="00DB3CF2">
        <w:rPr>
          <w:rFonts w:cs="Arial"/>
          <w:sz w:val="20"/>
          <w:szCs w:val="20"/>
        </w:rPr>
        <w:t xml:space="preserve"> a údaje za rok 20</w:t>
      </w:r>
      <w:r w:rsidR="00122239">
        <w:rPr>
          <w:rFonts w:cs="Arial"/>
          <w:sz w:val="20"/>
          <w:szCs w:val="20"/>
        </w:rPr>
        <w:t>1</w:t>
      </w:r>
      <w:r w:rsidR="00C80547">
        <w:rPr>
          <w:rFonts w:cs="Arial"/>
          <w:sz w:val="20"/>
          <w:szCs w:val="20"/>
        </w:rPr>
        <w:t>4</w:t>
      </w:r>
      <w:r w:rsidRPr="00DB3CF2">
        <w:rPr>
          <w:rFonts w:cs="Arial"/>
          <w:sz w:val="20"/>
          <w:szCs w:val="20"/>
        </w:rPr>
        <w:t>. Údaje v této publikaci jsou srovnatelné s úd</w:t>
      </w:r>
      <w:r w:rsidR="00083AA9" w:rsidRPr="00DB3CF2">
        <w:rPr>
          <w:rFonts w:cs="Arial"/>
          <w:sz w:val="20"/>
          <w:szCs w:val="20"/>
        </w:rPr>
        <w:t>aji za rok 20</w:t>
      </w:r>
      <w:r w:rsidR="00122239">
        <w:rPr>
          <w:rFonts w:cs="Arial"/>
          <w:sz w:val="20"/>
          <w:szCs w:val="20"/>
        </w:rPr>
        <w:t>1</w:t>
      </w:r>
      <w:r w:rsidR="00C80547">
        <w:rPr>
          <w:rFonts w:cs="Arial"/>
          <w:sz w:val="20"/>
          <w:szCs w:val="20"/>
        </w:rPr>
        <w:t>4</w:t>
      </w:r>
      <w:r w:rsidRPr="00DB3CF2">
        <w:rPr>
          <w:rFonts w:cs="Arial"/>
          <w:sz w:val="20"/>
          <w:szCs w:val="20"/>
        </w:rPr>
        <w:t>, protože v</w:t>
      </w:r>
      <w:r w:rsidRPr="00DB3CF2">
        <w:rPr>
          <w:rFonts w:cs="Arial"/>
          <w:sz w:val="20"/>
        </w:rPr>
        <w:t xml:space="preserve">e statistickém výkazu Zdp 5-01 pro rok </w:t>
      </w:r>
      <w:r w:rsidR="00337C11">
        <w:rPr>
          <w:rFonts w:cs="Arial"/>
          <w:sz w:val="20"/>
        </w:rPr>
        <w:t>201</w:t>
      </w:r>
      <w:r w:rsidR="00C80547">
        <w:rPr>
          <w:rFonts w:cs="Arial"/>
          <w:sz w:val="20"/>
        </w:rPr>
        <w:t>5</w:t>
      </w:r>
      <w:r w:rsidRPr="00DB3CF2">
        <w:rPr>
          <w:rFonts w:cs="Arial"/>
          <w:sz w:val="20"/>
        </w:rPr>
        <w:t xml:space="preserve"> nedošlo oproti roku 20</w:t>
      </w:r>
      <w:r w:rsidR="00122239">
        <w:rPr>
          <w:rFonts w:cs="Arial"/>
          <w:sz w:val="20"/>
        </w:rPr>
        <w:t>1</w:t>
      </w:r>
      <w:r w:rsidR="00C80547">
        <w:rPr>
          <w:rFonts w:cs="Arial"/>
          <w:sz w:val="20"/>
        </w:rPr>
        <w:t>4</w:t>
      </w:r>
      <w:r w:rsidRPr="00DB3CF2">
        <w:rPr>
          <w:rFonts w:cs="Arial"/>
          <w:sz w:val="20"/>
        </w:rPr>
        <w:t xml:space="preserve"> ke změnám v</w:t>
      </w:r>
      <w:r w:rsidR="00337C11">
        <w:rPr>
          <w:rFonts w:cs="Arial"/>
          <w:sz w:val="20"/>
        </w:rPr>
        <w:t> oddílech a</w:t>
      </w:r>
      <w:r w:rsidRPr="00DB3CF2">
        <w:rPr>
          <w:rFonts w:cs="Arial"/>
          <w:sz w:val="20"/>
        </w:rPr>
        <w:t xml:space="preserve"> metodických vysvětlivkách. </w:t>
      </w: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0"/>
          <w:szCs w:val="20"/>
        </w:rPr>
      </w:pP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jc w:val="both"/>
        <w:rPr>
          <w:rFonts w:cs="Arial"/>
          <w:strike/>
          <w:sz w:val="20"/>
          <w:szCs w:val="20"/>
        </w:rPr>
      </w:pPr>
      <w:r w:rsidRPr="00DB3CF2">
        <w:rPr>
          <w:rFonts w:cs="Arial"/>
          <w:sz w:val="20"/>
          <w:szCs w:val="20"/>
        </w:rPr>
        <w:t xml:space="preserve">Ukazatele „Předepsané pojistné“ a „Náklady na zdravotní </w:t>
      </w:r>
      <w:r w:rsidR="00E8639F">
        <w:rPr>
          <w:rFonts w:cs="Arial"/>
          <w:sz w:val="20"/>
          <w:szCs w:val="20"/>
        </w:rPr>
        <w:t>služby</w:t>
      </w:r>
      <w:r w:rsidRPr="00DB3CF2">
        <w:rPr>
          <w:rFonts w:cs="Arial"/>
          <w:sz w:val="20"/>
          <w:szCs w:val="20"/>
        </w:rPr>
        <w:t xml:space="preserve">“ jsou v roce </w:t>
      </w:r>
      <w:r w:rsidR="0083765A">
        <w:rPr>
          <w:rFonts w:cs="Arial"/>
          <w:sz w:val="20"/>
          <w:szCs w:val="20"/>
        </w:rPr>
        <w:t>201</w:t>
      </w:r>
      <w:r w:rsidR="00C80547">
        <w:rPr>
          <w:rFonts w:cs="Arial"/>
          <w:sz w:val="20"/>
          <w:szCs w:val="20"/>
        </w:rPr>
        <w:t>5</w:t>
      </w:r>
      <w:r w:rsidRPr="00DB3CF2">
        <w:rPr>
          <w:rFonts w:cs="Arial"/>
          <w:sz w:val="20"/>
          <w:szCs w:val="20"/>
        </w:rPr>
        <w:t xml:space="preserve"> sledovány v položce Předepsané pojistné z veřejného zdravotního pojištění</w:t>
      </w:r>
      <w:r w:rsidR="00083AA9" w:rsidRPr="00DB3CF2">
        <w:rPr>
          <w:rFonts w:cs="Arial"/>
          <w:sz w:val="20"/>
          <w:szCs w:val="20"/>
        </w:rPr>
        <w:t xml:space="preserve"> </w:t>
      </w:r>
      <w:r w:rsidR="00D85DA6" w:rsidRPr="00DB3CF2">
        <w:rPr>
          <w:rFonts w:cs="Arial"/>
          <w:sz w:val="20"/>
          <w:szCs w:val="20"/>
        </w:rPr>
        <w:t xml:space="preserve">(tabulka č. 2) </w:t>
      </w:r>
      <w:r w:rsidR="00083AA9" w:rsidRPr="00DB3CF2">
        <w:rPr>
          <w:rFonts w:cs="Arial"/>
          <w:sz w:val="20"/>
          <w:szCs w:val="20"/>
        </w:rPr>
        <w:t xml:space="preserve">a Náklady na zdravotní </w:t>
      </w:r>
      <w:r w:rsidR="00E8639F">
        <w:rPr>
          <w:rFonts w:cs="Arial"/>
          <w:sz w:val="20"/>
          <w:szCs w:val="20"/>
        </w:rPr>
        <w:t>péči</w:t>
      </w:r>
      <w:r w:rsidR="00083AA9" w:rsidRPr="00DB3CF2">
        <w:rPr>
          <w:rFonts w:cs="Arial"/>
          <w:sz w:val="20"/>
          <w:szCs w:val="20"/>
        </w:rPr>
        <w:t xml:space="preserve"> z veřejného zdravotního pojištění</w:t>
      </w:r>
      <w:r w:rsidR="00D85DA6" w:rsidRPr="00DB3CF2">
        <w:rPr>
          <w:rFonts w:cs="Arial"/>
          <w:sz w:val="20"/>
          <w:szCs w:val="20"/>
        </w:rPr>
        <w:t xml:space="preserve"> (tabulka č. 3). Ukazatel Předepsané pojistné z veřejného zdravotního pojištění nezahrnuje </w:t>
      </w:r>
      <w:r w:rsidR="00044034" w:rsidRPr="00DB3CF2">
        <w:rPr>
          <w:rFonts w:cs="Arial"/>
          <w:sz w:val="20"/>
          <w:szCs w:val="20"/>
        </w:rPr>
        <w:t xml:space="preserve">smluvní pojištění a připojištění u komerčních pojišťoven. </w:t>
      </w:r>
    </w:p>
    <w:p w:rsidR="00A85CD5" w:rsidRPr="00DB3CF2" w:rsidRDefault="00A85C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0"/>
          <w:szCs w:val="20"/>
        </w:rPr>
      </w:pPr>
    </w:p>
    <w:p w:rsidR="00A85CD5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 xml:space="preserve">           Počáteční stavy roku </w:t>
      </w:r>
      <w:r w:rsidR="0083765A">
        <w:rPr>
          <w:rFonts w:cs="Arial"/>
          <w:sz w:val="20"/>
        </w:rPr>
        <w:t>201</w:t>
      </w:r>
      <w:r w:rsidR="00C80547">
        <w:rPr>
          <w:rFonts w:cs="Arial"/>
          <w:sz w:val="20"/>
        </w:rPr>
        <w:t>5</w:t>
      </w:r>
      <w:r w:rsidRPr="00DB3CF2">
        <w:rPr>
          <w:rFonts w:cs="Arial"/>
          <w:sz w:val="20"/>
        </w:rPr>
        <w:t xml:space="preserve"> u některých ukazatelů v této publikaci </w:t>
      </w:r>
      <w:r w:rsidRPr="00915608">
        <w:rPr>
          <w:rFonts w:cs="Arial"/>
          <w:sz w:val="20"/>
        </w:rPr>
        <w:t>nenavazují</w:t>
      </w:r>
      <w:r w:rsidRPr="00DB3CF2">
        <w:rPr>
          <w:rFonts w:cs="Arial"/>
          <w:sz w:val="20"/>
        </w:rPr>
        <w:t xml:space="preserve"> na konečné stavy uvedené v publikaci Ekonomické výsledky zdravotních pojišťoven za rok </w:t>
      </w:r>
      <w:r w:rsidR="00360AB8" w:rsidRPr="00DB3CF2">
        <w:rPr>
          <w:rFonts w:cs="Arial"/>
          <w:sz w:val="20"/>
        </w:rPr>
        <w:t>20</w:t>
      </w:r>
      <w:r w:rsidR="00F04560">
        <w:rPr>
          <w:rFonts w:cs="Arial"/>
          <w:sz w:val="20"/>
        </w:rPr>
        <w:t>14</w:t>
      </w:r>
      <w:r w:rsidRPr="00DB3CF2">
        <w:rPr>
          <w:rFonts w:cs="Arial"/>
          <w:sz w:val="20"/>
        </w:rPr>
        <w:t xml:space="preserve"> (viz tabulka 4). Důvodem jsou dodatečné opravy minulého účetního období prováděné zdravotními pojišťovnami po auditu (opravy stavu běžných účtů, zvláštních účtů k fondům veřejného zdravotního pojištění, pokladní hodnoty.</w:t>
      </w:r>
    </w:p>
    <w:p w:rsidR="00337C11" w:rsidRPr="00DB3CF2" w:rsidRDefault="00337C11">
      <w:pPr>
        <w:jc w:val="both"/>
        <w:rPr>
          <w:rFonts w:cs="Arial"/>
          <w:sz w:val="20"/>
        </w:rPr>
      </w:pPr>
    </w:p>
    <w:p w:rsidR="00A85CD5" w:rsidRPr="00DB3CF2" w:rsidRDefault="00A85CD5">
      <w:pPr>
        <w:jc w:val="both"/>
        <w:rPr>
          <w:rFonts w:cs="Arial"/>
          <w:sz w:val="20"/>
        </w:rPr>
      </w:pPr>
      <w:r w:rsidRPr="00DB3CF2">
        <w:rPr>
          <w:rFonts w:cs="Arial"/>
          <w:sz w:val="20"/>
        </w:rPr>
        <w:t xml:space="preserve">           Z preventivních programů (viz tabulka 3) jsou financovány např. ozdravné pobyty dětí, preventivní vyšetření, rehabilitačně rekondiční plavání, očkování, příspěvky na léky, léčebné přípravky apod.</w:t>
      </w:r>
    </w:p>
    <w:p w:rsidR="00A85CD5" w:rsidRPr="00DB3CF2" w:rsidRDefault="00360AB8">
      <w:pPr>
        <w:jc w:val="both"/>
      </w:pPr>
      <w:r w:rsidRPr="00DB3CF2">
        <w:t xml:space="preserve">  </w:t>
      </w:r>
      <w:r w:rsidR="00A85CD5" w:rsidRPr="00DB3CF2">
        <w:t xml:space="preserve">       </w:t>
      </w:r>
    </w:p>
    <w:p w:rsidR="00A85CD5" w:rsidRPr="00DB3CF2" w:rsidRDefault="00A85CD5">
      <w:pPr>
        <w:jc w:val="both"/>
        <w:rPr>
          <w:rFonts w:cs="Arial"/>
          <w:b/>
          <w:bCs/>
          <w:sz w:val="18"/>
          <w:u w:val="single"/>
        </w:rPr>
      </w:pPr>
      <w:r w:rsidRPr="00DB3CF2">
        <w:rPr>
          <w:rFonts w:cs="Arial"/>
          <w:b/>
          <w:bCs/>
          <w:sz w:val="18"/>
          <w:u w:val="single"/>
        </w:rPr>
        <w:t>Poznámka:</w:t>
      </w:r>
    </w:p>
    <w:p w:rsidR="00A85CD5" w:rsidRPr="00DB3CF2" w:rsidRDefault="00A85CD5">
      <w:pPr>
        <w:jc w:val="both"/>
        <w:rPr>
          <w:rFonts w:cs="Arial"/>
          <w:sz w:val="18"/>
          <w:u w:val="single"/>
        </w:rPr>
      </w:pPr>
    </w:p>
    <w:p w:rsidR="00A85CD5" w:rsidRPr="00DB3CF2" w:rsidRDefault="00A85CD5">
      <w:p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1.    Označení údaje v políčku tabulky znakem </w:t>
      </w:r>
      <w:r w:rsidRPr="00DB3CF2">
        <w:rPr>
          <w:rFonts w:cs="Arial"/>
          <w:b/>
          <w:bCs/>
          <w:sz w:val="18"/>
        </w:rPr>
        <w:t>(x)</w:t>
      </w:r>
      <w:r w:rsidRPr="00DB3CF2">
        <w:rPr>
          <w:rFonts w:cs="Arial"/>
          <w:sz w:val="18"/>
        </w:rPr>
        <w:t xml:space="preserve"> znamená:</w:t>
      </w:r>
    </w:p>
    <w:p w:rsidR="00A85CD5" w:rsidRDefault="00A85CD5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>údaj se z logických důvodů</w:t>
      </w:r>
      <w:r w:rsidR="0045646D">
        <w:rPr>
          <w:rFonts w:cs="Arial"/>
          <w:sz w:val="18"/>
        </w:rPr>
        <w:t xml:space="preserve"> nevyskytuje</w:t>
      </w:r>
      <w:r w:rsidRPr="00DB3CF2">
        <w:rPr>
          <w:rFonts w:cs="Arial"/>
          <w:sz w:val="18"/>
        </w:rPr>
        <w:t xml:space="preserve"> (např. v indexu, pro který v základním období hodnota dosahovala „0“ nebo se vyskytl údaj s opačným znaménkem, případně index vyšší než 999,9),</w:t>
      </w:r>
    </w:p>
    <w:p w:rsidR="009A307C" w:rsidRDefault="009A307C" w:rsidP="009A307C">
      <w:pPr>
        <w:ind w:left="720"/>
        <w:jc w:val="both"/>
        <w:rPr>
          <w:rFonts w:cs="Arial"/>
          <w:sz w:val="18"/>
        </w:rPr>
      </w:pPr>
    </w:p>
    <w:p w:rsidR="00A85CD5" w:rsidRPr="009A307C" w:rsidRDefault="00360AB8" w:rsidP="009A307C">
      <w:pPr>
        <w:numPr>
          <w:ilvl w:val="0"/>
          <w:numId w:val="1"/>
        </w:numPr>
        <w:jc w:val="both"/>
        <w:rPr>
          <w:rFonts w:cs="Arial"/>
          <w:sz w:val="18"/>
        </w:rPr>
      </w:pPr>
      <w:r w:rsidRPr="009A307C">
        <w:rPr>
          <w:rFonts w:cs="Arial"/>
          <w:sz w:val="18"/>
        </w:rPr>
        <w:t>údaj</w:t>
      </w:r>
      <w:r w:rsidR="00A85CD5" w:rsidRPr="009A307C">
        <w:rPr>
          <w:rFonts w:cs="Arial"/>
          <w:sz w:val="18"/>
        </w:rPr>
        <w:t xml:space="preserve"> nemůže být zveřejněn</w:t>
      </w:r>
      <w:r w:rsidR="009A307C" w:rsidRPr="009A307C">
        <w:rPr>
          <w:rFonts w:cs="Arial"/>
          <w:sz w:val="18"/>
        </w:rPr>
        <w:t xml:space="preserve"> v souladu se zněním</w:t>
      </w:r>
      <w:r w:rsidR="00A85CD5" w:rsidRPr="009A307C">
        <w:rPr>
          <w:rFonts w:cs="Arial"/>
          <w:sz w:val="18"/>
        </w:rPr>
        <w:t xml:space="preserve"> </w:t>
      </w:r>
      <w:r w:rsidR="009A307C" w:rsidRPr="009A307C">
        <w:rPr>
          <w:sz w:val="18"/>
        </w:rPr>
        <w:t xml:space="preserve">zákona č. 89/1995 Sb., o státní statistické službě, ve </w:t>
      </w:r>
      <w:proofErr w:type="gramStart"/>
      <w:r w:rsidR="009A307C" w:rsidRPr="009A307C">
        <w:rPr>
          <w:sz w:val="18"/>
        </w:rPr>
        <w:t>znění    pozdějších</w:t>
      </w:r>
      <w:proofErr w:type="gramEnd"/>
      <w:r w:rsidR="009A307C" w:rsidRPr="009A307C">
        <w:rPr>
          <w:sz w:val="18"/>
        </w:rPr>
        <w:t xml:space="preserve"> předpisů</w:t>
      </w:r>
      <w:r w:rsidR="00E67A36">
        <w:rPr>
          <w:sz w:val="18"/>
        </w:rPr>
        <w:t xml:space="preserve"> </w:t>
      </w:r>
      <w:r w:rsidR="009A307C" w:rsidRPr="009A307C">
        <w:rPr>
          <w:sz w:val="18"/>
        </w:rPr>
        <w:t xml:space="preserve"> a z rovného přístupu všech oprávněných uživatelů k potřebným statistickým informacím  a</w:t>
      </w:r>
      <w:r w:rsidR="009A307C" w:rsidRPr="009A307C">
        <w:rPr>
          <w:rFonts w:cs="Arial"/>
          <w:sz w:val="18"/>
        </w:rPr>
        <w:t xml:space="preserve"> v souladu se zněním </w:t>
      </w:r>
      <w:r w:rsidR="00A85CD5" w:rsidRPr="009A307C">
        <w:rPr>
          <w:rFonts w:cs="Arial"/>
          <w:sz w:val="18"/>
        </w:rPr>
        <w:t xml:space="preserve">Směrnice č. 6/2005 předsedy </w:t>
      </w:r>
      <w:r w:rsidR="0036517A" w:rsidRPr="009A307C">
        <w:rPr>
          <w:sz w:val="18"/>
        </w:rPr>
        <w:t>Českého statistického úřadu,  kterou se vydávají zásady pro poskytování statistických info</w:t>
      </w:r>
      <w:r w:rsidR="009A307C" w:rsidRPr="009A307C">
        <w:rPr>
          <w:sz w:val="18"/>
        </w:rPr>
        <w:t>rmací z ČSÚ externím uživatelům</w:t>
      </w:r>
      <w:r w:rsidR="0036517A" w:rsidRPr="009A307C">
        <w:rPr>
          <w:sz w:val="18"/>
        </w:rPr>
        <w:t xml:space="preserve">. </w:t>
      </w:r>
      <w:r w:rsidR="00A85CD5" w:rsidRPr="009A307C">
        <w:rPr>
          <w:sz w:val="18"/>
        </w:rPr>
        <w:t xml:space="preserve"> </w:t>
      </w:r>
    </w:p>
    <w:p w:rsidR="00A85CD5" w:rsidRPr="00DB3CF2" w:rsidRDefault="00A85CD5">
      <w:pPr>
        <w:pStyle w:val="Zkladntextodsazen"/>
        <w:rPr>
          <w:sz w:val="18"/>
        </w:rPr>
      </w:pPr>
    </w:p>
    <w:p w:rsidR="00A85CD5" w:rsidRPr="00DB3CF2" w:rsidRDefault="00A85CD5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rFonts w:cs="Arial"/>
          <w:sz w:val="18"/>
        </w:rPr>
      </w:pPr>
      <w:r w:rsidRPr="00DB3CF2">
        <w:rPr>
          <w:rFonts w:cs="Arial"/>
          <w:sz w:val="18"/>
        </w:rPr>
        <w:t xml:space="preserve">Označení údaje v políčku </w:t>
      </w:r>
      <w:proofErr w:type="gramStart"/>
      <w:r w:rsidRPr="00DB3CF2">
        <w:rPr>
          <w:rFonts w:cs="Arial"/>
          <w:sz w:val="18"/>
        </w:rPr>
        <w:t xml:space="preserve">tabulky </w:t>
      </w:r>
      <w:r w:rsidRPr="00DB3CF2">
        <w:rPr>
          <w:rFonts w:cs="Arial"/>
          <w:b/>
          <w:bCs/>
          <w:sz w:val="18"/>
        </w:rPr>
        <w:t>(.)</w:t>
      </w:r>
      <w:r w:rsidRPr="00DB3CF2">
        <w:rPr>
          <w:rFonts w:cs="Arial"/>
          <w:sz w:val="18"/>
        </w:rPr>
        <w:t xml:space="preserve"> </w:t>
      </w:r>
      <w:r w:rsidR="009A307C">
        <w:rPr>
          <w:rFonts w:cs="Arial"/>
          <w:sz w:val="18"/>
        </w:rPr>
        <w:t xml:space="preserve"> </w:t>
      </w:r>
      <w:r w:rsidRPr="00DB3CF2">
        <w:rPr>
          <w:rFonts w:cs="Arial"/>
          <w:sz w:val="18"/>
        </w:rPr>
        <w:t>znamená</w:t>
      </w:r>
      <w:proofErr w:type="gramEnd"/>
      <w:r w:rsidRPr="00DB3CF2">
        <w:rPr>
          <w:rFonts w:cs="Arial"/>
          <w:sz w:val="18"/>
        </w:rPr>
        <w:t>, že se údaj v daném období nesledoval.</w:t>
      </w:r>
    </w:p>
    <w:p w:rsidR="00A85CD5" w:rsidRPr="00DB3CF2" w:rsidRDefault="00A85CD5">
      <w:pPr>
        <w:ind w:left="360"/>
        <w:jc w:val="both"/>
        <w:rPr>
          <w:rFonts w:cs="Arial"/>
          <w:sz w:val="18"/>
        </w:rPr>
      </w:pPr>
    </w:p>
    <w:p w:rsidR="00A85CD5" w:rsidRDefault="00A85CD5"/>
    <w:sectPr w:rsidR="00A85CD5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5F" w:rsidRDefault="005D155F">
      <w:r>
        <w:separator/>
      </w:r>
    </w:p>
  </w:endnote>
  <w:endnote w:type="continuationSeparator" w:id="0">
    <w:p w:rsidR="005D155F" w:rsidRDefault="005D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5CD5" w:rsidRDefault="00A85C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D5" w:rsidRDefault="00A85CD5">
    <w:pPr>
      <w:pStyle w:val="Zpat"/>
      <w:framePr w:wrap="around" w:vAnchor="text" w:hAnchor="margin" w:xAlign="center" w:y="1"/>
      <w:rPr>
        <w:rStyle w:val="slostrnky"/>
        <w:rFonts w:ascii="Arial" w:hAnsi="Arial"/>
        <w:sz w:val="18"/>
      </w:rPr>
    </w:pPr>
  </w:p>
  <w:p w:rsidR="00A85CD5" w:rsidRDefault="00A85C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5F" w:rsidRDefault="005D155F">
      <w:r>
        <w:separator/>
      </w:r>
    </w:p>
  </w:footnote>
  <w:footnote w:type="continuationSeparator" w:id="0">
    <w:p w:rsidR="005D155F" w:rsidRDefault="005D1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A4"/>
    <w:multiLevelType w:val="hybridMultilevel"/>
    <w:tmpl w:val="4EC8DA2A"/>
    <w:lvl w:ilvl="0" w:tplc="27DC9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51082"/>
    <w:multiLevelType w:val="hybridMultilevel"/>
    <w:tmpl w:val="89A87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1731E0"/>
    <w:multiLevelType w:val="hybridMultilevel"/>
    <w:tmpl w:val="DF30F70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0C3"/>
    <w:rsid w:val="00044034"/>
    <w:rsid w:val="00083AA9"/>
    <w:rsid w:val="000E6444"/>
    <w:rsid w:val="00122239"/>
    <w:rsid w:val="00170B0F"/>
    <w:rsid w:val="003165AD"/>
    <w:rsid w:val="00337C11"/>
    <w:rsid w:val="00360AB8"/>
    <w:rsid w:val="0036517A"/>
    <w:rsid w:val="003D27C4"/>
    <w:rsid w:val="00442733"/>
    <w:rsid w:val="0045646D"/>
    <w:rsid w:val="00513E06"/>
    <w:rsid w:val="00521596"/>
    <w:rsid w:val="005556CE"/>
    <w:rsid w:val="005624CF"/>
    <w:rsid w:val="00576C00"/>
    <w:rsid w:val="005D155F"/>
    <w:rsid w:val="005D3238"/>
    <w:rsid w:val="006B2408"/>
    <w:rsid w:val="006F3CD1"/>
    <w:rsid w:val="0083765A"/>
    <w:rsid w:val="00852163"/>
    <w:rsid w:val="008676EC"/>
    <w:rsid w:val="008B6B6D"/>
    <w:rsid w:val="008E46A9"/>
    <w:rsid w:val="00915608"/>
    <w:rsid w:val="0094554B"/>
    <w:rsid w:val="009631DB"/>
    <w:rsid w:val="009706EC"/>
    <w:rsid w:val="009A307C"/>
    <w:rsid w:val="009D304E"/>
    <w:rsid w:val="00A85CD5"/>
    <w:rsid w:val="00AB2D19"/>
    <w:rsid w:val="00B4519E"/>
    <w:rsid w:val="00B723D4"/>
    <w:rsid w:val="00C346DD"/>
    <w:rsid w:val="00C444C4"/>
    <w:rsid w:val="00C4645D"/>
    <w:rsid w:val="00C80547"/>
    <w:rsid w:val="00CB40C3"/>
    <w:rsid w:val="00CF1148"/>
    <w:rsid w:val="00D0078C"/>
    <w:rsid w:val="00D85DA6"/>
    <w:rsid w:val="00D8674A"/>
    <w:rsid w:val="00D92CF1"/>
    <w:rsid w:val="00DB3CF2"/>
    <w:rsid w:val="00DC4AC8"/>
    <w:rsid w:val="00E67A36"/>
    <w:rsid w:val="00E8639F"/>
    <w:rsid w:val="00F04560"/>
    <w:rsid w:val="00F47DC7"/>
    <w:rsid w:val="00FB1963"/>
    <w:rsid w:val="00FB6681"/>
    <w:rsid w:val="00FD14E1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720"/>
      <w:jc w:val="both"/>
    </w:pPr>
    <w:rPr>
      <w:rFonts w:cs="Arial"/>
      <w:sz w:val="24"/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0A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18FE-88A9-409E-99C0-2244FD27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vosvrdova</dc:creator>
  <cp:lastModifiedBy>Antonín Buš</cp:lastModifiedBy>
  <cp:revision>2</cp:revision>
  <cp:lastPrinted>2011-08-29T12:58:00Z</cp:lastPrinted>
  <dcterms:created xsi:type="dcterms:W3CDTF">2016-08-17T06:10:00Z</dcterms:created>
  <dcterms:modified xsi:type="dcterms:W3CDTF">2016-08-17T06:10:00Z</dcterms:modified>
</cp:coreProperties>
</file>