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CellMar>
          <w:left w:w="70" w:type="dxa"/>
          <w:right w:w="70" w:type="dxa"/>
        </w:tblCellMar>
        <w:tblLook w:val="0000"/>
      </w:tblPr>
      <w:tblGrid>
        <w:gridCol w:w="2590"/>
        <w:gridCol w:w="3196"/>
        <w:gridCol w:w="3992"/>
      </w:tblGrid>
      <w:tr w:rsidR="0017742A">
        <w:trPr>
          <w:cantSplit/>
          <w:trHeight w:hRule="exact" w:val="851"/>
          <w:jc w:val="center"/>
        </w:trPr>
        <w:tc>
          <w:tcPr>
            <w:tcW w:w="9778" w:type="dxa"/>
            <w:gridSpan w:val="3"/>
            <w:tcBorders>
              <w:bottom w:val="single" w:sz="4" w:space="0" w:color="auto"/>
            </w:tcBorders>
            <w:vAlign w:val="bottom"/>
          </w:tcPr>
          <w:p w:rsidR="0017742A" w:rsidRPr="002D240B" w:rsidRDefault="002D240B">
            <w:pPr>
              <w:pStyle w:val="Rbntext"/>
              <w:jc w:val="center"/>
              <w:rPr>
                <w:caps/>
                <w:sz w:val="24"/>
              </w:rPr>
            </w:pPr>
            <w:r w:rsidRPr="002D240B">
              <w:rPr>
                <w:b/>
                <w:bCs/>
                <w:caps/>
                <w:sz w:val="28"/>
              </w:rPr>
              <w:t>Regionální statistiky</w:t>
            </w:r>
          </w:p>
        </w:tc>
      </w:tr>
      <w:tr w:rsidR="0017742A">
        <w:trPr>
          <w:cantSplit/>
          <w:trHeight w:hRule="exact" w:val="851"/>
          <w:jc w:val="center"/>
        </w:trPr>
        <w:tc>
          <w:tcPr>
            <w:tcW w:w="9778" w:type="dxa"/>
            <w:gridSpan w:val="3"/>
            <w:tcBorders>
              <w:top w:val="single" w:sz="4" w:space="0" w:color="auto"/>
            </w:tcBorders>
          </w:tcPr>
          <w:p w:rsidR="0017742A" w:rsidRDefault="0017742A" w:rsidP="00644F35">
            <w:pPr>
              <w:pStyle w:val="Rbntext"/>
              <w:spacing w:before="40"/>
              <w:jc w:val="center"/>
              <w:rPr>
                <w:b/>
                <w:bCs/>
                <w:sz w:val="24"/>
              </w:rPr>
            </w:pPr>
            <w:r>
              <w:rPr>
                <w:b/>
                <w:bCs/>
                <w:sz w:val="24"/>
              </w:rPr>
              <w:t>Ročník 201</w:t>
            </w:r>
            <w:r w:rsidR="00644F35">
              <w:rPr>
                <w:b/>
                <w:bCs/>
                <w:sz w:val="24"/>
              </w:rPr>
              <w:t>5</w:t>
            </w:r>
          </w:p>
        </w:tc>
      </w:tr>
      <w:tr w:rsidR="0017742A" w:rsidTr="00B6424B">
        <w:trPr>
          <w:cantSplit/>
          <w:trHeight w:hRule="exact" w:val="1398"/>
          <w:jc w:val="center"/>
        </w:trPr>
        <w:tc>
          <w:tcPr>
            <w:tcW w:w="5786" w:type="dxa"/>
            <w:gridSpan w:val="2"/>
          </w:tcPr>
          <w:p w:rsidR="0017742A" w:rsidRDefault="0017742A" w:rsidP="00E833CA">
            <w:pPr>
              <w:pStyle w:val="Rbntext"/>
              <w:spacing w:before="60"/>
              <w:rPr>
                <w:sz w:val="22"/>
              </w:rPr>
            </w:pPr>
            <w:r>
              <w:rPr>
                <w:sz w:val="22"/>
              </w:rPr>
              <w:t xml:space="preserve">Kód publikace </w:t>
            </w:r>
            <w:r w:rsidR="005958E4" w:rsidRPr="00E833CA">
              <w:rPr>
                <w:color w:val="000000" w:themeColor="text1"/>
              </w:rPr>
              <w:t>3301</w:t>
            </w:r>
            <w:r w:rsidR="00E833CA" w:rsidRPr="00E833CA">
              <w:rPr>
                <w:color w:val="000000" w:themeColor="text1"/>
              </w:rPr>
              <w:t>29</w:t>
            </w:r>
            <w:r w:rsidR="00644F35">
              <w:rPr>
                <w:color w:val="000000" w:themeColor="text1"/>
              </w:rPr>
              <w:t>-15</w:t>
            </w:r>
          </w:p>
        </w:tc>
        <w:tc>
          <w:tcPr>
            <w:tcW w:w="3992" w:type="dxa"/>
          </w:tcPr>
          <w:p w:rsidR="0017742A" w:rsidRDefault="00D13E99">
            <w:pPr>
              <w:pStyle w:val="Rbntext"/>
              <w:spacing w:before="60" w:after="0"/>
              <w:rPr>
                <w:sz w:val="22"/>
              </w:rPr>
            </w:pPr>
            <w:r w:rsidRPr="00D13E99">
              <w:rPr>
                <w:color w:val="000000" w:themeColor="text1"/>
                <w:sz w:val="22"/>
              </w:rPr>
              <w:t>Zlín</w:t>
            </w:r>
            <w:r w:rsidR="005958E4">
              <w:rPr>
                <w:sz w:val="22"/>
              </w:rPr>
              <w:t>,</w:t>
            </w:r>
            <w:r w:rsidR="006913DF">
              <w:rPr>
                <w:sz w:val="22"/>
              </w:rPr>
              <w:t xml:space="preserve"> </w:t>
            </w:r>
            <w:r w:rsidR="005958E4">
              <w:rPr>
                <w:sz w:val="22"/>
              </w:rPr>
              <w:t>srpen 201</w:t>
            </w:r>
            <w:r w:rsidR="00644F35">
              <w:rPr>
                <w:sz w:val="22"/>
              </w:rPr>
              <w:t>5</w:t>
            </w:r>
          </w:p>
          <w:p w:rsidR="0017742A" w:rsidRDefault="0017742A" w:rsidP="009956CB">
            <w:pPr>
              <w:pStyle w:val="Rbntext"/>
              <w:spacing w:before="240"/>
              <w:rPr>
                <w:sz w:val="22"/>
              </w:rPr>
            </w:pPr>
            <w:r>
              <w:t xml:space="preserve">Č. </w:t>
            </w:r>
            <w:proofErr w:type="spellStart"/>
            <w:r w:rsidRPr="009956CB">
              <w:t>j</w:t>
            </w:r>
            <w:proofErr w:type="spellEnd"/>
            <w:r w:rsidRPr="009956CB">
              <w:t xml:space="preserve">.: </w:t>
            </w:r>
            <w:r w:rsidR="009956CB">
              <w:t>3</w:t>
            </w:r>
            <w:r w:rsidRPr="009956CB">
              <w:t>/201</w:t>
            </w:r>
            <w:r w:rsidR="00644F35" w:rsidRPr="009956CB">
              <w:t>5</w:t>
            </w:r>
            <w:r w:rsidRPr="009956CB">
              <w:t xml:space="preserve"> - </w:t>
            </w:r>
            <w:r w:rsidR="002C39A6" w:rsidRPr="009956CB">
              <w:t>84</w:t>
            </w:r>
            <w:r w:rsidRPr="009956CB">
              <w:t>01</w:t>
            </w:r>
          </w:p>
        </w:tc>
      </w:tr>
      <w:tr w:rsidR="0017742A" w:rsidTr="00AD0397">
        <w:trPr>
          <w:cantSplit/>
          <w:trHeight w:hRule="exact" w:val="8661"/>
          <w:jc w:val="center"/>
        </w:trPr>
        <w:tc>
          <w:tcPr>
            <w:tcW w:w="9778" w:type="dxa"/>
            <w:gridSpan w:val="3"/>
            <w:vAlign w:val="center"/>
          </w:tcPr>
          <w:p w:rsidR="0017742A" w:rsidRDefault="0017742A" w:rsidP="00AD0397">
            <w:pPr>
              <w:pStyle w:val="Rbntext"/>
              <w:jc w:val="center"/>
              <w:rPr>
                <w:b/>
                <w:bCs/>
                <w:sz w:val="48"/>
              </w:rPr>
            </w:pPr>
            <w:r>
              <w:rPr>
                <w:b/>
                <w:bCs/>
                <w:sz w:val="48"/>
              </w:rPr>
              <w:t>Základní tendence</w:t>
            </w:r>
          </w:p>
          <w:p w:rsidR="0017742A" w:rsidRDefault="0017742A" w:rsidP="00AD0397">
            <w:pPr>
              <w:pStyle w:val="Rbntext"/>
              <w:jc w:val="center"/>
              <w:rPr>
                <w:b/>
                <w:bCs/>
                <w:sz w:val="48"/>
              </w:rPr>
            </w:pPr>
            <w:r>
              <w:rPr>
                <w:b/>
                <w:bCs/>
                <w:sz w:val="48"/>
              </w:rPr>
              <w:t>demografického, sociálního</w:t>
            </w:r>
          </w:p>
          <w:p w:rsidR="0017742A" w:rsidRDefault="0017742A" w:rsidP="00AD0397">
            <w:pPr>
              <w:pStyle w:val="Rbntext"/>
              <w:jc w:val="center"/>
              <w:rPr>
                <w:b/>
                <w:bCs/>
                <w:sz w:val="48"/>
              </w:rPr>
            </w:pPr>
            <w:r>
              <w:rPr>
                <w:b/>
                <w:bCs/>
                <w:sz w:val="48"/>
              </w:rPr>
              <w:t>a ekonomického vývoje</w:t>
            </w:r>
          </w:p>
          <w:p w:rsidR="0017742A" w:rsidRDefault="00517B6E" w:rsidP="00AD0397">
            <w:pPr>
              <w:pStyle w:val="Rbntext"/>
              <w:jc w:val="center"/>
              <w:rPr>
                <w:b/>
                <w:bCs/>
                <w:sz w:val="48"/>
              </w:rPr>
            </w:pPr>
            <w:r w:rsidRPr="00517B6E">
              <w:rPr>
                <w:b/>
                <w:bCs/>
                <w:sz w:val="48"/>
              </w:rPr>
              <w:t>Zlínského</w:t>
            </w:r>
            <w:r w:rsidR="0017742A">
              <w:rPr>
                <w:b/>
                <w:bCs/>
                <w:sz w:val="48"/>
              </w:rPr>
              <w:t xml:space="preserve"> kraje</w:t>
            </w:r>
          </w:p>
          <w:p w:rsidR="0017742A" w:rsidRDefault="0017742A" w:rsidP="00644F35">
            <w:pPr>
              <w:pStyle w:val="Rbntext"/>
              <w:jc w:val="center"/>
              <w:rPr>
                <w:i/>
                <w:sz w:val="40"/>
                <w:szCs w:val="40"/>
              </w:rPr>
            </w:pPr>
            <w:r>
              <w:rPr>
                <w:b/>
                <w:bCs/>
                <w:sz w:val="48"/>
              </w:rPr>
              <w:t>v roce 201</w:t>
            </w:r>
            <w:r w:rsidR="00644F35">
              <w:rPr>
                <w:b/>
                <w:bCs/>
                <w:sz w:val="48"/>
              </w:rPr>
              <w:t>4</w:t>
            </w:r>
          </w:p>
        </w:tc>
      </w:tr>
      <w:tr w:rsidR="0017742A" w:rsidTr="00B6685F">
        <w:trPr>
          <w:cantSplit/>
          <w:trHeight w:hRule="exact" w:val="1835"/>
          <w:jc w:val="center"/>
        </w:trPr>
        <w:tc>
          <w:tcPr>
            <w:tcW w:w="2590" w:type="dxa"/>
            <w:tcBorders>
              <w:bottom w:val="single" w:sz="4" w:space="0" w:color="auto"/>
            </w:tcBorders>
            <w:vAlign w:val="center"/>
          </w:tcPr>
          <w:p w:rsidR="0017742A" w:rsidRDefault="0017742A">
            <w:pPr>
              <w:pStyle w:val="Rbntext"/>
              <w:spacing w:after="0"/>
              <w:jc w:val="left"/>
            </w:pPr>
            <w:r>
              <w:t>Zpracoval:</w:t>
            </w:r>
          </w:p>
          <w:p w:rsidR="005D4A9B" w:rsidRDefault="005D4A9B">
            <w:pPr>
              <w:pStyle w:val="Rbntext"/>
              <w:spacing w:after="0"/>
              <w:jc w:val="left"/>
            </w:pPr>
          </w:p>
          <w:p w:rsidR="0017742A" w:rsidRDefault="0017742A">
            <w:pPr>
              <w:pStyle w:val="Rbntext"/>
              <w:spacing w:after="0"/>
              <w:jc w:val="left"/>
              <w:rPr>
                <w:i/>
                <w:lang w:val="en-GB"/>
              </w:rPr>
            </w:pPr>
            <w:r>
              <w:t>Vedoucí oddělení:</w:t>
            </w:r>
          </w:p>
          <w:p w:rsidR="0017742A" w:rsidRDefault="0017742A">
            <w:pPr>
              <w:pStyle w:val="Rbntext"/>
              <w:spacing w:after="0"/>
              <w:jc w:val="left"/>
              <w:rPr>
                <w:iCs/>
              </w:rPr>
            </w:pPr>
            <w:r>
              <w:rPr>
                <w:iCs/>
              </w:rPr>
              <w:t>Informační služby:</w:t>
            </w:r>
          </w:p>
          <w:p w:rsidR="0017742A" w:rsidRDefault="0017742A">
            <w:pPr>
              <w:pStyle w:val="Rbntext"/>
              <w:spacing w:after="0"/>
              <w:jc w:val="left"/>
            </w:pPr>
            <w:r>
              <w:t>Kontaktní zaměstnanec</w:t>
            </w:r>
            <w:r>
              <w:rPr>
                <w:i/>
                <w:lang w:val="en-GB"/>
              </w:rPr>
              <w:t>:</w:t>
            </w:r>
          </w:p>
        </w:tc>
        <w:tc>
          <w:tcPr>
            <w:tcW w:w="7188" w:type="dxa"/>
            <w:gridSpan w:val="2"/>
            <w:tcBorders>
              <w:bottom w:val="single" w:sz="4" w:space="0" w:color="auto"/>
            </w:tcBorders>
            <w:vAlign w:val="center"/>
          </w:tcPr>
          <w:p w:rsidR="0017742A" w:rsidRDefault="00517B6E">
            <w:pPr>
              <w:pStyle w:val="Rbntext"/>
              <w:spacing w:after="0"/>
              <w:jc w:val="left"/>
            </w:pPr>
            <w:r>
              <w:t>Krajská správa ČSÚ ve Zlíně</w:t>
            </w:r>
            <w:r w:rsidR="0017742A">
              <w:t>, oddělení informačních služeb</w:t>
            </w:r>
            <w:r w:rsidR="005D4A9B">
              <w:t xml:space="preserve"> </w:t>
            </w:r>
          </w:p>
          <w:p w:rsidR="00B6424B" w:rsidRDefault="00B6424B">
            <w:pPr>
              <w:pStyle w:val="Rbntext"/>
              <w:spacing w:after="0"/>
              <w:jc w:val="left"/>
            </w:pPr>
          </w:p>
          <w:p w:rsidR="0017742A" w:rsidRDefault="0017742A">
            <w:pPr>
              <w:pStyle w:val="Rbntext"/>
              <w:spacing w:after="0"/>
              <w:jc w:val="left"/>
              <w:rPr>
                <w:iCs/>
                <w:lang w:val="en-GB"/>
              </w:rPr>
            </w:pPr>
            <w:proofErr w:type="spellStart"/>
            <w:r>
              <w:rPr>
                <w:iCs/>
                <w:lang w:val="en-GB"/>
              </w:rPr>
              <w:t>Ing</w:t>
            </w:r>
            <w:proofErr w:type="spellEnd"/>
            <w:r>
              <w:rPr>
                <w:iCs/>
                <w:lang w:val="en-GB"/>
              </w:rPr>
              <w:t xml:space="preserve">. </w:t>
            </w:r>
            <w:r w:rsidR="00517B6E">
              <w:rPr>
                <w:iCs/>
                <w:lang w:val="en-GB"/>
              </w:rPr>
              <w:t xml:space="preserve">Leona </w:t>
            </w:r>
            <w:proofErr w:type="spellStart"/>
            <w:r w:rsidR="00517B6E">
              <w:rPr>
                <w:iCs/>
                <w:lang w:val="en-GB"/>
              </w:rPr>
              <w:t>To</w:t>
            </w:r>
            <w:r w:rsidR="00B6424B">
              <w:rPr>
                <w:iCs/>
                <w:lang w:val="en-GB"/>
              </w:rPr>
              <w:t>la</w:t>
            </w:r>
            <w:r w:rsidR="00517B6E">
              <w:rPr>
                <w:iCs/>
                <w:lang w:val="en-GB"/>
              </w:rPr>
              <w:t>rová</w:t>
            </w:r>
            <w:proofErr w:type="spellEnd"/>
          </w:p>
          <w:p w:rsidR="0017742A" w:rsidRDefault="0017742A">
            <w:pPr>
              <w:pStyle w:val="Rbntext"/>
              <w:spacing w:after="0"/>
              <w:jc w:val="left"/>
              <w:rPr>
                <w:iCs/>
                <w:lang w:val="de-DE"/>
              </w:rPr>
            </w:pPr>
            <w:r>
              <w:rPr>
                <w:iCs/>
                <w:lang w:val="de-DE"/>
              </w:rPr>
              <w:t>tel.: +420</w:t>
            </w:r>
            <w:r w:rsidR="00517B6E">
              <w:rPr>
                <w:iCs/>
                <w:lang w:val="de-DE"/>
              </w:rPr>
              <w:t> 577 004 935</w:t>
            </w:r>
            <w:r>
              <w:rPr>
                <w:iCs/>
                <w:lang w:val="de-DE"/>
              </w:rPr>
              <w:t>, e-</w:t>
            </w:r>
            <w:proofErr w:type="spellStart"/>
            <w:r>
              <w:rPr>
                <w:iCs/>
                <w:lang w:val="de-DE"/>
              </w:rPr>
              <w:t>mail</w:t>
            </w:r>
            <w:proofErr w:type="spellEnd"/>
            <w:r>
              <w:rPr>
                <w:iCs/>
                <w:lang w:val="de-DE"/>
              </w:rPr>
              <w:t>: infoservis</w:t>
            </w:r>
            <w:r w:rsidR="00517B6E">
              <w:rPr>
                <w:iCs/>
                <w:lang w:val="de-DE"/>
              </w:rPr>
              <w:t>-zl</w:t>
            </w:r>
            <w:r>
              <w:rPr>
                <w:iCs/>
                <w:lang w:val="de-DE"/>
              </w:rPr>
              <w:t>@czso.cz</w:t>
            </w:r>
          </w:p>
          <w:p w:rsidR="0017742A" w:rsidRPr="00B6424B" w:rsidRDefault="0017742A" w:rsidP="00B6424B">
            <w:pPr>
              <w:pStyle w:val="Rbntext"/>
              <w:spacing w:after="0"/>
              <w:jc w:val="left"/>
              <w:rPr>
                <w:color w:val="000000" w:themeColor="text1"/>
                <w:lang w:val="en-GB"/>
              </w:rPr>
            </w:pPr>
            <w:r w:rsidRPr="00B6424B">
              <w:rPr>
                <w:color w:val="000000" w:themeColor="text1"/>
              </w:rPr>
              <w:t>Ing</w:t>
            </w:r>
            <w:r w:rsidR="00B6424B" w:rsidRPr="00B6424B">
              <w:rPr>
                <w:color w:val="000000" w:themeColor="text1"/>
              </w:rPr>
              <w:t xml:space="preserve">. Hana </w:t>
            </w:r>
            <w:proofErr w:type="spellStart"/>
            <w:r w:rsidR="00B6424B" w:rsidRPr="00B6424B">
              <w:rPr>
                <w:color w:val="000000" w:themeColor="text1"/>
              </w:rPr>
              <w:t>Stryjová</w:t>
            </w:r>
            <w:proofErr w:type="spellEnd"/>
            <w:r w:rsidRPr="00B6424B">
              <w:rPr>
                <w:color w:val="000000" w:themeColor="text1"/>
              </w:rPr>
              <w:t xml:space="preserve">, </w:t>
            </w:r>
            <w:r w:rsidRPr="00B6424B">
              <w:rPr>
                <w:iCs/>
                <w:color w:val="000000" w:themeColor="text1"/>
                <w:lang w:val="en-GB"/>
              </w:rPr>
              <w:t xml:space="preserve">e-mail: </w:t>
            </w:r>
            <w:r w:rsidR="00B6424B" w:rsidRPr="00B6424B">
              <w:rPr>
                <w:iCs/>
                <w:color w:val="000000" w:themeColor="text1"/>
                <w:lang w:val="en-GB"/>
              </w:rPr>
              <w:t>hana.stryjova@czso.cz</w:t>
            </w:r>
          </w:p>
        </w:tc>
      </w:tr>
      <w:tr w:rsidR="0017742A" w:rsidTr="00B6424B">
        <w:trPr>
          <w:cantSplit/>
          <w:trHeight w:hRule="exact" w:val="725"/>
          <w:jc w:val="center"/>
        </w:trPr>
        <w:tc>
          <w:tcPr>
            <w:tcW w:w="9778" w:type="dxa"/>
            <w:gridSpan w:val="3"/>
            <w:tcBorders>
              <w:top w:val="single" w:sz="4" w:space="0" w:color="auto"/>
            </w:tcBorders>
          </w:tcPr>
          <w:p w:rsidR="0017742A" w:rsidRPr="00517B6E" w:rsidRDefault="0017742A">
            <w:pPr>
              <w:pStyle w:val="Rbntext"/>
              <w:spacing w:before="120" w:after="0"/>
              <w:jc w:val="center"/>
              <w:rPr>
                <w:color w:val="000000" w:themeColor="text1"/>
                <w:sz w:val="22"/>
              </w:rPr>
            </w:pPr>
            <w:r>
              <w:rPr>
                <w:sz w:val="22"/>
              </w:rPr>
              <w:t>Český statistický úřad</w:t>
            </w:r>
            <w:r w:rsidRPr="00517B6E">
              <w:rPr>
                <w:color w:val="000000" w:themeColor="text1"/>
                <w:sz w:val="22"/>
              </w:rPr>
              <w:t xml:space="preserve">, </w:t>
            </w:r>
            <w:r w:rsidR="00517B6E" w:rsidRPr="00517B6E">
              <w:rPr>
                <w:color w:val="000000" w:themeColor="text1"/>
                <w:sz w:val="22"/>
              </w:rPr>
              <w:t>Zlín</w:t>
            </w:r>
          </w:p>
          <w:p w:rsidR="0017742A" w:rsidRDefault="009669C9" w:rsidP="00644F35">
            <w:pPr>
              <w:pStyle w:val="Rbntext"/>
              <w:jc w:val="center"/>
              <w:rPr>
                <w:sz w:val="22"/>
              </w:rPr>
            </w:pPr>
            <w:r>
              <w:rPr>
                <w:sz w:val="22"/>
              </w:rPr>
              <w:t>201</w:t>
            </w:r>
            <w:r w:rsidR="00644F35">
              <w:rPr>
                <w:sz w:val="22"/>
              </w:rPr>
              <w:t>5</w:t>
            </w:r>
          </w:p>
        </w:tc>
      </w:tr>
    </w:tbl>
    <w:p w:rsidR="0017742A" w:rsidRDefault="0017742A" w:rsidP="00F6058D">
      <w:pPr>
        <w:pStyle w:val="Rnadpis"/>
        <w:sectPr w:rsidR="0017742A">
          <w:footerReference w:type="default" r:id="rId8"/>
          <w:footerReference w:type="first" r:id="rId9"/>
          <w:footnotePr>
            <w:numRestart w:val="eachPage"/>
          </w:footnotePr>
          <w:pgSz w:w="11906" w:h="16838" w:code="9"/>
          <w:pgMar w:top="1134" w:right="1134" w:bottom="1247" w:left="1134" w:header="0" w:footer="1021" w:gutter="0"/>
          <w:cols w:space="708"/>
          <w:titlePg/>
          <w:docGrid w:linePitch="360"/>
        </w:sect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17742A">
        <w:trPr>
          <w:cantSplit/>
          <w:trHeight w:hRule="exact" w:val="1701"/>
          <w:jc w:val="center"/>
        </w:trPr>
        <w:tc>
          <w:tcPr>
            <w:tcW w:w="9778" w:type="dxa"/>
            <w:tcBorders>
              <w:top w:val="nil"/>
              <w:left w:val="nil"/>
              <w:bottom w:val="nil"/>
              <w:right w:val="nil"/>
            </w:tcBorders>
          </w:tcPr>
          <w:p w:rsidR="0017742A" w:rsidRDefault="0017742A" w:rsidP="002A3B42">
            <w:pPr>
              <w:pStyle w:val="Rbntext"/>
              <w:rPr>
                <w:b/>
                <w:bCs/>
              </w:rPr>
            </w:pPr>
            <w:r>
              <w:lastRenderedPageBreak/>
              <w:br w:type="page"/>
              <w:t xml:space="preserve">Zajímají Vás nejnovější údaje o inflaci, HDP, obyvatelstvu, průměrných mzdách a mnohé další? Najdete je na stránkách ČSÚ na Internetu: </w:t>
            </w:r>
            <w:r>
              <w:rPr>
                <w:b/>
                <w:bCs/>
              </w:rPr>
              <w:t>www.czso.cz</w:t>
            </w:r>
          </w:p>
          <w:p w:rsidR="0017742A" w:rsidRDefault="0017742A">
            <w:pPr>
              <w:pStyle w:val="Rbntext"/>
            </w:pPr>
          </w:p>
        </w:tc>
      </w:tr>
      <w:tr w:rsidR="0017742A">
        <w:trPr>
          <w:cantSplit/>
          <w:trHeight w:hRule="exact" w:val="1701"/>
          <w:jc w:val="center"/>
        </w:trPr>
        <w:tc>
          <w:tcPr>
            <w:tcW w:w="9778" w:type="dxa"/>
            <w:tcBorders>
              <w:top w:val="nil"/>
              <w:left w:val="nil"/>
              <w:bottom w:val="nil"/>
              <w:right w:val="nil"/>
            </w:tcBorders>
          </w:tcPr>
          <w:p w:rsidR="0017742A" w:rsidRPr="00517B6E" w:rsidRDefault="0017742A" w:rsidP="00864230">
            <w:pPr>
              <w:pStyle w:val="Rbntext"/>
              <w:rPr>
                <w:color w:val="000000" w:themeColor="text1"/>
              </w:rPr>
            </w:pPr>
            <w:r w:rsidRPr="00517B6E">
              <w:rPr>
                <w:color w:val="000000" w:themeColor="text1"/>
              </w:rPr>
              <w:t xml:space="preserve">Údaje o </w:t>
            </w:r>
            <w:r w:rsidR="00517B6E" w:rsidRPr="00517B6E">
              <w:rPr>
                <w:color w:val="000000" w:themeColor="text1"/>
              </w:rPr>
              <w:t>Zlínském</w:t>
            </w:r>
            <w:r w:rsidRPr="00517B6E">
              <w:rPr>
                <w:color w:val="000000" w:themeColor="text1"/>
              </w:rPr>
              <w:t xml:space="preserve"> kraji naleznete také na Internetu: </w:t>
            </w:r>
            <w:r w:rsidRPr="00517B6E">
              <w:rPr>
                <w:b/>
                <w:bCs/>
                <w:color w:val="000000" w:themeColor="text1"/>
              </w:rPr>
              <w:t>www.</w:t>
            </w:r>
            <w:r w:rsidR="00517B6E" w:rsidRPr="00517B6E">
              <w:rPr>
                <w:b/>
                <w:bCs/>
                <w:color w:val="000000" w:themeColor="text1"/>
              </w:rPr>
              <w:t>zl</w:t>
            </w:r>
            <w:r w:rsidR="00864230">
              <w:rPr>
                <w:b/>
                <w:bCs/>
                <w:color w:val="000000" w:themeColor="text1"/>
              </w:rPr>
              <w:t>i</w:t>
            </w:r>
            <w:r w:rsidR="00517B6E" w:rsidRPr="00517B6E">
              <w:rPr>
                <w:b/>
                <w:bCs/>
                <w:color w:val="000000" w:themeColor="text1"/>
              </w:rPr>
              <w:t>n</w:t>
            </w:r>
            <w:r w:rsidRPr="00517B6E">
              <w:rPr>
                <w:b/>
                <w:bCs/>
                <w:color w:val="000000" w:themeColor="text1"/>
              </w:rPr>
              <w:t>.czso.cz</w:t>
            </w:r>
            <w:r w:rsidRPr="00517B6E">
              <w:rPr>
                <w:color w:val="000000" w:themeColor="text1"/>
              </w:rPr>
              <w:t xml:space="preserve"> </w:t>
            </w:r>
          </w:p>
        </w:tc>
      </w:tr>
      <w:tr w:rsidR="0017742A">
        <w:trPr>
          <w:cantSplit/>
          <w:trHeight w:hRule="exact" w:val="5103"/>
          <w:jc w:val="center"/>
        </w:trPr>
        <w:tc>
          <w:tcPr>
            <w:tcW w:w="9778" w:type="dxa"/>
            <w:tcBorders>
              <w:top w:val="nil"/>
              <w:left w:val="nil"/>
              <w:bottom w:val="nil"/>
              <w:right w:val="nil"/>
            </w:tcBorders>
            <w:vAlign w:val="center"/>
          </w:tcPr>
          <w:p w:rsidR="0017742A" w:rsidRDefault="0017742A">
            <w:pPr>
              <w:pStyle w:val="Rbntext"/>
              <w:rPr>
                <w:highlight w:val="yellow"/>
              </w:rPr>
            </w:pPr>
          </w:p>
        </w:tc>
      </w:tr>
      <w:tr w:rsidR="0017742A">
        <w:trPr>
          <w:cantSplit/>
          <w:trHeight w:hRule="exact" w:val="5103"/>
          <w:jc w:val="center"/>
        </w:trPr>
        <w:tc>
          <w:tcPr>
            <w:tcW w:w="9778" w:type="dxa"/>
            <w:tcBorders>
              <w:top w:val="nil"/>
              <w:left w:val="nil"/>
              <w:bottom w:val="nil"/>
              <w:right w:val="nil"/>
            </w:tcBorders>
            <w:vAlign w:val="bottom"/>
          </w:tcPr>
          <w:p w:rsidR="0017742A" w:rsidRDefault="0017742A" w:rsidP="00644F35">
            <w:pPr>
              <w:pStyle w:val="Rbntext"/>
              <w:rPr>
                <w:highlight w:val="yellow"/>
              </w:rPr>
            </w:pPr>
            <w:r>
              <w:t>© Český statistický úřad</w:t>
            </w:r>
            <w:r w:rsidRPr="00517B6E">
              <w:rPr>
                <w:color w:val="000000" w:themeColor="text1"/>
              </w:rPr>
              <w:t xml:space="preserve">, </w:t>
            </w:r>
            <w:r w:rsidR="00517B6E" w:rsidRPr="00517B6E">
              <w:rPr>
                <w:color w:val="000000" w:themeColor="text1"/>
              </w:rPr>
              <w:t>Zlín</w:t>
            </w:r>
            <w:r>
              <w:t>, 201</w:t>
            </w:r>
            <w:r w:rsidR="00644F35">
              <w:t>4</w:t>
            </w:r>
          </w:p>
        </w:tc>
      </w:tr>
    </w:tbl>
    <w:p w:rsidR="0017742A" w:rsidRDefault="0017742A" w:rsidP="00F6058D">
      <w:pPr>
        <w:pStyle w:val="Rnadpis"/>
        <w:sectPr w:rsidR="0017742A">
          <w:footerReference w:type="even" r:id="rId10"/>
          <w:footerReference w:type="first" r:id="rId11"/>
          <w:footnotePr>
            <w:numRestart w:val="eachPage"/>
          </w:footnotePr>
          <w:pgSz w:w="11906" w:h="16838" w:code="9"/>
          <w:pgMar w:top="1134" w:right="1134" w:bottom="1247" w:left="1134" w:header="0" w:footer="1021" w:gutter="0"/>
          <w:cols w:space="708"/>
          <w:titlePg/>
          <w:docGrid w:linePitch="360"/>
        </w:sectPr>
      </w:pPr>
    </w:p>
    <w:p w:rsidR="0017742A" w:rsidRDefault="0017742A" w:rsidP="00F6058D">
      <w:pPr>
        <w:pStyle w:val="Rnadpis"/>
        <w:sectPr w:rsidR="0017742A">
          <w:headerReference w:type="default" r:id="rId12"/>
          <w:footerReference w:type="even" r:id="rId13"/>
          <w:footerReference w:type="default" r:id="rId14"/>
          <w:headerReference w:type="first" r:id="rId15"/>
          <w:footerReference w:type="first" r:id="rId16"/>
          <w:footnotePr>
            <w:numRestart w:val="eachPage"/>
          </w:footnotePr>
          <w:type w:val="continuous"/>
          <w:pgSz w:w="11906" w:h="16838" w:code="9"/>
          <w:pgMar w:top="1134" w:right="1134" w:bottom="1247" w:left="1134" w:header="0" w:footer="1021" w:gutter="0"/>
          <w:cols w:space="708" w:equalWidth="0">
            <w:col w:w="9638"/>
          </w:cols>
          <w:titlePg/>
          <w:docGrid w:linePitch="360"/>
        </w:sectPr>
      </w:pPr>
    </w:p>
    <w:p w:rsidR="0017742A" w:rsidRDefault="0017742A" w:rsidP="00F6058D">
      <w:pPr>
        <w:pStyle w:val="Rnadpis"/>
      </w:pPr>
      <w:bookmarkStart w:id="0" w:name="_Toc428351935"/>
      <w:r>
        <w:lastRenderedPageBreak/>
        <w:t>Úvod</w:t>
      </w:r>
      <w:bookmarkEnd w:id="0"/>
    </w:p>
    <w:p w:rsidR="0017742A" w:rsidRPr="00F05998" w:rsidRDefault="0017742A">
      <w:pPr>
        <w:pStyle w:val="Rbntext"/>
        <w:rPr>
          <w:color w:val="000000" w:themeColor="text1"/>
        </w:rPr>
      </w:pPr>
      <w:r w:rsidRPr="00F05998">
        <w:t xml:space="preserve">Předkládaný materiál je analytickým </w:t>
      </w:r>
      <w:r w:rsidRPr="00F05998">
        <w:rPr>
          <w:color w:val="000000" w:themeColor="text1"/>
        </w:rPr>
        <w:t xml:space="preserve">obrazem vybraných tendencí demografického, sociálního, ekonomického a environmentálního vývoje </w:t>
      </w:r>
      <w:r w:rsidR="00517B6E" w:rsidRPr="00F05998">
        <w:rPr>
          <w:color w:val="000000" w:themeColor="text1"/>
        </w:rPr>
        <w:t>Zlínského</w:t>
      </w:r>
      <w:r w:rsidR="005D4A9B" w:rsidRPr="00F05998">
        <w:rPr>
          <w:color w:val="000000" w:themeColor="text1"/>
        </w:rPr>
        <w:t xml:space="preserve"> kraje v roce 201</w:t>
      </w:r>
      <w:r w:rsidR="00F05998" w:rsidRPr="00F05998">
        <w:rPr>
          <w:color w:val="000000" w:themeColor="text1"/>
        </w:rPr>
        <w:t>4</w:t>
      </w:r>
      <w:r w:rsidRPr="00F05998">
        <w:rPr>
          <w:color w:val="000000" w:themeColor="text1"/>
        </w:rPr>
        <w:t>, s návazností na vývoj v předchozíc</w:t>
      </w:r>
      <w:r w:rsidR="005D4A9B" w:rsidRPr="00F05998">
        <w:rPr>
          <w:color w:val="000000" w:themeColor="text1"/>
        </w:rPr>
        <w:t>h letech (zpravidla od roku 200</w:t>
      </w:r>
      <w:r w:rsidR="00F05998" w:rsidRPr="00F05998">
        <w:rPr>
          <w:color w:val="000000" w:themeColor="text1"/>
        </w:rPr>
        <w:t>9</w:t>
      </w:r>
      <w:r w:rsidRPr="00F05998">
        <w:rPr>
          <w:color w:val="000000" w:themeColor="text1"/>
        </w:rPr>
        <w:t xml:space="preserve">). Zahrnuje oblasti, kde můžeme vývoj kvantifikovat pomocí statistických ukazatelů, přičemž klademe důraz na jevy v kraji významné. V textu jsme se snažili </w:t>
      </w:r>
      <w:r w:rsidR="0053212F" w:rsidRPr="00F05998">
        <w:rPr>
          <w:color w:val="000000" w:themeColor="text1"/>
        </w:rPr>
        <w:t xml:space="preserve">posoudit </w:t>
      </w:r>
      <w:r w:rsidRPr="00F05998">
        <w:rPr>
          <w:color w:val="000000" w:themeColor="text1"/>
        </w:rPr>
        <w:t>vývoj ve</w:t>
      </w:r>
      <w:r w:rsidR="00517B6E" w:rsidRPr="00F05998">
        <w:rPr>
          <w:color w:val="000000" w:themeColor="text1"/>
        </w:rPr>
        <w:t> </w:t>
      </w:r>
      <w:r w:rsidRPr="00F05998">
        <w:rPr>
          <w:color w:val="000000" w:themeColor="text1"/>
        </w:rPr>
        <w:t>srovnání s ostatními kraji České republiky.</w:t>
      </w:r>
    </w:p>
    <w:p w:rsidR="00F05998" w:rsidRPr="00F05998" w:rsidRDefault="0017742A">
      <w:pPr>
        <w:pStyle w:val="Rbntext"/>
        <w:rPr>
          <w:color w:val="000000" w:themeColor="text1"/>
        </w:rPr>
      </w:pPr>
      <w:r w:rsidRPr="00F05998">
        <w:rPr>
          <w:color w:val="000000" w:themeColor="text1"/>
        </w:rPr>
        <w:t>Vzhledem k systému postupného zpracování dat zatím nemáme k dispozici kompletní údaje za rok 201</w:t>
      </w:r>
      <w:r w:rsidR="00F05998" w:rsidRPr="00F05998">
        <w:rPr>
          <w:color w:val="000000" w:themeColor="text1"/>
        </w:rPr>
        <w:t>4</w:t>
      </w:r>
      <w:r w:rsidRPr="00F05998">
        <w:rPr>
          <w:color w:val="000000" w:themeColor="text1"/>
        </w:rPr>
        <w:t>. Proto můžeme v některých oblastech zpracovat ho</w:t>
      </w:r>
      <w:r w:rsidR="005D4A9B" w:rsidRPr="00F05998">
        <w:rPr>
          <w:color w:val="000000" w:themeColor="text1"/>
        </w:rPr>
        <w:t>dnocení zatím pouze do roku 201</w:t>
      </w:r>
      <w:r w:rsidR="00F05998" w:rsidRPr="00F05998">
        <w:rPr>
          <w:color w:val="000000" w:themeColor="text1"/>
        </w:rPr>
        <w:t>3</w:t>
      </w:r>
      <w:r w:rsidRPr="00F05998">
        <w:rPr>
          <w:color w:val="000000" w:themeColor="text1"/>
        </w:rPr>
        <w:t>.</w:t>
      </w:r>
      <w:r w:rsidR="0053212F" w:rsidRPr="00F05998">
        <w:rPr>
          <w:color w:val="000000" w:themeColor="text1"/>
        </w:rPr>
        <w:t xml:space="preserve"> </w:t>
      </w:r>
    </w:p>
    <w:p w:rsidR="0017742A" w:rsidRPr="00F05998" w:rsidRDefault="0017742A">
      <w:pPr>
        <w:pStyle w:val="Rbntext"/>
        <w:rPr>
          <w:color w:val="000000" w:themeColor="text1"/>
        </w:rPr>
      </w:pPr>
      <w:r w:rsidRPr="00F05998">
        <w:rPr>
          <w:color w:val="000000" w:themeColor="text1"/>
        </w:rPr>
        <w:t>Aktuální údaje průběžně zveřejňujeme na internetu na adrese www.</w:t>
      </w:r>
      <w:r w:rsidR="00517B6E" w:rsidRPr="00F05998">
        <w:rPr>
          <w:color w:val="000000" w:themeColor="text1"/>
        </w:rPr>
        <w:t>zlin</w:t>
      </w:r>
      <w:r w:rsidR="009671C9" w:rsidRPr="00F05998">
        <w:rPr>
          <w:color w:val="000000" w:themeColor="text1"/>
        </w:rPr>
        <w:t>.czso.cz</w:t>
      </w:r>
      <w:r w:rsidRPr="00F05998">
        <w:rPr>
          <w:color w:val="000000" w:themeColor="text1"/>
        </w:rPr>
        <w:t xml:space="preserve">. Komplexní pohled na vývoj v kraji poskytuje Statistická ročenka </w:t>
      </w:r>
      <w:r w:rsidR="00517B6E" w:rsidRPr="00F05998">
        <w:rPr>
          <w:color w:val="000000" w:themeColor="text1"/>
        </w:rPr>
        <w:t xml:space="preserve">Zlínského </w:t>
      </w:r>
      <w:r w:rsidRPr="00F05998">
        <w:rPr>
          <w:color w:val="000000" w:themeColor="text1"/>
        </w:rPr>
        <w:t xml:space="preserve">kraje pravidelně vydávaná v průběhu měsíce prosince. Přehled vybraných ukazatelů o krátkodobém vývoji regionu nabízí Statistický bulletin </w:t>
      </w:r>
      <w:r w:rsidR="00517B6E" w:rsidRPr="00F05998">
        <w:rPr>
          <w:color w:val="000000" w:themeColor="text1"/>
        </w:rPr>
        <w:t xml:space="preserve">Zlínského </w:t>
      </w:r>
      <w:r w:rsidRPr="00F05998">
        <w:rPr>
          <w:color w:val="000000" w:themeColor="text1"/>
        </w:rPr>
        <w:t>kraje, který vychází 95. den po skončení příslušného čtvrtletí.</w:t>
      </w:r>
    </w:p>
    <w:p w:rsidR="0017742A" w:rsidRPr="007C121A" w:rsidRDefault="0017742A" w:rsidP="002A3B42">
      <w:pPr>
        <w:pStyle w:val="text"/>
        <w:spacing w:before="0" w:after="0"/>
        <w:rPr>
          <w:sz w:val="2"/>
          <w:szCs w:val="2"/>
        </w:rPr>
      </w:pPr>
      <w:r w:rsidRPr="00517B6E">
        <w:rPr>
          <w:color w:val="000000" w:themeColor="text1"/>
        </w:rPr>
        <w:br w:type="page"/>
      </w:r>
    </w:p>
    <w:tbl>
      <w:tblPr>
        <w:tblW w:w="9778" w:type="dxa"/>
        <w:tblLayout w:type="fixed"/>
        <w:tblCellMar>
          <w:left w:w="70" w:type="dxa"/>
          <w:right w:w="70" w:type="dxa"/>
        </w:tblCellMar>
        <w:tblLook w:val="0000"/>
      </w:tblPr>
      <w:tblGrid>
        <w:gridCol w:w="9778"/>
      </w:tblGrid>
      <w:tr w:rsidR="0017742A">
        <w:trPr>
          <w:cantSplit/>
          <w:trHeight w:hRule="exact" w:val="6804"/>
        </w:trPr>
        <w:tc>
          <w:tcPr>
            <w:tcW w:w="9778" w:type="dxa"/>
          </w:tcPr>
          <w:p w:rsidR="0017742A" w:rsidRDefault="0017742A" w:rsidP="00873216">
            <w:pPr>
              <w:pStyle w:val="Rbntext"/>
              <w:rPr>
                <w:highlight w:val="yellow"/>
              </w:rPr>
            </w:pPr>
            <w:r>
              <w:rPr>
                <w:b/>
                <w:bCs/>
                <w:color w:val="333399"/>
              </w:rPr>
              <w:br w:type="page"/>
            </w:r>
            <w:r>
              <w:t>Reprodukce výňatků z tohoto materiálu lze pořizovat, pokud je uveden jejich zdroj, s výjimkou reprodukce pro komerční účely. Citace mohou být zveřejněny jen s uvedením zdroje „Základní tendence</w:t>
            </w:r>
            <w:r w:rsidR="00864230">
              <w:t xml:space="preserve"> </w:t>
            </w:r>
            <w:r>
              <w:t xml:space="preserve">demografického, sociálního a ekonomického vývoje </w:t>
            </w:r>
            <w:r w:rsidR="00517B6E" w:rsidRPr="00354B23">
              <w:rPr>
                <w:color w:val="000000" w:themeColor="text1"/>
              </w:rPr>
              <w:t>Zlínského</w:t>
            </w:r>
            <w:r w:rsidR="00354B23">
              <w:t xml:space="preserve"> </w:t>
            </w:r>
            <w:r w:rsidR="00502E3C">
              <w:t>kraje v roce 2013</w:t>
            </w:r>
            <w:r>
              <w:t>“ a původu statistických dat v něm otištěných.</w:t>
            </w:r>
          </w:p>
        </w:tc>
      </w:tr>
      <w:tr w:rsidR="0017742A">
        <w:trPr>
          <w:cantSplit/>
          <w:trHeight w:hRule="exact" w:val="6804"/>
        </w:trPr>
        <w:tc>
          <w:tcPr>
            <w:tcW w:w="9778" w:type="dxa"/>
            <w:vAlign w:val="bottom"/>
          </w:tcPr>
          <w:p w:rsidR="00B07A92" w:rsidRDefault="0017742A" w:rsidP="00B07A92">
            <w:pPr>
              <w:pStyle w:val="Rbntext"/>
              <w:spacing w:after="0"/>
              <w:jc w:val="left"/>
            </w:pPr>
            <w:r>
              <w:br w:type="page"/>
            </w:r>
            <w:r w:rsidR="00B07A92">
              <w:t>Čárka (-) v tabulce na místě čísla značí, že se jev nevyskytoval.</w:t>
            </w:r>
          </w:p>
          <w:p w:rsidR="00B07A92" w:rsidRDefault="00B07A92" w:rsidP="00B07A92">
            <w:pPr>
              <w:pStyle w:val="Rbntext"/>
              <w:spacing w:after="0"/>
              <w:jc w:val="left"/>
            </w:pPr>
            <w:proofErr w:type="gramStart"/>
            <w:r>
              <w:t>Tečka (.) na</w:t>
            </w:r>
            <w:proofErr w:type="gramEnd"/>
            <w:r>
              <w:t xml:space="preserve"> místě čísla značí, že údaj není k dispozici nebo je nespolehlivý.</w:t>
            </w:r>
          </w:p>
          <w:p w:rsidR="00B07A92" w:rsidRDefault="00B07A92" w:rsidP="00B07A92">
            <w:pPr>
              <w:pStyle w:val="Rbntext"/>
              <w:spacing w:after="0"/>
              <w:jc w:val="left"/>
            </w:pPr>
            <w:r>
              <w:t>Křížek (x) značí, že zápis není možný z logických důvodů.</w:t>
            </w:r>
          </w:p>
          <w:p w:rsidR="00B07A92" w:rsidRDefault="00B07A92" w:rsidP="00B07A92">
            <w:pPr>
              <w:pStyle w:val="Rbntext"/>
              <w:spacing w:after="0"/>
              <w:jc w:val="left"/>
            </w:pPr>
            <w:r>
              <w:t>Nula (0) se v tabulce používá pro označení číselných údajů menších než polovina zvolené měřicí jednotky.</w:t>
            </w:r>
          </w:p>
          <w:p w:rsidR="0017742A" w:rsidRDefault="00B07A92" w:rsidP="00B07A92">
            <w:pPr>
              <w:pStyle w:val="Rbntext"/>
              <w:spacing w:after="0"/>
              <w:jc w:val="left"/>
            </w:pPr>
            <w:r>
              <w:t>Zkratka „</w:t>
            </w:r>
            <w:proofErr w:type="gramStart"/>
            <w:r>
              <w:t>i.</w:t>
            </w:r>
            <w:proofErr w:type="spellStart"/>
            <w:r>
              <w:t>d</w:t>
            </w:r>
            <w:proofErr w:type="spellEnd"/>
            <w:r>
              <w:t>.“ v tabulce</w:t>
            </w:r>
            <w:proofErr w:type="gramEnd"/>
            <w:r>
              <w:t xml:space="preserve"> nahrazuje individuální údaj, který nelze zveřejnit.</w:t>
            </w:r>
            <w:r w:rsidR="0017742A">
              <w:t>Výpočty v tabulkách jsou prováděny z nezaokrouhlených údajů (včetně součtů).</w:t>
            </w:r>
          </w:p>
          <w:p w:rsidR="0017742A" w:rsidRDefault="0017742A">
            <w:pPr>
              <w:pStyle w:val="Rbntext"/>
              <w:spacing w:before="240"/>
              <w:jc w:val="left"/>
            </w:pPr>
            <w:r>
              <w:t>Publikované údaje jsou platné k 31. 7. 201</w:t>
            </w:r>
            <w:r w:rsidR="00644F35">
              <w:t>5</w:t>
            </w:r>
            <w:r>
              <w:t>. Zpřesňují údaje publikované již dříve, ale mohou být ještě dále upřesňovány.</w:t>
            </w:r>
          </w:p>
          <w:p w:rsidR="0017742A" w:rsidRDefault="0017742A">
            <w:pPr>
              <w:pStyle w:val="Rbntext"/>
              <w:spacing w:before="240"/>
              <w:jc w:val="left"/>
            </w:pPr>
            <w:r>
              <w:rPr>
                <w:b/>
                <w:bCs/>
              </w:rPr>
              <w:t>Pokud není uveden zdroj, jsou uveřejněny údaje ze statistických zjišťování ČSÚ.</w:t>
            </w:r>
          </w:p>
        </w:tc>
      </w:tr>
    </w:tbl>
    <w:p w:rsidR="0017742A" w:rsidRDefault="00F6058D" w:rsidP="00F6058D">
      <w:pPr>
        <w:pStyle w:val="text"/>
        <w:keepNext/>
        <w:spacing w:before="0" w:after="240"/>
      </w:pPr>
      <w:r>
        <w:rPr>
          <w:b/>
        </w:rPr>
        <w:br w:type="page"/>
      </w:r>
      <w:r w:rsidR="0017742A" w:rsidRPr="00F6058D">
        <w:rPr>
          <w:b/>
          <w:sz w:val="24"/>
        </w:rPr>
        <w:lastRenderedPageBreak/>
        <w:t>OBSAH</w:t>
      </w:r>
    </w:p>
    <w:p w:rsidR="001D3F2E" w:rsidRDefault="00286EFA">
      <w:pPr>
        <w:pStyle w:val="Obsah1"/>
        <w:rPr>
          <w:rFonts w:asciiTheme="minorHAnsi" w:eastAsiaTheme="minorEastAsia" w:hAnsiTheme="minorHAnsi" w:cstheme="minorBidi"/>
          <w:noProof/>
          <w:sz w:val="22"/>
          <w:szCs w:val="22"/>
        </w:rPr>
      </w:pPr>
      <w:r w:rsidRPr="00286EFA">
        <w:fldChar w:fldCharType="begin"/>
      </w:r>
      <w:r w:rsidR="00073AE6" w:rsidRPr="006D354F">
        <w:instrText xml:space="preserve"> TOC \h \z \t "Nadpis 1;1;R nadpis;1" </w:instrText>
      </w:r>
      <w:r w:rsidRPr="00286EFA">
        <w:fldChar w:fldCharType="separate"/>
      </w:r>
      <w:hyperlink w:anchor="_Toc428351935" w:history="1">
        <w:r w:rsidR="001D3F2E" w:rsidRPr="001D0971">
          <w:rPr>
            <w:rStyle w:val="Hypertextovodkaz"/>
            <w:noProof/>
          </w:rPr>
          <w:t>Úvod</w:t>
        </w:r>
        <w:r w:rsidR="001D3F2E">
          <w:rPr>
            <w:noProof/>
            <w:webHidden/>
          </w:rPr>
          <w:tab/>
        </w:r>
        <w:r>
          <w:rPr>
            <w:noProof/>
            <w:webHidden/>
          </w:rPr>
          <w:fldChar w:fldCharType="begin"/>
        </w:r>
        <w:r w:rsidR="001D3F2E">
          <w:rPr>
            <w:noProof/>
            <w:webHidden/>
          </w:rPr>
          <w:instrText xml:space="preserve"> PAGEREF _Toc428351935 \h </w:instrText>
        </w:r>
        <w:r>
          <w:rPr>
            <w:noProof/>
            <w:webHidden/>
          </w:rPr>
        </w:r>
        <w:r>
          <w:rPr>
            <w:noProof/>
            <w:webHidden/>
          </w:rPr>
          <w:fldChar w:fldCharType="separate"/>
        </w:r>
        <w:r w:rsidR="006F7809">
          <w:rPr>
            <w:noProof/>
            <w:webHidden/>
          </w:rPr>
          <w:t>3</w:t>
        </w:r>
        <w:r>
          <w:rPr>
            <w:noProof/>
            <w:webHidden/>
          </w:rPr>
          <w:fldChar w:fldCharType="end"/>
        </w:r>
      </w:hyperlink>
    </w:p>
    <w:p w:rsidR="001D3F2E" w:rsidRDefault="00286EFA">
      <w:pPr>
        <w:pStyle w:val="Obsah1"/>
        <w:rPr>
          <w:rFonts w:asciiTheme="minorHAnsi" w:eastAsiaTheme="minorEastAsia" w:hAnsiTheme="minorHAnsi" w:cstheme="minorBidi"/>
          <w:noProof/>
          <w:sz w:val="22"/>
          <w:szCs w:val="22"/>
        </w:rPr>
      </w:pPr>
      <w:hyperlink w:anchor="_Toc428351936" w:history="1">
        <w:r w:rsidR="001D3F2E" w:rsidRPr="001D0971">
          <w:rPr>
            <w:rStyle w:val="Hypertextovodkaz"/>
            <w:noProof/>
          </w:rPr>
          <w:t>Souhrn hlavních poznatků</w:t>
        </w:r>
        <w:r w:rsidR="001D3F2E">
          <w:rPr>
            <w:noProof/>
            <w:webHidden/>
          </w:rPr>
          <w:tab/>
        </w:r>
        <w:r>
          <w:rPr>
            <w:noProof/>
            <w:webHidden/>
          </w:rPr>
          <w:fldChar w:fldCharType="begin"/>
        </w:r>
        <w:r w:rsidR="001D3F2E">
          <w:rPr>
            <w:noProof/>
            <w:webHidden/>
          </w:rPr>
          <w:instrText xml:space="preserve"> PAGEREF _Toc428351936 \h </w:instrText>
        </w:r>
        <w:r>
          <w:rPr>
            <w:noProof/>
            <w:webHidden/>
          </w:rPr>
        </w:r>
        <w:r>
          <w:rPr>
            <w:noProof/>
            <w:webHidden/>
          </w:rPr>
          <w:fldChar w:fldCharType="separate"/>
        </w:r>
        <w:r w:rsidR="006F7809">
          <w:rPr>
            <w:noProof/>
            <w:webHidden/>
          </w:rPr>
          <w:t>6</w:t>
        </w:r>
        <w:r>
          <w:rPr>
            <w:noProof/>
            <w:webHidden/>
          </w:rPr>
          <w:fldChar w:fldCharType="end"/>
        </w:r>
      </w:hyperlink>
    </w:p>
    <w:p w:rsidR="001D3F2E" w:rsidRDefault="00286EFA">
      <w:pPr>
        <w:pStyle w:val="Obsah1"/>
        <w:rPr>
          <w:rFonts w:asciiTheme="minorHAnsi" w:eastAsiaTheme="minorEastAsia" w:hAnsiTheme="minorHAnsi" w:cstheme="minorBidi"/>
          <w:noProof/>
          <w:sz w:val="22"/>
          <w:szCs w:val="22"/>
        </w:rPr>
      </w:pPr>
      <w:hyperlink w:anchor="_Toc428351937" w:history="1">
        <w:r w:rsidR="001D3F2E" w:rsidRPr="001D0971">
          <w:rPr>
            <w:rStyle w:val="Hypertextovodkaz"/>
            <w:noProof/>
          </w:rPr>
          <w:t>1.</w:t>
        </w:r>
        <w:r w:rsidR="001D3F2E">
          <w:rPr>
            <w:rFonts w:asciiTheme="minorHAnsi" w:eastAsiaTheme="minorEastAsia" w:hAnsiTheme="minorHAnsi" w:cstheme="minorBidi"/>
            <w:noProof/>
            <w:sz w:val="22"/>
            <w:szCs w:val="22"/>
          </w:rPr>
          <w:tab/>
        </w:r>
        <w:r w:rsidR="001D3F2E" w:rsidRPr="001D0971">
          <w:rPr>
            <w:rStyle w:val="Hypertextovodkaz"/>
            <w:noProof/>
          </w:rPr>
          <w:t>Demografický vývoj</w:t>
        </w:r>
        <w:r w:rsidR="001D3F2E">
          <w:rPr>
            <w:noProof/>
            <w:webHidden/>
          </w:rPr>
          <w:tab/>
        </w:r>
        <w:r>
          <w:rPr>
            <w:noProof/>
            <w:webHidden/>
          </w:rPr>
          <w:fldChar w:fldCharType="begin"/>
        </w:r>
        <w:r w:rsidR="001D3F2E">
          <w:rPr>
            <w:noProof/>
            <w:webHidden/>
          </w:rPr>
          <w:instrText xml:space="preserve"> PAGEREF _Toc428351937 \h </w:instrText>
        </w:r>
        <w:r>
          <w:rPr>
            <w:noProof/>
            <w:webHidden/>
          </w:rPr>
        </w:r>
        <w:r>
          <w:rPr>
            <w:noProof/>
            <w:webHidden/>
          </w:rPr>
          <w:fldChar w:fldCharType="separate"/>
        </w:r>
        <w:r w:rsidR="006F7809">
          <w:rPr>
            <w:noProof/>
            <w:webHidden/>
          </w:rPr>
          <w:t>7</w:t>
        </w:r>
        <w:r>
          <w:rPr>
            <w:noProof/>
            <w:webHidden/>
          </w:rPr>
          <w:fldChar w:fldCharType="end"/>
        </w:r>
      </w:hyperlink>
    </w:p>
    <w:p w:rsidR="001D3F2E" w:rsidRDefault="00286EFA">
      <w:pPr>
        <w:pStyle w:val="Obsah1"/>
        <w:rPr>
          <w:rFonts w:asciiTheme="minorHAnsi" w:eastAsiaTheme="minorEastAsia" w:hAnsiTheme="minorHAnsi" w:cstheme="minorBidi"/>
          <w:noProof/>
          <w:sz w:val="22"/>
          <w:szCs w:val="22"/>
        </w:rPr>
      </w:pPr>
      <w:hyperlink w:anchor="_Toc428351938" w:history="1">
        <w:r w:rsidR="001D3F2E" w:rsidRPr="001D0971">
          <w:rPr>
            <w:rStyle w:val="Hypertextovodkaz"/>
            <w:noProof/>
          </w:rPr>
          <w:t>2.</w:t>
        </w:r>
        <w:r w:rsidR="001D3F2E">
          <w:rPr>
            <w:rFonts w:asciiTheme="minorHAnsi" w:eastAsiaTheme="minorEastAsia" w:hAnsiTheme="minorHAnsi" w:cstheme="minorBidi"/>
            <w:noProof/>
            <w:sz w:val="22"/>
            <w:szCs w:val="22"/>
          </w:rPr>
          <w:tab/>
        </w:r>
        <w:r w:rsidR="001D3F2E" w:rsidRPr="001D0971">
          <w:rPr>
            <w:rStyle w:val="Hypertextovodkaz"/>
            <w:noProof/>
          </w:rPr>
          <w:t>Sociální vývoj</w:t>
        </w:r>
        <w:r w:rsidR="001D3F2E">
          <w:rPr>
            <w:noProof/>
            <w:webHidden/>
          </w:rPr>
          <w:tab/>
        </w:r>
        <w:r>
          <w:rPr>
            <w:noProof/>
            <w:webHidden/>
          </w:rPr>
          <w:fldChar w:fldCharType="begin"/>
        </w:r>
        <w:r w:rsidR="001D3F2E">
          <w:rPr>
            <w:noProof/>
            <w:webHidden/>
          </w:rPr>
          <w:instrText xml:space="preserve"> PAGEREF _Toc428351938 \h </w:instrText>
        </w:r>
        <w:r>
          <w:rPr>
            <w:noProof/>
            <w:webHidden/>
          </w:rPr>
        </w:r>
        <w:r>
          <w:rPr>
            <w:noProof/>
            <w:webHidden/>
          </w:rPr>
          <w:fldChar w:fldCharType="separate"/>
        </w:r>
        <w:r w:rsidR="006F7809">
          <w:rPr>
            <w:noProof/>
            <w:webHidden/>
          </w:rPr>
          <w:t>16</w:t>
        </w:r>
        <w:r>
          <w:rPr>
            <w:noProof/>
            <w:webHidden/>
          </w:rPr>
          <w:fldChar w:fldCharType="end"/>
        </w:r>
      </w:hyperlink>
    </w:p>
    <w:p w:rsidR="001D3F2E" w:rsidRDefault="00286EFA">
      <w:pPr>
        <w:pStyle w:val="Obsah1"/>
        <w:rPr>
          <w:rFonts w:asciiTheme="minorHAnsi" w:eastAsiaTheme="minorEastAsia" w:hAnsiTheme="minorHAnsi" w:cstheme="minorBidi"/>
          <w:noProof/>
          <w:sz w:val="22"/>
          <w:szCs w:val="22"/>
        </w:rPr>
      </w:pPr>
      <w:hyperlink w:anchor="_Toc428351939" w:history="1">
        <w:r w:rsidR="001D3F2E" w:rsidRPr="001D0971">
          <w:rPr>
            <w:rStyle w:val="Hypertextovodkaz"/>
            <w:noProof/>
          </w:rPr>
          <w:t>3.</w:t>
        </w:r>
        <w:r w:rsidR="001D3F2E">
          <w:rPr>
            <w:rFonts w:asciiTheme="minorHAnsi" w:eastAsiaTheme="minorEastAsia" w:hAnsiTheme="minorHAnsi" w:cstheme="minorBidi"/>
            <w:noProof/>
            <w:sz w:val="22"/>
            <w:szCs w:val="22"/>
          </w:rPr>
          <w:tab/>
        </w:r>
        <w:r w:rsidR="001D3F2E" w:rsidRPr="001D0971">
          <w:rPr>
            <w:rStyle w:val="Hypertextovodkaz"/>
            <w:noProof/>
          </w:rPr>
          <w:t>Ekonomický vývoj</w:t>
        </w:r>
        <w:r w:rsidR="001D3F2E">
          <w:rPr>
            <w:noProof/>
            <w:webHidden/>
          </w:rPr>
          <w:tab/>
        </w:r>
        <w:r>
          <w:rPr>
            <w:noProof/>
            <w:webHidden/>
          </w:rPr>
          <w:fldChar w:fldCharType="begin"/>
        </w:r>
        <w:r w:rsidR="001D3F2E">
          <w:rPr>
            <w:noProof/>
            <w:webHidden/>
          </w:rPr>
          <w:instrText xml:space="preserve"> PAGEREF _Toc428351939 \h </w:instrText>
        </w:r>
        <w:r>
          <w:rPr>
            <w:noProof/>
            <w:webHidden/>
          </w:rPr>
        </w:r>
        <w:r>
          <w:rPr>
            <w:noProof/>
            <w:webHidden/>
          </w:rPr>
          <w:fldChar w:fldCharType="separate"/>
        </w:r>
        <w:r w:rsidR="006F7809">
          <w:rPr>
            <w:noProof/>
            <w:webHidden/>
          </w:rPr>
          <w:t>36</w:t>
        </w:r>
        <w:r>
          <w:rPr>
            <w:noProof/>
            <w:webHidden/>
          </w:rPr>
          <w:fldChar w:fldCharType="end"/>
        </w:r>
      </w:hyperlink>
    </w:p>
    <w:p w:rsidR="001D3F2E" w:rsidRDefault="00286EFA">
      <w:pPr>
        <w:pStyle w:val="Obsah1"/>
        <w:rPr>
          <w:rFonts w:asciiTheme="minorHAnsi" w:eastAsiaTheme="minorEastAsia" w:hAnsiTheme="minorHAnsi" w:cstheme="minorBidi"/>
          <w:noProof/>
          <w:sz w:val="22"/>
          <w:szCs w:val="22"/>
        </w:rPr>
      </w:pPr>
      <w:hyperlink w:anchor="_Toc428351940" w:history="1">
        <w:r w:rsidR="001D3F2E" w:rsidRPr="001D0971">
          <w:rPr>
            <w:rStyle w:val="Hypertextovodkaz"/>
            <w:noProof/>
          </w:rPr>
          <w:t>4.</w:t>
        </w:r>
        <w:r w:rsidR="001D3F2E">
          <w:rPr>
            <w:rFonts w:asciiTheme="minorHAnsi" w:eastAsiaTheme="minorEastAsia" w:hAnsiTheme="minorHAnsi" w:cstheme="minorBidi"/>
            <w:noProof/>
            <w:sz w:val="22"/>
            <w:szCs w:val="22"/>
          </w:rPr>
          <w:tab/>
        </w:r>
        <w:r w:rsidR="001D3F2E" w:rsidRPr="001D0971">
          <w:rPr>
            <w:rStyle w:val="Hypertextovodkaz"/>
            <w:noProof/>
          </w:rPr>
          <w:t>Životní prostředí</w:t>
        </w:r>
        <w:r w:rsidR="001D3F2E">
          <w:rPr>
            <w:noProof/>
            <w:webHidden/>
          </w:rPr>
          <w:tab/>
        </w:r>
        <w:r>
          <w:rPr>
            <w:noProof/>
            <w:webHidden/>
          </w:rPr>
          <w:fldChar w:fldCharType="begin"/>
        </w:r>
        <w:r w:rsidR="001D3F2E">
          <w:rPr>
            <w:noProof/>
            <w:webHidden/>
          </w:rPr>
          <w:instrText xml:space="preserve"> PAGEREF _Toc428351940 \h </w:instrText>
        </w:r>
        <w:r>
          <w:rPr>
            <w:noProof/>
            <w:webHidden/>
          </w:rPr>
        </w:r>
        <w:r>
          <w:rPr>
            <w:noProof/>
            <w:webHidden/>
          </w:rPr>
          <w:fldChar w:fldCharType="separate"/>
        </w:r>
        <w:r w:rsidR="006F7809">
          <w:rPr>
            <w:noProof/>
            <w:webHidden/>
          </w:rPr>
          <w:t>60</w:t>
        </w:r>
        <w:r>
          <w:rPr>
            <w:noProof/>
            <w:webHidden/>
          </w:rPr>
          <w:fldChar w:fldCharType="end"/>
        </w:r>
      </w:hyperlink>
    </w:p>
    <w:p w:rsidR="0017742A" w:rsidRPr="006D354F" w:rsidRDefault="00286EFA" w:rsidP="000F21AE">
      <w:pPr>
        <w:pStyle w:val="Rbntext"/>
        <w:tabs>
          <w:tab w:val="right" w:leader="dot" w:pos="9639"/>
        </w:tabs>
        <w:spacing w:before="360"/>
      </w:pPr>
      <w:r w:rsidRPr="006D354F">
        <w:fldChar w:fldCharType="end"/>
      </w:r>
      <w:r w:rsidR="0017742A" w:rsidRPr="006D354F">
        <w:rPr>
          <w:b/>
          <w:bCs/>
        </w:rPr>
        <w:t>Tabulková příloha</w:t>
      </w:r>
      <w:r w:rsidR="0017742A" w:rsidRPr="006D354F">
        <w:tab/>
      </w:r>
      <w:r w:rsidR="00503164" w:rsidRPr="006D354F">
        <w:t>6</w:t>
      </w:r>
      <w:r w:rsidR="00D926E6">
        <w:t>7</w:t>
      </w:r>
    </w:p>
    <w:p w:rsidR="0017742A" w:rsidRPr="006D354F" w:rsidRDefault="0017742A">
      <w:pPr>
        <w:pStyle w:val="Rtextobsah"/>
        <w:tabs>
          <w:tab w:val="clear" w:pos="4423"/>
          <w:tab w:val="left" w:pos="567"/>
          <w:tab w:val="right" w:leader="dot" w:pos="9180"/>
        </w:tabs>
        <w:spacing w:before="120" w:after="0"/>
        <w:ind w:left="540" w:firstLine="0"/>
      </w:pPr>
      <w:r w:rsidRPr="006D354F">
        <w:t xml:space="preserve">1. </w:t>
      </w:r>
      <w:proofErr w:type="spellStart"/>
      <w:r w:rsidRPr="006D354F">
        <w:t>Mezikrajské</w:t>
      </w:r>
      <w:proofErr w:type="spellEnd"/>
      <w:r w:rsidRPr="006D354F">
        <w:t xml:space="preserve"> srovnání vybraných ukazatelů</w:t>
      </w:r>
    </w:p>
    <w:p w:rsidR="0017742A" w:rsidRPr="006D354F" w:rsidRDefault="0017742A" w:rsidP="00CE6291">
      <w:pPr>
        <w:pStyle w:val="Rtextobsah"/>
        <w:tabs>
          <w:tab w:val="right" w:leader="dot" w:pos="9639"/>
        </w:tabs>
        <w:spacing w:before="120"/>
        <w:ind w:left="1616"/>
      </w:pPr>
      <w:r w:rsidRPr="006D354F">
        <w:t xml:space="preserve">Tab. 1.1 </w:t>
      </w:r>
      <w:proofErr w:type="spellStart"/>
      <w:r w:rsidRPr="006D354F">
        <w:t>Mezikrajské</w:t>
      </w:r>
      <w:proofErr w:type="spellEnd"/>
      <w:r w:rsidRPr="006D354F">
        <w:t xml:space="preserve"> srovnání vybraných ukazatelů - demografický vývoj</w:t>
      </w:r>
      <w:r w:rsidRPr="006D354F">
        <w:tab/>
      </w:r>
      <w:r w:rsidR="00503164" w:rsidRPr="006D354F">
        <w:t>6</w:t>
      </w:r>
      <w:r w:rsidR="00D926E6">
        <w:t>7</w:t>
      </w:r>
    </w:p>
    <w:p w:rsidR="0017742A" w:rsidRPr="006D354F" w:rsidRDefault="0017742A" w:rsidP="00736347">
      <w:pPr>
        <w:pStyle w:val="Rtextobsah"/>
        <w:tabs>
          <w:tab w:val="right" w:leader="dot" w:pos="9639"/>
        </w:tabs>
        <w:ind w:left="1616"/>
      </w:pPr>
      <w:r w:rsidRPr="006D354F">
        <w:t xml:space="preserve">Tab. 1.2 </w:t>
      </w:r>
      <w:proofErr w:type="spellStart"/>
      <w:r w:rsidRPr="006D354F">
        <w:t>Mezikrajské</w:t>
      </w:r>
      <w:proofErr w:type="spellEnd"/>
      <w:r w:rsidRPr="006D354F">
        <w:t xml:space="preserve"> srovnání vybraných ukazatelů - sociální vývoj</w:t>
      </w:r>
      <w:r w:rsidRPr="006D354F">
        <w:tab/>
      </w:r>
      <w:r w:rsidR="00503164" w:rsidRPr="006D354F">
        <w:t>6</w:t>
      </w:r>
      <w:r w:rsidR="00D926E6">
        <w:t>8</w:t>
      </w:r>
    </w:p>
    <w:p w:rsidR="0017742A" w:rsidRPr="006D354F" w:rsidRDefault="0017742A" w:rsidP="00736347">
      <w:pPr>
        <w:pStyle w:val="Rtextobsah"/>
        <w:tabs>
          <w:tab w:val="right" w:leader="dot" w:pos="9639"/>
        </w:tabs>
        <w:ind w:left="1616"/>
      </w:pPr>
      <w:r w:rsidRPr="006D354F">
        <w:t xml:space="preserve">Tab. 1.3 </w:t>
      </w:r>
      <w:proofErr w:type="spellStart"/>
      <w:r w:rsidRPr="006D354F">
        <w:t>Mezikrajské</w:t>
      </w:r>
      <w:proofErr w:type="spellEnd"/>
      <w:r w:rsidRPr="006D354F">
        <w:t xml:space="preserve"> srovnání vybraných ukazatelů - ekonomický vývoj</w:t>
      </w:r>
      <w:r w:rsidRPr="006D354F">
        <w:tab/>
      </w:r>
      <w:r w:rsidR="00D926E6">
        <w:t>69</w:t>
      </w:r>
    </w:p>
    <w:p w:rsidR="0017742A" w:rsidRPr="006D354F" w:rsidRDefault="0017742A" w:rsidP="00736347">
      <w:pPr>
        <w:pStyle w:val="Rtextobsah"/>
        <w:tabs>
          <w:tab w:val="right" w:leader="dot" w:pos="9639"/>
        </w:tabs>
        <w:ind w:left="1616"/>
      </w:pPr>
      <w:r w:rsidRPr="006D354F">
        <w:t xml:space="preserve">Tab. 1.4 </w:t>
      </w:r>
      <w:proofErr w:type="spellStart"/>
      <w:r w:rsidRPr="006D354F">
        <w:t>Mezikrajské</w:t>
      </w:r>
      <w:proofErr w:type="spellEnd"/>
      <w:r w:rsidRPr="006D354F">
        <w:t xml:space="preserve"> srovnání vybraných ukazatelů - životní prostředí</w:t>
      </w:r>
      <w:r w:rsidRPr="006D354F">
        <w:tab/>
      </w:r>
      <w:r w:rsidR="004E2D25">
        <w:t>7</w:t>
      </w:r>
      <w:r w:rsidR="00D926E6">
        <w:t>0</w:t>
      </w:r>
    </w:p>
    <w:p w:rsidR="0017742A" w:rsidRPr="006D354F" w:rsidRDefault="0017742A">
      <w:pPr>
        <w:pStyle w:val="Rtextobsah"/>
        <w:tabs>
          <w:tab w:val="clear" w:pos="4423"/>
          <w:tab w:val="left" w:pos="567"/>
          <w:tab w:val="right" w:leader="dot" w:pos="9180"/>
        </w:tabs>
        <w:spacing w:before="120" w:after="0"/>
        <w:ind w:left="540" w:firstLine="0"/>
        <w:rPr>
          <w:color w:val="000000" w:themeColor="text1"/>
        </w:rPr>
      </w:pPr>
      <w:r w:rsidRPr="006D354F">
        <w:t xml:space="preserve">2. Vybrané ukazatele </w:t>
      </w:r>
      <w:r w:rsidRPr="006D354F">
        <w:rPr>
          <w:color w:val="000000" w:themeColor="text1"/>
        </w:rPr>
        <w:t xml:space="preserve">za </w:t>
      </w:r>
      <w:r w:rsidR="00354B23" w:rsidRPr="006D354F">
        <w:rPr>
          <w:color w:val="000000" w:themeColor="text1"/>
        </w:rPr>
        <w:t xml:space="preserve">Zlínský </w:t>
      </w:r>
      <w:r w:rsidRPr="006D354F">
        <w:rPr>
          <w:color w:val="000000" w:themeColor="text1"/>
        </w:rPr>
        <w:t>kraj</w:t>
      </w:r>
    </w:p>
    <w:p w:rsidR="0017742A" w:rsidRPr="006D354F" w:rsidRDefault="0017742A" w:rsidP="00736347">
      <w:pPr>
        <w:pStyle w:val="Rtextobsah"/>
        <w:tabs>
          <w:tab w:val="right" w:leader="dot" w:pos="9639"/>
        </w:tabs>
        <w:spacing w:before="120"/>
        <w:ind w:left="1616"/>
        <w:rPr>
          <w:color w:val="000000" w:themeColor="text1"/>
        </w:rPr>
      </w:pPr>
      <w:r w:rsidRPr="006D354F">
        <w:rPr>
          <w:color w:val="000000" w:themeColor="text1"/>
        </w:rPr>
        <w:t xml:space="preserve">Tab. 2.1 Vybrané ukazatele za </w:t>
      </w:r>
      <w:r w:rsidR="00864230" w:rsidRPr="006D354F">
        <w:rPr>
          <w:color w:val="000000" w:themeColor="text1"/>
        </w:rPr>
        <w:t xml:space="preserve">Zlínský </w:t>
      </w:r>
      <w:r w:rsidRPr="006D354F">
        <w:rPr>
          <w:color w:val="000000" w:themeColor="text1"/>
        </w:rPr>
        <w:t>kraj - demografický vývoj</w:t>
      </w:r>
      <w:r w:rsidRPr="006D354F">
        <w:rPr>
          <w:color w:val="000000" w:themeColor="text1"/>
        </w:rPr>
        <w:tab/>
      </w:r>
      <w:r w:rsidR="004E2D25">
        <w:rPr>
          <w:color w:val="000000" w:themeColor="text1"/>
        </w:rPr>
        <w:t>7</w:t>
      </w:r>
      <w:r w:rsidR="00D926E6">
        <w:rPr>
          <w:color w:val="000000" w:themeColor="text1"/>
        </w:rPr>
        <w:t>1</w:t>
      </w:r>
    </w:p>
    <w:p w:rsidR="0017742A" w:rsidRPr="006D354F" w:rsidRDefault="0017742A" w:rsidP="00736347">
      <w:pPr>
        <w:pStyle w:val="Rtextobsah"/>
        <w:tabs>
          <w:tab w:val="right" w:leader="dot" w:pos="9639"/>
        </w:tabs>
        <w:spacing w:before="120"/>
        <w:ind w:left="1616"/>
        <w:rPr>
          <w:color w:val="000000" w:themeColor="text1"/>
        </w:rPr>
      </w:pPr>
      <w:r w:rsidRPr="006D354F">
        <w:rPr>
          <w:color w:val="000000" w:themeColor="text1"/>
        </w:rPr>
        <w:t xml:space="preserve">Tab. 2.2 Vybrané ukazatele za </w:t>
      </w:r>
      <w:r w:rsidR="00864230" w:rsidRPr="006D354F">
        <w:rPr>
          <w:color w:val="000000" w:themeColor="text1"/>
        </w:rPr>
        <w:t xml:space="preserve">Zlínský </w:t>
      </w:r>
      <w:r w:rsidRPr="006D354F">
        <w:rPr>
          <w:color w:val="000000" w:themeColor="text1"/>
        </w:rPr>
        <w:t>kraj - sociální vývoj</w:t>
      </w:r>
      <w:r w:rsidRPr="006D354F">
        <w:rPr>
          <w:color w:val="000000" w:themeColor="text1"/>
        </w:rPr>
        <w:tab/>
      </w:r>
      <w:r w:rsidR="004E2D25">
        <w:rPr>
          <w:color w:val="000000" w:themeColor="text1"/>
        </w:rPr>
        <w:t>7</w:t>
      </w:r>
      <w:r w:rsidR="00D926E6">
        <w:rPr>
          <w:color w:val="000000" w:themeColor="text1"/>
        </w:rPr>
        <w:t>2</w:t>
      </w:r>
    </w:p>
    <w:p w:rsidR="0017742A" w:rsidRPr="006D354F" w:rsidRDefault="0017742A" w:rsidP="00736347">
      <w:pPr>
        <w:pStyle w:val="Rtextobsah"/>
        <w:tabs>
          <w:tab w:val="right" w:leader="dot" w:pos="9639"/>
        </w:tabs>
        <w:spacing w:before="120"/>
        <w:ind w:left="1616"/>
        <w:rPr>
          <w:color w:val="000000" w:themeColor="text1"/>
        </w:rPr>
      </w:pPr>
      <w:r w:rsidRPr="006D354F">
        <w:rPr>
          <w:color w:val="000000" w:themeColor="text1"/>
        </w:rPr>
        <w:t xml:space="preserve">Tab. 2.3 Vybrané ukazatele za </w:t>
      </w:r>
      <w:r w:rsidR="00864230" w:rsidRPr="006D354F">
        <w:rPr>
          <w:color w:val="000000" w:themeColor="text1"/>
        </w:rPr>
        <w:t xml:space="preserve">Zlínský </w:t>
      </w:r>
      <w:r w:rsidRPr="006D354F">
        <w:rPr>
          <w:color w:val="000000" w:themeColor="text1"/>
        </w:rPr>
        <w:t>kraj - ekonomický vývoj</w:t>
      </w:r>
      <w:r w:rsidRPr="006D354F">
        <w:rPr>
          <w:color w:val="000000" w:themeColor="text1"/>
        </w:rPr>
        <w:tab/>
      </w:r>
      <w:r w:rsidR="004E2D25">
        <w:rPr>
          <w:color w:val="000000" w:themeColor="text1"/>
        </w:rPr>
        <w:t>7</w:t>
      </w:r>
      <w:r w:rsidR="00D926E6">
        <w:rPr>
          <w:color w:val="000000" w:themeColor="text1"/>
        </w:rPr>
        <w:t>5</w:t>
      </w:r>
    </w:p>
    <w:p w:rsidR="0017742A" w:rsidRPr="006D354F" w:rsidRDefault="0017742A" w:rsidP="00736347">
      <w:pPr>
        <w:pStyle w:val="Rtextobsah"/>
        <w:tabs>
          <w:tab w:val="right" w:leader="dot" w:pos="9639"/>
        </w:tabs>
        <w:spacing w:before="120"/>
        <w:ind w:left="1616"/>
        <w:rPr>
          <w:color w:val="000000" w:themeColor="text1"/>
        </w:rPr>
      </w:pPr>
      <w:r w:rsidRPr="006D354F">
        <w:rPr>
          <w:color w:val="000000" w:themeColor="text1"/>
        </w:rPr>
        <w:t xml:space="preserve">Tab. 2.4 Vybrané ukazatele za </w:t>
      </w:r>
      <w:r w:rsidR="00864230" w:rsidRPr="006D354F">
        <w:rPr>
          <w:color w:val="000000" w:themeColor="text1"/>
        </w:rPr>
        <w:t xml:space="preserve">Zlínský </w:t>
      </w:r>
      <w:r w:rsidRPr="006D354F">
        <w:rPr>
          <w:color w:val="000000" w:themeColor="text1"/>
        </w:rPr>
        <w:t>kraj - životní prostředí</w:t>
      </w:r>
      <w:r w:rsidRPr="006D354F">
        <w:rPr>
          <w:color w:val="000000" w:themeColor="text1"/>
        </w:rPr>
        <w:tab/>
      </w:r>
      <w:r w:rsidR="00810672" w:rsidRPr="006D354F">
        <w:rPr>
          <w:color w:val="000000" w:themeColor="text1"/>
        </w:rPr>
        <w:t>7</w:t>
      </w:r>
      <w:r w:rsidR="00D926E6">
        <w:rPr>
          <w:color w:val="000000" w:themeColor="text1"/>
        </w:rPr>
        <w:t>7</w:t>
      </w:r>
    </w:p>
    <w:p w:rsidR="0017742A" w:rsidRPr="006D354F" w:rsidRDefault="0017742A">
      <w:pPr>
        <w:pStyle w:val="Rtextobsah"/>
        <w:tabs>
          <w:tab w:val="clear" w:pos="4423"/>
          <w:tab w:val="left" w:pos="567"/>
          <w:tab w:val="right" w:leader="dot" w:pos="9180"/>
        </w:tabs>
        <w:spacing w:before="120" w:after="0"/>
        <w:ind w:left="540" w:firstLine="0"/>
        <w:rPr>
          <w:color w:val="000000" w:themeColor="text1"/>
        </w:rPr>
      </w:pPr>
      <w:r w:rsidRPr="006D354F">
        <w:rPr>
          <w:color w:val="000000" w:themeColor="text1"/>
        </w:rPr>
        <w:t xml:space="preserve">3. Vybrané ukazatele podle okresů </w:t>
      </w:r>
      <w:r w:rsidR="00354B23" w:rsidRPr="006D354F">
        <w:rPr>
          <w:color w:val="000000" w:themeColor="text1"/>
        </w:rPr>
        <w:t xml:space="preserve">Zlínského </w:t>
      </w:r>
      <w:r w:rsidRPr="006D354F">
        <w:rPr>
          <w:color w:val="000000" w:themeColor="text1"/>
        </w:rPr>
        <w:t>kraje</w:t>
      </w:r>
    </w:p>
    <w:p w:rsidR="0017742A" w:rsidRDefault="0017742A" w:rsidP="000F21AE">
      <w:pPr>
        <w:pStyle w:val="Rtextobsah"/>
        <w:tabs>
          <w:tab w:val="right" w:leader="dot" w:pos="9639"/>
        </w:tabs>
        <w:spacing w:before="120"/>
        <w:ind w:left="1616"/>
      </w:pPr>
      <w:r w:rsidRPr="006D354F">
        <w:rPr>
          <w:color w:val="000000" w:themeColor="text1"/>
        </w:rPr>
        <w:t xml:space="preserve">3.1 Vybrané ukazatele podle okresů </w:t>
      </w:r>
      <w:r w:rsidR="00354B23" w:rsidRPr="006D354F">
        <w:rPr>
          <w:color w:val="000000" w:themeColor="text1"/>
        </w:rPr>
        <w:t xml:space="preserve">Zlínského </w:t>
      </w:r>
      <w:r w:rsidRPr="006D354F">
        <w:rPr>
          <w:color w:val="000000" w:themeColor="text1"/>
        </w:rPr>
        <w:t>kraje</w:t>
      </w:r>
      <w:r w:rsidRPr="006D354F">
        <w:tab/>
      </w:r>
      <w:r w:rsidR="00810672" w:rsidRPr="006D354F">
        <w:t>7</w:t>
      </w:r>
      <w:r w:rsidR="00D926E6">
        <w:t>8</w:t>
      </w:r>
    </w:p>
    <w:p w:rsidR="0017742A" w:rsidRDefault="0017742A">
      <w:pPr>
        <w:pStyle w:val="Rtextobsah"/>
        <w:tabs>
          <w:tab w:val="clear" w:pos="4423"/>
          <w:tab w:val="right" w:leader="dot" w:pos="9180"/>
        </w:tabs>
        <w:spacing w:before="120" w:after="0"/>
      </w:pPr>
    </w:p>
    <w:p w:rsidR="0017742A" w:rsidRDefault="0017742A" w:rsidP="006378BE">
      <w:pPr>
        <w:pStyle w:val="Rnadpis"/>
      </w:pPr>
    </w:p>
    <w:p w:rsidR="00C41435" w:rsidRDefault="0017742A" w:rsidP="00C41435">
      <w:pPr>
        <w:pStyle w:val="Nadpis1"/>
        <w:numPr>
          <w:ilvl w:val="0"/>
          <w:numId w:val="0"/>
        </w:numPr>
        <w:ind w:left="-215"/>
      </w:pPr>
      <w:r>
        <w:rPr>
          <w:rFonts w:cs="Times New Roman"/>
          <w:kern w:val="0"/>
          <w:sz w:val="20"/>
          <w:szCs w:val="24"/>
        </w:rPr>
        <w:br w:type="page"/>
      </w:r>
      <w:r w:rsidR="00433945">
        <w:rPr>
          <w:rFonts w:cs="Times New Roman"/>
          <w:kern w:val="0"/>
          <w:sz w:val="20"/>
          <w:szCs w:val="24"/>
        </w:rPr>
        <w:lastRenderedPageBreak/>
        <w:t xml:space="preserve"> </w:t>
      </w:r>
      <w:bookmarkStart w:id="1" w:name="_Toc428351936"/>
      <w:r w:rsidR="00C41435">
        <w:t>Souhrn hlavních poznatků</w:t>
      </w:r>
      <w:bookmarkEnd w:id="1"/>
    </w:p>
    <w:tbl>
      <w:tblPr>
        <w:tblW w:w="9610" w:type="dxa"/>
        <w:tblCellMar>
          <w:left w:w="70" w:type="dxa"/>
          <w:right w:w="70" w:type="dxa"/>
        </w:tblCellMar>
        <w:tblLook w:val="0000"/>
      </w:tblPr>
      <w:tblGrid>
        <w:gridCol w:w="2410"/>
        <w:gridCol w:w="7200"/>
      </w:tblGrid>
      <w:tr w:rsidR="0011287D" w:rsidRPr="00342830" w:rsidTr="008F10F8">
        <w:tc>
          <w:tcPr>
            <w:tcW w:w="2410" w:type="dxa"/>
          </w:tcPr>
          <w:p w:rsidR="0011287D" w:rsidRPr="00342830" w:rsidRDefault="0011287D" w:rsidP="00342830">
            <w:pPr>
              <w:pStyle w:val="text"/>
              <w:jc w:val="left"/>
              <w:rPr>
                <w:b/>
                <w:bCs/>
                <w:i/>
                <w:iCs/>
              </w:rPr>
            </w:pPr>
            <w:r w:rsidRPr="00342830">
              <w:rPr>
                <w:b/>
                <w:bCs/>
                <w:i/>
                <w:iCs/>
              </w:rPr>
              <w:t>Demografický vývoj</w:t>
            </w:r>
          </w:p>
        </w:tc>
        <w:tc>
          <w:tcPr>
            <w:tcW w:w="7200" w:type="dxa"/>
          </w:tcPr>
          <w:p w:rsidR="0011287D" w:rsidRPr="00DE633B" w:rsidRDefault="0011287D" w:rsidP="00342830">
            <w:pPr>
              <w:pStyle w:val="text"/>
              <w:numPr>
                <w:ilvl w:val="0"/>
                <w:numId w:val="16"/>
              </w:numPr>
              <w:tabs>
                <w:tab w:val="num" w:pos="470"/>
              </w:tabs>
              <w:ind w:left="471" w:hanging="471"/>
            </w:pPr>
            <w:r w:rsidRPr="00DE633B">
              <w:t>Počet obyvatel se snížil</w:t>
            </w:r>
            <w:r w:rsidR="00054A0A" w:rsidRPr="00DE633B">
              <w:t xml:space="preserve">, </w:t>
            </w:r>
            <w:r w:rsidRPr="00DE633B">
              <w:t xml:space="preserve">a to díky </w:t>
            </w:r>
            <w:r w:rsidR="00054A0A" w:rsidRPr="00DE633B">
              <w:t xml:space="preserve">přirozenému a </w:t>
            </w:r>
            <w:r w:rsidRPr="00DE633B">
              <w:t>migračnímu úbytku.</w:t>
            </w:r>
          </w:p>
          <w:p w:rsidR="0011287D" w:rsidRPr="00DE633B" w:rsidRDefault="0011287D" w:rsidP="00342830">
            <w:pPr>
              <w:pStyle w:val="text"/>
              <w:numPr>
                <w:ilvl w:val="0"/>
                <w:numId w:val="16"/>
              </w:numPr>
              <w:tabs>
                <w:tab w:val="num" w:pos="470"/>
              </w:tabs>
              <w:ind w:left="471" w:hanging="471"/>
            </w:pPr>
            <w:r w:rsidRPr="00DE633B">
              <w:t>Jsme krajem s druhým nejmenším počtem cizinců</w:t>
            </w:r>
            <w:r w:rsidR="008F10F8" w:rsidRPr="00DE633B">
              <w:t>.</w:t>
            </w:r>
          </w:p>
          <w:p w:rsidR="0014123F" w:rsidRPr="00DE633B" w:rsidRDefault="0014123F" w:rsidP="00342830">
            <w:pPr>
              <w:pStyle w:val="text"/>
              <w:numPr>
                <w:ilvl w:val="0"/>
                <w:numId w:val="16"/>
              </w:numPr>
              <w:tabs>
                <w:tab w:val="num" w:pos="470"/>
              </w:tabs>
              <w:ind w:left="471" w:hanging="471"/>
            </w:pPr>
            <w:r w:rsidRPr="00DE633B">
              <w:t>Přibývá obyvatel důchodového věku</w:t>
            </w:r>
            <w:r w:rsidR="008F10F8" w:rsidRPr="00DE633B">
              <w:t>.</w:t>
            </w:r>
          </w:p>
          <w:p w:rsidR="008508D1" w:rsidRPr="00DE633B" w:rsidRDefault="008508D1" w:rsidP="00342830">
            <w:pPr>
              <w:pStyle w:val="text"/>
              <w:numPr>
                <w:ilvl w:val="0"/>
                <w:numId w:val="16"/>
              </w:numPr>
              <w:tabs>
                <w:tab w:val="num" w:pos="470"/>
              </w:tabs>
              <w:ind w:left="471" w:hanging="471"/>
            </w:pPr>
            <w:r w:rsidRPr="00DE633B">
              <w:t>Průměrný věk při rozvodu se zvýšil</w:t>
            </w:r>
            <w:r w:rsidR="008F10F8" w:rsidRPr="00DE633B">
              <w:t>.</w:t>
            </w:r>
          </w:p>
          <w:p w:rsidR="0011287D" w:rsidRPr="00DE633B" w:rsidRDefault="00054A0A" w:rsidP="00342830">
            <w:pPr>
              <w:pStyle w:val="text"/>
              <w:numPr>
                <w:ilvl w:val="0"/>
                <w:numId w:val="16"/>
              </w:numPr>
              <w:tabs>
                <w:tab w:val="num" w:pos="470"/>
              </w:tabs>
              <w:ind w:left="471" w:hanging="471"/>
            </w:pPr>
            <w:r w:rsidRPr="00DE633B">
              <w:t>Úhrnná p</w:t>
            </w:r>
            <w:r w:rsidR="0011287D" w:rsidRPr="00DE633B">
              <w:t xml:space="preserve">otratovost </w:t>
            </w:r>
            <w:r w:rsidR="008508D1" w:rsidRPr="00DE633B">
              <w:t>v kraji je dlouhodobě pod republikovými hodnotami</w:t>
            </w:r>
            <w:r w:rsidR="008F10F8" w:rsidRPr="00DE633B">
              <w:t>.</w:t>
            </w:r>
          </w:p>
          <w:p w:rsidR="0011287D" w:rsidRPr="00DE633B" w:rsidRDefault="0011287D" w:rsidP="00342830">
            <w:pPr>
              <w:pStyle w:val="text"/>
              <w:numPr>
                <w:ilvl w:val="0"/>
                <w:numId w:val="16"/>
              </w:numPr>
              <w:tabs>
                <w:tab w:val="num" w:pos="470"/>
              </w:tabs>
              <w:ind w:left="471" w:hanging="471"/>
            </w:pPr>
            <w:r w:rsidRPr="00DE633B">
              <w:t>Průměrný věk obyvatel kraje roste, stejně jako ve všech ostatních regionech ČR.</w:t>
            </w:r>
          </w:p>
        </w:tc>
      </w:tr>
      <w:tr w:rsidR="0011287D" w:rsidRPr="00342830" w:rsidTr="008F10F8">
        <w:tc>
          <w:tcPr>
            <w:tcW w:w="2410" w:type="dxa"/>
          </w:tcPr>
          <w:p w:rsidR="0011287D" w:rsidRPr="00342830" w:rsidRDefault="0011287D" w:rsidP="00342830">
            <w:pPr>
              <w:pStyle w:val="text"/>
              <w:jc w:val="left"/>
              <w:rPr>
                <w:b/>
                <w:bCs/>
                <w:i/>
                <w:iCs/>
              </w:rPr>
            </w:pPr>
            <w:r w:rsidRPr="00342830">
              <w:rPr>
                <w:b/>
                <w:bCs/>
                <w:i/>
                <w:iCs/>
              </w:rPr>
              <w:t>Sociální vývoj</w:t>
            </w:r>
          </w:p>
        </w:tc>
        <w:tc>
          <w:tcPr>
            <w:tcW w:w="7200" w:type="dxa"/>
          </w:tcPr>
          <w:p w:rsidR="004C0B09" w:rsidRPr="00DE633B" w:rsidRDefault="004C0B09" w:rsidP="004C0B09">
            <w:pPr>
              <w:pStyle w:val="text"/>
              <w:numPr>
                <w:ilvl w:val="0"/>
                <w:numId w:val="16"/>
              </w:numPr>
              <w:tabs>
                <w:tab w:val="num" w:pos="470"/>
              </w:tabs>
              <w:ind w:left="471" w:hanging="471"/>
            </w:pPr>
            <w:r w:rsidRPr="00DE633B">
              <w:t xml:space="preserve">Meziročně se snížil objem pracovní síly i zaměstnaných v národním hospodářství a vzrostl počet ekonomicky neaktivních osob. Pracovní sílu v kraji představuje 291,9 tis. osob, z toho zaměstnaných je 274,1 tis. osob. </w:t>
            </w:r>
          </w:p>
          <w:p w:rsidR="004C0B09" w:rsidRPr="00DE633B" w:rsidRDefault="004C0B09" w:rsidP="004C0B09">
            <w:pPr>
              <w:pStyle w:val="text"/>
              <w:numPr>
                <w:ilvl w:val="0"/>
                <w:numId w:val="16"/>
              </w:numPr>
              <w:tabs>
                <w:tab w:val="num" w:pos="470"/>
              </w:tabs>
              <w:ind w:left="471" w:hanging="471"/>
            </w:pPr>
            <w:r w:rsidRPr="00DE633B">
              <w:t>Pracovní síla stárne, podíl osob nad 44 let vzrostl na 41,7 %. Míra zaměstnanosti je stejně jako míra ekonomické aktivity dlouhodobě pod republikovým průměrem.</w:t>
            </w:r>
          </w:p>
          <w:p w:rsidR="008F10F8" w:rsidRPr="00DE633B" w:rsidRDefault="008F10F8" w:rsidP="00342830">
            <w:pPr>
              <w:pStyle w:val="text"/>
              <w:numPr>
                <w:ilvl w:val="0"/>
                <w:numId w:val="16"/>
              </w:numPr>
              <w:tabs>
                <w:tab w:val="num" w:pos="470"/>
              </w:tabs>
              <w:ind w:left="471" w:hanging="471"/>
            </w:pPr>
            <w:r w:rsidRPr="00DE633B">
              <w:t xml:space="preserve">Mezi uchazeči o práci převládají osoby </w:t>
            </w:r>
            <w:r w:rsidR="00054A0A" w:rsidRPr="00DE633B">
              <w:t>od 40</w:t>
            </w:r>
            <w:r w:rsidRPr="00DE633B">
              <w:t xml:space="preserve"> let věku.</w:t>
            </w:r>
          </w:p>
          <w:p w:rsidR="008F10F8" w:rsidRPr="00DE633B" w:rsidRDefault="008F10F8" w:rsidP="00342830">
            <w:pPr>
              <w:pStyle w:val="text"/>
              <w:numPr>
                <w:ilvl w:val="0"/>
                <w:numId w:val="16"/>
              </w:numPr>
              <w:tabs>
                <w:tab w:val="num" w:pos="470"/>
              </w:tabs>
              <w:ind w:left="471" w:hanging="471"/>
            </w:pPr>
            <w:r w:rsidRPr="00DE633B">
              <w:t xml:space="preserve">Podíl nezaměstnaných osob na obyvatelstvu v kraji </w:t>
            </w:r>
            <w:r w:rsidR="00054A0A" w:rsidRPr="00DE633B">
              <w:t>byl na konci roku 2014 po</w:t>
            </w:r>
            <w:r w:rsidRPr="00DE633B">
              <w:t>d celorepublikov</w:t>
            </w:r>
            <w:r w:rsidR="000C3CA1">
              <w:t>ou</w:t>
            </w:r>
            <w:r w:rsidRPr="00DE633B">
              <w:t xml:space="preserve"> hodnot</w:t>
            </w:r>
            <w:r w:rsidR="000C3CA1">
              <w:t>ou</w:t>
            </w:r>
            <w:r w:rsidR="009B0E41" w:rsidRPr="00DE633B">
              <w:t>.</w:t>
            </w:r>
          </w:p>
          <w:p w:rsidR="004C0B09" w:rsidRPr="00DE633B" w:rsidRDefault="004C0B09" w:rsidP="004C0B09">
            <w:pPr>
              <w:pStyle w:val="text"/>
              <w:numPr>
                <w:ilvl w:val="0"/>
                <w:numId w:val="16"/>
              </w:numPr>
              <w:tabs>
                <w:tab w:val="num" w:pos="470"/>
              </w:tabs>
              <w:ind w:left="471" w:hanging="471"/>
            </w:pPr>
            <w:r w:rsidRPr="00DE633B">
              <w:rPr>
                <w:rFonts w:eastAsia="+mn-ea" w:cs="Arial"/>
                <w:color w:val="000000"/>
                <w:szCs w:val="20"/>
              </w:rPr>
              <w:t>Průměrné mzdy v kraji dlouhodobě patří k nejnižším mezi kraji, v roce 2014 byla průměrná nominální hrubá mzda 23 873 Kč.</w:t>
            </w:r>
          </w:p>
          <w:p w:rsidR="004C0B09" w:rsidRPr="00DE633B" w:rsidRDefault="004C0B09" w:rsidP="004C0B09">
            <w:pPr>
              <w:pStyle w:val="text"/>
              <w:numPr>
                <w:ilvl w:val="0"/>
                <w:numId w:val="16"/>
              </w:numPr>
              <w:tabs>
                <w:tab w:val="num" w:pos="470"/>
              </w:tabs>
              <w:ind w:left="471" w:hanging="471"/>
            </w:pPr>
            <w:r w:rsidRPr="00DE633B">
              <w:t>Počet příjemců důchodu se snižuje, roste počet starobních důchodců. Jejich podíl v úhrnu počtu příjemců důchodu v roce 2014 činil 58,9 %. Průměrné důchody v kraji patří dlouhodobě mezi nejnižší, v roce 2014 byl průměrný důchod 10 539 Kč čtvrtý nejnižší mezi kraji.</w:t>
            </w:r>
          </w:p>
          <w:p w:rsidR="0011287D" w:rsidRPr="00DE633B" w:rsidRDefault="009B0E41" w:rsidP="00342830">
            <w:pPr>
              <w:pStyle w:val="text"/>
              <w:numPr>
                <w:ilvl w:val="0"/>
                <w:numId w:val="16"/>
              </w:numPr>
              <w:tabs>
                <w:tab w:val="num" w:pos="470"/>
              </w:tabs>
              <w:ind w:left="471" w:hanging="471"/>
            </w:pPr>
            <w:r w:rsidRPr="00DE633B">
              <w:t xml:space="preserve">V kraji bylo nejméně trestných činů v přepočtu na tisíc obyvatel. </w:t>
            </w:r>
          </w:p>
        </w:tc>
      </w:tr>
      <w:tr w:rsidR="0011287D" w:rsidRPr="00342830" w:rsidTr="008F10F8">
        <w:tc>
          <w:tcPr>
            <w:tcW w:w="2410" w:type="dxa"/>
          </w:tcPr>
          <w:p w:rsidR="0011287D" w:rsidRPr="007508AB" w:rsidRDefault="0011287D" w:rsidP="00342830">
            <w:pPr>
              <w:pStyle w:val="text"/>
              <w:jc w:val="left"/>
              <w:rPr>
                <w:b/>
                <w:bCs/>
                <w:i/>
                <w:iCs/>
              </w:rPr>
            </w:pPr>
            <w:r w:rsidRPr="007508AB">
              <w:rPr>
                <w:b/>
                <w:bCs/>
                <w:i/>
                <w:iCs/>
              </w:rPr>
              <w:t>Ekonomický vývoj</w:t>
            </w:r>
          </w:p>
        </w:tc>
        <w:tc>
          <w:tcPr>
            <w:tcW w:w="7200" w:type="dxa"/>
          </w:tcPr>
          <w:p w:rsidR="0052558E" w:rsidRPr="007508AB" w:rsidRDefault="0052558E" w:rsidP="00342830">
            <w:pPr>
              <w:pStyle w:val="text"/>
              <w:numPr>
                <w:ilvl w:val="0"/>
                <w:numId w:val="16"/>
              </w:numPr>
              <w:tabs>
                <w:tab w:val="num" w:pos="470"/>
              </w:tabs>
              <w:ind w:left="471" w:hanging="471"/>
            </w:pPr>
            <w:r w:rsidRPr="007508AB">
              <w:t>Hrubý domácí produkt na obyvatele v kraji od roku 2010 roste.</w:t>
            </w:r>
          </w:p>
          <w:p w:rsidR="0011287D" w:rsidRPr="007508AB" w:rsidRDefault="0052558E" w:rsidP="00342830">
            <w:pPr>
              <w:pStyle w:val="text"/>
              <w:numPr>
                <w:ilvl w:val="0"/>
                <w:numId w:val="16"/>
              </w:numPr>
              <w:tabs>
                <w:tab w:val="num" w:pos="470"/>
              </w:tabs>
              <w:ind w:left="471" w:hanging="471"/>
            </w:pPr>
            <w:r w:rsidRPr="007508AB">
              <w:t>Hrubá přidaná hodnota meziročně vzrostla.</w:t>
            </w:r>
          </w:p>
          <w:p w:rsidR="004C0B09" w:rsidRPr="007508AB" w:rsidRDefault="004C0B09" w:rsidP="004C0B09">
            <w:pPr>
              <w:pStyle w:val="text"/>
              <w:numPr>
                <w:ilvl w:val="0"/>
                <w:numId w:val="16"/>
              </w:numPr>
              <w:tabs>
                <w:tab w:val="num" w:pos="470"/>
              </w:tabs>
              <w:ind w:left="471" w:hanging="471"/>
              <w:rPr>
                <w:rFonts w:eastAsia="+mn-ea" w:cs="Arial"/>
                <w:color w:val="000000"/>
                <w:szCs w:val="20"/>
              </w:rPr>
            </w:pPr>
            <w:r w:rsidRPr="007508AB">
              <w:rPr>
                <w:rFonts w:eastAsia="+mn-ea" w:cs="Arial"/>
                <w:color w:val="000000"/>
                <w:szCs w:val="20"/>
              </w:rPr>
              <w:t>Výdaje na vědu a výzkum byly realizovány především v podnikatelském sektoru, v roce 2013 to bylo 84 % celkových výdajů na vědu a výzkum v</w:t>
            </w:r>
            <w:r w:rsidR="00D5690B">
              <w:rPr>
                <w:rFonts w:eastAsia="+mn-ea" w:cs="Arial"/>
                <w:color w:val="000000"/>
                <w:szCs w:val="20"/>
              </w:rPr>
              <w:t> </w:t>
            </w:r>
            <w:r w:rsidRPr="007508AB">
              <w:rPr>
                <w:rFonts w:eastAsia="+mn-ea" w:cs="Arial"/>
                <w:color w:val="000000"/>
                <w:szCs w:val="20"/>
              </w:rPr>
              <w:t>kraji</w:t>
            </w:r>
            <w:r w:rsidR="00D5690B">
              <w:rPr>
                <w:rFonts w:eastAsia="+mn-ea" w:cs="Arial"/>
                <w:color w:val="000000"/>
                <w:szCs w:val="20"/>
              </w:rPr>
              <w:t>.</w:t>
            </w:r>
          </w:p>
          <w:p w:rsidR="0011287D" w:rsidRPr="007508AB" w:rsidRDefault="0052558E" w:rsidP="00342830">
            <w:pPr>
              <w:pStyle w:val="text"/>
              <w:numPr>
                <w:ilvl w:val="0"/>
                <w:numId w:val="16"/>
              </w:numPr>
              <w:tabs>
                <w:tab w:val="num" w:pos="470"/>
              </w:tabs>
              <w:ind w:left="471" w:hanging="471"/>
            </w:pPr>
            <w:r w:rsidRPr="007508AB">
              <w:t>Podíl domácností vybavených počítačem se neustále zvyšuje.</w:t>
            </w:r>
          </w:p>
          <w:p w:rsidR="0011287D" w:rsidRPr="007508AB" w:rsidRDefault="003A7D89" w:rsidP="00342830">
            <w:pPr>
              <w:pStyle w:val="text"/>
              <w:numPr>
                <w:ilvl w:val="0"/>
                <w:numId w:val="16"/>
              </w:numPr>
              <w:tabs>
                <w:tab w:val="num" w:pos="470"/>
              </w:tabs>
              <w:ind w:left="471" w:hanging="471"/>
            </w:pPr>
            <w:r w:rsidRPr="007508AB">
              <w:t>Snižování osevních ploch se zastavilo.</w:t>
            </w:r>
          </w:p>
          <w:p w:rsidR="003A7D89" w:rsidRPr="007508AB" w:rsidRDefault="0020699C" w:rsidP="00342830">
            <w:pPr>
              <w:pStyle w:val="text"/>
              <w:numPr>
                <w:ilvl w:val="0"/>
                <w:numId w:val="16"/>
              </w:numPr>
              <w:tabs>
                <w:tab w:val="num" w:pos="470"/>
              </w:tabs>
              <w:ind w:left="471" w:hanging="471"/>
            </w:pPr>
            <w:r w:rsidRPr="007508AB">
              <w:t>Stoupla průměrná roční dojivost, v roce 2014 byla nejvyšší z krajů v ČR</w:t>
            </w:r>
            <w:r w:rsidR="003D436E" w:rsidRPr="007508AB">
              <w:t>.</w:t>
            </w:r>
          </w:p>
          <w:p w:rsidR="003A7D89" w:rsidRPr="007508AB" w:rsidRDefault="003D436E" w:rsidP="00342830">
            <w:pPr>
              <w:pStyle w:val="text"/>
              <w:numPr>
                <w:ilvl w:val="0"/>
                <w:numId w:val="16"/>
              </w:numPr>
              <w:tabs>
                <w:tab w:val="num" w:pos="470"/>
              </w:tabs>
              <w:ind w:left="471" w:hanging="471"/>
            </w:pPr>
            <w:r w:rsidRPr="007508AB">
              <w:t>V roce 2014 byly t</w:t>
            </w:r>
            <w:r w:rsidR="003A7D89" w:rsidRPr="007508AB">
              <w:t>ržby za prodej vlastních výrobků a služeb</w:t>
            </w:r>
            <w:r w:rsidRPr="007508AB">
              <w:t xml:space="preserve"> průmyslové povahy </w:t>
            </w:r>
            <w:r w:rsidR="00DE39BC" w:rsidRPr="007508AB">
              <w:t>nejvyšší.</w:t>
            </w:r>
          </w:p>
          <w:p w:rsidR="003A7D89" w:rsidRPr="007508AB" w:rsidRDefault="003A7D89" w:rsidP="00342830">
            <w:pPr>
              <w:pStyle w:val="text"/>
              <w:numPr>
                <w:ilvl w:val="0"/>
                <w:numId w:val="16"/>
              </w:numPr>
              <w:tabs>
                <w:tab w:val="num" w:pos="470"/>
              </w:tabs>
              <w:ind w:left="471" w:hanging="471"/>
            </w:pPr>
            <w:r w:rsidRPr="007508AB">
              <w:t>V průmyslových podnicích začal pomalý nárůst zaměstnanců</w:t>
            </w:r>
            <w:r w:rsidR="007508AB" w:rsidRPr="007508AB">
              <w:t xml:space="preserve"> a zároveň nárůst jejich mezd</w:t>
            </w:r>
            <w:r w:rsidRPr="007508AB">
              <w:t>.</w:t>
            </w:r>
          </w:p>
          <w:p w:rsidR="0011287D" w:rsidRPr="007508AB" w:rsidRDefault="00A71D4C" w:rsidP="00342830">
            <w:pPr>
              <w:pStyle w:val="text"/>
              <w:numPr>
                <w:ilvl w:val="0"/>
                <w:numId w:val="16"/>
              </w:numPr>
              <w:tabs>
                <w:tab w:val="num" w:pos="470"/>
              </w:tabs>
              <w:ind w:left="471" w:hanging="471"/>
            </w:pPr>
            <w:r w:rsidRPr="007508AB">
              <w:t xml:space="preserve">Ve stavebnictví docházelo k poklesu zaměstnanců, </w:t>
            </w:r>
            <w:r w:rsidR="007508AB" w:rsidRPr="007508AB">
              <w:t xml:space="preserve">ale </w:t>
            </w:r>
            <w:r w:rsidRPr="007508AB">
              <w:t>k </w:t>
            </w:r>
            <w:r w:rsidR="007508AB" w:rsidRPr="007508AB">
              <w:t>nárůstu</w:t>
            </w:r>
            <w:r w:rsidRPr="007508AB">
              <w:t xml:space="preserve"> mezd.</w:t>
            </w:r>
          </w:p>
          <w:p w:rsidR="00A71D4C" w:rsidRPr="007508AB" w:rsidRDefault="00A71D4C" w:rsidP="00342830">
            <w:pPr>
              <w:pStyle w:val="text"/>
              <w:numPr>
                <w:ilvl w:val="0"/>
                <w:numId w:val="16"/>
              </w:numPr>
              <w:tabs>
                <w:tab w:val="num" w:pos="470"/>
              </w:tabs>
              <w:ind w:left="471" w:hanging="471"/>
            </w:pPr>
            <w:r w:rsidRPr="007508AB">
              <w:t>Klesají počty stavebních povolení, stejně jako celková orientační hodnota staveb.</w:t>
            </w:r>
          </w:p>
          <w:p w:rsidR="0011287D" w:rsidRPr="007508AB" w:rsidRDefault="00342830" w:rsidP="00342830">
            <w:pPr>
              <w:pStyle w:val="text"/>
              <w:numPr>
                <w:ilvl w:val="0"/>
                <w:numId w:val="16"/>
              </w:numPr>
              <w:tabs>
                <w:tab w:val="num" w:pos="470"/>
              </w:tabs>
              <w:ind w:left="471" w:hanging="471"/>
            </w:pPr>
            <w:r w:rsidRPr="007508AB">
              <w:t>Do kraje přijelo více návštěvníků, nejvíce zahraničních hostů přicestovalo ze Slovenska</w:t>
            </w:r>
            <w:r w:rsidR="002B2983" w:rsidRPr="007508AB">
              <w:t>.</w:t>
            </w:r>
          </w:p>
        </w:tc>
      </w:tr>
      <w:tr w:rsidR="0011287D" w:rsidTr="008F10F8">
        <w:tc>
          <w:tcPr>
            <w:tcW w:w="2410" w:type="dxa"/>
          </w:tcPr>
          <w:p w:rsidR="0011287D" w:rsidRPr="00B42910" w:rsidRDefault="0011287D" w:rsidP="00327B3A">
            <w:pPr>
              <w:pStyle w:val="text"/>
              <w:jc w:val="left"/>
              <w:rPr>
                <w:b/>
                <w:bCs/>
                <w:i/>
                <w:iCs/>
              </w:rPr>
            </w:pPr>
            <w:r w:rsidRPr="00B42910">
              <w:rPr>
                <w:b/>
                <w:bCs/>
                <w:i/>
                <w:iCs/>
              </w:rPr>
              <w:t>Životní prostředí</w:t>
            </w:r>
          </w:p>
        </w:tc>
        <w:tc>
          <w:tcPr>
            <w:tcW w:w="7200" w:type="dxa"/>
          </w:tcPr>
          <w:p w:rsidR="0011287D" w:rsidRPr="00B42910" w:rsidRDefault="00E7458C" w:rsidP="00327B3A">
            <w:pPr>
              <w:pStyle w:val="text"/>
              <w:numPr>
                <w:ilvl w:val="0"/>
                <w:numId w:val="16"/>
              </w:numPr>
              <w:tabs>
                <w:tab w:val="num" w:pos="470"/>
              </w:tabs>
              <w:ind w:left="471" w:hanging="471"/>
            </w:pPr>
            <w:r w:rsidRPr="00B42910">
              <w:t>V kraji převládá</w:t>
            </w:r>
            <w:r w:rsidR="0011287D" w:rsidRPr="00B42910">
              <w:t xml:space="preserve"> nezemědělská půda.</w:t>
            </w:r>
            <w:r w:rsidRPr="00B42910">
              <w:t xml:space="preserve"> Ze zemědělské půdy je více než </w:t>
            </w:r>
            <w:r w:rsidR="00DE633B" w:rsidRPr="00B42910">
              <w:t>60</w:t>
            </w:r>
            <w:r w:rsidR="00D5690B">
              <w:t> </w:t>
            </w:r>
            <w:r w:rsidR="00DE633B" w:rsidRPr="00B42910">
              <w:t>%</w:t>
            </w:r>
            <w:r w:rsidRPr="00B42910">
              <w:t xml:space="preserve"> orné.</w:t>
            </w:r>
          </w:p>
          <w:p w:rsidR="004C0B09" w:rsidRPr="00B42910" w:rsidRDefault="004C0B09" w:rsidP="004C0B09">
            <w:pPr>
              <w:pStyle w:val="text"/>
              <w:numPr>
                <w:ilvl w:val="0"/>
                <w:numId w:val="16"/>
              </w:numPr>
              <w:tabs>
                <w:tab w:val="num" w:pos="470"/>
              </w:tabs>
              <w:ind w:left="471" w:hanging="471"/>
            </w:pPr>
            <w:r w:rsidRPr="00B42910">
              <w:t>Pokračuje klesající trend spotřeby vody, objem vyfakturované pitné vody klesl na 22 841 tis. m</w:t>
            </w:r>
            <w:r w:rsidRPr="00B42910">
              <w:rPr>
                <w:vertAlign w:val="superscript"/>
              </w:rPr>
              <w:t>3</w:t>
            </w:r>
            <w:r w:rsidRPr="00B42910">
              <w:t>.</w:t>
            </w:r>
            <w:r w:rsidR="00B42910" w:rsidRPr="00B42910">
              <w:t xml:space="preserve"> </w:t>
            </w:r>
            <w:r w:rsidRPr="00B42910">
              <w:t>Cena pitné vody stoupla na 34,1 Kč/m</w:t>
            </w:r>
            <w:r w:rsidRPr="00B42910">
              <w:rPr>
                <w:vertAlign w:val="superscript"/>
              </w:rPr>
              <w:t>3</w:t>
            </w:r>
            <w:r w:rsidRPr="00B42910">
              <w:t xml:space="preserve"> </w:t>
            </w:r>
            <w:r w:rsidR="00611C9B" w:rsidRPr="00B42910">
              <w:t>(</w:t>
            </w:r>
            <w:r w:rsidRPr="00B42910">
              <w:t>bez DPH</w:t>
            </w:r>
            <w:r w:rsidR="00611C9B" w:rsidRPr="00B42910">
              <w:t>)</w:t>
            </w:r>
            <w:r w:rsidRPr="00B42910">
              <w:t>.</w:t>
            </w:r>
          </w:p>
          <w:p w:rsidR="00327B3A" w:rsidRPr="00B42910" w:rsidRDefault="00327B3A" w:rsidP="00327B3A">
            <w:pPr>
              <w:pStyle w:val="text"/>
              <w:numPr>
                <w:ilvl w:val="0"/>
                <w:numId w:val="16"/>
              </w:numPr>
              <w:tabs>
                <w:tab w:val="num" w:pos="470"/>
              </w:tabs>
              <w:ind w:left="471" w:hanging="471"/>
            </w:pPr>
            <w:r w:rsidRPr="00B42910">
              <w:t>Snižování emisí hlavních zn</w:t>
            </w:r>
            <w:r w:rsidR="00D5690B">
              <w:t>e</w:t>
            </w:r>
            <w:r w:rsidRPr="00B42910">
              <w:t xml:space="preserve">čišťujících látek </w:t>
            </w:r>
            <w:r w:rsidR="00D5690B">
              <w:t>j</w:t>
            </w:r>
            <w:r w:rsidRPr="00B42910">
              <w:t xml:space="preserve">e v kraji </w:t>
            </w:r>
            <w:r w:rsidR="00DE633B" w:rsidRPr="00B42910">
              <w:t>pomalé.</w:t>
            </w:r>
          </w:p>
          <w:p w:rsidR="004C0B09" w:rsidRPr="00B42910" w:rsidRDefault="004C0B09" w:rsidP="00327B3A">
            <w:pPr>
              <w:pStyle w:val="text"/>
              <w:numPr>
                <w:ilvl w:val="0"/>
                <w:numId w:val="16"/>
              </w:numPr>
              <w:tabs>
                <w:tab w:val="num" w:pos="470"/>
              </w:tabs>
              <w:ind w:left="471" w:hanging="471"/>
            </w:pPr>
            <w:r w:rsidRPr="00B42910">
              <w:t>Produkce komunálního odpadu meziročně klesla, na obyvatele v roce 2013 připadlo 297,3 kg, což je méně než na úrovni ČR.</w:t>
            </w:r>
          </w:p>
          <w:p w:rsidR="0011287D" w:rsidRPr="00B42910" w:rsidRDefault="00327B3A" w:rsidP="00327B3A">
            <w:pPr>
              <w:pStyle w:val="text"/>
              <w:numPr>
                <w:ilvl w:val="0"/>
                <w:numId w:val="16"/>
              </w:numPr>
              <w:tabs>
                <w:tab w:val="num" w:pos="470"/>
              </w:tabs>
              <w:ind w:left="471" w:hanging="471"/>
            </w:pPr>
            <w:r w:rsidRPr="00B42910">
              <w:t>Ve výdajích na ochranu životního prostředí převažují neinvestiční náklady.</w:t>
            </w:r>
          </w:p>
        </w:tc>
      </w:tr>
    </w:tbl>
    <w:p w:rsidR="0017742A" w:rsidRDefault="00C41435" w:rsidP="00C41435">
      <w:pPr>
        <w:pStyle w:val="Nadpis1"/>
      </w:pPr>
      <w:r>
        <w:br w:type="page"/>
      </w:r>
      <w:bookmarkStart w:id="2" w:name="_Toc428351937"/>
      <w:r w:rsidRPr="00306A8F">
        <w:lastRenderedPageBreak/>
        <w:t>Demografický</w:t>
      </w:r>
      <w:r>
        <w:t xml:space="preserve"> vývoj</w:t>
      </w:r>
      <w:bookmarkEnd w:id="2"/>
    </w:p>
    <w:tbl>
      <w:tblPr>
        <w:tblW w:w="9825" w:type="dxa"/>
        <w:tblLayout w:type="fixed"/>
        <w:tblCellMar>
          <w:left w:w="70" w:type="dxa"/>
          <w:right w:w="70" w:type="dxa"/>
        </w:tblCellMar>
        <w:tblLook w:val="0000"/>
      </w:tblPr>
      <w:tblGrid>
        <w:gridCol w:w="2031"/>
        <w:gridCol w:w="39"/>
        <w:gridCol w:w="142"/>
        <w:gridCol w:w="2681"/>
        <w:gridCol w:w="12"/>
        <w:gridCol w:w="4881"/>
        <w:gridCol w:w="39"/>
      </w:tblGrid>
      <w:tr w:rsidR="00F60790" w:rsidRPr="00DC658E" w:rsidTr="00890C89">
        <w:trPr>
          <w:gridAfter w:val="1"/>
          <w:wAfter w:w="39" w:type="dxa"/>
        </w:trPr>
        <w:tc>
          <w:tcPr>
            <w:tcW w:w="2031" w:type="dxa"/>
            <w:tcMar>
              <w:left w:w="85" w:type="dxa"/>
              <w:right w:w="85" w:type="dxa"/>
            </w:tcMar>
          </w:tcPr>
          <w:p w:rsidR="00F60790" w:rsidRPr="00644F35" w:rsidRDefault="00E5414E" w:rsidP="00E5414E">
            <w:pPr>
              <w:spacing w:before="60" w:after="60"/>
              <w:jc w:val="left"/>
              <w:rPr>
                <w:i/>
                <w:szCs w:val="20"/>
                <w:highlight w:val="yellow"/>
              </w:rPr>
            </w:pPr>
            <w:r w:rsidRPr="00E5414E">
              <w:rPr>
                <w:b/>
                <w:i/>
                <w:szCs w:val="20"/>
              </w:rPr>
              <w:t>Pokles počtu obyvatel v kraji pokračuje</w:t>
            </w:r>
            <w:r w:rsidRPr="00E5414E">
              <w:rPr>
                <w:b/>
                <w:i/>
                <w:szCs w:val="20"/>
                <w:highlight w:val="yellow"/>
              </w:rPr>
              <w:t xml:space="preserve"> </w:t>
            </w:r>
          </w:p>
        </w:tc>
        <w:tc>
          <w:tcPr>
            <w:tcW w:w="7755" w:type="dxa"/>
            <w:gridSpan w:val="5"/>
            <w:tcMar>
              <w:left w:w="85" w:type="dxa"/>
              <w:right w:w="85" w:type="dxa"/>
            </w:tcMar>
            <w:vAlign w:val="center"/>
          </w:tcPr>
          <w:p w:rsidR="00E5414E" w:rsidRPr="00E5414E" w:rsidRDefault="00E5414E" w:rsidP="00E5414E">
            <w:pPr>
              <w:pStyle w:val="Normlnweb"/>
              <w:spacing w:before="60" w:beforeAutospacing="0" w:after="60" w:afterAutospacing="0"/>
              <w:jc w:val="both"/>
              <w:rPr>
                <w:rFonts w:ascii="Arial" w:eastAsia="+mn-ea" w:hAnsi="Arial" w:cs="Arial"/>
                <w:color w:val="000000"/>
                <w:sz w:val="20"/>
                <w:szCs w:val="20"/>
              </w:rPr>
            </w:pPr>
            <w:r w:rsidRPr="00E5414E">
              <w:rPr>
                <w:rFonts w:ascii="Arial" w:eastAsia="+mn-ea" w:hAnsi="Arial" w:cs="Arial"/>
                <w:color w:val="000000"/>
                <w:sz w:val="20"/>
                <w:szCs w:val="20"/>
              </w:rPr>
              <w:t>Zlínský kraj svou rozlohou 3 963 km</w:t>
            </w:r>
            <w:r w:rsidRPr="00C8073E">
              <w:rPr>
                <w:rFonts w:ascii="Arial" w:eastAsia="+mn-ea" w:hAnsi="Arial" w:cs="Arial"/>
                <w:color w:val="000000"/>
                <w:sz w:val="20"/>
                <w:szCs w:val="20"/>
                <w:vertAlign w:val="superscript"/>
              </w:rPr>
              <w:t>2</w:t>
            </w:r>
            <w:r w:rsidRPr="00E5414E">
              <w:rPr>
                <w:rFonts w:ascii="Arial" w:eastAsia="+mn-ea" w:hAnsi="Arial" w:cs="Arial"/>
                <w:color w:val="000000"/>
                <w:sz w:val="20"/>
                <w:szCs w:val="20"/>
              </w:rPr>
              <w:t xml:space="preserve"> je čtvrtým nejmenším krajem v republice, avšak hustotou obyvatel 148,3 osob/km</w:t>
            </w:r>
            <w:r w:rsidRPr="00C8073E">
              <w:rPr>
                <w:rFonts w:ascii="Arial" w:eastAsia="+mn-ea" w:hAnsi="Arial" w:cs="Arial"/>
                <w:color w:val="000000"/>
                <w:sz w:val="20"/>
                <w:szCs w:val="20"/>
                <w:vertAlign w:val="superscript"/>
              </w:rPr>
              <w:t>2</w:t>
            </w:r>
            <w:r w:rsidRPr="00E5414E">
              <w:rPr>
                <w:rFonts w:ascii="Arial" w:eastAsia="+mn-ea" w:hAnsi="Arial" w:cs="Arial"/>
                <w:color w:val="000000"/>
                <w:sz w:val="20"/>
                <w:szCs w:val="20"/>
              </w:rPr>
              <w:t xml:space="preserve"> je pátým nejlidnatějším. Na jeho území se v roce 2014 nacházelo 307 obcí, z nichž 30 má statut města. Ve městech žilo koncem roku 2014 59,0 % lidí z celkového počtu 585 261 obyvatel. Od vzniku kraje v roce 2000 se celkový počet bydlících v kraji každoročně snižoval s výjimkou let 2007 a 2008. Celkově tak v kraji během 14 let ubylo 12 629 obyvatel.</w:t>
            </w:r>
          </w:p>
          <w:p w:rsidR="00E5414E" w:rsidRPr="00E5414E" w:rsidRDefault="00E5414E" w:rsidP="00E5414E">
            <w:pPr>
              <w:pStyle w:val="Normlnweb"/>
              <w:spacing w:before="60" w:beforeAutospacing="0" w:after="60" w:afterAutospacing="0"/>
              <w:jc w:val="both"/>
              <w:rPr>
                <w:rFonts w:ascii="Arial" w:eastAsia="+mn-ea" w:hAnsi="Arial" w:cs="Arial"/>
                <w:color w:val="000000"/>
                <w:sz w:val="20"/>
                <w:szCs w:val="20"/>
              </w:rPr>
            </w:pPr>
            <w:r w:rsidRPr="00E5414E">
              <w:rPr>
                <w:rFonts w:ascii="Arial" w:eastAsia="+mn-ea" w:hAnsi="Arial" w:cs="Arial"/>
                <w:color w:val="000000"/>
                <w:sz w:val="20"/>
                <w:szCs w:val="20"/>
              </w:rPr>
              <w:t>Počet obyvatel se během roku 2014 snížil o 1 038 osob, tj. o 0,2 %. Ze 14 krajů v</w:t>
            </w:r>
            <w:r w:rsidR="00C076BC">
              <w:rPr>
                <w:rFonts w:ascii="Arial" w:eastAsia="+mn-ea" w:hAnsi="Arial" w:cs="Arial"/>
                <w:color w:val="000000"/>
                <w:sz w:val="20"/>
                <w:szCs w:val="20"/>
              </w:rPr>
              <w:t> </w:t>
            </w:r>
            <w:r w:rsidRPr="00E5414E">
              <w:rPr>
                <w:rFonts w:ascii="Arial" w:eastAsia="+mn-ea" w:hAnsi="Arial" w:cs="Arial"/>
                <w:color w:val="000000"/>
                <w:sz w:val="20"/>
                <w:szCs w:val="20"/>
              </w:rPr>
              <w:t>republice došlo ke snížení počtu obyvatel za rok 2014 celkem v sedmi krajích, z</w:t>
            </w:r>
            <w:r w:rsidR="00C076BC">
              <w:rPr>
                <w:rFonts w:ascii="Arial" w:eastAsia="+mn-ea" w:hAnsi="Arial" w:cs="Arial"/>
                <w:color w:val="000000"/>
                <w:sz w:val="20"/>
                <w:szCs w:val="20"/>
              </w:rPr>
              <w:t> </w:t>
            </w:r>
            <w:r w:rsidRPr="00E5414E">
              <w:rPr>
                <w:rFonts w:ascii="Arial" w:eastAsia="+mn-ea" w:hAnsi="Arial" w:cs="Arial"/>
                <w:color w:val="000000"/>
                <w:sz w:val="20"/>
                <w:szCs w:val="20"/>
              </w:rPr>
              <w:t>nichž zlínský byl třetí nejvyšší. Nejvyšší roční úbytek obyvatel byl zjištěn v</w:t>
            </w:r>
            <w:r w:rsidR="00C076BC">
              <w:rPr>
                <w:rFonts w:ascii="Arial" w:eastAsia="+mn-ea" w:hAnsi="Arial" w:cs="Arial"/>
                <w:color w:val="000000"/>
                <w:sz w:val="20"/>
                <w:szCs w:val="20"/>
              </w:rPr>
              <w:t> </w:t>
            </w:r>
            <w:r w:rsidRPr="00E5414E">
              <w:rPr>
                <w:rFonts w:ascii="Arial" w:eastAsia="+mn-ea" w:hAnsi="Arial" w:cs="Arial"/>
                <w:color w:val="000000"/>
                <w:sz w:val="20"/>
                <w:szCs w:val="20"/>
              </w:rPr>
              <w:t>Moravskoslezském kraji (4 156 osob). Vyšší snížení obyvatel než ve Zlínském kraji bylo zjištěno ještě v Ústeckém kraji (pokles o 1 148 osob). Naopak nejvíc obyvatel meziročně přibylo v Hlavním městě Praze, a to 15 878.</w:t>
            </w:r>
          </w:p>
          <w:p w:rsidR="008979D4" w:rsidRPr="00644F35" w:rsidRDefault="00E5414E" w:rsidP="00C076BC">
            <w:pPr>
              <w:pStyle w:val="Normlnweb"/>
              <w:spacing w:before="60" w:beforeAutospacing="0" w:after="60" w:afterAutospacing="0"/>
              <w:jc w:val="both"/>
              <w:rPr>
                <w:rFonts w:ascii="Arial" w:eastAsia="+mn-ea" w:hAnsi="Arial" w:cs="Arial"/>
                <w:color w:val="000000"/>
                <w:sz w:val="20"/>
                <w:szCs w:val="20"/>
                <w:highlight w:val="yellow"/>
              </w:rPr>
            </w:pPr>
            <w:r w:rsidRPr="00E5414E">
              <w:rPr>
                <w:rFonts w:ascii="Arial" w:eastAsia="+mn-ea" w:hAnsi="Arial" w:cs="Arial"/>
                <w:color w:val="000000"/>
                <w:sz w:val="20"/>
                <w:szCs w:val="20"/>
              </w:rPr>
              <w:t>Vývoj počtu obyvatel v jednotlivých okresech se od krajského nelišil. Ve všech okresech kraje bylo zjištěno snížení počtu obyvatel. Největší bylo zachyceno ve</w:t>
            </w:r>
            <w:r w:rsidR="00C076BC">
              <w:rPr>
                <w:rFonts w:ascii="Arial" w:eastAsia="+mn-ea" w:hAnsi="Arial" w:cs="Arial"/>
                <w:color w:val="000000"/>
                <w:sz w:val="20"/>
                <w:szCs w:val="20"/>
              </w:rPr>
              <w:t> </w:t>
            </w:r>
            <w:r w:rsidRPr="00E5414E">
              <w:rPr>
                <w:rFonts w:ascii="Arial" w:eastAsia="+mn-ea" w:hAnsi="Arial" w:cs="Arial"/>
                <w:color w:val="000000"/>
                <w:sz w:val="20"/>
                <w:szCs w:val="20"/>
              </w:rPr>
              <w:t>vsetínském okrese (o 0,2 %, tj. o 351 osob). Dále pak klesl počet obyvatel v</w:t>
            </w:r>
            <w:r w:rsidR="00C076BC">
              <w:rPr>
                <w:rFonts w:ascii="Arial" w:eastAsia="+mn-ea" w:hAnsi="Arial" w:cs="Arial"/>
                <w:color w:val="000000"/>
                <w:sz w:val="20"/>
                <w:szCs w:val="20"/>
              </w:rPr>
              <w:t> </w:t>
            </w:r>
            <w:r w:rsidRPr="00E5414E">
              <w:rPr>
                <w:rFonts w:ascii="Arial" w:eastAsia="+mn-ea" w:hAnsi="Arial" w:cs="Arial"/>
                <w:color w:val="000000"/>
                <w:sz w:val="20"/>
                <w:szCs w:val="20"/>
              </w:rPr>
              <w:t>okresech Zlín (o 0,2 %, tj. o 323 osob), Kroměříž (o 0,2 %, tj. o 224 osob) a</w:t>
            </w:r>
            <w:r w:rsidR="00C076BC">
              <w:rPr>
                <w:rFonts w:ascii="Arial" w:eastAsia="+mn-ea" w:hAnsi="Arial" w:cs="Arial"/>
                <w:color w:val="000000"/>
                <w:sz w:val="20"/>
                <w:szCs w:val="20"/>
              </w:rPr>
              <w:t> </w:t>
            </w:r>
            <w:r w:rsidRPr="00E5414E">
              <w:rPr>
                <w:rFonts w:ascii="Arial" w:eastAsia="+mn-ea" w:hAnsi="Arial" w:cs="Arial"/>
                <w:color w:val="000000"/>
                <w:sz w:val="20"/>
                <w:szCs w:val="20"/>
              </w:rPr>
              <w:t>Uherské Hradiště (o 0,1 %, tj. o 140 lidí).</w:t>
            </w:r>
          </w:p>
        </w:tc>
      </w:tr>
      <w:tr w:rsidR="00E5414E" w:rsidRPr="00DC658E" w:rsidTr="00E5414E">
        <w:trPr>
          <w:gridAfter w:val="1"/>
          <w:wAfter w:w="39" w:type="dxa"/>
        </w:trPr>
        <w:tc>
          <w:tcPr>
            <w:tcW w:w="9786" w:type="dxa"/>
            <w:gridSpan w:val="6"/>
            <w:tcMar>
              <w:left w:w="85" w:type="dxa"/>
              <w:right w:w="85" w:type="dxa"/>
            </w:tcMar>
          </w:tcPr>
          <w:p w:rsidR="00E5414E" w:rsidRPr="00644F35" w:rsidRDefault="00E5414E" w:rsidP="00E5414E">
            <w:pPr>
              <w:pStyle w:val="Normlnweb"/>
              <w:spacing w:before="60" w:beforeAutospacing="0" w:after="60" w:afterAutospacing="0"/>
              <w:jc w:val="both"/>
              <w:rPr>
                <w:rFonts w:ascii="Arial" w:eastAsia="+mn-ea" w:hAnsi="Arial" w:cs="Arial"/>
                <w:color w:val="000000"/>
                <w:sz w:val="20"/>
                <w:szCs w:val="20"/>
                <w:highlight w:val="yellow"/>
              </w:rPr>
            </w:pPr>
            <w:r w:rsidRPr="00EB4068">
              <w:rPr>
                <w:rFonts w:ascii="Arial" w:eastAsia="+mn-ea" w:hAnsi="Arial" w:cs="Arial"/>
                <w:b/>
                <w:color w:val="000000"/>
                <w:sz w:val="20"/>
                <w:szCs w:val="20"/>
              </w:rPr>
              <w:t>Graf 1</w:t>
            </w:r>
            <w:r w:rsidR="00BF1AF9">
              <w:rPr>
                <w:rFonts w:ascii="Arial" w:eastAsia="+mn-ea" w:hAnsi="Arial" w:cs="Arial"/>
                <w:b/>
                <w:color w:val="000000"/>
                <w:sz w:val="20"/>
                <w:szCs w:val="20"/>
              </w:rPr>
              <w:t>.1</w:t>
            </w:r>
            <w:r w:rsidRPr="00EB4068">
              <w:rPr>
                <w:rFonts w:ascii="Arial" w:eastAsia="+mn-ea" w:hAnsi="Arial" w:cs="Arial"/>
                <w:b/>
                <w:color w:val="000000"/>
                <w:sz w:val="20"/>
                <w:szCs w:val="20"/>
              </w:rPr>
              <w:t xml:space="preserve"> Pohyb obyvatel ve Zlínském kraji</w:t>
            </w:r>
          </w:p>
        </w:tc>
      </w:tr>
      <w:tr w:rsidR="00E5414E" w:rsidRPr="00DC658E" w:rsidTr="00E5414E">
        <w:trPr>
          <w:gridAfter w:val="1"/>
          <w:wAfter w:w="39" w:type="dxa"/>
        </w:trPr>
        <w:tc>
          <w:tcPr>
            <w:tcW w:w="9786" w:type="dxa"/>
            <w:gridSpan w:val="6"/>
            <w:tcMar>
              <w:left w:w="85" w:type="dxa"/>
              <w:right w:w="85" w:type="dxa"/>
            </w:tcMar>
          </w:tcPr>
          <w:p w:rsidR="00E5414E" w:rsidRPr="00644F35" w:rsidRDefault="009956CB" w:rsidP="00F60790">
            <w:pPr>
              <w:spacing w:before="60" w:after="60"/>
              <w:rPr>
                <w:szCs w:val="20"/>
                <w:highlight w:val="yellow"/>
              </w:rPr>
            </w:pPr>
            <w:r w:rsidRPr="00286EFA">
              <w:rPr>
                <w:rFonts w:eastAsia="+mn-ea" w:cs="Arial"/>
                <w:b/>
                <w:color w:val="00000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184.5pt">
                  <v:imagedata r:id="rId17" o:title=""/>
                </v:shape>
              </w:pict>
            </w:r>
          </w:p>
          <w:p w:rsidR="00E5414E" w:rsidRPr="00644F35" w:rsidRDefault="00E5414E" w:rsidP="00F60790">
            <w:pPr>
              <w:pStyle w:val="Normlnweb"/>
              <w:spacing w:before="60" w:beforeAutospacing="0" w:after="60" w:afterAutospacing="0"/>
              <w:jc w:val="center"/>
              <w:rPr>
                <w:rFonts w:ascii="Arial" w:eastAsia="+mn-ea" w:hAnsi="Arial" w:cs="Arial"/>
                <w:color w:val="000000"/>
                <w:sz w:val="20"/>
                <w:szCs w:val="20"/>
                <w:highlight w:val="yellow"/>
              </w:rPr>
            </w:pPr>
          </w:p>
        </w:tc>
      </w:tr>
      <w:tr w:rsidR="00F60790" w:rsidRPr="00DC658E" w:rsidTr="00890C89">
        <w:trPr>
          <w:trHeight w:val="570"/>
        </w:trPr>
        <w:tc>
          <w:tcPr>
            <w:tcW w:w="2070" w:type="dxa"/>
            <w:gridSpan w:val="2"/>
            <w:tcMar>
              <w:left w:w="85" w:type="dxa"/>
              <w:right w:w="85" w:type="dxa"/>
            </w:tcMar>
          </w:tcPr>
          <w:p w:rsidR="00F60790" w:rsidRPr="00644F35" w:rsidRDefault="00F60790" w:rsidP="00F60790">
            <w:pPr>
              <w:spacing w:before="60" w:after="60"/>
              <w:jc w:val="left"/>
              <w:rPr>
                <w:i/>
                <w:szCs w:val="20"/>
                <w:highlight w:val="yellow"/>
              </w:rPr>
            </w:pPr>
          </w:p>
        </w:tc>
        <w:tc>
          <w:tcPr>
            <w:tcW w:w="7755" w:type="dxa"/>
            <w:gridSpan w:val="5"/>
            <w:vAlign w:val="center"/>
          </w:tcPr>
          <w:p w:rsidR="00F60790" w:rsidRPr="00644F35" w:rsidRDefault="007B1974" w:rsidP="007C2685">
            <w:pPr>
              <w:pStyle w:val="Normlnweb"/>
              <w:spacing w:before="60" w:beforeAutospacing="0" w:after="60" w:afterAutospacing="0"/>
              <w:jc w:val="both"/>
              <w:rPr>
                <w:szCs w:val="20"/>
                <w:highlight w:val="yellow"/>
              </w:rPr>
            </w:pPr>
            <w:r w:rsidRPr="007B1974">
              <w:rPr>
                <w:rFonts w:ascii="Arial" w:eastAsia="+mn-ea" w:hAnsi="Arial" w:cs="Arial"/>
                <w:color w:val="000000"/>
                <w:sz w:val="20"/>
                <w:szCs w:val="20"/>
              </w:rPr>
              <w:t xml:space="preserve">Na úbytku obyvatel v kraji se podílel jak přirozený úbytek (více lidí zemřelo než se živě narodilo dětí), tak i záporné migrační saldo (více osob se z kraje </w:t>
            </w:r>
            <w:proofErr w:type="gramStart"/>
            <w:r w:rsidRPr="007B1974">
              <w:rPr>
                <w:rFonts w:ascii="Arial" w:eastAsia="+mn-ea" w:hAnsi="Arial" w:cs="Arial"/>
                <w:color w:val="000000"/>
                <w:sz w:val="20"/>
                <w:szCs w:val="20"/>
              </w:rPr>
              <w:t>vystěhovalo než</w:t>
            </w:r>
            <w:proofErr w:type="gramEnd"/>
            <w:r w:rsidRPr="007B1974">
              <w:rPr>
                <w:rFonts w:ascii="Arial" w:eastAsia="+mn-ea" w:hAnsi="Arial" w:cs="Arial"/>
                <w:color w:val="000000"/>
                <w:sz w:val="20"/>
                <w:szCs w:val="20"/>
              </w:rPr>
              <w:t xml:space="preserve"> přistěhovalo). Přirozený úbytek obyvatel v kraji dosáhl v roce 2014 521 osob. Stejná </w:t>
            </w:r>
          </w:p>
        </w:tc>
      </w:tr>
      <w:tr w:rsidR="007B1974" w:rsidRPr="00DC658E" w:rsidTr="007B1974">
        <w:trPr>
          <w:gridAfter w:val="1"/>
          <w:wAfter w:w="39" w:type="dxa"/>
        </w:trPr>
        <w:tc>
          <w:tcPr>
            <w:tcW w:w="9786" w:type="dxa"/>
            <w:gridSpan w:val="6"/>
            <w:tcMar>
              <w:left w:w="85" w:type="dxa"/>
              <w:right w:w="85" w:type="dxa"/>
            </w:tcMar>
          </w:tcPr>
          <w:p w:rsidR="007B1974" w:rsidRPr="007C2685" w:rsidRDefault="007B1974" w:rsidP="007B1974">
            <w:pPr>
              <w:pStyle w:val="Normlnweb"/>
              <w:spacing w:before="60" w:beforeAutospacing="0" w:after="60" w:afterAutospacing="0"/>
              <w:jc w:val="both"/>
              <w:rPr>
                <w:rFonts w:ascii="Arial" w:eastAsia="+mn-ea" w:hAnsi="Arial" w:cs="Arial"/>
                <w:b/>
                <w:color w:val="000000"/>
                <w:sz w:val="20"/>
                <w:szCs w:val="20"/>
                <w:highlight w:val="yellow"/>
              </w:rPr>
            </w:pPr>
            <w:r w:rsidRPr="007C2685">
              <w:rPr>
                <w:rFonts w:ascii="Arial" w:eastAsia="+mn-ea" w:hAnsi="Arial" w:cs="Arial"/>
                <w:b/>
                <w:color w:val="000000"/>
                <w:sz w:val="20"/>
                <w:szCs w:val="20"/>
              </w:rPr>
              <w:t xml:space="preserve">Graf </w:t>
            </w:r>
            <w:r w:rsidR="00BF1AF9">
              <w:rPr>
                <w:rFonts w:ascii="Arial" w:eastAsia="+mn-ea" w:hAnsi="Arial" w:cs="Arial"/>
                <w:b/>
                <w:color w:val="000000"/>
                <w:sz w:val="20"/>
                <w:szCs w:val="20"/>
              </w:rPr>
              <w:t>1.</w:t>
            </w:r>
            <w:r w:rsidRPr="007C2685">
              <w:rPr>
                <w:rFonts w:ascii="Arial" w:eastAsia="+mn-ea" w:hAnsi="Arial" w:cs="Arial"/>
                <w:b/>
                <w:color w:val="000000"/>
                <w:sz w:val="20"/>
                <w:szCs w:val="20"/>
              </w:rPr>
              <w:t>2 Přirozený, migrační a celkový přírůstek obyvatelstva ve Zlínském kraji</w:t>
            </w:r>
          </w:p>
        </w:tc>
      </w:tr>
      <w:tr w:rsidR="007B1974" w:rsidRPr="00DC658E" w:rsidTr="007B1974">
        <w:trPr>
          <w:gridAfter w:val="1"/>
          <w:wAfter w:w="39" w:type="dxa"/>
        </w:trPr>
        <w:tc>
          <w:tcPr>
            <w:tcW w:w="9786" w:type="dxa"/>
            <w:gridSpan w:val="6"/>
            <w:tcMar>
              <w:left w:w="85" w:type="dxa"/>
              <w:right w:w="85" w:type="dxa"/>
            </w:tcMar>
          </w:tcPr>
          <w:p w:rsidR="007B1974" w:rsidRPr="00644F35" w:rsidRDefault="009956CB" w:rsidP="00F60790">
            <w:pPr>
              <w:pStyle w:val="Normlnweb"/>
              <w:spacing w:before="60" w:beforeAutospacing="0" w:after="60" w:afterAutospacing="0"/>
              <w:jc w:val="center"/>
              <w:rPr>
                <w:rFonts w:ascii="Arial" w:eastAsia="+mn-ea" w:hAnsi="Arial" w:cs="Arial"/>
                <w:color w:val="000000"/>
                <w:sz w:val="20"/>
                <w:szCs w:val="20"/>
                <w:highlight w:val="yellow"/>
              </w:rPr>
            </w:pPr>
            <w:r w:rsidRPr="00286EFA">
              <w:rPr>
                <w:rFonts w:ascii="Arial" w:eastAsia="+mn-ea" w:hAnsi="Arial" w:cs="Arial"/>
                <w:color w:val="000000"/>
                <w:sz w:val="20"/>
                <w:szCs w:val="20"/>
              </w:rPr>
              <w:pict>
                <v:shape id="_x0000_i1026" type="#_x0000_t75" style="width:480pt;height:184.5pt">
                  <v:imagedata r:id="rId18" o:title=""/>
                </v:shape>
              </w:pict>
            </w:r>
          </w:p>
          <w:p w:rsidR="007B1974" w:rsidRPr="00644F35" w:rsidRDefault="007B1974" w:rsidP="00F60790">
            <w:pPr>
              <w:pStyle w:val="Normlnweb"/>
              <w:spacing w:before="60" w:beforeAutospacing="0" w:after="60" w:afterAutospacing="0"/>
              <w:jc w:val="center"/>
              <w:rPr>
                <w:rFonts w:ascii="Arial" w:eastAsia="+mn-ea" w:hAnsi="Arial" w:cs="Arial"/>
                <w:color w:val="000000"/>
                <w:sz w:val="20"/>
                <w:szCs w:val="20"/>
                <w:highlight w:val="yellow"/>
              </w:rPr>
            </w:pPr>
          </w:p>
        </w:tc>
      </w:tr>
      <w:tr w:rsidR="00F60790" w:rsidRPr="00DC658E" w:rsidTr="00890C89">
        <w:trPr>
          <w:gridAfter w:val="1"/>
          <w:wAfter w:w="39" w:type="dxa"/>
        </w:trPr>
        <w:tc>
          <w:tcPr>
            <w:tcW w:w="2070" w:type="dxa"/>
            <w:gridSpan w:val="2"/>
            <w:tcMar>
              <w:left w:w="85" w:type="dxa"/>
              <w:right w:w="85" w:type="dxa"/>
            </w:tcMar>
          </w:tcPr>
          <w:p w:rsidR="00F60790" w:rsidRPr="00644F35" w:rsidRDefault="00F60790" w:rsidP="00F60790">
            <w:pPr>
              <w:pStyle w:val="Normlnweb"/>
              <w:spacing w:before="60" w:beforeAutospacing="0" w:after="60" w:afterAutospacing="0"/>
              <w:jc w:val="both"/>
              <w:rPr>
                <w:rFonts w:ascii="Arial" w:hAnsi="Arial" w:cs="Arial"/>
                <w:sz w:val="20"/>
                <w:szCs w:val="20"/>
                <w:highlight w:val="yellow"/>
              </w:rPr>
            </w:pPr>
          </w:p>
        </w:tc>
        <w:tc>
          <w:tcPr>
            <w:tcW w:w="7716" w:type="dxa"/>
            <w:gridSpan w:val="4"/>
          </w:tcPr>
          <w:p w:rsidR="007C2685" w:rsidRPr="007C2685" w:rsidRDefault="007C2685" w:rsidP="00C076BC">
            <w:pPr>
              <w:pStyle w:val="Normlnweb"/>
              <w:spacing w:before="60" w:beforeAutospacing="0" w:after="60" w:afterAutospacing="0"/>
              <w:jc w:val="both"/>
              <w:rPr>
                <w:rFonts w:ascii="Arial" w:eastAsia="+mn-ea" w:hAnsi="Arial" w:cs="Arial"/>
                <w:color w:val="000000"/>
                <w:sz w:val="20"/>
                <w:szCs w:val="20"/>
              </w:rPr>
            </w:pPr>
            <w:r w:rsidRPr="007C2685">
              <w:rPr>
                <w:rFonts w:ascii="Arial" w:eastAsia="+mn-ea" w:hAnsi="Arial" w:cs="Arial"/>
                <w:color w:val="000000"/>
                <w:sz w:val="20"/>
                <w:szCs w:val="20"/>
              </w:rPr>
              <w:t>byla i situace v okresech. Ve všech okresech byl zaznamenán přirozený úbytek obyvatel, z toho nejvyšší ve zlínském okrese (157 osob) a nejnižší v kroměřížském (o</w:t>
            </w:r>
            <w:r w:rsidR="003B1B93">
              <w:rPr>
                <w:rFonts w:ascii="Arial" w:eastAsia="+mn-ea" w:hAnsi="Arial" w:cs="Arial"/>
                <w:color w:val="000000"/>
                <w:sz w:val="20"/>
                <w:szCs w:val="20"/>
              </w:rPr>
              <w:t> </w:t>
            </w:r>
            <w:r w:rsidRPr="007C2685">
              <w:rPr>
                <w:rFonts w:ascii="Arial" w:eastAsia="+mn-ea" w:hAnsi="Arial" w:cs="Arial"/>
                <w:color w:val="000000"/>
                <w:sz w:val="20"/>
                <w:szCs w:val="20"/>
              </w:rPr>
              <w:t>107 osob).</w:t>
            </w:r>
          </w:p>
          <w:p w:rsidR="007C2685" w:rsidRPr="007C2685" w:rsidRDefault="007C2685" w:rsidP="00C076BC">
            <w:pPr>
              <w:pStyle w:val="Normlnweb"/>
              <w:spacing w:before="60" w:beforeAutospacing="0" w:after="60" w:afterAutospacing="0"/>
              <w:jc w:val="both"/>
              <w:rPr>
                <w:rFonts w:ascii="Arial" w:eastAsia="+mn-ea" w:hAnsi="Arial" w:cs="Arial"/>
                <w:color w:val="000000"/>
                <w:sz w:val="20"/>
                <w:szCs w:val="20"/>
              </w:rPr>
            </w:pPr>
            <w:r w:rsidRPr="007C2685">
              <w:rPr>
                <w:rFonts w:ascii="Arial" w:eastAsia="+mn-ea" w:hAnsi="Arial" w:cs="Arial"/>
                <w:color w:val="000000"/>
                <w:sz w:val="20"/>
                <w:szCs w:val="20"/>
              </w:rPr>
              <w:t xml:space="preserve">Celkem se v kraji ve sledovaném roce živě narodilo 9,6 dětí na tisíc obyvatel středního </w:t>
            </w:r>
            <w:proofErr w:type="gramStart"/>
            <w:r w:rsidRPr="007C2685">
              <w:rPr>
                <w:rFonts w:ascii="Arial" w:eastAsia="+mn-ea" w:hAnsi="Arial" w:cs="Arial"/>
                <w:color w:val="000000"/>
                <w:sz w:val="20"/>
                <w:szCs w:val="20"/>
              </w:rPr>
              <w:t>stavu  a ve</w:t>
            </w:r>
            <w:proofErr w:type="gramEnd"/>
            <w:r w:rsidRPr="007C2685">
              <w:rPr>
                <w:rFonts w:ascii="Arial" w:eastAsia="+mn-ea" w:hAnsi="Arial" w:cs="Arial"/>
                <w:color w:val="000000"/>
                <w:sz w:val="20"/>
                <w:szCs w:val="20"/>
              </w:rPr>
              <w:t xml:space="preserve"> stejném přepočtu zemřelo 10,4 osob. </w:t>
            </w:r>
          </w:p>
          <w:p w:rsidR="00F60790" w:rsidRDefault="007C2685" w:rsidP="00C076BC">
            <w:pPr>
              <w:pStyle w:val="Normlnweb"/>
              <w:spacing w:before="60" w:beforeAutospacing="0" w:after="60" w:afterAutospacing="0"/>
              <w:jc w:val="both"/>
              <w:rPr>
                <w:rFonts w:ascii="Arial" w:eastAsia="+mn-ea" w:hAnsi="Arial" w:cs="Arial"/>
                <w:color w:val="000000"/>
                <w:sz w:val="20"/>
                <w:szCs w:val="20"/>
              </w:rPr>
            </w:pPr>
            <w:r w:rsidRPr="007C2685">
              <w:rPr>
                <w:rFonts w:ascii="Arial" w:eastAsia="+mn-ea" w:hAnsi="Arial" w:cs="Arial"/>
                <w:color w:val="000000"/>
                <w:sz w:val="20"/>
                <w:szCs w:val="20"/>
              </w:rPr>
              <w:t>Migrační saldo kraje v roce 2014 dosáhlo záporné hodnoty v počtu 517 osob. Úbytek obyvatel stěhováním byl zjištěn ve všech okresech kraje, nejnižší v</w:t>
            </w:r>
            <w:r w:rsidR="003B1B93">
              <w:rPr>
                <w:rFonts w:ascii="Arial" w:eastAsia="+mn-ea" w:hAnsi="Arial" w:cs="Arial"/>
                <w:color w:val="000000"/>
                <w:sz w:val="20"/>
                <w:szCs w:val="20"/>
              </w:rPr>
              <w:t> </w:t>
            </w:r>
            <w:r w:rsidRPr="007C2685">
              <w:rPr>
                <w:rFonts w:ascii="Arial" w:eastAsia="+mn-ea" w:hAnsi="Arial" w:cs="Arial"/>
                <w:color w:val="000000"/>
                <w:sz w:val="20"/>
                <w:szCs w:val="20"/>
              </w:rPr>
              <w:t>uherskohradišťském (11 osob) a nejvyšší ve vsetínském (223 osob)</w:t>
            </w:r>
            <w:r w:rsidR="00A52AA3" w:rsidRPr="007C2685">
              <w:rPr>
                <w:rFonts w:ascii="Arial" w:eastAsia="+mn-ea" w:hAnsi="Arial" w:cs="Arial"/>
                <w:color w:val="000000"/>
                <w:sz w:val="20"/>
                <w:szCs w:val="20"/>
              </w:rPr>
              <w:t>.</w:t>
            </w:r>
          </w:p>
          <w:p w:rsidR="007C2685" w:rsidRPr="006D6C0D" w:rsidRDefault="007C2685" w:rsidP="00C076BC">
            <w:pPr>
              <w:pStyle w:val="Normlnweb"/>
              <w:spacing w:before="60" w:beforeAutospacing="0" w:after="60" w:afterAutospacing="0"/>
              <w:jc w:val="both"/>
              <w:rPr>
                <w:rFonts w:ascii="Arial" w:eastAsia="+mn-ea" w:hAnsi="Arial" w:cs="Arial"/>
                <w:color w:val="000000"/>
                <w:sz w:val="20"/>
                <w:szCs w:val="20"/>
              </w:rPr>
            </w:pPr>
            <w:r w:rsidRPr="008F75D7">
              <w:rPr>
                <w:rFonts w:ascii="Arial" w:eastAsia="+mn-ea" w:hAnsi="Arial" w:cs="Arial"/>
                <w:color w:val="000000"/>
                <w:sz w:val="20"/>
                <w:szCs w:val="20"/>
              </w:rPr>
              <w:t xml:space="preserve">V roce 2014 se do kraje celkem přistěhovalo 3 241 lidí, z nichž bylo 52,9 % žen. </w:t>
            </w:r>
            <w:r w:rsidRPr="00FB216C">
              <w:rPr>
                <w:rFonts w:ascii="Arial" w:eastAsia="+mn-ea" w:hAnsi="Arial" w:cs="Arial"/>
                <w:color w:val="000000"/>
                <w:sz w:val="20"/>
                <w:szCs w:val="20"/>
              </w:rPr>
              <w:t>Meziročně přistěhovaných lidí přibylo 4,5 %, z toho počet žen se proti předchozímu roku zvýšil o 6,25 % (o 100 žen), počet mužů vzrostl 2,8 % (o 41 osob</w:t>
            </w:r>
            <w:r w:rsidRPr="006D6C0D">
              <w:rPr>
                <w:rFonts w:ascii="Arial" w:eastAsia="+mn-ea" w:hAnsi="Arial" w:cs="Arial"/>
                <w:color w:val="000000"/>
                <w:sz w:val="20"/>
                <w:szCs w:val="20"/>
              </w:rPr>
              <w:t xml:space="preserve">). </w:t>
            </w:r>
            <w:r>
              <w:rPr>
                <w:rFonts w:ascii="Arial" w:eastAsia="+mn-ea" w:hAnsi="Arial" w:cs="Arial"/>
                <w:color w:val="000000"/>
                <w:sz w:val="20"/>
                <w:szCs w:val="20"/>
              </w:rPr>
              <w:t xml:space="preserve">Nejvíce přistěhovaných osob bylo v produktivním věku 15 až 64 let (68,4 %). </w:t>
            </w:r>
            <w:r w:rsidRPr="006D6C0D">
              <w:rPr>
                <w:rFonts w:ascii="Arial" w:eastAsia="+mn-ea" w:hAnsi="Arial" w:cs="Arial"/>
                <w:color w:val="000000"/>
                <w:sz w:val="20"/>
                <w:szCs w:val="20"/>
              </w:rPr>
              <w:t>Dětí (věková skupina 0 až 14 let) se přistěhovalo 24,1 % a osob ve věku 65 let a více 7,5 %. Nejvíce přistěhovalých osob bylo ve věkové skupině 30 až 49 let (30,6 %).</w:t>
            </w:r>
            <w:r>
              <w:rPr>
                <w:rFonts w:ascii="Arial" w:eastAsia="+mn-ea" w:hAnsi="Arial" w:cs="Arial"/>
                <w:color w:val="000000"/>
                <w:sz w:val="20"/>
                <w:szCs w:val="20"/>
              </w:rPr>
              <w:t xml:space="preserve"> </w:t>
            </w:r>
            <w:r w:rsidRPr="00DE121E">
              <w:rPr>
                <w:rFonts w:ascii="Arial" w:eastAsia="+mn-ea" w:hAnsi="Arial" w:cs="Arial"/>
                <w:color w:val="000000"/>
                <w:sz w:val="20"/>
                <w:szCs w:val="20"/>
              </w:rPr>
              <w:t>Nejvíce lidí se v roce 2014 přistěhovalo do okresu Zlín (1 577 osob), nejméně do vsetínského okresu (953 osob).</w:t>
            </w:r>
          </w:p>
          <w:p w:rsidR="007C2685" w:rsidRDefault="007C2685" w:rsidP="00C076BC">
            <w:pPr>
              <w:pStyle w:val="Normlnweb"/>
              <w:spacing w:before="60" w:beforeAutospacing="0" w:after="60" w:afterAutospacing="0"/>
              <w:jc w:val="both"/>
              <w:rPr>
                <w:rFonts w:ascii="Arial" w:eastAsia="+mn-ea" w:hAnsi="Arial" w:cs="Arial"/>
                <w:color w:val="000000"/>
                <w:sz w:val="20"/>
                <w:szCs w:val="20"/>
                <w:highlight w:val="yellow"/>
              </w:rPr>
            </w:pPr>
            <w:r w:rsidRPr="006D6C0D">
              <w:rPr>
                <w:rFonts w:ascii="Arial" w:eastAsia="+mn-ea" w:hAnsi="Arial" w:cs="Arial"/>
                <w:color w:val="000000"/>
                <w:sz w:val="20"/>
                <w:szCs w:val="20"/>
              </w:rPr>
              <w:t xml:space="preserve">V přepočtu na tisíc obyvatel se do kraje v roce 2014 </w:t>
            </w:r>
            <w:r w:rsidRPr="007071CD">
              <w:rPr>
                <w:rFonts w:ascii="Arial" w:eastAsia="+mn-ea" w:hAnsi="Arial" w:cs="Arial"/>
                <w:color w:val="000000"/>
                <w:sz w:val="20"/>
                <w:szCs w:val="20"/>
              </w:rPr>
              <w:t>přistěhovalo 5,5 osob.</w:t>
            </w:r>
            <w:r w:rsidRPr="00C215A8">
              <w:rPr>
                <w:rFonts w:ascii="Arial" w:eastAsia="+mn-ea" w:hAnsi="Arial" w:cs="Arial"/>
                <w:color w:val="000000"/>
                <w:sz w:val="20"/>
                <w:szCs w:val="20"/>
                <w:highlight w:val="yellow"/>
              </w:rPr>
              <w:t xml:space="preserve"> </w:t>
            </w:r>
          </w:p>
          <w:p w:rsidR="007C2685" w:rsidRPr="007C2685" w:rsidRDefault="007C2685" w:rsidP="007C2685">
            <w:pPr>
              <w:pStyle w:val="Normlnweb"/>
              <w:spacing w:before="60" w:beforeAutospacing="0" w:after="60" w:afterAutospacing="0"/>
              <w:jc w:val="both"/>
              <w:rPr>
                <w:rFonts w:ascii="Arial" w:hAnsi="Arial" w:cs="Arial"/>
                <w:sz w:val="20"/>
                <w:szCs w:val="20"/>
              </w:rPr>
            </w:pPr>
          </w:p>
        </w:tc>
      </w:tr>
      <w:tr w:rsidR="007C2685" w:rsidRPr="00DC658E" w:rsidTr="00175649">
        <w:trPr>
          <w:gridAfter w:val="1"/>
          <w:wAfter w:w="39" w:type="dxa"/>
        </w:trPr>
        <w:tc>
          <w:tcPr>
            <w:tcW w:w="4893" w:type="dxa"/>
            <w:gridSpan w:val="4"/>
            <w:tcMar>
              <w:left w:w="85" w:type="dxa"/>
              <w:right w:w="85" w:type="dxa"/>
            </w:tcMar>
          </w:tcPr>
          <w:p w:rsidR="007C2685" w:rsidRPr="007C2685" w:rsidRDefault="007C2685" w:rsidP="007C2685">
            <w:pPr>
              <w:spacing w:before="60" w:after="60"/>
              <w:jc w:val="left"/>
              <w:rPr>
                <w:rFonts w:cs="Arial"/>
                <w:b/>
                <w:szCs w:val="20"/>
              </w:rPr>
            </w:pPr>
            <w:r w:rsidRPr="007C2685">
              <w:rPr>
                <w:rFonts w:cs="Arial"/>
                <w:b/>
                <w:szCs w:val="20"/>
              </w:rPr>
              <w:t xml:space="preserve">Graf </w:t>
            </w:r>
            <w:r w:rsidR="00BF1AF9">
              <w:rPr>
                <w:rFonts w:cs="Arial"/>
                <w:b/>
                <w:szCs w:val="20"/>
              </w:rPr>
              <w:t>1.</w:t>
            </w:r>
            <w:r w:rsidRPr="007C2685">
              <w:rPr>
                <w:rFonts w:cs="Arial"/>
                <w:b/>
                <w:szCs w:val="20"/>
              </w:rPr>
              <w:t>3 Přistěhovalí do Zlínského kraje</w:t>
            </w:r>
          </w:p>
          <w:p w:rsidR="007C2685" w:rsidRPr="007C2685" w:rsidRDefault="007C2685" w:rsidP="007C2685">
            <w:pPr>
              <w:pStyle w:val="Normlnweb"/>
              <w:spacing w:before="60" w:beforeAutospacing="0" w:after="60" w:afterAutospacing="0"/>
              <w:jc w:val="both"/>
              <w:rPr>
                <w:rFonts w:ascii="Arial" w:hAnsi="Arial" w:cs="Arial"/>
                <w:b/>
                <w:sz w:val="20"/>
                <w:szCs w:val="20"/>
                <w:highlight w:val="yellow"/>
              </w:rPr>
            </w:pPr>
            <w:r w:rsidRPr="007C2685">
              <w:rPr>
                <w:rFonts w:ascii="Arial" w:hAnsi="Arial" w:cs="Arial"/>
                <w:b/>
                <w:sz w:val="20"/>
                <w:szCs w:val="20"/>
              </w:rPr>
              <w:t xml:space="preserve">         </w:t>
            </w:r>
            <w:r w:rsidR="006D354F">
              <w:rPr>
                <w:rFonts w:ascii="Arial" w:hAnsi="Arial" w:cs="Arial"/>
                <w:b/>
                <w:sz w:val="20"/>
                <w:szCs w:val="20"/>
              </w:rPr>
              <w:t xml:space="preserve">  </w:t>
            </w:r>
            <w:r w:rsidRPr="007C2685">
              <w:rPr>
                <w:rFonts w:ascii="Arial" w:hAnsi="Arial" w:cs="Arial"/>
                <w:b/>
                <w:sz w:val="20"/>
                <w:szCs w:val="20"/>
              </w:rPr>
              <w:t xml:space="preserve">  podle pohlaví</w:t>
            </w:r>
          </w:p>
        </w:tc>
        <w:tc>
          <w:tcPr>
            <w:tcW w:w="4893" w:type="dxa"/>
            <w:gridSpan w:val="2"/>
          </w:tcPr>
          <w:p w:rsidR="007C2685" w:rsidRPr="007C2685" w:rsidRDefault="007C2685" w:rsidP="007C2685">
            <w:pPr>
              <w:pStyle w:val="Normlnweb"/>
              <w:spacing w:before="60" w:beforeAutospacing="0" w:after="60" w:afterAutospacing="0"/>
              <w:jc w:val="both"/>
              <w:rPr>
                <w:rFonts w:ascii="Arial" w:eastAsia="+mn-ea" w:hAnsi="Arial" w:cs="Arial"/>
                <w:b/>
                <w:color w:val="000000"/>
                <w:sz w:val="20"/>
                <w:szCs w:val="20"/>
              </w:rPr>
            </w:pPr>
            <w:r w:rsidRPr="007C2685">
              <w:rPr>
                <w:rFonts w:ascii="Arial" w:eastAsia="+mn-ea" w:hAnsi="Arial" w:cs="Arial"/>
                <w:b/>
                <w:color w:val="000000"/>
                <w:sz w:val="20"/>
                <w:szCs w:val="20"/>
              </w:rPr>
              <w:t xml:space="preserve">Graf </w:t>
            </w:r>
            <w:r w:rsidR="00BF1AF9">
              <w:rPr>
                <w:rFonts w:ascii="Arial" w:eastAsia="+mn-ea" w:hAnsi="Arial" w:cs="Arial"/>
                <w:b/>
                <w:color w:val="000000"/>
                <w:sz w:val="20"/>
                <w:szCs w:val="20"/>
              </w:rPr>
              <w:t>1.</w:t>
            </w:r>
            <w:r w:rsidRPr="007C2685">
              <w:rPr>
                <w:rFonts w:ascii="Arial" w:eastAsia="+mn-ea" w:hAnsi="Arial" w:cs="Arial"/>
                <w:b/>
                <w:color w:val="000000"/>
                <w:sz w:val="20"/>
                <w:szCs w:val="20"/>
              </w:rPr>
              <w:t xml:space="preserve">4 Přistěhovalí do Zlínského kraje </w:t>
            </w:r>
          </w:p>
          <w:p w:rsidR="007C2685" w:rsidRPr="007C2685" w:rsidRDefault="007C2685" w:rsidP="007C2685">
            <w:pPr>
              <w:pStyle w:val="Normlnweb"/>
              <w:spacing w:before="60" w:beforeAutospacing="0" w:after="60" w:afterAutospacing="0"/>
              <w:jc w:val="both"/>
              <w:rPr>
                <w:rFonts w:ascii="Arial" w:hAnsi="Arial" w:cs="Arial"/>
                <w:b/>
                <w:sz w:val="20"/>
                <w:szCs w:val="20"/>
                <w:highlight w:val="yellow"/>
              </w:rPr>
            </w:pPr>
            <w:r w:rsidRPr="007C2685">
              <w:rPr>
                <w:rFonts w:ascii="Arial" w:eastAsia="+mn-ea" w:hAnsi="Arial" w:cs="Arial"/>
                <w:b/>
                <w:color w:val="000000"/>
                <w:sz w:val="20"/>
                <w:szCs w:val="20"/>
              </w:rPr>
              <w:t xml:space="preserve">        </w:t>
            </w:r>
            <w:r w:rsidR="006D354F">
              <w:rPr>
                <w:rFonts w:ascii="Arial" w:eastAsia="+mn-ea" w:hAnsi="Arial" w:cs="Arial"/>
                <w:b/>
                <w:color w:val="000000"/>
                <w:sz w:val="20"/>
                <w:szCs w:val="20"/>
              </w:rPr>
              <w:t xml:space="preserve">  </w:t>
            </w:r>
            <w:r w:rsidRPr="007C2685">
              <w:rPr>
                <w:rFonts w:ascii="Arial" w:eastAsia="+mn-ea" w:hAnsi="Arial" w:cs="Arial"/>
                <w:b/>
                <w:color w:val="000000"/>
                <w:sz w:val="20"/>
                <w:szCs w:val="20"/>
              </w:rPr>
              <w:t xml:space="preserve">   podle věkových skupin</w:t>
            </w:r>
          </w:p>
        </w:tc>
      </w:tr>
      <w:tr w:rsidR="00175649" w:rsidRPr="00DC658E" w:rsidTr="00175649">
        <w:trPr>
          <w:gridAfter w:val="1"/>
          <w:wAfter w:w="39" w:type="dxa"/>
          <w:trHeight w:val="402"/>
        </w:trPr>
        <w:tc>
          <w:tcPr>
            <w:tcW w:w="4893" w:type="dxa"/>
            <w:gridSpan w:val="4"/>
            <w:tcMar>
              <w:left w:w="85" w:type="dxa"/>
              <w:right w:w="85" w:type="dxa"/>
            </w:tcMar>
            <w:vAlign w:val="center"/>
          </w:tcPr>
          <w:p w:rsidR="00175649" w:rsidRDefault="009956CB" w:rsidP="00175649">
            <w:pPr>
              <w:spacing w:before="60" w:after="60"/>
              <w:jc w:val="left"/>
              <w:rPr>
                <w:szCs w:val="20"/>
              </w:rPr>
            </w:pPr>
            <w:r w:rsidRPr="00286EFA">
              <w:rPr>
                <w:szCs w:val="20"/>
              </w:rPr>
              <w:pict>
                <v:shape id="_x0000_i1027" type="#_x0000_t75" style="width:3in;height:189pt">
                  <v:imagedata r:id="rId19" o:title=""/>
                </v:shape>
              </w:pict>
            </w:r>
          </w:p>
          <w:p w:rsidR="00175649" w:rsidRPr="00644F35" w:rsidRDefault="00175649" w:rsidP="00175649">
            <w:pPr>
              <w:spacing w:before="60" w:after="60"/>
              <w:jc w:val="left"/>
              <w:rPr>
                <w:szCs w:val="20"/>
                <w:highlight w:val="yellow"/>
              </w:rPr>
            </w:pPr>
          </w:p>
        </w:tc>
        <w:tc>
          <w:tcPr>
            <w:tcW w:w="4893" w:type="dxa"/>
            <w:gridSpan w:val="2"/>
            <w:vAlign w:val="center"/>
          </w:tcPr>
          <w:p w:rsidR="00175649" w:rsidRPr="00644F35" w:rsidRDefault="009956CB" w:rsidP="00175649">
            <w:pPr>
              <w:spacing w:before="60" w:after="60"/>
              <w:jc w:val="left"/>
              <w:rPr>
                <w:szCs w:val="20"/>
                <w:highlight w:val="yellow"/>
              </w:rPr>
            </w:pPr>
            <w:r w:rsidRPr="00286EFA">
              <w:rPr>
                <w:szCs w:val="20"/>
              </w:rPr>
              <w:pict>
                <v:shape id="_x0000_i1028" type="#_x0000_t75" style="width:226.5pt;height:3in">
                  <v:imagedata r:id="rId20" o:title=""/>
                </v:shape>
              </w:pict>
            </w:r>
          </w:p>
        </w:tc>
      </w:tr>
      <w:tr w:rsidR="00F60790" w:rsidRPr="00DC658E" w:rsidTr="00890C89">
        <w:trPr>
          <w:gridAfter w:val="1"/>
          <w:wAfter w:w="39" w:type="dxa"/>
        </w:trPr>
        <w:tc>
          <w:tcPr>
            <w:tcW w:w="2031" w:type="dxa"/>
            <w:tcMar>
              <w:left w:w="85" w:type="dxa"/>
              <w:right w:w="85" w:type="dxa"/>
            </w:tcMar>
          </w:tcPr>
          <w:p w:rsidR="00F60790" w:rsidRPr="00644F35" w:rsidRDefault="00F60790" w:rsidP="00F60790">
            <w:pPr>
              <w:spacing w:before="60" w:after="60"/>
              <w:jc w:val="left"/>
              <w:rPr>
                <w:b/>
                <w:i/>
                <w:szCs w:val="20"/>
                <w:highlight w:val="yellow"/>
              </w:rPr>
            </w:pPr>
          </w:p>
        </w:tc>
        <w:tc>
          <w:tcPr>
            <w:tcW w:w="7755" w:type="dxa"/>
            <w:gridSpan w:val="5"/>
            <w:tcMar>
              <w:left w:w="85" w:type="dxa"/>
              <w:right w:w="85" w:type="dxa"/>
            </w:tcMar>
            <w:vAlign w:val="center"/>
          </w:tcPr>
          <w:p w:rsidR="009368FA" w:rsidRPr="009368FA" w:rsidRDefault="009368FA" w:rsidP="00BF1AF9">
            <w:pPr>
              <w:pStyle w:val="Normlnweb"/>
              <w:spacing w:before="60" w:beforeAutospacing="0" w:after="60" w:afterAutospacing="0"/>
              <w:jc w:val="both"/>
              <w:rPr>
                <w:rFonts w:ascii="Arial" w:eastAsia="+mn-ea" w:hAnsi="Arial" w:cs="Arial"/>
                <w:color w:val="000000"/>
                <w:sz w:val="20"/>
                <w:szCs w:val="20"/>
              </w:rPr>
            </w:pPr>
            <w:r w:rsidRPr="009368FA">
              <w:rPr>
                <w:rFonts w:ascii="Arial" w:eastAsia="+mn-ea" w:hAnsi="Arial" w:cs="Arial"/>
                <w:color w:val="000000"/>
                <w:sz w:val="20"/>
                <w:szCs w:val="20"/>
              </w:rPr>
              <w:t>V roce 2014 se z kraje celkem vystěhovalo 3 758 lidí, z nichž bylo 54,6 % žen. Meziročně vystěhovaných lidí přibylo</w:t>
            </w:r>
            <w:r w:rsidR="00C8073E">
              <w:rPr>
                <w:rFonts w:ascii="Arial" w:eastAsia="+mn-ea" w:hAnsi="Arial" w:cs="Arial"/>
                <w:color w:val="000000"/>
                <w:sz w:val="20"/>
                <w:szCs w:val="20"/>
              </w:rPr>
              <w:t xml:space="preserve"> o</w:t>
            </w:r>
            <w:r w:rsidRPr="009368FA">
              <w:rPr>
                <w:rFonts w:ascii="Arial" w:eastAsia="+mn-ea" w:hAnsi="Arial" w:cs="Arial"/>
                <w:color w:val="000000"/>
                <w:sz w:val="20"/>
                <w:szCs w:val="20"/>
              </w:rPr>
              <w:t xml:space="preserve"> 0,9 %, z toho počet vystěhovalých žen se proti předchozímu roku zvýšil o 3,2 % (o 64 žen), počet mužů klesl o 1,8 % (o 31 osob). Nejvíce vystěhovalých osob bylo ve věkové skupině 15 až 64 let (75,7 %). Dětí (věková skupina 0 až 14 let) se vystěhovalo 19,1 % a osob ve věku 65 let a více 5,2</w:t>
            </w:r>
            <w:r w:rsidR="006D354F">
              <w:rPr>
                <w:rFonts w:ascii="Arial" w:eastAsia="+mn-ea" w:hAnsi="Arial" w:cs="Arial"/>
                <w:color w:val="000000"/>
                <w:sz w:val="20"/>
                <w:szCs w:val="20"/>
              </w:rPr>
              <w:t> </w:t>
            </w:r>
            <w:r w:rsidRPr="009368FA">
              <w:rPr>
                <w:rFonts w:ascii="Arial" w:eastAsia="+mn-ea" w:hAnsi="Arial" w:cs="Arial"/>
                <w:color w:val="000000"/>
                <w:sz w:val="20"/>
                <w:szCs w:val="20"/>
              </w:rPr>
              <w:t xml:space="preserve">%. Nejpočetnější skupina </w:t>
            </w:r>
            <w:r w:rsidR="009C7F64">
              <w:rPr>
                <w:rFonts w:ascii="Arial" w:eastAsia="+mn-ea" w:hAnsi="Arial" w:cs="Arial"/>
                <w:color w:val="000000"/>
                <w:sz w:val="20"/>
                <w:szCs w:val="20"/>
              </w:rPr>
              <w:t>vy</w:t>
            </w:r>
            <w:r w:rsidRPr="009368FA">
              <w:rPr>
                <w:rFonts w:ascii="Arial" w:eastAsia="+mn-ea" w:hAnsi="Arial" w:cs="Arial"/>
                <w:color w:val="000000"/>
                <w:sz w:val="20"/>
                <w:szCs w:val="20"/>
              </w:rPr>
              <w:t>stěhovalých osob byla ve</w:t>
            </w:r>
            <w:r w:rsidR="003B1B93">
              <w:rPr>
                <w:rFonts w:ascii="Arial" w:eastAsia="+mn-ea" w:hAnsi="Arial" w:cs="Arial"/>
                <w:color w:val="000000"/>
                <w:sz w:val="20"/>
                <w:szCs w:val="20"/>
              </w:rPr>
              <w:t> </w:t>
            </w:r>
            <w:r w:rsidRPr="009368FA">
              <w:rPr>
                <w:rFonts w:ascii="Arial" w:eastAsia="+mn-ea" w:hAnsi="Arial" w:cs="Arial"/>
                <w:color w:val="000000"/>
                <w:sz w:val="20"/>
                <w:szCs w:val="20"/>
              </w:rPr>
              <w:t>věku 30 až 49 let (35,9 %). Nejvíce lidí se vystěhovalo z okresu Zlín (1 743), nejméně z okresu Uherské Hradiště (1 091 osob).</w:t>
            </w:r>
          </w:p>
          <w:p w:rsidR="00F60790" w:rsidRPr="00644F35" w:rsidRDefault="009368FA" w:rsidP="00BF1AF9">
            <w:pPr>
              <w:pStyle w:val="Normlnweb"/>
              <w:spacing w:before="60" w:beforeAutospacing="0" w:after="60" w:afterAutospacing="0"/>
              <w:jc w:val="both"/>
              <w:rPr>
                <w:rFonts w:ascii="Arial" w:eastAsia="+mn-ea" w:hAnsi="Arial" w:cs="Arial"/>
                <w:color w:val="000000"/>
                <w:sz w:val="20"/>
                <w:szCs w:val="20"/>
                <w:highlight w:val="yellow"/>
              </w:rPr>
            </w:pPr>
            <w:r w:rsidRPr="009368FA">
              <w:rPr>
                <w:rFonts w:ascii="Arial" w:eastAsia="+mn-ea" w:hAnsi="Arial" w:cs="Arial"/>
                <w:color w:val="000000"/>
                <w:sz w:val="20"/>
                <w:szCs w:val="20"/>
              </w:rPr>
              <w:t>V přepočtu na tisíc obyvatel se z kraje v roce 2014 vystěhovalo 6,4 osob.</w:t>
            </w:r>
          </w:p>
          <w:p w:rsidR="00F60790" w:rsidRDefault="00F60790" w:rsidP="00F60790">
            <w:pPr>
              <w:pStyle w:val="Normlnweb"/>
              <w:spacing w:before="60" w:beforeAutospacing="0" w:after="60" w:afterAutospacing="0"/>
              <w:jc w:val="both"/>
              <w:rPr>
                <w:rFonts w:ascii="Arial" w:eastAsia="+mn-ea" w:hAnsi="Arial" w:cs="Arial"/>
                <w:color w:val="000000"/>
                <w:sz w:val="20"/>
                <w:szCs w:val="20"/>
                <w:highlight w:val="yellow"/>
              </w:rPr>
            </w:pPr>
          </w:p>
          <w:p w:rsidR="003B1B93" w:rsidRDefault="003B1B93" w:rsidP="00F60790">
            <w:pPr>
              <w:pStyle w:val="Normlnweb"/>
              <w:spacing w:before="60" w:beforeAutospacing="0" w:after="60" w:afterAutospacing="0"/>
              <w:jc w:val="both"/>
              <w:rPr>
                <w:rFonts w:ascii="Arial" w:eastAsia="+mn-ea" w:hAnsi="Arial" w:cs="Arial"/>
                <w:color w:val="000000"/>
                <w:sz w:val="20"/>
                <w:szCs w:val="20"/>
                <w:highlight w:val="yellow"/>
              </w:rPr>
            </w:pPr>
          </w:p>
          <w:p w:rsidR="003B1B93" w:rsidRDefault="003B1B93" w:rsidP="00F60790">
            <w:pPr>
              <w:pStyle w:val="Normlnweb"/>
              <w:spacing w:before="60" w:beforeAutospacing="0" w:after="60" w:afterAutospacing="0"/>
              <w:jc w:val="both"/>
              <w:rPr>
                <w:rFonts w:ascii="Arial" w:eastAsia="+mn-ea" w:hAnsi="Arial" w:cs="Arial"/>
                <w:color w:val="000000"/>
                <w:sz w:val="20"/>
                <w:szCs w:val="20"/>
                <w:highlight w:val="yellow"/>
              </w:rPr>
            </w:pPr>
          </w:p>
          <w:p w:rsidR="003B1B93" w:rsidRDefault="003B1B93" w:rsidP="00F60790">
            <w:pPr>
              <w:pStyle w:val="Normlnweb"/>
              <w:spacing w:before="60" w:beforeAutospacing="0" w:after="60" w:afterAutospacing="0"/>
              <w:jc w:val="both"/>
              <w:rPr>
                <w:rFonts w:ascii="Arial" w:eastAsia="+mn-ea" w:hAnsi="Arial" w:cs="Arial"/>
                <w:color w:val="000000"/>
                <w:sz w:val="20"/>
                <w:szCs w:val="20"/>
                <w:highlight w:val="yellow"/>
              </w:rPr>
            </w:pPr>
          </w:p>
          <w:p w:rsidR="003B1B93" w:rsidRDefault="003B1B93" w:rsidP="00F60790">
            <w:pPr>
              <w:pStyle w:val="Normlnweb"/>
              <w:spacing w:before="60" w:beforeAutospacing="0" w:after="60" w:afterAutospacing="0"/>
              <w:jc w:val="both"/>
              <w:rPr>
                <w:rFonts w:ascii="Arial" w:eastAsia="+mn-ea" w:hAnsi="Arial" w:cs="Arial"/>
                <w:color w:val="000000"/>
                <w:sz w:val="20"/>
                <w:szCs w:val="20"/>
                <w:highlight w:val="yellow"/>
              </w:rPr>
            </w:pPr>
          </w:p>
          <w:p w:rsidR="00493EB5" w:rsidRDefault="00493EB5" w:rsidP="00F60790">
            <w:pPr>
              <w:pStyle w:val="Normlnweb"/>
              <w:spacing w:before="60" w:beforeAutospacing="0" w:after="60" w:afterAutospacing="0"/>
              <w:jc w:val="both"/>
              <w:rPr>
                <w:rFonts w:ascii="Arial" w:eastAsia="+mn-ea" w:hAnsi="Arial" w:cs="Arial"/>
                <w:color w:val="000000"/>
                <w:sz w:val="20"/>
                <w:szCs w:val="20"/>
                <w:highlight w:val="yellow"/>
              </w:rPr>
            </w:pPr>
          </w:p>
          <w:p w:rsidR="003B1B93" w:rsidRDefault="003B1B93" w:rsidP="00F60790">
            <w:pPr>
              <w:pStyle w:val="Normlnweb"/>
              <w:spacing w:before="60" w:beforeAutospacing="0" w:after="60" w:afterAutospacing="0"/>
              <w:jc w:val="both"/>
              <w:rPr>
                <w:rFonts w:ascii="Arial" w:eastAsia="+mn-ea" w:hAnsi="Arial" w:cs="Arial"/>
                <w:color w:val="000000"/>
                <w:sz w:val="20"/>
                <w:szCs w:val="20"/>
                <w:highlight w:val="yellow"/>
              </w:rPr>
            </w:pPr>
          </w:p>
          <w:p w:rsidR="003B1B93" w:rsidRPr="00644F35" w:rsidRDefault="003B1B93" w:rsidP="00F60790">
            <w:pPr>
              <w:pStyle w:val="Normlnweb"/>
              <w:spacing w:before="60" w:beforeAutospacing="0" w:after="60" w:afterAutospacing="0"/>
              <w:jc w:val="both"/>
              <w:rPr>
                <w:rFonts w:ascii="Arial" w:eastAsia="+mn-ea" w:hAnsi="Arial" w:cs="Arial"/>
                <w:color w:val="000000"/>
                <w:sz w:val="20"/>
                <w:szCs w:val="20"/>
                <w:highlight w:val="yellow"/>
              </w:rPr>
            </w:pPr>
          </w:p>
        </w:tc>
      </w:tr>
      <w:tr w:rsidR="003B1B93" w:rsidRPr="00DC658E" w:rsidTr="003B1B93">
        <w:trPr>
          <w:gridAfter w:val="1"/>
          <w:wAfter w:w="39" w:type="dxa"/>
        </w:trPr>
        <w:tc>
          <w:tcPr>
            <w:tcW w:w="4905" w:type="dxa"/>
            <w:gridSpan w:val="5"/>
            <w:tcMar>
              <w:left w:w="85" w:type="dxa"/>
              <w:right w:w="85" w:type="dxa"/>
            </w:tcMar>
          </w:tcPr>
          <w:p w:rsidR="003B1B93" w:rsidRPr="007071CD" w:rsidRDefault="003B1B93" w:rsidP="003B1B93">
            <w:pPr>
              <w:pStyle w:val="Normlnweb"/>
              <w:spacing w:before="60" w:beforeAutospacing="0" w:after="60" w:afterAutospacing="0"/>
              <w:jc w:val="both"/>
              <w:rPr>
                <w:rFonts w:ascii="Arial" w:eastAsia="+mn-ea" w:hAnsi="Arial" w:cs="Arial"/>
                <w:b/>
                <w:color w:val="000000"/>
                <w:sz w:val="20"/>
                <w:szCs w:val="20"/>
              </w:rPr>
            </w:pPr>
            <w:r w:rsidRPr="007071CD">
              <w:rPr>
                <w:rFonts w:ascii="Arial" w:eastAsia="+mn-ea" w:hAnsi="Arial" w:cs="Arial"/>
                <w:b/>
                <w:color w:val="000000"/>
                <w:sz w:val="20"/>
                <w:szCs w:val="20"/>
              </w:rPr>
              <w:lastRenderedPageBreak/>
              <w:t xml:space="preserve">Graf </w:t>
            </w:r>
            <w:r w:rsidR="00BF1AF9">
              <w:rPr>
                <w:rFonts w:ascii="Arial" w:eastAsia="+mn-ea" w:hAnsi="Arial" w:cs="Arial"/>
                <w:b/>
                <w:color w:val="000000"/>
                <w:sz w:val="20"/>
                <w:szCs w:val="20"/>
              </w:rPr>
              <w:t>1.5</w:t>
            </w:r>
            <w:r w:rsidRPr="007071CD">
              <w:rPr>
                <w:rFonts w:ascii="Arial" w:eastAsia="+mn-ea" w:hAnsi="Arial" w:cs="Arial"/>
                <w:b/>
                <w:color w:val="000000"/>
                <w:sz w:val="20"/>
                <w:szCs w:val="20"/>
              </w:rPr>
              <w:t xml:space="preserve"> Vystěhovalí ze Zlínského kraje </w:t>
            </w:r>
          </w:p>
          <w:p w:rsidR="003B1B93" w:rsidRPr="007071CD" w:rsidRDefault="003B1B93" w:rsidP="003B1B93">
            <w:pPr>
              <w:pStyle w:val="Normlnweb"/>
              <w:spacing w:before="60" w:beforeAutospacing="0" w:after="60" w:afterAutospacing="0"/>
              <w:jc w:val="both"/>
              <w:rPr>
                <w:rFonts w:ascii="Arial" w:eastAsia="+mn-ea" w:hAnsi="Arial" w:cs="Arial"/>
                <w:color w:val="000000"/>
                <w:sz w:val="20"/>
                <w:szCs w:val="20"/>
              </w:rPr>
            </w:pPr>
            <w:r w:rsidRPr="007071CD">
              <w:rPr>
                <w:rFonts w:ascii="Arial" w:eastAsia="+mn-ea" w:hAnsi="Arial" w:cs="Arial"/>
                <w:b/>
                <w:color w:val="000000"/>
                <w:sz w:val="20"/>
                <w:szCs w:val="20"/>
              </w:rPr>
              <w:t xml:space="preserve">       </w:t>
            </w:r>
            <w:r w:rsidR="006D354F">
              <w:rPr>
                <w:rFonts w:ascii="Arial" w:eastAsia="+mn-ea" w:hAnsi="Arial" w:cs="Arial"/>
                <w:b/>
                <w:color w:val="000000"/>
                <w:sz w:val="20"/>
                <w:szCs w:val="20"/>
              </w:rPr>
              <w:t xml:space="preserve">  </w:t>
            </w:r>
            <w:r w:rsidRPr="007071CD">
              <w:rPr>
                <w:rFonts w:ascii="Arial" w:eastAsia="+mn-ea" w:hAnsi="Arial" w:cs="Arial"/>
                <w:b/>
                <w:color w:val="000000"/>
                <w:sz w:val="20"/>
                <w:szCs w:val="20"/>
              </w:rPr>
              <w:t xml:space="preserve">    podle pohlaví</w:t>
            </w:r>
          </w:p>
        </w:tc>
        <w:tc>
          <w:tcPr>
            <w:tcW w:w="4881" w:type="dxa"/>
            <w:tcMar>
              <w:left w:w="85" w:type="dxa"/>
              <w:right w:w="85" w:type="dxa"/>
            </w:tcMar>
          </w:tcPr>
          <w:p w:rsidR="003B1B93" w:rsidRPr="007071CD" w:rsidRDefault="003B1B93" w:rsidP="003B1B93">
            <w:pPr>
              <w:pStyle w:val="Normlnweb"/>
              <w:spacing w:before="60" w:beforeAutospacing="0" w:after="60" w:afterAutospacing="0"/>
              <w:jc w:val="both"/>
              <w:rPr>
                <w:rFonts w:ascii="Arial" w:eastAsia="+mn-ea" w:hAnsi="Arial" w:cs="Arial"/>
                <w:b/>
                <w:color w:val="000000"/>
                <w:sz w:val="20"/>
                <w:szCs w:val="20"/>
              </w:rPr>
            </w:pPr>
            <w:r w:rsidRPr="007071CD">
              <w:rPr>
                <w:rFonts w:ascii="Arial" w:eastAsia="+mn-ea" w:hAnsi="Arial" w:cs="Arial"/>
                <w:b/>
                <w:color w:val="000000"/>
                <w:sz w:val="20"/>
                <w:szCs w:val="20"/>
              </w:rPr>
              <w:t xml:space="preserve">Graf </w:t>
            </w:r>
            <w:r w:rsidR="00BF1AF9">
              <w:rPr>
                <w:rFonts w:ascii="Arial" w:eastAsia="+mn-ea" w:hAnsi="Arial" w:cs="Arial"/>
                <w:b/>
                <w:color w:val="000000"/>
                <w:sz w:val="20"/>
                <w:szCs w:val="20"/>
              </w:rPr>
              <w:t>1.6</w:t>
            </w:r>
            <w:r w:rsidRPr="007071CD">
              <w:rPr>
                <w:rFonts w:ascii="Arial" w:eastAsia="+mn-ea" w:hAnsi="Arial" w:cs="Arial"/>
                <w:b/>
                <w:color w:val="000000"/>
                <w:sz w:val="20"/>
                <w:szCs w:val="20"/>
              </w:rPr>
              <w:t xml:space="preserve"> Vystěhovalí ze Zlínského kraje podle </w:t>
            </w:r>
          </w:p>
          <w:p w:rsidR="003B1B93" w:rsidRPr="00C215A8" w:rsidRDefault="003B1B93" w:rsidP="003B1B93">
            <w:pPr>
              <w:pStyle w:val="Normlnweb"/>
              <w:spacing w:before="60" w:beforeAutospacing="0" w:after="60" w:afterAutospacing="0"/>
              <w:jc w:val="both"/>
              <w:rPr>
                <w:rFonts w:ascii="Arial" w:eastAsia="+mn-ea" w:hAnsi="Arial" w:cs="Arial"/>
                <w:color w:val="000000"/>
                <w:sz w:val="20"/>
                <w:szCs w:val="20"/>
                <w:highlight w:val="yellow"/>
              </w:rPr>
            </w:pPr>
            <w:r w:rsidRPr="007071CD">
              <w:rPr>
                <w:rFonts w:ascii="Arial" w:eastAsia="+mn-ea" w:hAnsi="Arial" w:cs="Arial"/>
                <w:b/>
                <w:color w:val="000000"/>
                <w:sz w:val="20"/>
                <w:szCs w:val="20"/>
              </w:rPr>
              <w:t xml:space="preserve">      </w:t>
            </w:r>
            <w:r w:rsidR="006D354F">
              <w:rPr>
                <w:rFonts w:ascii="Arial" w:eastAsia="+mn-ea" w:hAnsi="Arial" w:cs="Arial"/>
                <w:b/>
                <w:color w:val="000000"/>
                <w:sz w:val="20"/>
                <w:szCs w:val="20"/>
              </w:rPr>
              <w:t xml:space="preserve">  </w:t>
            </w:r>
            <w:r w:rsidRPr="007071CD">
              <w:rPr>
                <w:rFonts w:ascii="Arial" w:eastAsia="+mn-ea" w:hAnsi="Arial" w:cs="Arial"/>
                <w:b/>
                <w:color w:val="000000"/>
                <w:sz w:val="20"/>
                <w:szCs w:val="20"/>
              </w:rPr>
              <w:t xml:space="preserve">     věkových skupin</w:t>
            </w:r>
            <w:r w:rsidRPr="007071CD">
              <w:rPr>
                <w:rFonts w:ascii="Arial" w:eastAsia="+mn-ea" w:hAnsi="Arial" w:cs="Arial"/>
                <w:color w:val="000000"/>
                <w:sz w:val="20"/>
                <w:szCs w:val="20"/>
              </w:rPr>
              <w:t xml:space="preserve"> </w:t>
            </w:r>
          </w:p>
        </w:tc>
      </w:tr>
      <w:tr w:rsidR="003B1B93" w:rsidRPr="00DC658E" w:rsidTr="003B1B93">
        <w:trPr>
          <w:gridAfter w:val="1"/>
          <w:wAfter w:w="39" w:type="dxa"/>
        </w:trPr>
        <w:tc>
          <w:tcPr>
            <w:tcW w:w="4905" w:type="dxa"/>
            <w:gridSpan w:val="5"/>
            <w:tcMar>
              <w:left w:w="85" w:type="dxa"/>
              <w:right w:w="85" w:type="dxa"/>
            </w:tcMar>
          </w:tcPr>
          <w:p w:rsidR="003B1B93" w:rsidRPr="00644F35" w:rsidRDefault="009956CB" w:rsidP="00F60790">
            <w:pPr>
              <w:spacing w:before="60" w:after="60"/>
              <w:jc w:val="left"/>
              <w:rPr>
                <w:b/>
                <w:i/>
                <w:szCs w:val="20"/>
                <w:highlight w:val="yellow"/>
              </w:rPr>
            </w:pPr>
            <w:r w:rsidRPr="00286EFA">
              <w:rPr>
                <w:rFonts w:eastAsia="+mn-ea" w:cs="Arial"/>
                <w:color w:val="000000"/>
                <w:szCs w:val="20"/>
              </w:rPr>
              <w:pict>
                <v:shape id="_x0000_i1029" type="#_x0000_t75" style="width:210.75pt;height:181.5pt">
                  <v:imagedata r:id="rId21" o:title=""/>
                </v:shape>
              </w:pict>
            </w:r>
          </w:p>
        </w:tc>
        <w:tc>
          <w:tcPr>
            <w:tcW w:w="4881" w:type="dxa"/>
            <w:tcMar>
              <w:left w:w="85" w:type="dxa"/>
              <w:right w:w="85" w:type="dxa"/>
            </w:tcMar>
            <w:vAlign w:val="center"/>
          </w:tcPr>
          <w:p w:rsidR="003B1B93" w:rsidRDefault="009956CB" w:rsidP="003B1B93">
            <w:pPr>
              <w:pStyle w:val="Normlnweb"/>
              <w:spacing w:before="60" w:beforeAutospacing="0" w:after="60" w:afterAutospacing="0"/>
              <w:jc w:val="both"/>
              <w:rPr>
                <w:rFonts w:ascii="Arial" w:eastAsia="+mn-ea" w:hAnsi="Arial" w:cs="Arial"/>
                <w:color w:val="000000"/>
                <w:sz w:val="20"/>
                <w:szCs w:val="20"/>
              </w:rPr>
            </w:pPr>
            <w:r w:rsidRPr="00286EFA">
              <w:rPr>
                <w:rFonts w:ascii="Arial" w:eastAsia="+mn-ea" w:hAnsi="Arial" w:cs="Arial"/>
                <w:color w:val="000000"/>
                <w:sz w:val="20"/>
                <w:szCs w:val="20"/>
              </w:rPr>
              <w:pict>
                <v:shape id="_x0000_i1030" type="#_x0000_t75" style="width:210pt;height:204pt">
                  <v:imagedata r:id="rId22" o:title=""/>
                </v:shape>
              </w:pict>
            </w:r>
          </w:p>
          <w:p w:rsidR="003B1B93" w:rsidRPr="009368FA" w:rsidRDefault="003B1B93" w:rsidP="003B1B93">
            <w:pPr>
              <w:pStyle w:val="Normlnweb"/>
              <w:spacing w:before="60" w:after="60"/>
              <w:jc w:val="both"/>
              <w:rPr>
                <w:rFonts w:ascii="Arial" w:eastAsia="+mn-ea" w:hAnsi="Arial" w:cs="Arial"/>
                <w:color w:val="000000"/>
                <w:sz w:val="20"/>
                <w:szCs w:val="20"/>
              </w:rPr>
            </w:pPr>
          </w:p>
        </w:tc>
      </w:tr>
      <w:tr w:rsidR="003B1B93" w:rsidRPr="00DC658E" w:rsidTr="00890C89">
        <w:trPr>
          <w:gridAfter w:val="1"/>
          <w:wAfter w:w="39" w:type="dxa"/>
          <w:trHeight w:val="4044"/>
        </w:trPr>
        <w:tc>
          <w:tcPr>
            <w:tcW w:w="9786" w:type="dxa"/>
            <w:gridSpan w:val="6"/>
            <w:tcMar>
              <w:left w:w="85" w:type="dxa"/>
              <w:right w:w="85" w:type="dxa"/>
            </w:tcMar>
            <w:vAlign w:val="center"/>
          </w:tcPr>
          <w:p w:rsidR="003B1B93" w:rsidRPr="00644F35" w:rsidRDefault="003B1B93" w:rsidP="00F60790">
            <w:pPr>
              <w:spacing w:after="120"/>
              <w:rPr>
                <w:szCs w:val="20"/>
                <w:highlight w:val="yellow"/>
              </w:rPr>
            </w:pPr>
          </w:p>
          <w:p w:rsidR="003B1B93" w:rsidRPr="00644F35" w:rsidRDefault="009956CB" w:rsidP="00F60790">
            <w:pPr>
              <w:spacing w:after="120"/>
              <w:rPr>
                <w:szCs w:val="20"/>
                <w:highlight w:val="yellow"/>
              </w:rPr>
            </w:pPr>
            <w:r w:rsidRPr="00286EFA">
              <w:rPr>
                <w:rFonts w:eastAsia="+mn-ea" w:cs="Arial"/>
                <w:color w:val="000000"/>
                <w:szCs w:val="20"/>
              </w:rPr>
              <w:pict>
                <v:shape id="_x0000_i1031" type="#_x0000_t75" style="width:480.75pt;height:339.75pt">
                  <v:imagedata r:id="rId23" o:title="prirustek_stehovani_2014"/>
                </v:shape>
              </w:pict>
            </w:r>
          </w:p>
        </w:tc>
      </w:tr>
      <w:tr w:rsidR="004846BB" w:rsidRPr="00DC658E" w:rsidTr="004846BB">
        <w:trPr>
          <w:gridAfter w:val="1"/>
          <w:wAfter w:w="39" w:type="dxa"/>
          <w:cantSplit/>
          <w:trHeight w:val="255"/>
        </w:trPr>
        <w:tc>
          <w:tcPr>
            <w:tcW w:w="2212" w:type="dxa"/>
            <w:gridSpan w:val="3"/>
            <w:tcMar>
              <w:left w:w="85" w:type="dxa"/>
              <w:right w:w="85" w:type="dxa"/>
            </w:tcMar>
          </w:tcPr>
          <w:p w:rsidR="004846BB" w:rsidRPr="004E6B55" w:rsidRDefault="004846BB" w:rsidP="00292E4A">
            <w:pPr>
              <w:spacing w:before="60" w:after="60"/>
              <w:jc w:val="left"/>
              <w:rPr>
                <w:b/>
                <w:bCs/>
                <w:i/>
                <w:szCs w:val="20"/>
                <w:highlight w:val="yellow"/>
              </w:rPr>
            </w:pPr>
            <w:r w:rsidRPr="004E6B55">
              <w:rPr>
                <w:b/>
                <w:bCs/>
                <w:i/>
                <w:szCs w:val="20"/>
              </w:rPr>
              <w:lastRenderedPageBreak/>
              <w:t>Jsme krajem s druhým nejmenším počtem cizinců</w:t>
            </w:r>
          </w:p>
        </w:tc>
        <w:tc>
          <w:tcPr>
            <w:tcW w:w="7574" w:type="dxa"/>
            <w:gridSpan w:val="3"/>
          </w:tcPr>
          <w:p w:rsidR="004846BB" w:rsidRPr="004846BB" w:rsidRDefault="004846BB" w:rsidP="00292E4A">
            <w:pPr>
              <w:spacing w:before="60" w:after="60"/>
              <w:rPr>
                <w:bCs/>
                <w:szCs w:val="20"/>
              </w:rPr>
            </w:pPr>
            <w:r w:rsidRPr="004846BB">
              <w:rPr>
                <w:bCs/>
                <w:szCs w:val="20"/>
              </w:rPr>
              <w:t>Podle předběžných údajů statistiky cizinců Ministerstva vnitra ČR na území České republiky k 31. 12. 2014 bylo na území Zlínského kraje evidováno celkem 8 10</w:t>
            </w:r>
            <w:r w:rsidR="002C6D1C">
              <w:rPr>
                <w:bCs/>
                <w:szCs w:val="20"/>
              </w:rPr>
              <w:t>6</w:t>
            </w:r>
            <w:r w:rsidRPr="004846BB">
              <w:rPr>
                <w:bCs/>
                <w:szCs w:val="20"/>
              </w:rPr>
              <w:t xml:space="preserve"> cizinců, z toho 43,0 % žen. Ze všech krajů měl Zlínský druhý nejnižší počet cizinců (po Kraji Vysočina) a v podílu cizinců na obyvatelstvu kraje celkem dosáhl nejnižší hodnoty 1,4 % a předstihl tak kraj Vysočinu (druhá nejnižší hodnota 1,5 %).</w:t>
            </w:r>
          </w:p>
          <w:p w:rsidR="004846BB" w:rsidRPr="004846BB" w:rsidRDefault="004846BB" w:rsidP="00292E4A">
            <w:pPr>
              <w:spacing w:before="60" w:after="60"/>
              <w:rPr>
                <w:bCs/>
                <w:szCs w:val="20"/>
              </w:rPr>
            </w:pPr>
            <w:r w:rsidRPr="004846BB">
              <w:rPr>
                <w:bCs/>
                <w:szCs w:val="20"/>
              </w:rPr>
              <w:t>Z celkového evidovaného počtu cizinců bylo ve Zlínském kraji nejvíce Slováků (45,7</w:t>
            </w:r>
            <w:r>
              <w:rPr>
                <w:bCs/>
                <w:szCs w:val="20"/>
              </w:rPr>
              <w:t> </w:t>
            </w:r>
            <w:r w:rsidRPr="004846BB">
              <w:rPr>
                <w:bCs/>
                <w:szCs w:val="20"/>
              </w:rPr>
              <w:t>%), Ukrajinců (11,1 %), Vietnamců (9,4 %), Poláků (3,9 %), Mongolů (3,</w:t>
            </w:r>
            <w:r w:rsidR="005967F4">
              <w:rPr>
                <w:bCs/>
                <w:szCs w:val="20"/>
              </w:rPr>
              <w:t xml:space="preserve">4 </w:t>
            </w:r>
            <w:r w:rsidRPr="004846BB">
              <w:rPr>
                <w:bCs/>
                <w:szCs w:val="20"/>
              </w:rPr>
              <w:t xml:space="preserve">%), Rusů (3,0 %), Němců (2,6 %), Rumunů (2,1 %), Italů (1,9 %) a Bělorusů (1,6 %). </w:t>
            </w:r>
          </w:p>
          <w:p w:rsidR="004846BB" w:rsidRPr="004846BB" w:rsidRDefault="004846BB" w:rsidP="00292E4A">
            <w:pPr>
              <w:spacing w:before="60" w:after="60"/>
              <w:rPr>
                <w:bCs/>
                <w:szCs w:val="20"/>
                <w:highlight w:val="yellow"/>
              </w:rPr>
            </w:pPr>
          </w:p>
        </w:tc>
      </w:tr>
      <w:tr w:rsidR="003B1B93" w:rsidRPr="00DC658E" w:rsidTr="00890C89">
        <w:trPr>
          <w:gridAfter w:val="1"/>
          <w:wAfter w:w="39" w:type="dxa"/>
          <w:cantSplit/>
          <w:trHeight w:val="255"/>
        </w:trPr>
        <w:tc>
          <w:tcPr>
            <w:tcW w:w="9786" w:type="dxa"/>
            <w:gridSpan w:val="6"/>
            <w:tcMar>
              <w:left w:w="85" w:type="dxa"/>
              <w:right w:w="85" w:type="dxa"/>
            </w:tcMar>
          </w:tcPr>
          <w:p w:rsidR="003B1B93" w:rsidRPr="00644F35" w:rsidRDefault="00292E4A" w:rsidP="00BF1AF9">
            <w:pPr>
              <w:spacing w:before="60" w:after="60"/>
              <w:rPr>
                <w:b/>
                <w:bCs/>
                <w:szCs w:val="20"/>
                <w:highlight w:val="yellow"/>
              </w:rPr>
            </w:pPr>
            <w:r w:rsidRPr="00292E4A">
              <w:rPr>
                <w:b/>
                <w:bCs/>
                <w:szCs w:val="20"/>
              </w:rPr>
              <w:t xml:space="preserve">Graf </w:t>
            </w:r>
            <w:r w:rsidR="00BF1AF9">
              <w:rPr>
                <w:b/>
                <w:bCs/>
                <w:szCs w:val="20"/>
              </w:rPr>
              <w:t>1.7</w:t>
            </w:r>
            <w:r w:rsidRPr="00292E4A">
              <w:rPr>
                <w:b/>
                <w:bCs/>
                <w:szCs w:val="20"/>
              </w:rPr>
              <w:t xml:space="preserve"> Celkový přírůstek (úbytek) n</w:t>
            </w:r>
            <w:r w:rsidR="009F2552">
              <w:rPr>
                <w:b/>
                <w:bCs/>
                <w:szCs w:val="20"/>
              </w:rPr>
              <w:t>a</w:t>
            </w:r>
            <w:r w:rsidRPr="00292E4A">
              <w:rPr>
                <w:b/>
                <w:bCs/>
                <w:szCs w:val="20"/>
              </w:rPr>
              <w:t xml:space="preserve"> tisíc obyvatel středního stavu v krajích ČR k 31. 12. 2014.</w:t>
            </w:r>
          </w:p>
        </w:tc>
      </w:tr>
      <w:tr w:rsidR="003B1B93" w:rsidRPr="00DC658E" w:rsidTr="00890C89">
        <w:trPr>
          <w:gridAfter w:val="1"/>
          <w:wAfter w:w="39" w:type="dxa"/>
          <w:trHeight w:val="3593"/>
        </w:trPr>
        <w:tc>
          <w:tcPr>
            <w:tcW w:w="9786" w:type="dxa"/>
            <w:gridSpan w:val="6"/>
            <w:tcMar>
              <w:left w:w="85" w:type="dxa"/>
              <w:right w:w="85" w:type="dxa"/>
            </w:tcMar>
            <w:vAlign w:val="center"/>
          </w:tcPr>
          <w:p w:rsidR="003B1B93" w:rsidRPr="00644F35" w:rsidRDefault="009956CB" w:rsidP="00292E4A">
            <w:pPr>
              <w:spacing w:after="120"/>
              <w:jc w:val="center"/>
              <w:rPr>
                <w:szCs w:val="20"/>
                <w:highlight w:val="yellow"/>
              </w:rPr>
            </w:pPr>
            <w:r w:rsidRPr="00286EFA">
              <w:rPr>
                <w:szCs w:val="20"/>
              </w:rPr>
              <w:pict>
                <v:shape id="_x0000_i1032" type="#_x0000_t75" style="width:413.25pt;height:212.25pt">
                  <v:imagedata r:id="rId24" o:title=""/>
                </v:shape>
              </w:pict>
            </w:r>
          </w:p>
        </w:tc>
      </w:tr>
      <w:tr w:rsidR="00040590" w:rsidRPr="00DC658E" w:rsidTr="00890C89">
        <w:trPr>
          <w:gridAfter w:val="1"/>
          <w:wAfter w:w="39" w:type="dxa"/>
          <w:trHeight w:val="3593"/>
        </w:trPr>
        <w:tc>
          <w:tcPr>
            <w:tcW w:w="9786" w:type="dxa"/>
            <w:gridSpan w:val="6"/>
            <w:tcMar>
              <w:left w:w="85" w:type="dxa"/>
              <w:right w:w="85" w:type="dxa"/>
            </w:tcMar>
            <w:vAlign w:val="center"/>
          </w:tcPr>
          <w:p w:rsidR="00040590" w:rsidRDefault="009956CB" w:rsidP="00292E4A">
            <w:pPr>
              <w:spacing w:after="120"/>
              <w:jc w:val="center"/>
              <w:rPr>
                <w:rFonts w:eastAsia="+mn-ea" w:cs="Arial"/>
                <w:color w:val="000000"/>
                <w:szCs w:val="20"/>
              </w:rPr>
            </w:pPr>
            <w:r w:rsidRPr="00286EFA">
              <w:rPr>
                <w:rFonts w:eastAsia="+mn-ea" w:cs="Arial"/>
                <w:color w:val="000000"/>
                <w:szCs w:val="20"/>
              </w:rPr>
              <w:pict>
                <v:shape id="_x0000_i1033" type="#_x0000_t75" style="width:480.75pt;height:339.75pt">
                  <v:imagedata r:id="rId25" o:title="prirustek_celkem_2014"/>
                </v:shape>
              </w:pict>
            </w:r>
          </w:p>
          <w:p w:rsidR="00040590" w:rsidRPr="001A5E9C" w:rsidRDefault="00040590" w:rsidP="00292E4A">
            <w:pPr>
              <w:spacing w:after="120"/>
              <w:jc w:val="center"/>
              <w:rPr>
                <w:szCs w:val="20"/>
              </w:rPr>
            </w:pPr>
          </w:p>
        </w:tc>
      </w:tr>
      <w:tr w:rsidR="003B1B93" w:rsidRPr="00DC658E" w:rsidTr="00890C89">
        <w:trPr>
          <w:gridAfter w:val="1"/>
          <w:wAfter w:w="39" w:type="dxa"/>
        </w:trPr>
        <w:tc>
          <w:tcPr>
            <w:tcW w:w="2031" w:type="dxa"/>
            <w:tcMar>
              <w:left w:w="85" w:type="dxa"/>
              <w:right w:w="85" w:type="dxa"/>
            </w:tcMar>
          </w:tcPr>
          <w:p w:rsidR="003B1B93" w:rsidRPr="00644F35" w:rsidRDefault="003B1B93" w:rsidP="00871571">
            <w:pPr>
              <w:spacing w:before="60" w:after="60"/>
              <w:jc w:val="left"/>
              <w:rPr>
                <w:b/>
                <w:i/>
                <w:szCs w:val="20"/>
                <w:highlight w:val="yellow"/>
              </w:rPr>
            </w:pPr>
            <w:r w:rsidRPr="00FA7F3F">
              <w:rPr>
                <w:b/>
                <w:i/>
                <w:szCs w:val="20"/>
              </w:rPr>
              <w:lastRenderedPageBreak/>
              <w:t>V kraji přibývá obyvatel důchodového věku</w:t>
            </w:r>
          </w:p>
        </w:tc>
        <w:tc>
          <w:tcPr>
            <w:tcW w:w="7755" w:type="dxa"/>
            <w:gridSpan w:val="5"/>
            <w:tcMar>
              <w:left w:w="85" w:type="dxa"/>
              <w:right w:w="85" w:type="dxa"/>
            </w:tcMar>
            <w:vAlign w:val="center"/>
          </w:tcPr>
          <w:p w:rsidR="003B1B93" w:rsidRDefault="002B259A" w:rsidP="00871571">
            <w:pPr>
              <w:pStyle w:val="Normlnweb"/>
              <w:spacing w:before="60" w:beforeAutospacing="0" w:after="60" w:afterAutospacing="0"/>
              <w:jc w:val="both"/>
              <w:rPr>
                <w:rFonts w:ascii="Arial" w:eastAsia="+mn-ea" w:hAnsi="Arial" w:cs="Arial"/>
                <w:color w:val="000000"/>
                <w:sz w:val="20"/>
                <w:szCs w:val="20"/>
              </w:rPr>
            </w:pPr>
            <w:r w:rsidRPr="002B259A">
              <w:rPr>
                <w:rFonts w:ascii="Arial" w:eastAsia="+mn-ea" w:hAnsi="Arial" w:cs="Arial"/>
                <w:color w:val="000000"/>
                <w:sz w:val="20"/>
                <w:szCs w:val="20"/>
              </w:rPr>
              <w:t>Z hlediska věkové struktury došlo meziročně ke změnám, které jsou zřejmé zvláště v</w:t>
            </w:r>
            <w:r w:rsidR="00CC5AFE">
              <w:rPr>
                <w:rFonts w:ascii="Arial" w:eastAsia="+mn-ea" w:hAnsi="Arial" w:cs="Arial"/>
                <w:color w:val="000000"/>
                <w:sz w:val="20"/>
                <w:szCs w:val="20"/>
              </w:rPr>
              <w:t> </w:t>
            </w:r>
            <w:r w:rsidRPr="002B259A">
              <w:rPr>
                <w:rFonts w:ascii="Arial" w:eastAsia="+mn-ea" w:hAnsi="Arial" w:cs="Arial"/>
                <w:color w:val="000000"/>
                <w:sz w:val="20"/>
                <w:szCs w:val="20"/>
              </w:rPr>
              <w:t>kategoriích produktivních osob (15 až 64 let) a poproduktivních osob (65 let a</w:t>
            </w:r>
            <w:r w:rsidR="00871571">
              <w:rPr>
                <w:rFonts w:ascii="Arial" w:eastAsia="+mn-ea" w:hAnsi="Arial" w:cs="Arial"/>
                <w:color w:val="000000"/>
                <w:sz w:val="20"/>
                <w:szCs w:val="20"/>
              </w:rPr>
              <w:t> </w:t>
            </w:r>
            <w:r w:rsidRPr="002B259A">
              <w:rPr>
                <w:rFonts w:ascii="Arial" w:eastAsia="+mn-ea" w:hAnsi="Arial" w:cs="Arial"/>
                <w:color w:val="000000"/>
                <w:sz w:val="20"/>
                <w:szCs w:val="20"/>
              </w:rPr>
              <w:t xml:space="preserve">starších). Proti roku 2013 podíl obyvatel v produktivním věku poklesl o 0,6 procentního bodu a naopak vzrostl v poproduktivní skupině o 0,5 bodu. Zastoupení dětské složky (0 až 14 let) se zvýšilo jen o 0,1 </w:t>
            </w:r>
            <w:proofErr w:type="spellStart"/>
            <w:proofErr w:type="gramStart"/>
            <w:r w:rsidRPr="002B259A">
              <w:rPr>
                <w:rFonts w:ascii="Arial" w:eastAsia="+mn-ea" w:hAnsi="Arial" w:cs="Arial"/>
                <w:color w:val="000000"/>
                <w:sz w:val="20"/>
                <w:szCs w:val="20"/>
              </w:rPr>
              <w:t>p.b</w:t>
            </w:r>
            <w:proofErr w:type="spellEnd"/>
            <w:r w:rsidRPr="002B259A">
              <w:rPr>
                <w:rFonts w:ascii="Arial" w:eastAsia="+mn-ea" w:hAnsi="Arial" w:cs="Arial"/>
                <w:color w:val="000000"/>
                <w:sz w:val="20"/>
                <w:szCs w:val="20"/>
              </w:rPr>
              <w:t>.</w:t>
            </w:r>
            <w:proofErr w:type="gramEnd"/>
            <w:r w:rsidRPr="002B259A">
              <w:rPr>
                <w:rFonts w:ascii="Arial" w:eastAsia="+mn-ea" w:hAnsi="Arial" w:cs="Arial"/>
                <w:color w:val="000000"/>
                <w:sz w:val="20"/>
                <w:szCs w:val="20"/>
              </w:rPr>
              <w:t xml:space="preserve"> V souvislosti s tímto vývojem se tak během roku průměrný věk obyvatel kraje </w:t>
            </w:r>
            <w:proofErr w:type="gramStart"/>
            <w:r w:rsidRPr="002B259A">
              <w:rPr>
                <w:rFonts w:ascii="Arial" w:eastAsia="+mn-ea" w:hAnsi="Arial" w:cs="Arial"/>
                <w:color w:val="000000"/>
                <w:sz w:val="20"/>
                <w:szCs w:val="20"/>
              </w:rPr>
              <w:t>zvýšil z 42,0</w:t>
            </w:r>
            <w:proofErr w:type="gramEnd"/>
            <w:r w:rsidRPr="002B259A">
              <w:rPr>
                <w:rFonts w:ascii="Arial" w:eastAsia="+mn-ea" w:hAnsi="Arial" w:cs="Arial"/>
                <w:color w:val="000000"/>
                <w:sz w:val="20"/>
                <w:szCs w:val="20"/>
              </w:rPr>
              <w:t xml:space="preserve"> let na 42,2 let. Tedy v</w:t>
            </w:r>
            <w:r w:rsidR="00871571">
              <w:rPr>
                <w:rFonts w:ascii="Arial" w:eastAsia="+mn-ea" w:hAnsi="Arial" w:cs="Arial"/>
                <w:color w:val="000000"/>
                <w:sz w:val="20"/>
                <w:szCs w:val="20"/>
              </w:rPr>
              <w:t> </w:t>
            </w:r>
            <w:r w:rsidRPr="002B259A">
              <w:rPr>
                <w:rFonts w:ascii="Arial" w:eastAsia="+mn-ea" w:hAnsi="Arial" w:cs="Arial"/>
                <w:color w:val="000000"/>
                <w:sz w:val="20"/>
                <w:szCs w:val="20"/>
              </w:rPr>
              <w:t>absolutních hodnotách meziročně v kraji přibylo 409 dětí, ubylo 4 183 osob v</w:t>
            </w:r>
            <w:r w:rsidR="00871571">
              <w:rPr>
                <w:rFonts w:ascii="Arial" w:eastAsia="+mn-ea" w:hAnsi="Arial" w:cs="Arial"/>
                <w:color w:val="000000"/>
                <w:sz w:val="20"/>
                <w:szCs w:val="20"/>
              </w:rPr>
              <w:t> </w:t>
            </w:r>
            <w:r w:rsidRPr="002B259A">
              <w:rPr>
                <w:rFonts w:ascii="Arial" w:eastAsia="+mn-ea" w:hAnsi="Arial" w:cs="Arial"/>
                <w:color w:val="000000"/>
                <w:sz w:val="20"/>
                <w:szCs w:val="20"/>
              </w:rPr>
              <w:t>produktivním věku a zvýšil se počet osob poproduktivního věku o 2</w:t>
            </w:r>
            <w:r w:rsidR="00871571">
              <w:rPr>
                <w:rFonts w:ascii="Arial" w:eastAsia="+mn-ea" w:hAnsi="Arial" w:cs="Arial"/>
                <w:color w:val="000000"/>
                <w:sz w:val="20"/>
                <w:szCs w:val="20"/>
              </w:rPr>
              <w:t> </w:t>
            </w:r>
            <w:r w:rsidRPr="002B259A">
              <w:rPr>
                <w:rFonts w:ascii="Arial" w:eastAsia="+mn-ea" w:hAnsi="Arial" w:cs="Arial"/>
                <w:color w:val="000000"/>
                <w:sz w:val="20"/>
                <w:szCs w:val="20"/>
              </w:rPr>
              <w:t>736.</w:t>
            </w:r>
          </w:p>
          <w:p w:rsidR="00871571" w:rsidRPr="00644F35" w:rsidRDefault="00871571" w:rsidP="00871571">
            <w:pPr>
              <w:pStyle w:val="Normlnweb"/>
              <w:spacing w:before="60" w:beforeAutospacing="0" w:after="60" w:afterAutospacing="0"/>
              <w:jc w:val="both"/>
              <w:rPr>
                <w:szCs w:val="20"/>
                <w:highlight w:val="yellow"/>
              </w:rPr>
            </w:pPr>
          </w:p>
        </w:tc>
      </w:tr>
      <w:tr w:rsidR="00871571" w:rsidRPr="00DC658E" w:rsidTr="00871571">
        <w:trPr>
          <w:gridAfter w:val="1"/>
          <w:wAfter w:w="39" w:type="dxa"/>
        </w:trPr>
        <w:tc>
          <w:tcPr>
            <w:tcW w:w="9786" w:type="dxa"/>
            <w:gridSpan w:val="6"/>
            <w:tcMar>
              <w:left w:w="85" w:type="dxa"/>
              <w:right w:w="85" w:type="dxa"/>
            </w:tcMar>
          </w:tcPr>
          <w:p w:rsidR="00871571" w:rsidRPr="00517022" w:rsidRDefault="00871571" w:rsidP="00BF1AF9">
            <w:pPr>
              <w:pStyle w:val="Normlnweb"/>
              <w:spacing w:before="60" w:beforeAutospacing="0" w:after="60" w:afterAutospacing="0"/>
              <w:jc w:val="both"/>
              <w:rPr>
                <w:rFonts w:ascii="Arial" w:eastAsia="+mn-ea" w:hAnsi="Arial" w:cs="Arial"/>
                <w:b/>
                <w:color w:val="000000"/>
                <w:sz w:val="20"/>
                <w:szCs w:val="20"/>
              </w:rPr>
            </w:pPr>
            <w:r w:rsidRPr="00517022">
              <w:rPr>
                <w:rFonts w:ascii="Arial" w:eastAsia="+mn-ea" w:hAnsi="Arial" w:cs="Arial"/>
                <w:b/>
                <w:color w:val="000000"/>
                <w:sz w:val="20"/>
                <w:szCs w:val="20"/>
              </w:rPr>
              <w:t>Tabulka 1</w:t>
            </w:r>
            <w:r w:rsidR="00BF1AF9">
              <w:rPr>
                <w:rFonts w:ascii="Arial" w:eastAsia="+mn-ea" w:hAnsi="Arial" w:cs="Arial"/>
                <w:b/>
                <w:color w:val="000000"/>
                <w:sz w:val="20"/>
                <w:szCs w:val="20"/>
              </w:rPr>
              <w:t>.1</w:t>
            </w:r>
            <w:r w:rsidR="009476E1">
              <w:rPr>
                <w:rFonts w:ascii="Arial" w:eastAsia="+mn-ea" w:hAnsi="Arial" w:cs="Arial"/>
                <w:b/>
                <w:color w:val="000000"/>
                <w:sz w:val="20"/>
                <w:szCs w:val="20"/>
              </w:rPr>
              <w:t xml:space="preserve"> </w:t>
            </w:r>
            <w:r w:rsidRPr="00517022">
              <w:rPr>
                <w:rFonts w:ascii="Arial" w:eastAsia="+mn-ea" w:hAnsi="Arial" w:cs="Arial"/>
                <w:b/>
                <w:color w:val="000000"/>
                <w:sz w:val="20"/>
                <w:szCs w:val="20"/>
              </w:rPr>
              <w:t>Struktura obyvatel Zlínského kraje a jeho okresů podle věkových skupin</w:t>
            </w:r>
          </w:p>
        </w:tc>
      </w:tr>
      <w:tr w:rsidR="00871571" w:rsidRPr="00DC658E" w:rsidTr="00871571">
        <w:trPr>
          <w:gridAfter w:val="1"/>
          <w:wAfter w:w="39" w:type="dxa"/>
        </w:trPr>
        <w:tc>
          <w:tcPr>
            <w:tcW w:w="9786" w:type="dxa"/>
            <w:gridSpan w:val="6"/>
            <w:tcMar>
              <w:left w:w="85" w:type="dxa"/>
              <w:right w:w="85" w:type="dxa"/>
            </w:tcMar>
          </w:tcPr>
          <w:p w:rsidR="00871571" w:rsidRPr="002B259A" w:rsidRDefault="009956CB" w:rsidP="00871571">
            <w:pPr>
              <w:pStyle w:val="Normlnweb"/>
              <w:spacing w:before="60" w:beforeAutospacing="0" w:after="60" w:afterAutospacing="0"/>
              <w:jc w:val="center"/>
              <w:rPr>
                <w:rFonts w:ascii="Arial" w:eastAsia="+mn-ea" w:hAnsi="Arial" w:cs="Arial"/>
                <w:color w:val="000000"/>
                <w:sz w:val="20"/>
                <w:szCs w:val="20"/>
              </w:rPr>
            </w:pPr>
            <w:r w:rsidRPr="00286EFA">
              <w:rPr>
                <w:szCs w:val="20"/>
              </w:rPr>
              <w:pict>
                <v:shape id="_x0000_i1034" type="#_x0000_t75" style="width:480.75pt;height:166.5pt">
                  <v:imagedata r:id="rId26" o:title=""/>
                </v:shape>
              </w:pict>
            </w:r>
          </w:p>
        </w:tc>
      </w:tr>
      <w:tr w:rsidR="003B1B93" w:rsidRPr="00DC658E" w:rsidTr="00890C89">
        <w:trPr>
          <w:gridAfter w:val="1"/>
          <w:wAfter w:w="39" w:type="dxa"/>
        </w:trPr>
        <w:tc>
          <w:tcPr>
            <w:tcW w:w="2031" w:type="dxa"/>
            <w:tcMar>
              <w:left w:w="85" w:type="dxa"/>
              <w:right w:w="85" w:type="dxa"/>
            </w:tcMar>
          </w:tcPr>
          <w:p w:rsidR="003B1B93" w:rsidRPr="00644F35" w:rsidRDefault="003B1B93" w:rsidP="00871571">
            <w:pPr>
              <w:spacing w:before="60" w:after="60"/>
              <w:jc w:val="left"/>
              <w:rPr>
                <w:b/>
                <w:i/>
                <w:szCs w:val="20"/>
                <w:highlight w:val="yellow"/>
              </w:rPr>
            </w:pPr>
            <w:r w:rsidRPr="00871571">
              <w:rPr>
                <w:b/>
                <w:i/>
                <w:szCs w:val="20"/>
              </w:rPr>
              <w:t xml:space="preserve">Obyvatelstvo kraje </w:t>
            </w:r>
            <w:r w:rsidR="00871571" w:rsidRPr="00871571">
              <w:rPr>
                <w:b/>
                <w:i/>
                <w:szCs w:val="20"/>
              </w:rPr>
              <w:t xml:space="preserve">dál </w:t>
            </w:r>
            <w:r w:rsidRPr="00871571">
              <w:rPr>
                <w:b/>
                <w:i/>
                <w:szCs w:val="20"/>
              </w:rPr>
              <w:t>stárne</w:t>
            </w:r>
          </w:p>
        </w:tc>
        <w:tc>
          <w:tcPr>
            <w:tcW w:w="7755" w:type="dxa"/>
            <w:gridSpan w:val="5"/>
            <w:tcMar>
              <w:left w:w="85" w:type="dxa"/>
              <w:right w:w="85" w:type="dxa"/>
            </w:tcMar>
            <w:vAlign w:val="center"/>
          </w:tcPr>
          <w:p w:rsidR="003B1B93" w:rsidRDefault="00871571" w:rsidP="00871571">
            <w:pPr>
              <w:pStyle w:val="Normlnweb"/>
              <w:spacing w:before="60" w:beforeAutospacing="0" w:after="60" w:afterAutospacing="0"/>
              <w:jc w:val="both"/>
              <w:rPr>
                <w:rFonts w:ascii="Arial" w:eastAsia="+mn-ea" w:hAnsi="Arial" w:cs="Arial"/>
                <w:color w:val="000000"/>
                <w:sz w:val="20"/>
                <w:szCs w:val="20"/>
              </w:rPr>
            </w:pPr>
            <w:r w:rsidRPr="00871571">
              <w:rPr>
                <w:rFonts w:ascii="Arial" w:eastAsia="+mn-ea" w:hAnsi="Arial" w:cs="Arial"/>
                <w:color w:val="000000"/>
                <w:sz w:val="20"/>
                <w:szCs w:val="20"/>
              </w:rPr>
              <w:t>Ukazatelem, který zřetelně ukazuje na stárnutí obyvatel, je index stáří (podíl mezi nejstarší a nejmladší věkovou kategorií v %), který vzrostl z 123,6 % v roce 2013 na 126,3 % ve sledovaném roce. Z toho vyplývá, že tím, jak se nejstarší věková skupina obyvatel zvětšuje, tak stárne obyvatelstvo Zlínského kraje. Jak rychle bude v dalších letech obyvatelstvo stárnout</w:t>
            </w:r>
            <w:r w:rsidR="00517022">
              <w:rPr>
                <w:rFonts w:ascii="Arial" w:eastAsia="+mn-ea" w:hAnsi="Arial" w:cs="Arial"/>
                <w:color w:val="000000"/>
                <w:sz w:val="20"/>
                <w:szCs w:val="20"/>
              </w:rPr>
              <w:t>,</w:t>
            </w:r>
            <w:r w:rsidRPr="00871571">
              <w:rPr>
                <w:rFonts w:ascii="Arial" w:eastAsia="+mn-ea" w:hAnsi="Arial" w:cs="Arial"/>
                <w:color w:val="000000"/>
                <w:sz w:val="20"/>
                <w:szCs w:val="20"/>
              </w:rPr>
              <w:t xml:space="preserve"> závisí jak na počtu narozených dětí, tak na počtu a věku přistěhovalých lidí.</w:t>
            </w:r>
          </w:p>
          <w:p w:rsidR="00511D48" w:rsidRPr="00644F35" w:rsidRDefault="00511D48" w:rsidP="00871571">
            <w:pPr>
              <w:pStyle w:val="Normlnweb"/>
              <w:spacing w:before="60" w:beforeAutospacing="0" w:after="60" w:afterAutospacing="0"/>
              <w:jc w:val="both"/>
              <w:rPr>
                <w:rFonts w:ascii="Arial" w:eastAsia="+mn-ea" w:hAnsi="Arial" w:cs="Arial"/>
                <w:color w:val="000000"/>
                <w:sz w:val="20"/>
                <w:szCs w:val="20"/>
                <w:highlight w:val="yellow"/>
              </w:rPr>
            </w:pPr>
          </w:p>
        </w:tc>
      </w:tr>
      <w:tr w:rsidR="003B1B93" w:rsidRPr="00644F35" w:rsidTr="00890C89">
        <w:trPr>
          <w:gridAfter w:val="1"/>
          <w:wAfter w:w="39" w:type="dxa"/>
          <w:cantSplit/>
          <w:trHeight w:val="255"/>
        </w:trPr>
        <w:tc>
          <w:tcPr>
            <w:tcW w:w="9786" w:type="dxa"/>
            <w:gridSpan w:val="6"/>
            <w:tcMar>
              <w:left w:w="85" w:type="dxa"/>
              <w:right w:w="85" w:type="dxa"/>
            </w:tcMar>
          </w:tcPr>
          <w:p w:rsidR="003B1B93" w:rsidRPr="00644F35" w:rsidRDefault="00511D48" w:rsidP="00154F18">
            <w:pPr>
              <w:tabs>
                <w:tab w:val="left" w:pos="2340"/>
              </w:tabs>
              <w:spacing w:before="60" w:after="60"/>
              <w:rPr>
                <w:b/>
                <w:bCs/>
                <w:szCs w:val="20"/>
                <w:highlight w:val="yellow"/>
              </w:rPr>
            </w:pPr>
            <w:r w:rsidRPr="00511D48">
              <w:rPr>
                <w:b/>
                <w:bCs/>
                <w:szCs w:val="20"/>
              </w:rPr>
              <w:t xml:space="preserve">Graf </w:t>
            </w:r>
            <w:r w:rsidR="00BF1AF9">
              <w:rPr>
                <w:b/>
                <w:bCs/>
                <w:szCs w:val="20"/>
              </w:rPr>
              <w:t>1.</w:t>
            </w:r>
            <w:r w:rsidRPr="00511D48">
              <w:rPr>
                <w:b/>
                <w:bCs/>
                <w:szCs w:val="20"/>
              </w:rPr>
              <w:t>8 Věkové skupiny obyvatel celkem Zlínského kraje a index stáří</w:t>
            </w:r>
          </w:p>
        </w:tc>
      </w:tr>
      <w:tr w:rsidR="003B1B93" w:rsidRPr="00644F35" w:rsidTr="00890C89">
        <w:trPr>
          <w:gridAfter w:val="1"/>
          <w:wAfter w:w="39" w:type="dxa"/>
          <w:trHeight w:val="3200"/>
        </w:trPr>
        <w:tc>
          <w:tcPr>
            <w:tcW w:w="9786" w:type="dxa"/>
            <w:gridSpan w:val="6"/>
            <w:tcMar>
              <w:left w:w="85" w:type="dxa"/>
              <w:right w:w="85" w:type="dxa"/>
            </w:tcMar>
            <w:vAlign w:val="center"/>
          </w:tcPr>
          <w:p w:rsidR="003B1B93" w:rsidRPr="00644F35" w:rsidRDefault="003B1B93" w:rsidP="00F60790">
            <w:pPr>
              <w:spacing w:after="120"/>
              <w:jc w:val="left"/>
              <w:rPr>
                <w:szCs w:val="20"/>
                <w:highlight w:val="yellow"/>
              </w:rPr>
            </w:pPr>
          </w:p>
          <w:p w:rsidR="003B1B93" w:rsidRPr="00644F35" w:rsidRDefault="009956CB" w:rsidP="00F60790">
            <w:pPr>
              <w:spacing w:after="120"/>
              <w:jc w:val="left"/>
              <w:rPr>
                <w:szCs w:val="20"/>
                <w:highlight w:val="yellow"/>
              </w:rPr>
            </w:pPr>
            <w:r w:rsidRPr="00286EFA">
              <w:rPr>
                <w:szCs w:val="20"/>
              </w:rPr>
              <w:pict>
                <v:shape id="_x0000_i1035" type="#_x0000_t75" style="width:478.5pt;height:213pt">
                  <v:imagedata r:id="rId27" o:title=""/>
                </v:shape>
              </w:pict>
            </w:r>
          </w:p>
        </w:tc>
      </w:tr>
      <w:tr w:rsidR="003B1B93" w:rsidRPr="00644F35" w:rsidTr="00890C89">
        <w:trPr>
          <w:gridAfter w:val="1"/>
          <w:wAfter w:w="39" w:type="dxa"/>
          <w:trHeight w:val="428"/>
        </w:trPr>
        <w:tc>
          <w:tcPr>
            <w:tcW w:w="2070" w:type="dxa"/>
            <w:gridSpan w:val="2"/>
            <w:tcMar>
              <w:left w:w="85" w:type="dxa"/>
              <w:right w:w="85" w:type="dxa"/>
            </w:tcMar>
          </w:tcPr>
          <w:p w:rsidR="003B1B93" w:rsidRPr="00644F35" w:rsidRDefault="003B1B93" w:rsidP="00E40BB4">
            <w:pPr>
              <w:spacing w:before="60" w:after="60"/>
              <w:jc w:val="left"/>
              <w:rPr>
                <w:szCs w:val="20"/>
                <w:highlight w:val="yellow"/>
              </w:rPr>
            </w:pPr>
            <w:r w:rsidRPr="00511D48">
              <w:rPr>
                <w:b/>
                <w:i/>
                <w:szCs w:val="20"/>
              </w:rPr>
              <w:t>Dětí se narodilo více než v minulém roce</w:t>
            </w:r>
          </w:p>
        </w:tc>
        <w:tc>
          <w:tcPr>
            <w:tcW w:w="7716" w:type="dxa"/>
            <w:gridSpan w:val="4"/>
            <w:vAlign w:val="center"/>
          </w:tcPr>
          <w:p w:rsidR="003B1B93" w:rsidRPr="00644F35" w:rsidRDefault="00511D48" w:rsidP="009476E1">
            <w:pPr>
              <w:spacing w:before="60" w:after="60"/>
              <w:rPr>
                <w:rFonts w:eastAsia="+mn-ea" w:cs="Arial"/>
                <w:color w:val="000000"/>
                <w:szCs w:val="20"/>
                <w:highlight w:val="yellow"/>
              </w:rPr>
            </w:pPr>
            <w:r w:rsidRPr="00511D48">
              <w:rPr>
                <w:rFonts w:eastAsia="+mn-ea" w:cs="Arial"/>
                <w:color w:val="000000"/>
                <w:szCs w:val="20"/>
              </w:rPr>
              <w:t>V roce 2014 se ve Zlínském kraji živě narodilo 5 599 dětí, což je o 14 více než v</w:t>
            </w:r>
            <w:r w:rsidR="009476E1">
              <w:rPr>
                <w:rFonts w:eastAsia="+mn-ea" w:cs="Arial"/>
                <w:color w:val="000000"/>
                <w:szCs w:val="20"/>
              </w:rPr>
              <w:t> </w:t>
            </w:r>
            <w:r w:rsidRPr="00511D48">
              <w:rPr>
                <w:rFonts w:eastAsia="+mn-ea" w:cs="Arial"/>
                <w:color w:val="000000"/>
                <w:szCs w:val="20"/>
              </w:rPr>
              <w:t>předchozím roce. Meziročně poklesl počet živě narozených dětí v okresech Zlín (o</w:t>
            </w:r>
            <w:r w:rsidR="00174B21">
              <w:rPr>
                <w:rFonts w:eastAsia="+mn-ea" w:cs="Arial"/>
                <w:color w:val="000000"/>
                <w:szCs w:val="20"/>
              </w:rPr>
              <w:t> </w:t>
            </w:r>
            <w:r w:rsidRPr="00511D48">
              <w:rPr>
                <w:rFonts w:eastAsia="+mn-ea" w:cs="Arial"/>
                <w:color w:val="000000"/>
                <w:szCs w:val="20"/>
              </w:rPr>
              <w:t xml:space="preserve">21 dětí, tj. o 1,2 %) a Kroměříž (o 11, tj. o 1,1 %). V ostatních dvou okresech se počet narozených dětí zvýšil. V uherskohradišťském okrese o 43 a ve vsetínském o 3 děti. Průměrný věk matky v kraji se během roku zvýšil z 30,7 let na 30,9 let (při </w:t>
            </w:r>
            <w:r w:rsidRPr="00511D48">
              <w:rPr>
                <w:rFonts w:eastAsia="+mn-ea" w:cs="Arial"/>
                <w:color w:val="000000"/>
                <w:szCs w:val="20"/>
              </w:rPr>
              <w:lastRenderedPageBreak/>
              <w:t xml:space="preserve">narození 1. dítěte průměrný věk matky vzrostl z 28,7 let v roce 2013 na 28,8 let v roce 2014. Podíl narozených dětí mimo manželství se proti roku 2013 zvýšil z 37,4 % na 39,1 % ve sledovaném roce. I přes nárůst o 1,7 procentních bodů, zůstal zlínský podíl mimomanželsky narozených dětí nejmenší ze všech krajů. </w:t>
            </w:r>
          </w:p>
          <w:p w:rsidR="003B1B93" w:rsidRPr="00644F35" w:rsidRDefault="003B1B93" w:rsidP="00F60790">
            <w:pPr>
              <w:rPr>
                <w:szCs w:val="20"/>
                <w:highlight w:val="yellow"/>
              </w:rPr>
            </w:pPr>
          </w:p>
          <w:p w:rsidR="003B1B93" w:rsidRPr="00644F35" w:rsidRDefault="003B1B93" w:rsidP="00F60790">
            <w:pPr>
              <w:rPr>
                <w:szCs w:val="20"/>
                <w:highlight w:val="yellow"/>
              </w:rPr>
            </w:pPr>
          </w:p>
        </w:tc>
      </w:tr>
      <w:tr w:rsidR="00511D48" w:rsidRPr="00644F35" w:rsidTr="00511D48">
        <w:trPr>
          <w:gridAfter w:val="1"/>
          <w:wAfter w:w="39" w:type="dxa"/>
        </w:trPr>
        <w:tc>
          <w:tcPr>
            <w:tcW w:w="2070" w:type="dxa"/>
            <w:gridSpan w:val="2"/>
            <w:tcMar>
              <w:left w:w="85" w:type="dxa"/>
              <w:right w:w="85" w:type="dxa"/>
            </w:tcMar>
          </w:tcPr>
          <w:p w:rsidR="00511D48" w:rsidRPr="00C51752" w:rsidRDefault="00511D48" w:rsidP="00E40BB4">
            <w:pPr>
              <w:pStyle w:val="Normlnweb"/>
              <w:spacing w:before="60" w:beforeAutospacing="0" w:after="60" w:afterAutospacing="0"/>
              <w:rPr>
                <w:rFonts w:ascii="Arial" w:eastAsia="+mn-ea" w:hAnsi="Arial" w:cs="Arial"/>
                <w:b/>
                <w:i/>
                <w:color w:val="000000"/>
                <w:sz w:val="20"/>
                <w:szCs w:val="20"/>
                <w:highlight w:val="yellow"/>
              </w:rPr>
            </w:pPr>
            <w:r w:rsidRPr="00C51752">
              <w:rPr>
                <w:rFonts w:ascii="Arial" w:eastAsia="+mn-ea" w:hAnsi="Arial" w:cs="Arial"/>
                <w:b/>
                <w:i/>
                <w:color w:val="000000"/>
                <w:sz w:val="20"/>
                <w:szCs w:val="20"/>
              </w:rPr>
              <w:lastRenderedPageBreak/>
              <w:t>Úhrnná plodnost se v kraji meziročně mírně zvýšila</w:t>
            </w:r>
          </w:p>
        </w:tc>
        <w:tc>
          <w:tcPr>
            <w:tcW w:w="7716" w:type="dxa"/>
            <w:gridSpan w:val="4"/>
          </w:tcPr>
          <w:p w:rsidR="00511D48" w:rsidRDefault="00511D48" w:rsidP="008E79B5">
            <w:pPr>
              <w:pStyle w:val="Normlnweb"/>
              <w:spacing w:before="60" w:beforeAutospacing="0" w:after="60" w:afterAutospacing="0"/>
              <w:jc w:val="both"/>
              <w:rPr>
                <w:rFonts w:ascii="Arial" w:eastAsia="+mn-ea" w:hAnsi="Arial" w:cs="Arial"/>
                <w:color w:val="000000"/>
                <w:sz w:val="20"/>
                <w:szCs w:val="20"/>
              </w:rPr>
            </w:pPr>
            <w:r w:rsidRPr="00511D48">
              <w:rPr>
                <w:rFonts w:ascii="Arial" w:eastAsia="+mn-ea" w:hAnsi="Arial" w:cs="Arial"/>
                <w:color w:val="000000"/>
                <w:sz w:val="20"/>
                <w:szCs w:val="20"/>
              </w:rPr>
              <w:t>Úhrnná plodnost ve Zlínském kraji se od roku 2009 zvýšila z 1,385 na 1,431 v</w:t>
            </w:r>
            <w:r w:rsidR="009476E1">
              <w:rPr>
                <w:rFonts w:ascii="Arial" w:eastAsia="+mn-ea" w:hAnsi="Arial" w:cs="Arial"/>
                <w:color w:val="000000"/>
                <w:sz w:val="20"/>
                <w:szCs w:val="20"/>
              </w:rPr>
              <w:t> </w:t>
            </w:r>
            <w:r w:rsidRPr="00511D48">
              <w:rPr>
                <w:rFonts w:ascii="Arial" w:eastAsia="+mn-ea" w:hAnsi="Arial" w:cs="Arial"/>
                <w:color w:val="000000"/>
                <w:sz w:val="20"/>
                <w:szCs w:val="20"/>
              </w:rPr>
              <w:t>posledním roce sledovaného období. V roce 2014 meziročně vzrostla o 0,031 bodu. I tak byly krajské hodnoty po celé toto pětileté období pod úrovní úhrnné plodnosti ČR.</w:t>
            </w:r>
          </w:p>
          <w:p w:rsidR="007D7BC6" w:rsidRPr="00511D48" w:rsidRDefault="007D7BC6" w:rsidP="008E79B5">
            <w:pPr>
              <w:pStyle w:val="Normlnweb"/>
              <w:spacing w:before="60" w:beforeAutospacing="0" w:after="60" w:afterAutospacing="0"/>
              <w:jc w:val="both"/>
              <w:rPr>
                <w:rFonts w:ascii="Arial" w:eastAsia="+mn-ea" w:hAnsi="Arial" w:cs="Arial"/>
                <w:color w:val="000000"/>
                <w:sz w:val="20"/>
                <w:szCs w:val="20"/>
                <w:highlight w:val="yellow"/>
              </w:rPr>
            </w:pPr>
          </w:p>
        </w:tc>
      </w:tr>
      <w:tr w:rsidR="00511D48" w:rsidRPr="00644F35" w:rsidTr="001851B3">
        <w:trPr>
          <w:gridAfter w:val="1"/>
          <w:wAfter w:w="39" w:type="dxa"/>
          <w:trHeight w:val="2486"/>
        </w:trPr>
        <w:tc>
          <w:tcPr>
            <w:tcW w:w="2070" w:type="dxa"/>
            <w:gridSpan w:val="2"/>
            <w:tcMar>
              <w:left w:w="85" w:type="dxa"/>
              <w:right w:w="85" w:type="dxa"/>
            </w:tcMar>
          </w:tcPr>
          <w:p w:rsidR="00511D48" w:rsidRPr="00C51752" w:rsidRDefault="00511D48" w:rsidP="001851B3">
            <w:pPr>
              <w:spacing w:before="60" w:after="60"/>
              <w:jc w:val="left"/>
              <w:rPr>
                <w:rFonts w:eastAsia="+mn-ea" w:cs="Arial"/>
                <w:b/>
                <w:i/>
                <w:color w:val="000000"/>
                <w:szCs w:val="20"/>
                <w:highlight w:val="yellow"/>
              </w:rPr>
            </w:pPr>
            <w:r w:rsidRPr="00C51752">
              <w:rPr>
                <w:rFonts w:eastAsia="+mn-ea" w:cs="Arial"/>
                <w:b/>
                <w:i/>
                <w:color w:val="000000"/>
                <w:szCs w:val="20"/>
              </w:rPr>
              <w:t>Naděje na dožití jak u mužů, tak u žen se zvýšila</w:t>
            </w:r>
          </w:p>
        </w:tc>
        <w:tc>
          <w:tcPr>
            <w:tcW w:w="7716" w:type="dxa"/>
            <w:gridSpan w:val="4"/>
          </w:tcPr>
          <w:p w:rsidR="00511D48" w:rsidRDefault="00511D48" w:rsidP="009476E1">
            <w:pPr>
              <w:spacing w:before="60" w:after="60"/>
              <w:rPr>
                <w:rFonts w:eastAsia="+mn-ea" w:cs="Arial"/>
                <w:color w:val="000000"/>
                <w:szCs w:val="20"/>
              </w:rPr>
            </w:pPr>
            <w:r w:rsidRPr="00511D48">
              <w:rPr>
                <w:rFonts w:eastAsia="+mn-ea" w:cs="Arial"/>
                <w:color w:val="000000"/>
                <w:szCs w:val="20"/>
              </w:rPr>
              <w:t>Ke změnám docházelo i u naděje na dožití. Tento ukazatel říká, kolika let se v</w:t>
            </w:r>
            <w:r w:rsidR="009476E1">
              <w:rPr>
                <w:rFonts w:eastAsia="+mn-ea" w:cs="Arial"/>
                <w:color w:val="000000"/>
                <w:szCs w:val="20"/>
              </w:rPr>
              <w:t> </w:t>
            </w:r>
            <w:r w:rsidRPr="00511D48">
              <w:rPr>
                <w:rFonts w:eastAsia="+mn-ea" w:cs="Arial"/>
                <w:color w:val="000000"/>
                <w:szCs w:val="20"/>
              </w:rPr>
              <w:t>průměru dožije člověk právě narozený za předpokladu setrvání úmrtnostních poměrů platných v roce, ve kterém se osoba narodila. Případně vyjadřuje počet roků, který v průměru ještě prožije osoba právě např. 60letá za předpokladu, že po celou dobu jejího dalšího života se nezmění řád vymírání platný v době konstrukce úmrtnostních tabulek. Naděje na dožití při narození se zvýšila v kraji u mužů ze 73,38 let v roce 2009 na 75,11 let v roce 2014, u žen z 80,48 let na 81,50 let. Změny, i když méně výrazné, byly zachyceny také u naděje na dožití ve věku 60 let. Za posledních pět let se počet dalších let života prodloužil u mužů z 18,32 na 19,26 let, u žen z</w:t>
            </w:r>
            <w:r w:rsidR="009476E1">
              <w:rPr>
                <w:rFonts w:eastAsia="+mn-ea" w:cs="Arial"/>
                <w:color w:val="000000"/>
                <w:szCs w:val="20"/>
              </w:rPr>
              <w:t> </w:t>
            </w:r>
            <w:r w:rsidRPr="00511D48">
              <w:rPr>
                <w:rFonts w:eastAsia="+mn-ea" w:cs="Arial"/>
                <w:color w:val="000000"/>
                <w:szCs w:val="20"/>
              </w:rPr>
              <w:t>22,82 na 23,85 let.</w:t>
            </w:r>
          </w:p>
          <w:p w:rsidR="007D7BC6" w:rsidRPr="00644F35" w:rsidRDefault="007D7BC6" w:rsidP="009476E1">
            <w:pPr>
              <w:spacing w:before="60" w:after="60"/>
              <w:rPr>
                <w:rFonts w:eastAsia="+mn-ea" w:cs="Arial"/>
                <w:color w:val="000000"/>
                <w:szCs w:val="20"/>
                <w:highlight w:val="yellow"/>
              </w:rPr>
            </w:pPr>
          </w:p>
        </w:tc>
      </w:tr>
      <w:tr w:rsidR="003B1B93" w:rsidRPr="00644F35" w:rsidTr="001851B3">
        <w:trPr>
          <w:gridAfter w:val="1"/>
          <w:wAfter w:w="39" w:type="dxa"/>
        </w:trPr>
        <w:tc>
          <w:tcPr>
            <w:tcW w:w="4905" w:type="dxa"/>
            <w:gridSpan w:val="5"/>
            <w:tcMar>
              <w:left w:w="85" w:type="dxa"/>
              <w:right w:w="85" w:type="dxa"/>
            </w:tcMar>
          </w:tcPr>
          <w:p w:rsidR="001851B3" w:rsidRPr="008E79B5" w:rsidRDefault="001851B3" w:rsidP="008E79B5">
            <w:pPr>
              <w:pStyle w:val="Normlnweb"/>
              <w:spacing w:before="60" w:beforeAutospacing="0" w:after="60" w:afterAutospacing="0"/>
              <w:rPr>
                <w:rFonts w:ascii="Arial" w:eastAsia="+mn-ea" w:hAnsi="Arial" w:cs="Arial"/>
                <w:b/>
                <w:color w:val="000000"/>
                <w:sz w:val="20"/>
                <w:szCs w:val="20"/>
              </w:rPr>
            </w:pPr>
            <w:r w:rsidRPr="008E79B5">
              <w:rPr>
                <w:rFonts w:ascii="Arial" w:eastAsia="+mn-ea" w:hAnsi="Arial" w:cs="Arial"/>
                <w:b/>
                <w:color w:val="000000"/>
                <w:sz w:val="20"/>
                <w:szCs w:val="20"/>
              </w:rPr>
              <w:t>Graf 1</w:t>
            </w:r>
            <w:r w:rsidR="00BF1AF9" w:rsidRPr="008E79B5">
              <w:rPr>
                <w:rFonts w:ascii="Arial" w:eastAsia="+mn-ea" w:hAnsi="Arial" w:cs="Arial"/>
                <w:b/>
                <w:color w:val="000000"/>
                <w:sz w:val="20"/>
                <w:szCs w:val="20"/>
              </w:rPr>
              <w:t>.9</w:t>
            </w:r>
            <w:r w:rsidRPr="008E79B5">
              <w:rPr>
                <w:rFonts w:ascii="Arial" w:eastAsia="+mn-ea" w:hAnsi="Arial" w:cs="Arial"/>
                <w:b/>
                <w:color w:val="000000"/>
                <w:sz w:val="20"/>
                <w:szCs w:val="20"/>
              </w:rPr>
              <w:t xml:space="preserve"> Naděje na dožití ve Zlínském kraji</w:t>
            </w:r>
          </w:p>
          <w:p w:rsidR="003B1B93" w:rsidRPr="001851B3" w:rsidRDefault="001851B3" w:rsidP="008E79B5">
            <w:pPr>
              <w:pStyle w:val="Normlnweb"/>
              <w:spacing w:before="60" w:beforeAutospacing="0" w:after="60" w:afterAutospacing="0"/>
              <w:rPr>
                <w:b/>
                <w:i/>
                <w:szCs w:val="20"/>
                <w:highlight w:val="yellow"/>
              </w:rPr>
            </w:pPr>
            <w:r w:rsidRPr="008E79B5">
              <w:rPr>
                <w:rFonts w:ascii="Arial" w:eastAsia="+mn-ea" w:hAnsi="Arial" w:cs="Arial"/>
                <w:b/>
                <w:color w:val="000000"/>
                <w:sz w:val="20"/>
                <w:szCs w:val="20"/>
              </w:rPr>
              <w:t xml:space="preserve">       </w:t>
            </w:r>
            <w:r w:rsidR="00BF1AF9" w:rsidRPr="008E79B5">
              <w:rPr>
                <w:rFonts w:ascii="Arial" w:eastAsia="+mn-ea" w:hAnsi="Arial" w:cs="Arial"/>
                <w:b/>
                <w:color w:val="000000"/>
                <w:sz w:val="20"/>
                <w:szCs w:val="20"/>
              </w:rPr>
              <w:t xml:space="preserve">   </w:t>
            </w:r>
            <w:r w:rsidRPr="008E79B5">
              <w:rPr>
                <w:rFonts w:ascii="Arial" w:eastAsia="+mn-ea" w:hAnsi="Arial" w:cs="Arial"/>
                <w:b/>
                <w:color w:val="000000"/>
                <w:sz w:val="20"/>
                <w:szCs w:val="20"/>
              </w:rPr>
              <w:t xml:space="preserve">    při narození</w:t>
            </w:r>
          </w:p>
        </w:tc>
        <w:tc>
          <w:tcPr>
            <w:tcW w:w="4881" w:type="dxa"/>
            <w:tcMar>
              <w:left w:w="85" w:type="dxa"/>
              <w:right w:w="85" w:type="dxa"/>
            </w:tcMar>
          </w:tcPr>
          <w:p w:rsidR="001851B3" w:rsidRPr="001851B3" w:rsidRDefault="001851B3" w:rsidP="001851B3">
            <w:pPr>
              <w:pStyle w:val="Normlnweb"/>
              <w:spacing w:before="60" w:beforeAutospacing="0" w:after="60" w:afterAutospacing="0"/>
              <w:rPr>
                <w:rFonts w:ascii="Arial" w:eastAsia="+mn-ea" w:hAnsi="Arial" w:cs="Arial"/>
                <w:b/>
                <w:color w:val="000000"/>
                <w:sz w:val="20"/>
                <w:szCs w:val="20"/>
              </w:rPr>
            </w:pPr>
            <w:r w:rsidRPr="001851B3">
              <w:rPr>
                <w:rFonts w:ascii="Arial" w:eastAsia="+mn-ea" w:hAnsi="Arial" w:cs="Arial"/>
                <w:b/>
                <w:color w:val="000000"/>
                <w:sz w:val="20"/>
                <w:szCs w:val="20"/>
              </w:rPr>
              <w:t xml:space="preserve">Graf </w:t>
            </w:r>
            <w:r w:rsidR="00BF1AF9">
              <w:rPr>
                <w:rFonts w:ascii="Arial" w:eastAsia="+mn-ea" w:hAnsi="Arial" w:cs="Arial"/>
                <w:b/>
                <w:color w:val="000000"/>
                <w:sz w:val="20"/>
                <w:szCs w:val="20"/>
              </w:rPr>
              <w:t>1.</w:t>
            </w:r>
            <w:r w:rsidRPr="001851B3">
              <w:rPr>
                <w:rFonts w:ascii="Arial" w:eastAsia="+mn-ea" w:hAnsi="Arial" w:cs="Arial"/>
                <w:b/>
                <w:color w:val="000000"/>
                <w:sz w:val="20"/>
                <w:szCs w:val="20"/>
              </w:rPr>
              <w:t>1</w:t>
            </w:r>
            <w:r w:rsidR="00BF1AF9">
              <w:rPr>
                <w:rFonts w:ascii="Arial" w:eastAsia="+mn-ea" w:hAnsi="Arial" w:cs="Arial"/>
                <w:b/>
                <w:color w:val="000000"/>
                <w:sz w:val="20"/>
                <w:szCs w:val="20"/>
              </w:rPr>
              <w:t>0</w:t>
            </w:r>
            <w:r w:rsidRPr="001851B3">
              <w:rPr>
                <w:rFonts w:ascii="Arial" w:eastAsia="+mn-ea" w:hAnsi="Arial" w:cs="Arial"/>
                <w:b/>
                <w:color w:val="000000"/>
                <w:sz w:val="20"/>
                <w:szCs w:val="20"/>
              </w:rPr>
              <w:t xml:space="preserve"> Naděje na dožití ve Zlínském kraji osob </w:t>
            </w:r>
          </w:p>
          <w:p w:rsidR="003B1B93" w:rsidRPr="001851B3" w:rsidRDefault="001851B3" w:rsidP="001851B3">
            <w:pPr>
              <w:pStyle w:val="Normlnweb"/>
              <w:spacing w:before="60" w:beforeAutospacing="0" w:after="60" w:afterAutospacing="0"/>
              <w:rPr>
                <w:rFonts w:ascii="Arial" w:eastAsia="+mn-ea" w:hAnsi="Arial" w:cs="Arial"/>
                <w:b/>
                <w:color w:val="000000"/>
                <w:sz w:val="20"/>
                <w:szCs w:val="20"/>
                <w:highlight w:val="yellow"/>
              </w:rPr>
            </w:pPr>
            <w:r w:rsidRPr="001851B3">
              <w:rPr>
                <w:rFonts w:ascii="Arial" w:eastAsia="+mn-ea" w:hAnsi="Arial" w:cs="Arial"/>
                <w:b/>
                <w:color w:val="000000"/>
                <w:sz w:val="20"/>
                <w:szCs w:val="20"/>
              </w:rPr>
              <w:t xml:space="preserve">          </w:t>
            </w:r>
            <w:r w:rsidR="00BF1AF9">
              <w:rPr>
                <w:rFonts w:ascii="Arial" w:eastAsia="+mn-ea" w:hAnsi="Arial" w:cs="Arial"/>
                <w:b/>
                <w:color w:val="000000"/>
                <w:sz w:val="20"/>
                <w:szCs w:val="20"/>
              </w:rPr>
              <w:t xml:space="preserve">    </w:t>
            </w:r>
            <w:r w:rsidRPr="001851B3">
              <w:rPr>
                <w:rFonts w:ascii="Arial" w:eastAsia="+mn-ea" w:hAnsi="Arial" w:cs="Arial"/>
                <w:b/>
                <w:color w:val="000000"/>
                <w:sz w:val="20"/>
                <w:szCs w:val="20"/>
              </w:rPr>
              <w:t xml:space="preserve">   ve věku 60 let</w:t>
            </w:r>
          </w:p>
        </w:tc>
      </w:tr>
      <w:tr w:rsidR="001851B3" w:rsidRPr="00644F35" w:rsidTr="001851B3">
        <w:trPr>
          <w:gridAfter w:val="1"/>
          <w:wAfter w:w="39" w:type="dxa"/>
        </w:trPr>
        <w:tc>
          <w:tcPr>
            <w:tcW w:w="9786" w:type="dxa"/>
            <w:gridSpan w:val="6"/>
            <w:tcMar>
              <w:left w:w="85" w:type="dxa"/>
              <w:right w:w="85" w:type="dxa"/>
            </w:tcMar>
          </w:tcPr>
          <w:p w:rsidR="001851B3" w:rsidRPr="00644F35" w:rsidRDefault="009956CB" w:rsidP="001851B3">
            <w:pPr>
              <w:pStyle w:val="Normlnweb"/>
              <w:spacing w:before="60" w:beforeAutospacing="0" w:after="60" w:afterAutospacing="0"/>
              <w:jc w:val="center"/>
              <w:rPr>
                <w:rFonts w:ascii="Arial" w:eastAsia="+mn-ea" w:hAnsi="Arial" w:cs="Arial"/>
                <w:color w:val="000000"/>
                <w:sz w:val="20"/>
                <w:szCs w:val="20"/>
                <w:highlight w:val="yellow"/>
              </w:rPr>
            </w:pPr>
            <w:r w:rsidRPr="00286EFA">
              <w:rPr>
                <w:rFonts w:ascii="Arial" w:eastAsia="+mn-ea" w:hAnsi="Arial" w:cs="Arial"/>
                <w:color w:val="000000"/>
                <w:sz w:val="20"/>
                <w:szCs w:val="20"/>
              </w:rPr>
              <w:pict>
                <v:shape id="_x0000_i1036" type="#_x0000_t75" style="width:480pt;height:201.75pt">
                  <v:imagedata r:id="rId28" o:title=""/>
                </v:shape>
              </w:pict>
            </w:r>
          </w:p>
        </w:tc>
      </w:tr>
      <w:tr w:rsidR="00F42044" w:rsidRPr="00644F35" w:rsidTr="00F42044">
        <w:trPr>
          <w:gridAfter w:val="1"/>
          <w:wAfter w:w="39" w:type="dxa"/>
          <w:trHeight w:val="2841"/>
        </w:trPr>
        <w:tc>
          <w:tcPr>
            <w:tcW w:w="2070" w:type="dxa"/>
            <w:gridSpan w:val="2"/>
            <w:tcMar>
              <w:left w:w="85" w:type="dxa"/>
              <w:right w:w="85" w:type="dxa"/>
            </w:tcMar>
          </w:tcPr>
          <w:p w:rsidR="00F42044" w:rsidRPr="00C51752" w:rsidRDefault="00F42044" w:rsidP="00F42044">
            <w:pPr>
              <w:pStyle w:val="Normlnweb"/>
              <w:spacing w:before="60" w:beforeAutospacing="0" w:after="60" w:afterAutospacing="0"/>
              <w:rPr>
                <w:rFonts w:ascii="Arial" w:eastAsia="+mn-ea" w:hAnsi="Arial" w:cs="Arial"/>
                <w:b/>
                <w:i/>
                <w:color w:val="000000"/>
                <w:sz w:val="20"/>
                <w:szCs w:val="20"/>
                <w:highlight w:val="yellow"/>
              </w:rPr>
            </w:pPr>
            <w:r w:rsidRPr="00C51752">
              <w:rPr>
                <w:rFonts w:ascii="Arial" w:eastAsia="+mn-ea" w:hAnsi="Arial" w:cs="Arial"/>
                <w:b/>
                <w:i/>
                <w:color w:val="000000"/>
                <w:sz w:val="20"/>
                <w:szCs w:val="20"/>
              </w:rPr>
              <w:t>V roce 2014 meziročně ubylo úmrtí na nemoci oběhové soustavy</w:t>
            </w:r>
          </w:p>
        </w:tc>
        <w:tc>
          <w:tcPr>
            <w:tcW w:w="7716" w:type="dxa"/>
            <w:gridSpan w:val="4"/>
          </w:tcPr>
          <w:p w:rsidR="00F42044" w:rsidRDefault="00F42044" w:rsidP="00F42044">
            <w:pPr>
              <w:pStyle w:val="Normlnweb"/>
              <w:spacing w:before="60" w:beforeAutospacing="0" w:after="60" w:afterAutospacing="0"/>
              <w:jc w:val="both"/>
              <w:rPr>
                <w:rFonts w:ascii="Arial" w:eastAsia="+mn-ea" w:hAnsi="Arial" w:cs="Arial"/>
                <w:color w:val="000000"/>
                <w:sz w:val="20"/>
                <w:szCs w:val="20"/>
              </w:rPr>
            </w:pPr>
            <w:r w:rsidRPr="00F42044">
              <w:rPr>
                <w:rFonts w:ascii="Arial" w:eastAsia="+mn-ea" w:hAnsi="Arial" w:cs="Arial"/>
                <w:color w:val="000000"/>
                <w:sz w:val="20"/>
                <w:szCs w:val="20"/>
              </w:rPr>
              <w:t xml:space="preserve">Nejčastějšími příčinami úmrtí v roce 2014 byly, stejně jako v předchozích letech, nemoci oběhové soustavy, jejichž podíl z celkového počtu zemřelých se proti roku 2013 snížil o 2,5 procentního bodu na 48,9 %. Do této skupiny příčin úmrtí patří především ostatní formy ischemické choroby srdeční a cévní nemoci mozku. Druhou nejčastější příčinou smrti byly v roce 2014 s podílem 24,9 % novotvary, Podíl těchto příčin úmrtí meziročně vzrostl o 2,8 </w:t>
            </w:r>
            <w:proofErr w:type="spellStart"/>
            <w:proofErr w:type="gramStart"/>
            <w:r w:rsidRPr="00F42044">
              <w:rPr>
                <w:rFonts w:ascii="Arial" w:eastAsia="+mn-ea" w:hAnsi="Arial" w:cs="Arial"/>
                <w:color w:val="000000"/>
                <w:sz w:val="20"/>
                <w:szCs w:val="20"/>
              </w:rPr>
              <w:t>p.b</w:t>
            </w:r>
            <w:proofErr w:type="spellEnd"/>
            <w:r w:rsidRPr="00F42044">
              <w:rPr>
                <w:rFonts w:ascii="Arial" w:eastAsia="+mn-ea" w:hAnsi="Arial" w:cs="Arial"/>
                <w:color w:val="000000"/>
                <w:sz w:val="20"/>
                <w:szCs w:val="20"/>
              </w:rPr>
              <w:t>.</w:t>
            </w:r>
            <w:proofErr w:type="gramEnd"/>
            <w:r w:rsidRPr="00F42044">
              <w:rPr>
                <w:rFonts w:ascii="Arial" w:eastAsia="+mn-ea" w:hAnsi="Arial" w:cs="Arial"/>
                <w:color w:val="000000"/>
                <w:sz w:val="20"/>
                <w:szCs w:val="20"/>
              </w:rPr>
              <w:t xml:space="preserve"> Třetí nejčetnější skupinu úmrtí tvořily vnější příčiny. Ty zapříčinily v roce 2014 v kraji úmrtí 350 lidem, to je 5,7 % z celkového počtu zemřelých. Mezi vnější příčiny úmrtí patří také sebevraždy, jejichž podíl ve</w:t>
            </w:r>
            <w:r>
              <w:rPr>
                <w:rFonts w:ascii="Arial" w:eastAsia="+mn-ea" w:hAnsi="Arial" w:cs="Arial"/>
                <w:color w:val="000000"/>
                <w:sz w:val="20"/>
                <w:szCs w:val="20"/>
              </w:rPr>
              <w:t> </w:t>
            </w:r>
            <w:r w:rsidRPr="00F42044">
              <w:rPr>
                <w:rFonts w:ascii="Arial" w:eastAsia="+mn-ea" w:hAnsi="Arial" w:cs="Arial"/>
                <w:color w:val="000000"/>
                <w:sz w:val="20"/>
                <w:szCs w:val="20"/>
              </w:rPr>
              <w:t xml:space="preserve">skupině vnějších příčin činil 26,3 % a proti předchozímu roku o 1,3 procentního bodu klesl. Další nejčastější příčinou úmrtí byly nemoci dýchací soustavy a jejich podíl se meziročně snížil o 0,5 </w:t>
            </w:r>
            <w:proofErr w:type="spellStart"/>
            <w:proofErr w:type="gramStart"/>
            <w:r w:rsidRPr="00F42044">
              <w:rPr>
                <w:rFonts w:ascii="Arial" w:eastAsia="+mn-ea" w:hAnsi="Arial" w:cs="Arial"/>
                <w:color w:val="000000"/>
                <w:sz w:val="20"/>
                <w:szCs w:val="20"/>
              </w:rPr>
              <w:t>p.b</w:t>
            </w:r>
            <w:proofErr w:type="spellEnd"/>
            <w:r w:rsidRPr="00F42044">
              <w:rPr>
                <w:rFonts w:ascii="Arial" w:eastAsia="+mn-ea" w:hAnsi="Arial" w:cs="Arial"/>
                <w:color w:val="000000"/>
                <w:sz w:val="20"/>
                <w:szCs w:val="20"/>
              </w:rPr>
              <w:t>. na</w:t>
            </w:r>
            <w:proofErr w:type="gramEnd"/>
            <w:r w:rsidRPr="00F42044">
              <w:rPr>
                <w:rFonts w:ascii="Arial" w:eastAsia="+mn-ea" w:hAnsi="Arial" w:cs="Arial"/>
                <w:color w:val="000000"/>
                <w:sz w:val="20"/>
                <w:szCs w:val="20"/>
              </w:rPr>
              <w:t xml:space="preserve"> 5,1 %.   </w:t>
            </w:r>
          </w:p>
          <w:p w:rsidR="00F42044" w:rsidRDefault="00F42044" w:rsidP="00F42044">
            <w:pPr>
              <w:pStyle w:val="Normlnweb"/>
              <w:spacing w:before="60" w:beforeAutospacing="0" w:after="60" w:afterAutospacing="0"/>
              <w:jc w:val="both"/>
              <w:rPr>
                <w:rFonts w:ascii="Arial" w:eastAsia="+mn-ea" w:hAnsi="Arial" w:cs="Arial"/>
                <w:color w:val="000000"/>
                <w:sz w:val="20"/>
                <w:szCs w:val="20"/>
              </w:rPr>
            </w:pPr>
          </w:p>
          <w:p w:rsidR="00F42044" w:rsidRDefault="00F42044" w:rsidP="00F42044">
            <w:pPr>
              <w:pStyle w:val="Normlnweb"/>
              <w:spacing w:before="60" w:beforeAutospacing="0" w:after="60" w:afterAutospacing="0"/>
              <w:jc w:val="both"/>
              <w:rPr>
                <w:rFonts w:ascii="Arial" w:eastAsia="+mn-ea" w:hAnsi="Arial" w:cs="Arial"/>
                <w:color w:val="000000"/>
                <w:sz w:val="20"/>
                <w:szCs w:val="20"/>
              </w:rPr>
            </w:pPr>
          </w:p>
          <w:p w:rsidR="00F42044" w:rsidRDefault="00F42044" w:rsidP="00F42044">
            <w:pPr>
              <w:pStyle w:val="Normlnweb"/>
              <w:spacing w:before="60" w:beforeAutospacing="0" w:after="60" w:afterAutospacing="0"/>
              <w:jc w:val="both"/>
              <w:rPr>
                <w:rFonts w:ascii="Arial" w:eastAsia="+mn-ea" w:hAnsi="Arial" w:cs="Arial"/>
                <w:color w:val="000000"/>
                <w:sz w:val="20"/>
                <w:szCs w:val="20"/>
              </w:rPr>
            </w:pPr>
          </w:p>
          <w:p w:rsidR="00F42044" w:rsidRDefault="00F42044" w:rsidP="00F42044">
            <w:pPr>
              <w:pStyle w:val="Normlnweb"/>
              <w:spacing w:before="60" w:beforeAutospacing="0" w:after="60" w:afterAutospacing="0"/>
              <w:jc w:val="both"/>
              <w:rPr>
                <w:rFonts w:ascii="Arial" w:eastAsia="+mn-ea" w:hAnsi="Arial" w:cs="Arial"/>
                <w:color w:val="000000"/>
                <w:sz w:val="20"/>
                <w:szCs w:val="20"/>
              </w:rPr>
            </w:pPr>
          </w:p>
          <w:p w:rsidR="00F42044" w:rsidRPr="00644F35" w:rsidRDefault="00F42044" w:rsidP="00F42044">
            <w:pPr>
              <w:pStyle w:val="Normlnweb"/>
              <w:spacing w:before="60" w:beforeAutospacing="0" w:after="60" w:afterAutospacing="0"/>
              <w:jc w:val="both"/>
              <w:rPr>
                <w:rFonts w:ascii="Arial" w:eastAsia="+mn-ea" w:hAnsi="Arial" w:cs="Arial"/>
                <w:color w:val="000000"/>
                <w:sz w:val="20"/>
                <w:szCs w:val="20"/>
                <w:highlight w:val="yellow"/>
              </w:rPr>
            </w:pPr>
          </w:p>
        </w:tc>
      </w:tr>
      <w:tr w:rsidR="003B1B93" w:rsidRPr="00644F35" w:rsidTr="00890C89">
        <w:trPr>
          <w:gridAfter w:val="1"/>
          <w:wAfter w:w="39" w:type="dxa"/>
        </w:trPr>
        <w:tc>
          <w:tcPr>
            <w:tcW w:w="9786" w:type="dxa"/>
            <w:gridSpan w:val="6"/>
            <w:tcMar>
              <w:left w:w="85" w:type="dxa"/>
              <w:right w:w="85" w:type="dxa"/>
            </w:tcMar>
          </w:tcPr>
          <w:p w:rsidR="00F42044" w:rsidRPr="00644F35" w:rsidRDefault="00F42044" w:rsidP="00BF1AF9">
            <w:pPr>
              <w:pStyle w:val="Normlnweb"/>
              <w:spacing w:before="60" w:beforeAutospacing="0" w:after="60" w:afterAutospacing="0"/>
              <w:jc w:val="both"/>
              <w:rPr>
                <w:rFonts w:ascii="Arial" w:eastAsia="+mn-ea" w:hAnsi="Arial" w:cs="Arial"/>
                <w:color w:val="000000"/>
                <w:sz w:val="20"/>
                <w:szCs w:val="20"/>
                <w:highlight w:val="yellow"/>
              </w:rPr>
            </w:pPr>
            <w:r w:rsidRPr="00F42044">
              <w:rPr>
                <w:rFonts w:ascii="Arial" w:hAnsi="Arial" w:cs="Arial"/>
                <w:b/>
                <w:bCs/>
                <w:sz w:val="20"/>
                <w:szCs w:val="20"/>
              </w:rPr>
              <w:lastRenderedPageBreak/>
              <w:t xml:space="preserve">Graf </w:t>
            </w:r>
            <w:r w:rsidR="00BF1AF9">
              <w:rPr>
                <w:rFonts w:ascii="Arial" w:hAnsi="Arial" w:cs="Arial"/>
                <w:b/>
                <w:bCs/>
                <w:sz w:val="20"/>
                <w:szCs w:val="20"/>
              </w:rPr>
              <w:t>1.11</w:t>
            </w:r>
            <w:r w:rsidRPr="00F42044">
              <w:rPr>
                <w:rFonts w:ascii="Arial" w:hAnsi="Arial" w:cs="Arial"/>
                <w:b/>
                <w:bCs/>
                <w:sz w:val="20"/>
                <w:szCs w:val="20"/>
              </w:rPr>
              <w:t xml:space="preserve"> Úmrtnost ve Zlínském kraji</w:t>
            </w:r>
          </w:p>
        </w:tc>
      </w:tr>
      <w:tr w:rsidR="003B1B93" w:rsidRPr="00644F35" w:rsidTr="00890C89">
        <w:trPr>
          <w:gridAfter w:val="1"/>
          <w:wAfter w:w="39" w:type="dxa"/>
          <w:trHeight w:val="3200"/>
        </w:trPr>
        <w:tc>
          <w:tcPr>
            <w:tcW w:w="9786" w:type="dxa"/>
            <w:gridSpan w:val="6"/>
            <w:tcMar>
              <w:left w:w="85" w:type="dxa"/>
              <w:right w:w="85" w:type="dxa"/>
            </w:tcMar>
          </w:tcPr>
          <w:p w:rsidR="009476E1" w:rsidRPr="00644F35" w:rsidRDefault="009956CB" w:rsidP="00F7294A">
            <w:pPr>
              <w:spacing w:before="60" w:after="60"/>
              <w:jc w:val="left"/>
              <w:rPr>
                <w:b/>
                <w:i/>
                <w:szCs w:val="20"/>
                <w:highlight w:val="yellow"/>
              </w:rPr>
            </w:pPr>
            <w:r w:rsidRPr="00286EFA">
              <w:rPr>
                <w:b/>
                <w:i/>
                <w:szCs w:val="20"/>
              </w:rPr>
              <w:pict>
                <v:shape id="_x0000_i1037" type="#_x0000_t75" style="width:481.5pt;height:208.5pt">
                  <v:imagedata r:id="rId29" o:title=""/>
                </v:shape>
              </w:pict>
            </w:r>
          </w:p>
        </w:tc>
      </w:tr>
      <w:tr w:rsidR="003B1B93" w:rsidRPr="00644F35" w:rsidTr="00B0514C">
        <w:trPr>
          <w:gridAfter w:val="1"/>
          <w:wAfter w:w="39" w:type="dxa"/>
          <w:trHeight w:val="143"/>
        </w:trPr>
        <w:tc>
          <w:tcPr>
            <w:tcW w:w="2212" w:type="dxa"/>
            <w:gridSpan w:val="3"/>
            <w:tcMar>
              <w:left w:w="85" w:type="dxa"/>
              <w:right w:w="85" w:type="dxa"/>
            </w:tcMar>
          </w:tcPr>
          <w:p w:rsidR="003B1B93" w:rsidRPr="00F7347A" w:rsidRDefault="00B0514C" w:rsidP="00B0514C">
            <w:pPr>
              <w:pStyle w:val="Normlnweb"/>
              <w:spacing w:before="60" w:beforeAutospacing="0" w:after="60" w:afterAutospacing="0"/>
              <w:rPr>
                <w:rFonts w:ascii="Arial" w:eastAsia="+mn-ea" w:hAnsi="Arial" w:cs="Arial"/>
                <w:b/>
                <w:i/>
                <w:color w:val="000000"/>
                <w:sz w:val="20"/>
                <w:szCs w:val="20"/>
                <w:highlight w:val="yellow"/>
              </w:rPr>
            </w:pPr>
            <w:r w:rsidRPr="00F7347A">
              <w:rPr>
                <w:rFonts w:ascii="Arial" w:eastAsia="+mn-ea" w:hAnsi="Arial" w:cs="Arial"/>
                <w:b/>
                <w:i/>
                <w:color w:val="000000"/>
                <w:sz w:val="20"/>
                <w:szCs w:val="20"/>
              </w:rPr>
              <w:t>Počet uzavřených sňatků vzrostl</w:t>
            </w:r>
          </w:p>
        </w:tc>
        <w:tc>
          <w:tcPr>
            <w:tcW w:w="7574" w:type="dxa"/>
            <w:gridSpan w:val="3"/>
          </w:tcPr>
          <w:p w:rsidR="003B1B93" w:rsidRPr="00B0514C" w:rsidRDefault="00B0514C" w:rsidP="00F60790">
            <w:pPr>
              <w:pStyle w:val="Normlnweb"/>
              <w:spacing w:before="60" w:beforeAutospacing="0" w:after="60" w:afterAutospacing="0"/>
              <w:jc w:val="both"/>
              <w:rPr>
                <w:rFonts w:ascii="Arial" w:eastAsia="+mn-ea" w:hAnsi="Arial" w:cs="Arial"/>
                <w:color w:val="000000"/>
                <w:sz w:val="20"/>
                <w:szCs w:val="20"/>
                <w:highlight w:val="yellow"/>
              </w:rPr>
            </w:pPr>
            <w:r w:rsidRPr="00B0514C">
              <w:rPr>
                <w:rFonts w:ascii="Arial" w:eastAsia="+mn-ea" w:hAnsi="Arial" w:cs="Arial"/>
                <w:color w:val="000000"/>
                <w:sz w:val="20"/>
                <w:szCs w:val="20"/>
              </w:rPr>
              <w:t>V roce 2014 bylo v kraji uzavřeno celkem 2 482 sňatků, což proti předchozímu roku znamená zvýšení o 99 sňatků (o 4,2 %). Proti počátečnímu roku sledovaného období 2009 se však jejich počet snížil o 86 (o 3,3 %).</w:t>
            </w:r>
          </w:p>
        </w:tc>
      </w:tr>
      <w:tr w:rsidR="003B1B93" w:rsidRPr="00644F35" w:rsidTr="00B0514C">
        <w:trPr>
          <w:gridAfter w:val="1"/>
          <w:wAfter w:w="39" w:type="dxa"/>
        </w:trPr>
        <w:tc>
          <w:tcPr>
            <w:tcW w:w="2212" w:type="dxa"/>
            <w:gridSpan w:val="3"/>
            <w:tcMar>
              <w:left w:w="85" w:type="dxa"/>
              <w:right w:w="85" w:type="dxa"/>
            </w:tcMar>
          </w:tcPr>
          <w:p w:rsidR="003B1B93" w:rsidRPr="00644F35" w:rsidRDefault="00B0514C" w:rsidP="009D269A">
            <w:pPr>
              <w:spacing w:before="60" w:after="60"/>
              <w:jc w:val="left"/>
              <w:rPr>
                <w:b/>
                <w:i/>
                <w:szCs w:val="20"/>
                <w:highlight w:val="yellow"/>
              </w:rPr>
            </w:pPr>
            <w:r w:rsidRPr="00B0514C">
              <w:rPr>
                <w:b/>
                <w:i/>
                <w:szCs w:val="20"/>
              </w:rPr>
              <w:t>Věk snoubenců se mírně zvýšil</w:t>
            </w:r>
          </w:p>
        </w:tc>
        <w:tc>
          <w:tcPr>
            <w:tcW w:w="7574" w:type="dxa"/>
            <w:gridSpan w:val="3"/>
            <w:tcMar>
              <w:left w:w="85" w:type="dxa"/>
              <w:right w:w="85" w:type="dxa"/>
            </w:tcMar>
            <w:vAlign w:val="center"/>
          </w:tcPr>
          <w:p w:rsidR="003B1B93" w:rsidRPr="00644F35" w:rsidRDefault="00B0514C" w:rsidP="00311FA6">
            <w:pPr>
              <w:pStyle w:val="Normlnweb"/>
              <w:spacing w:before="60" w:beforeAutospacing="0" w:after="60" w:afterAutospacing="0"/>
              <w:jc w:val="both"/>
              <w:rPr>
                <w:szCs w:val="20"/>
                <w:highlight w:val="yellow"/>
              </w:rPr>
            </w:pPr>
            <w:r w:rsidRPr="00B0514C">
              <w:rPr>
                <w:rFonts w:ascii="Arial" w:eastAsia="+mn-ea" w:hAnsi="Arial" w:cs="Arial"/>
                <w:color w:val="000000"/>
                <w:sz w:val="20"/>
                <w:szCs w:val="20"/>
              </w:rPr>
              <w:t>Zvyšování věku snoubenců v roce 2014 opět pokračoval</w:t>
            </w:r>
            <w:r w:rsidR="00311FA6">
              <w:rPr>
                <w:rFonts w:ascii="Arial" w:eastAsia="+mn-ea" w:hAnsi="Arial" w:cs="Arial"/>
                <w:color w:val="000000"/>
                <w:sz w:val="20"/>
                <w:szCs w:val="20"/>
              </w:rPr>
              <w:t>o</w:t>
            </w:r>
            <w:r w:rsidRPr="00B0514C">
              <w:rPr>
                <w:rFonts w:ascii="Arial" w:eastAsia="+mn-ea" w:hAnsi="Arial" w:cs="Arial"/>
                <w:color w:val="000000"/>
                <w:sz w:val="20"/>
                <w:szCs w:val="20"/>
              </w:rPr>
              <w:t>. Průměrný věk nevěsty se meziročně zvýšil z 30,9 na 31,0 let stejně jako u ženicha, a to z 33,8 na 34,0 let. U prvních sňatků byl průměrný věk snoubenců nižší, a to u nevěsty 28,5 let (meziroční zvýšení o 0,1 procentního bodu) a u ženicha 31,4 let (meziroční zvýšení o 0,3 procentního bodu). Počty sňatků v přepočtu na tisíc obyvatel měly od roku 2009 mírný klesající trend, ale v roce 2014 se meziročně tento podíl</w:t>
            </w:r>
            <w:r w:rsidR="00311FA6">
              <w:rPr>
                <w:rFonts w:ascii="Arial" w:eastAsia="+mn-ea" w:hAnsi="Arial" w:cs="Arial"/>
                <w:color w:val="000000"/>
                <w:sz w:val="20"/>
                <w:szCs w:val="20"/>
              </w:rPr>
              <w:t xml:space="preserve"> zvýšil</w:t>
            </w:r>
            <w:r w:rsidRPr="00B0514C">
              <w:rPr>
                <w:rFonts w:ascii="Arial" w:eastAsia="+mn-ea" w:hAnsi="Arial" w:cs="Arial"/>
                <w:color w:val="000000"/>
                <w:sz w:val="20"/>
                <w:szCs w:val="20"/>
              </w:rPr>
              <w:t xml:space="preserve"> o 0,1 </w:t>
            </w:r>
            <w:proofErr w:type="spellStart"/>
            <w:proofErr w:type="gramStart"/>
            <w:r w:rsidRPr="00B0514C">
              <w:rPr>
                <w:rFonts w:ascii="Arial" w:eastAsia="+mn-ea" w:hAnsi="Arial" w:cs="Arial"/>
                <w:color w:val="000000"/>
                <w:sz w:val="20"/>
                <w:szCs w:val="20"/>
              </w:rPr>
              <w:t>p.b</w:t>
            </w:r>
            <w:proofErr w:type="spellEnd"/>
            <w:r w:rsidRPr="00B0514C">
              <w:rPr>
                <w:rFonts w:ascii="Arial" w:eastAsia="+mn-ea" w:hAnsi="Arial" w:cs="Arial"/>
                <w:color w:val="000000"/>
                <w:sz w:val="20"/>
                <w:szCs w:val="20"/>
              </w:rPr>
              <w:t>.</w:t>
            </w:r>
            <w:proofErr w:type="gramEnd"/>
            <w:r w:rsidRPr="00B0514C">
              <w:rPr>
                <w:rFonts w:ascii="Arial" w:eastAsia="+mn-ea" w:hAnsi="Arial" w:cs="Arial"/>
                <w:color w:val="000000"/>
                <w:sz w:val="20"/>
                <w:szCs w:val="20"/>
              </w:rPr>
              <w:t xml:space="preserve"> Nejvyšší hodnoty bylo dosaženo v roce 2008 a 2010 (4,3 promile), v</w:t>
            </w:r>
            <w:r w:rsidR="00311FA6">
              <w:rPr>
                <w:rFonts w:ascii="Arial" w:eastAsia="+mn-ea" w:hAnsi="Arial" w:cs="Arial"/>
                <w:color w:val="000000"/>
                <w:sz w:val="20"/>
                <w:szCs w:val="20"/>
              </w:rPr>
              <w:t> </w:t>
            </w:r>
            <w:r w:rsidRPr="00B0514C">
              <w:rPr>
                <w:rFonts w:ascii="Arial" w:eastAsia="+mn-ea" w:hAnsi="Arial" w:cs="Arial"/>
                <w:color w:val="000000"/>
                <w:sz w:val="20"/>
                <w:szCs w:val="20"/>
              </w:rPr>
              <w:t>následujících třech letech 4,1 promile a v následujícím roce 2014 se zvýšil na 4,2 promile.</w:t>
            </w:r>
            <w:r w:rsidRPr="00B0514C">
              <w:rPr>
                <w:szCs w:val="20"/>
              </w:rPr>
              <w:t xml:space="preserve">  </w:t>
            </w:r>
          </w:p>
        </w:tc>
      </w:tr>
      <w:tr w:rsidR="003B1B93" w:rsidRPr="00644F35" w:rsidTr="00890C89">
        <w:trPr>
          <w:gridAfter w:val="1"/>
          <w:wAfter w:w="39" w:type="dxa"/>
        </w:trPr>
        <w:tc>
          <w:tcPr>
            <w:tcW w:w="9786" w:type="dxa"/>
            <w:gridSpan w:val="6"/>
            <w:tcMar>
              <w:left w:w="85" w:type="dxa"/>
              <w:right w:w="85" w:type="dxa"/>
            </w:tcMar>
          </w:tcPr>
          <w:p w:rsidR="003B1B93" w:rsidRPr="00644F35" w:rsidRDefault="00B0514C" w:rsidP="00F60790">
            <w:pPr>
              <w:pStyle w:val="Normlnweb"/>
              <w:spacing w:before="60" w:beforeAutospacing="0" w:after="60" w:afterAutospacing="0"/>
              <w:jc w:val="both"/>
              <w:rPr>
                <w:rFonts w:ascii="Arial" w:eastAsia="+mn-ea" w:hAnsi="Arial" w:cs="Arial"/>
                <w:b/>
                <w:color w:val="000000"/>
                <w:sz w:val="20"/>
                <w:szCs w:val="20"/>
                <w:highlight w:val="yellow"/>
              </w:rPr>
            </w:pPr>
            <w:r w:rsidRPr="00B0514C">
              <w:rPr>
                <w:rFonts w:ascii="Arial" w:eastAsia="+mn-ea" w:hAnsi="Arial" w:cs="Arial"/>
                <w:b/>
                <w:color w:val="000000"/>
                <w:sz w:val="20"/>
                <w:szCs w:val="20"/>
              </w:rPr>
              <w:t xml:space="preserve">Graf </w:t>
            </w:r>
            <w:r w:rsidR="00BF1AF9">
              <w:rPr>
                <w:rFonts w:ascii="Arial" w:eastAsia="+mn-ea" w:hAnsi="Arial" w:cs="Arial"/>
                <w:b/>
                <w:color w:val="000000"/>
                <w:sz w:val="20"/>
                <w:szCs w:val="20"/>
              </w:rPr>
              <w:t>1.</w:t>
            </w:r>
            <w:r w:rsidRPr="00B0514C">
              <w:rPr>
                <w:rFonts w:ascii="Arial" w:eastAsia="+mn-ea" w:hAnsi="Arial" w:cs="Arial"/>
                <w:b/>
                <w:color w:val="000000"/>
                <w:sz w:val="20"/>
                <w:szCs w:val="20"/>
              </w:rPr>
              <w:t>12 Sňatky a průměrný věk snoubenců ve Zlínském kraji</w:t>
            </w:r>
          </w:p>
        </w:tc>
      </w:tr>
      <w:tr w:rsidR="003B1B93" w:rsidRPr="00644F35" w:rsidTr="00890C89">
        <w:trPr>
          <w:gridAfter w:val="1"/>
          <w:wAfter w:w="39" w:type="dxa"/>
        </w:trPr>
        <w:tc>
          <w:tcPr>
            <w:tcW w:w="9786" w:type="dxa"/>
            <w:gridSpan w:val="6"/>
            <w:tcMar>
              <w:left w:w="85" w:type="dxa"/>
              <w:right w:w="85" w:type="dxa"/>
            </w:tcMar>
          </w:tcPr>
          <w:p w:rsidR="003B1B93" w:rsidRPr="00644F35" w:rsidRDefault="009956CB" w:rsidP="00F60790">
            <w:pPr>
              <w:pStyle w:val="Normlnweb"/>
              <w:spacing w:before="60" w:beforeAutospacing="0" w:after="60" w:afterAutospacing="0"/>
              <w:jc w:val="both"/>
              <w:rPr>
                <w:rFonts w:ascii="Arial" w:eastAsia="+mn-ea" w:hAnsi="Arial" w:cs="Arial"/>
                <w:color w:val="000000"/>
                <w:sz w:val="20"/>
                <w:szCs w:val="20"/>
                <w:highlight w:val="yellow"/>
              </w:rPr>
            </w:pPr>
            <w:r w:rsidRPr="00286EFA">
              <w:rPr>
                <w:rFonts w:ascii="Arial" w:eastAsia="+mn-ea" w:hAnsi="Arial" w:cs="Arial"/>
                <w:color w:val="000000"/>
                <w:sz w:val="20"/>
                <w:szCs w:val="20"/>
              </w:rPr>
              <w:pict>
                <v:shape id="_x0000_i1038" type="#_x0000_t75" style="width:455.25pt;height:311.25pt">
                  <v:imagedata r:id="rId30" o:title=""/>
                </v:shape>
              </w:pict>
            </w:r>
          </w:p>
        </w:tc>
      </w:tr>
      <w:tr w:rsidR="003B1B93" w:rsidRPr="00644F35" w:rsidTr="00890C89">
        <w:trPr>
          <w:gridAfter w:val="1"/>
          <w:wAfter w:w="39" w:type="dxa"/>
        </w:trPr>
        <w:tc>
          <w:tcPr>
            <w:tcW w:w="2070" w:type="dxa"/>
            <w:gridSpan w:val="2"/>
            <w:tcMar>
              <w:left w:w="85" w:type="dxa"/>
              <w:right w:w="85" w:type="dxa"/>
            </w:tcMar>
          </w:tcPr>
          <w:p w:rsidR="003B1B93" w:rsidRPr="00FC6763" w:rsidRDefault="00E31546" w:rsidP="00BB21EC">
            <w:pPr>
              <w:pStyle w:val="Normlnweb"/>
              <w:spacing w:before="60" w:beforeAutospacing="0" w:after="60" w:afterAutospacing="0"/>
              <w:rPr>
                <w:rFonts w:ascii="Arial" w:eastAsia="+mn-ea" w:hAnsi="Arial" w:cs="Arial"/>
                <w:b/>
                <w:i/>
                <w:color w:val="000000"/>
                <w:sz w:val="20"/>
                <w:szCs w:val="20"/>
                <w:highlight w:val="yellow"/>
              </w:rPr>
            </w:pPr>
            <w:r w:rsidRPr="00FC6763">
              <w:rPr>
                <w:rFonts w:ascii="Arial" w:eastAsia="+mn-ea" w:hAnsi="Arial" w:cs="Arial"/>
                <w:b/>
                <w:i/>
                <w:color w:val="000000"/>
                <w:sz w:val="20"/>
                <w:szCs w:val="20"/>
              </w:rPr>
              <w:lastRenderedPageBreak/>
              <w:t xml:space="preserve">Počet rozvodů meziročně klesl o 7,5 </w:t>
            </w:r>
            <w:r w:rsidR="00411544" w:rsidRPr="00FC6763">
              <w:rPr>
                <w:rFonts w:ascii="Arial" w:eastAsia="+mn-ea" w:hAnsi="Arial" w:cs="Arial"/>
                <w:b/>
                <w:i/>
                <w:color w:val="000000"/>
                <w:sz w:val="20"/>
                <w:szCs w:val="20"/>
              </w:rPr>
              <w:t>%</w:t>
            </w:r>
          </w:p>
        </w:tc>
        <w:tc>
          <w:tcPr>
            <w:tcW w:w="7716" w:type="dxa"/>
            <w:gridSpan w:val="4"/>
          </w:tcPr>
          <w:p w:rsidR="003B1B93" w:rsidRPr="00644F35" w:rsidRDefault="00E31546" w:rsidP="00BB21EC">
            <w:pPr>
              <w:pStyle w:val="Normlnweb"/>
              <w:spacing w:before="60" w:beforeAutospacing="0" w:after="60" w:afterAutospacing="0"/>
              <w:jc w:val="both"/>
              <w:rPr>
                <w:rFonts w:ascii="Arial" w:eastAsia="+mn-ea" w:hAnsi="Arial" w:cs="Arial"/>
                <w:color w:val="000000"/>
                <w:sz w:val="20"/>
                <w:szCs w:val="20"/>
                <w:highlight w:val="yellow"/>
              </w:rPr>
            </w:pPr>
            <w:r w:rsidRPr="00E31546">
              <w:rPr>
                <w:rFonts w:ascii="Arial" w:eastAsia="+mn-ea" w:hAnsi="Arial" w:cs="Arial"/>
                <w:color w:val="000000"/>
                <w:sz w:val="20"/>
                <w:szCs w:val="20"/>
              </w:rPr>
              <w:t>V posledním roce hodnoceného období bylo rozvedeno o 104 manželství méně (o</w:t>
            </w:r>
            <w:r w:rsidR="00BB21EC">
              <w:rPr>
                <w:rFonts w:ascii="Arial" w:eastAsia="+mn-ea" w:hAnsi="Arial" w:cs="Arial"/>
                <w:color w:val="000000"/>
                <w:sz w:val="20"/>
                <w:szCs w:val="20"/>
              </w:rPr>
              <w:t> </w:t>
            </w:r>
            <w:r w:rsidRPr="00E31546">
              <w:rPr>
                <w:rFonts w:ascii="Arial" w:eastAsia="+mn-ea" w:hAnsi="Arial" w:cs="Arial"/>
                <w:color w:val="000000"/>
                <w:sz w:val="20"/>
                <w:szCs w:val="20"/>
              </w:rPr>
              <w:t xml:space="preserve">7,5 %) než v předešlém roce, a to celkem 1 277. V roce 2014 bylo nejvíce rozvedeno manželství, která trvala 5 až 9 let (celkem v 240 případech), dále pak 10 až 14 let (216), od 15 až 19 let (209) a také 20 až 24 let (182 rozvodů). Meziročně vzrostl nejvíce podíl rozvodů trvajících 15 až 19 roků, a to o 2,8 procentních bodů. Naopak nejvíce poklesl podíl rozvodů u manželství trvajících 25 až 29 let, a to o 2,4 </w:t>
            </w:r>
            <w:proofErr w:type="spellStart"/>
            <w:proofErr w:type="gramStart"/>
            <w:r w:rsidRPr="00E31546">
              <w:rPr>
                <w:rFonts w:ascii="Arial" w:eastAsia="+mn-ea" w:hAnsi="Arial" w:cs="Arial"/>
                <w:color w:val="000000"/>
                <w:sz w:val="20"/>
                <w:szCs w:val="20"/>
              </w:rPr>
              <w:t>p.b</w:t>
            </w:r>
            <w:proofErr w:type="spellEnd"/>
            <w:r w:rsidRPr="00E31546">
              <w:rPr>
                <w:rFonts w:ascii="Arial" w:eastAsia="+mn-ea" w:hAnsi="Arial" w:cs="Arial"/>
                <w:color w:val="000000"/>
                <w:sz w:val="20"/>
                <w:szCs w:val="20"/>
              </w:rPr>
              <w:t>.</w:t>
            </w:r>
            <w:proofErr w:type="gramEnd"/>
            <w:r w:rsidRPr="00E31546">
              <w:rPr>
                <w:rFonts w:ascii="Arial" w:eastAsia="+mn-ea" w:hAnsi="Arial" w:cs="Arial"/>
                <w:color w:val="000000"/>
                <w:sz w:val="20"/>
                <w:szCs w:val="20"/>
              </w:rPr>
              <w:t xml:space="preserve"> </w:t>
            </w:r>
          </w:p>
        </w:tc>
      </w:tr>
      <w:tr w:rsidR="003B1B93" w:rsidRPr="00644F35" w:rsidTr="00890C89">
        <w:trPr>
          <w:gridAfter w:val="1"/>
          <w:wAfter w:w="39" w:type="dxa"/>
        </w:trPr>
        <w:tc>
          <w:tcPr>
            <w:tcW w:w="9786" w:type="dxa"/>
            <w:gridSpan w:val="6"/>
            <w:tcMar>
              <w:left w:w="85" w:type="dxa"/>
              <w:right w:w="85" w:type="dxa"/>
            </w:tcMar>
          </w:tcPr>
          <w:p w:rsidR="003B1B93" w:rsidRPr="00644F35" w:rsidRDefault="00E31546" w:rsidP="00773CE7">
            <w:pPr>
              <w:pStyle w:val="Normlnweb"/>
              <w:spacing w:before="60" w:beforeAutospacing="0" w:after="60" w:afterAutospacing="0"/>
              <w:rPr>
                <w:rFonts w:ascii="Arial" w:eastAsia="+mn-ea" w:hAnsi="Arial" w:cs="Arial"/>
                <w:color w:val="000000"/>
                <w:sz w:val="20"/>
                <w:szCs w:val="20"/>
                <w:highlight w:val="yellow"/>
              </w:rPr>
            </w:pPr>
            <w:r w:rsidRPr="00E31546">
              <w:rPr>
                <w:rFonts w:ascii="Arial" w:eastAsia="+mn-ea" w:hAnsi="Arial" w:cs="Arial"/>
                <w:b/>
                <w:color w:val="000000"/>
                <w:sz w:val="20"/>
                <w:szCs w:val="20"/>
              </w:rPr>
              <w:t xml:space="preserve">Graf </w:t>
            </w:r>
            <w:r w:rsidR="00F806A7">
              <w:rPr>
                <w:rFonts w:ascii="Arial" w:eastAsia="+mn-ea" w:hAnsi="Arial" w:cs="Arial"/>
                <w:b/>
                <w:color w:val="000000"/>
                <w:sz w:val="20"/>
                <w:szCs w:val="20"/>
              </w:rPr>
              <w:t>1.</w:t>
            </w:r>
            <w:r w:rsidRPr="00E31546">
              <w:rPr>
                <w:rFonts w:ascii="Arial" w:eastAsia="+mn-ea" w:hAnsi="Arial" w:cs="Arial"/>
                <w:b/>
                <w:color w:val="000000"/>
                <w:sz w:val="20"/>
                <w:szCs w:val="20"/>
              </w:rPr>
              <w:t>13 Rozvody a sňatky s průměrným věkem snoubenců ve Zlínském kraji</w:t>
            </w:r>
          </w:p>
        </w:tc>
      </w:tr>
      <w:tr w:rsidR="003B1B93" w:rsidRPr="00644F35" w:rsidTr="00890C89">
        <w:trPr>
          <w:gridAfter w:val="1"/>
          <w:wAfter w:w="39" w:type="dxa"/>
        </w:trPr>
        <w:tc>
          <w:tcPr>
            <w:tcW w:w="9786" w:type="dxa"/>
            <w:gridSpan w:val="6"/>
            <w:tcMar>
              <w:left w:w="85" w:type="dxa"/>
              <w:right w:w="85" w:type="dxa"/>
            </w:tcMar>
          </w:tcPr>
          <w:p w:rsidR="00011A0D" w:rsidRDefault="009956CB" w:rsidP="00BB21EC">
            <w:pPr>
              <w:pStyle w:val="Normlnweb"/>
              <w:spacing w:before="0" w:beforeAutospacing="0" w:after="0" w:afterAutospacing="0"/>
              <w:jc w:val="both"/>
              <w:rPr>
                <w:rFonts w:ascii="Arial" w:eastAsia="+mn-ea" w:hAnsi="Arial" w:cs="Arial"/>
                <w:color w:val="000000"/>
                <w:sz w:val="20"/>
                <w:szCs w:val="20"/>
              </w:rPr>
            </w:pPr>
            <w:r w:rsidRPr="00286EFA">
              <w:rPr>
                <w:rFonts w:ascii="Arial" w:eastAsia="+mn-ea" w:hAnsi="Arial" w:cs="Arial"/>
                <w:color w:val="000000"/>
                <w:sz w:val="20"/>
                <w:szCs w:val="20"/>
              </w:rPr>
              <w:pict>
                <v:shape id="_x0000_i1039" type="#_x0000_t75" style="width:480.75pt;height:206.25pt">
                  <v:imagedata r:id="rId31" o:title=""/>
                </v:shape>
              </w:pict>
            </w:r>
          </w:p>
          <w:p w:rsidR="00BB21EC" w:rsidRPr="00644F35" w:rsidRDefault="00BB21EC" w:rsidP="00BB21EC">
            <w:pPr>
              <w:pStyle w:val="Normlnweb"/>
              <w:spacing w:before="0" w:beforeAutospacing="0" w:after="0" w:afterAutospacing="0"/>
              <w:jc w:val="both"/>
              <w:rPr>
                <w:rFonts w:ascii="Arial" w:eastAsia="+mn-ea" w:hAnsi="Arial" w:cs="Arial"/>
                <w:color w:val="000000"/>
                <w:sz w:val="20"/>
                <w:szCs w:val="20"/>
                <w:highlight w:val="yellow"/>
              </w:rPr>
            </w:pPr>
          </w:p>
        </w:tc>
      </w:tr>
      <w:tr w:rsidR="003B1B93" w:rsidRPr="00644F35" w:rsidTr="00890C89">
        <w:trPr>
          <w:gridAfter w:val="1"/>
          <w:wAfter w:w="39" w:type="dxa"/>
        </w:trPr>
        <w:tc>
          <w:tcPr>
            <w:tcW w:w="2070" w:type="dxa"/>
            <w:gridSpan w:val="2"/>
            <w:tcMar>
              <w:left w:w="85" w:type="dxa"/>
              <w:right w:w="85" w:type="dxa"/>
            </w:tcMar>
          </w:tcPr>
          <w:p w:rsidR="003B1B93" w:rsidRPr="00644F35" w:rsidRDefault="003B1B93" w:rsidP="009D269A">
            <w:pPr>
              <w:pStyle w:val="Normlnweb"/>
              <w:spacing w:before="60" w:beforeAutospacing="0" w:after="60" w:afterAutospacing="0"/>
              <w:rPr>
                <w:rFonts w:ascii="Arial" w:eastAsia="+mn-ea" w:hAnsi="Arial" w:cs="Arial"/>
                <w:color w:val="000000"/>
                <w:sz w:val="20"/>
                <w:szCs w:val="20"/>
                <w:highlight w:val="yellow"/>
              </w:rPr>
            </w:pPr>
          </w:p>
        </w:tc>
        <w:tc>
          <w:tcPr>
            <w:tcW w:w="7716" w:type="dxa"/>
            <w:gridSpan w:val="4"/>
          </w:tcPr>
          <w:p w:rsidR="00011A0D" w:rsidRPr="00011A0D" w:rsidRDefault="00011A0D" w:rsidP="00011A0D">
            <w:pPr>
              <w:pStyle w:val="Normlnweb"/>
              <w:spacing w:before="60" w:beforeAutospacing="0" w:after="60" w:afterAutospacing="0"/>
              <w:jc w:val="both"/>
              <w:rPr>
                <w:rFonts w:ascii="Arial" w:eastAsia="+mn-ea" w:hAnsi="Arial" w:cs="Arial"/>
                <w:color w:val="000000"/>
                <w:sz w:val="20"/>
                <w:szCs w:val="20"/>
              </w:rPr>
            </w:pPr>
            <w:r w:rsidRPr="00011A0D">
              <w:rPr>
                <w:rFonts w:ascii="Arial" w:eastAsia="+mn-ea" w:hAnsi="Arial" w:cs="Arial"/>
                <w:color w:val="000000"/>
                <w:sz w:val="20"/>
                <w:szCs w:val="20"/>
              </w:rPr>
              <w:t>V průběhu sledovaných pěti let se projevil největší i nejmenší rozdíl u stejných věkových skupin. Nejvíce se zvýšil podíl rozvodů manželství trvajících 25 až 29 let, a to ze 7,9 % v roce 2009 na 9,9 % v roce 2014. Nejvýraznější snížení bylo zachyceno u manželství trvajících 2 až 4 roků, a to z 11,4 % v roce 2009 na 10,6 % v</w:t>
            </w:r>
            <w:r w:rsidR="00D35E31">
              <w:rPr>
                <w:rFonts w:ascii="Arial" w:eastAsia="+mn-ea" w:hAnsi="Arial" w:cs="Arial"/>
                <w:color w:val="000000"/>
                <w:sz w:val="20"/>
                <w:szCs w:val="20"/>
              </w:rPr>
              <w:t> </w:t>
            </w:r>
            <w:r w:rsidRPr="00011A0D">
              <w:rPr>
                <w:rFonts w:ascii="Arial" w:eastAsia="+mn-ea" w:hAnsi="Arial" w:cs="Arial"/>
                <w:color w:val="000000"/>
                <w:sz w:val="20"/>
                <w:szCs w:val="20"/>
              </w:rPr>
              <w:t xml:space="preserve">posledním sledovaném roce a také s délkou trvání 5 až 9 let z 19,6 % na 18,8 %. </w:t>
            </w:r>
          </w:p>
          <w:p w:rsidR="00011A0D" w:rsidRPr="00011A0D" w:rsidRDefault="00011A0D" w:rsidP="00011A0D">
            <w:pPr>
              <w:pStyle w:val="Normlnweb"/>
              <w:spacing w:before="60" w:beforeAutospacing="0" w:after="60" w:afterAutospacing="0"/>
              <w:jc w:val="both"/>
              <w:rPr>
                <w:rFonts w:ascii="Arial" w:eastAsia="+mn-ea" w:hAnsi="Arial" w:cs="Arial"/>
                <w:color w:val="000000"/>
                <w:sz w:val="20"/>
                <w:szCs w:val="20"/>
              </w:rPr>
            </w:pPr>
            <w:r w:rsidRPr="00011A0D">
              <w:rPr>
                <w:rFonts w:ascii="Arial" w:eastAsia="+mn-ea" w:hAnsi="Arial" w:cs="Arial"/>
                <w:color w:val="000000"/>
                <w:sz w:val="20"/>
                <w:szCs w:val="20"/>
              </w:rPr>
              <w:t>Průměrný věk při rozvodu se během pěti let zvýšil, a to u mužů o 1,7 roku na 43,9 let a také u žen o 2,0 roku na 41,2 let.</w:t>
            </w:r>
          </w:p>
          <w:p w:rsidR="003B1B93" w:rsidRPr="00E31546" w:rsidRDefault="003B1B93" w:rsidP="00011A0D">
            <w:pPr>
              <w:pStyle w:val="Normlnweb"/>
              <w:spacing w:before="60" w:beforeAutospacing="0" w:after="60" w:afterAutospacing="0"/>
              <w:jc w:val="both"/>
              <w:rPr>
                <w:rFonts w:ascii="Arial" w:eastAsia="+mn-ea" w:hAnsi="Arial" w:cs="Arial"/>
                <w:color w:val="000000"/>
                <w:sz w:val="20"/>
                <w:szCs w:val="20"/>
              </w:rPr>
            </w:pPr>
          </w:p>
        </w:tc>
      </w:tr>
      <w:tr w:rsidR="003B1B93" w:rsidRPr="00644F35" w:rsidTr="00890C89">
        <w:trPr>
          <w:gridAfter w:val="1"/>
          <w:wAfter w:w="39" w:type="dxa"/>
        </w:trPr>
        <w:tc>
          <w:tcPr>
            <w:tcW w:w="9786" w:type="dxa"/>
            <w:gridSpan w:val="6"/>
            <w:tcMar>
              <w:left w:w="85" w:type="dxa"/>
              <w:right w:w="85" w:type="dxa"/>
            </w:tcMar>
          </w:tcPr>
          <w:p w:rsidR="003B1B93" w:rsidRPr="00644F35" w:rsidRDefault="00E31546" w:rsidP="00F60790">
            <w:pPr>
              <w:pStyle w:val="Normlnweb"/>
              <w:spacing w:before="60" w:beforeAutospacing="0" w:after="60" w:afterAutospacing="0"/>
              <w:jc w:val="both"/>
              <w:rPr>
                <w:rFonts w:ascii="Arial" w:eastAsia="+mn-ea" w:hAnsi="Arial" w:cs="Arial"/>
                <w:b/>
                <w:color w:val="000000"/>
                <w:sz w:val="20"/>
                <w:szCs w:val="20"/>
                <w:highlight w:val="yellow"/>
              </w:rPr>
            </w:pPr>
            <w:r w:rsidRPr="00E31546">
              <w:rPr>
                <w:rFonts w:ascii="Arial" w:eastAsia="+mn-ea" w:hAnsi="Arial" w:cs="Arial"/>
                <w:b/>
                <w:color w:val="000000"/>
                <w:sz w:val="20"/>
                <w:szCs w:val="20"/>
              </w:rPr>
              <w:t xml:space="preserve">Graf </w:t>
            </w:r>
            <w:r w:rsidR="00F806A7">
              <w:rPr>
                <w:rFonts w:ascii="Arial" w:eastAsia="+mn-ea" w:hAnsi="Arial" w:cs="Arial"/>
                <w:b/>
                <w:color w:val="000000"/>
                <w:sz w:val="20"/>
                <w:szCs w:val="20"/>
              </w:rPr>
              <w:t>1.</w:t>
            </w:r>
            <w:r w:rsidRPr="00E31546">
              <w:rPr>
                <w:rFonts w:ascii="Arial" w:eastAsia="+mn-ea" w:hAnsi="Arial" w:cs="Arial"/>
                <w:b/>
                <w:color w:val="000000"/>
                <w:sz w:val="20"/>
                <w:szCs w:val="20"/>
              </w:rPr>
              <w:t>14 Rozvody ve Zlínském kraji podle délky trvání manželství – podíly v %</w:t>
            </w:r>
          </w:p>
        </w:tc>
      </w:tr>
      <w:tr w:rsidR="003B1B93" w:rsidRPr="00644F35" w:rsidTr="00890C89">
        <w:trPr>
          <w:gridAfter w:val="1"/>
          <w:wAfter w:w="39" w:type="dxa"/>
        </w:trPr>
        <w:tc>
          <w:tcPr>
            <w:tcW w:w="9786" w:type="dxa"/>
            <w:gridSpan w:val="6"/>
            <w:tcMar>
              <w:left w:w="85" w:type="dxa"/>
              <w:right w:w="85" w:type="dxa"/>
            </w:tcMar>
          </w:tcPr>
          <w:p w:rsidR="003B1B93" w:rsidRPr="00644F35" w:rsidRDefault="00011A0D" w:rsidP="00011A0D">
            <w:pPr>
              <w:pStyle w:val="Normlnweb"/>
              <w:spacing w:before="120" w:beforeAutospacing="0"/>
              <w:jc w:val="both"/>
              <w:rPr>
                <w:rFonts w:ascii="Arial" w:eastAsia="+mn-ea" w:hAnsi="Arial" w:cs="Arial"/>
                <w:color w:val="000000"/>
                <w:sz w:val="20"/>
                <w:szCs w:val="20"/>
                <w:highlight w:val="yellow"/>
              </w:rPr>
            </w:pPr>
            <w:r>
              <w:rPr>
                <w:rFonts w:ascii="Arial" w:eastAsia="+mn-ea" w:hAnsi="Arial" w:cs="Arial"/>
                <w:color w:val="000000"/>
                <w:sz w:val="20"/>
                <w:szCs w:val="20"/>
              </w:rPr>
              <w:t xml:space="preserve">        </w:t>
            </w:r>
            <w:r w:rsidR="009956CB" w:rsidRPr="00286EFA">
              <w:rPr>
                <w:rFonts w:ascii="Arial" w:eastAsia="+mn-ea" w:hAnsi="Arial" w:cs="Arial"/>
                <w:color w:val="000000"/>
                <w:sz w:val="20"/>
                <w:szCs w:val="20"/>
              </w:rPr>
              <w:pict>
                <v:shape id="_x0000_i1040" type="#_x0000_t75" style="width:443.25pt;height:261.75pt">
                  <v:imagedata r:id="rId32" o:title=""/>
                </v:shape>
              </w:pict>
            </w:r>
          </w:p>
        </w:tc>
      </w:tr>
      <w:tr w:rsidR="003B1B93" w:rsidRPr="00644F35" w:rsidTr="00890C89">
        <w:trPr>
          <w:gridAfter w:val="1"/>
          <w:wAfter w:w="39" w:type="dxa"/>
        </w:trPr>
        <w:tc>
          <w:tcPr>
            <w:tcW w:w="2070" w:type="dxa"/>
            <w:gridSpan w:val="2"/>
            <w:tcMar>
              <w:left w:w="85" w:type="dxa"/>
              <w:right w:w="85" w:type="dxa"/>
            </w:tcMar>
          </w:tcPr>
          <w:p w:rsidR="003B1B93" w:rsidRPr="00644F35" w:rsidRDefault="003B1B93" w:rsidP="00F60790">
            <w:pPr>
              <w:pStyle w:val="Normlnweb"/>
              <w:jc w:val="both"/>
              <w:rPr>
                <w:rFonts w:ascii="Arial" w:eastAsia="+mn-ea" w:hAnsi="Arial" w:cs="Arial"/>
                <w:color w:val="000000"/>
                <w:sz w:val="20"/>
                <w:szCs w:val="20"/>
                <w:highlight w:val="yellow"/>
              </w:rPr>
            </w:pPr>
          </w:p>
        </w:tc>
        <w:tc>
          <w:tcPr>
            <w:tcW w:w="7716" w:type="dxa"/>
            <w:gridSpan w:val="4"/>
          </w:tcPr>
          <w:p w:rsidR="00011A0D" w:rsidRPr="00011A0D" w:rsidRDefault="00011A0D" w:rsidP="00E40BB4">
            <w:pPr>
              <w:pStyle w:val="Normlnweb"/>
              <w:spacing w:before="60" w:beforeAutospacing="0" w:after="60" w:afterAutospacing="0"/>
              <w:jc w:val="both"/>
              <w:rPr>
                <w:rFonts w:ascii="Arial" w:eastAsia="+mn-ea" w:hAnsi="Arial" w:cs="Arial"/>
                <w:color w:val="000000"/>
                <w:sz w:val="20"/>
                <w:szCs w:val="20"/>
              </w:rPr>
            </w:pPr>
            <w:r w:rsidRPr="00011A0D">
              <w:rPr>
                <w:rFonts w:ascii="Arial" w:eastAsia="+mn-ea" w:hAnsi="Arial" w:cs="Arial"/>
                <w:color w:val="000000"/>
                <w:sz w:val="20"/>
                <w:szCs w:val="20"/>
              </w:rPr>
              <w:t>Nejčastější příčinou rozvodů ve všech sledovaných letech a stejně ze strany jak mužů, tak i žen byl uveden rozdíl povah, názorů a zájmů. Podíl této příčiny rozvodů se v průběhu pěti let zvýšil u mužů o 1,1 procentního bodu na 69,9 %, u žen klesl o</w:t>
            </w:r>
            <w:r w:rsidR="007F6C39">
              <w:rPr>
                <w:rFonts w:ascii="Arial" w:eastAsia="+mn-ea" w:hAnsi="Arial" w:cs="Arial"/>
                <w:color w:val="000000"/>
                <w:sz w:val="20"/>
                <w:szCs w:val="20"/>
              </w:rPr>
              <w:t> </w:t>
            </w:r>
            <w:r w:rsidRPr="00011A0D">
              <w:rPr>
                <w:rFonts w:ascii="Arial" w:eastAsia="+mn-ea" w:hAnsi="Arial" w:cs="Arial"/>
                <w:color w:val="000000"/>
                <w:sz w:val="20"/>
                <w:szCs w:val="20"/>
              </w:rPr>
              <w:t>0,5 procentního bodu na 70,7 %.</w:t>
            </w:r>
          </w:p>
          <w:p w:rsidR="00011A0D" w:rsidRPr="00011A0D" w:rsidRDefault="00011A0D" w:rsidP="00E40BB4">
            <w:pPr>
              <w:pStyle w:val="Normlnweb"/>
              <w:spacing w:before="60" w:beforeAutospacing="0" w:after="60" w:afterAutospacing="0"/>
              <w:jc w:val="both"/>
              <w:rPr>
                <w:rFonts w:ascii="Arial" w:eastAsia="+mn-ea" w:hAnsi="Arial" w:cs="Arial"/>
                <w:color w:val="000000"/>
                <w:sz w:val="20"/>
                <w:szCs w:val="20"/>
              </w:rPr>
            </w:pPr>
            <w:r w:rsidRPr="00011A0D">
              <w:rPr>
                <w:rFonts w:ascii="Arial" w:eastAsia="+mn-ea" w:hAnsi="Arial" w:cs="Arial"/>
                <w:color w:val="000000"/>
                <w:sz w:val="20"/>
                <w:szCs w:val="20"/>
              </w:rPr>
              <w:t xml:space="preserve">Největší podíl rozvedených manželství v roce 2014 byl bez nezletilých dětí (40,4 %), dále pak 33,1 % bylo manželství s jedním nezletilým dítětem a 24,0 % bylo se </w:t>
            </w:r>
            <w:proofErr w:type="gramStart"/>
            <w:r w:rsidRPr="00011A0D">
              <w:rPr>
                <w:rFonts w:ascii="Arial" w:eastAsia="+mn-ea" w:hAnsi="Arial" w:cs="Arial"/>
                <w:color w:val="000000"/>
                <w:sz w:val="20"/>
                <w:szCs w:val="20"/>
              </w:rPr>
              <w:t>dvěm</w:t>
            </w:r>
            <w:r w:rsidR="007F6C39">
              <w:rPr>
                <w:rFonts w:ascii="Arial" w:eastAsia="+mn-ea" w:hAnsi="Arial" w:cs="Arial"/>
                <w:color w:val="000000"/>
                <w:sz w:val="20"/>
                <w:szCs w:val="20"/>
              </w:rPr>
              <w:t>a</w:t>
            </w:r>
            <w:r w:rsidRPr="00011A0D">
              <w:rPr>
                <w:rFonts w:ascii="Arial" w:eastAsia="+mn-ea" w:hAnsi="Arial" w:cs="Arial"/>
                <w:color w:val="000000"/>
                <w:sz w:val="20"/>
                <w:szCs w:val="20"/>
              </w:rPr>
              <w:t xml:space="preserve">  nezletilými</w:t>
            </w:r>
            <w:proofErr w:type="gramEnd"/>
            <w:r w:rsidRPr="00011A0D">
              <w:rPr>
                <w:rFonts w:ascii="Arial" w:eastAsia="+mn-ea" w:hAnsi="Arial" w:cs="Arial"/>
                <w:color w:val="000000"/>
                <w:sz w:val="20"/>
                <w:szCs w:val="20"/>
              </w:rPr>
              <w:t xml:space="preserve"> dětmi.</w:t>
            </w:r>
          </w:p>
          <w:p w:rsidR="003B1B93" w:rsidRDefault="00011A0D" w:rsidP="00E40BB4">
            <w:pPr>
              <w:pStyle w:val="Normlnweb"/>
              <w:spacing w:before="60" w:beforeAutospacing="0" w:after="60" w:afterAutospacing="0"/>
              <w:jc w:val="both"/>
              <w:rPr>
                <w:rFonts w:ascii="Arial" w:eastAsia="+mn-ea" w:hAnsi="Arial" w:cs="Arial"/>
                <w:color w:val="000000"/>
                <w:sz w:val="20"/>
                <w:szCs w:val="20"/>
              </w:rPr>
            </w:pPr>
            <w:r w:rsidRPr="00011A0D">
              <w:rPr>
                <w:rFonts w:ascii="Arial" w:eastAsia="+mn-ea" w:hAnsi="Arial" w:cs="Arial"/>
                <w:color w:val="000000"/>
                <w:sz w:val="20"/>
                <w:szCs w:val="20"/>
              </w:rPr>
              <w:t>V průběhu pěti let vykazoval index rozvodovosti (počet rozvodů na 100 sňatků) v</w:t>
            </w:r>
            <w:r w:rsidR="00D35E31">
              <w:rPr>
                <w:rFonts w:ascii="Arial" w:eastAsia="+mn-ea" w:hAnsi="Arial" w:cs="Arial"/>
                <w:color w:val="000000"/>
                <w:sz w:val="20"/>
                <w:szCs w:val="20"/>
              </w:rPr>
              <w:t> </w:t>
            </w:r>
            <w:r w:rsidRPr="00011A0D">
              <w:rPr>
                <w:rFonts w:ascii="Arial" w:eastAsia="+mn-ea" w:hAnsi="Arial" w:cs="Arial"/>
                <w:color w:val="000000"/>
                <w:sz w:val="20"/>
                <w:szCs w:val="20"/>
              </w:rPr>
              <w:t>jednotlivých letech rozkolísané hodnoty. Ve sledovaném období klesl z 56,9 (rok 2009) o 5,4 procentního bodu. Meziročně se tento index snížil o 6,5 procentního bodu a dosáhl v roce 2014 hodnoty 51,5 %.</w:t>
            </w:r>
          </w:p>
          <w:p w:rsidR="00B51A0F" w:rsidRPr="00644F35" w:rsidRDefault="00B51A0F" w:rsidP="00011A0D">
            <w:pPr>
              <w:pStyle w:val="Normlnweb"/>
              <w:spacing w:before="0" w:beforeAutospacing="0" w:after="0" w:afterAutospacing="0"/>
              <w:jc w:val="both"/>
              <w:rPr>
                <w:rFonts w:ascii="Arial" w:eastAsia="+mn-ea" w:hAnsi="Arial" w:cs="Arial"/>
                <w:color w:val="000000"/>
                <w:sz w:val="20"/>
                <w:szCs w:val="20"/>
                <w:highlight w:val="yellow"/>
              </w:rPr>
            </w:pPr>
          </w:p>
        </w:tc>
      </w:tr>
      <w:tr w:rsidR="003B1B93" w:rsidRPr="00644F35" w:rsidTr="00890C89">
        <w:trPr>
          <w:gridAfter w:val="1"/>
          <w:wAfter w:w="39" w:type="dxa"/>
        </w:trPr>
        <w:tc>
          <w:tcPr>
            <w:tcW w:w="9786" w:type="dxa"/>
            <w:gridSpan w:val="6"/>
            <w:tcMar>
              <w:left w:w="85" w:type="dxa"/>
              <w:right w:w="85" w:type="dxa"/>
            </w:tcMar>
          </w:tcPr>
          <w:p w:rsidR="003B1B93" w:rsidRPr="00644F35" w:rsidRDefault="003B1B93" w:rsidP="00F806A7">
            <w:pPr>
              <w:pStyle w:val="Normlnweb"/>
              <w:spacing w:before="60" w:beforeAutospacing="0" w:after="60" w:afterAutospacing="0"/>
              <w:jc w:val="both"/>
              <w:rPr>
                <w:rFonts w:ascii="Arial" w:eastAsia="+mn-ea" w:hAnsi="Arial" w:cs="Arial"/>
                <w:b/>
                <w:color w:val="000000"/>
                <w:sz w:val="20"/>
                <w:szCs w:val="20"/>
                <w:highlight w:val="yellow"/>
              </w:rPr>
            </w:pPr>
            <w:r w:rsidRPr="008D176F">
              <w:rPr>
                <w:rFonts w:ascii="Arial" w:eastAsia="+mn-ea" w:hAnsi="Arial" w:cs="Arial"/>
                <w:b/>
                <w:color w:val="000000"/>
                <w:sz w:val="20"/>
                <w:szCs w:val="20"/>
              </w:rPr>
              <w:t>Graf</w:t>
            </w:r>
            <w:r w:rsidR="008D176F" w:rsidRPr="008D176F">
              <w:rPr>
                <w:rFonts w:ascii="Arial" w:eastAsia="+mn-ea" w:hAnsi="Arial" w:cs="Arial"/>
                <w:b/>
                <w:color w:val="000000"/>
                <w:sz w:val="20"/>
                <w:szCs w:val="20"/>
              </w:rPr>
              <w:t xml:space="preserve"> </w:t>
            </w:r>
            <w:r w:rsidR="00F806A7">
              <w:rPr>
                <w:rFonts w:ascii="Arial" w:eastAsia="+mn-ea" w:hAnsi="Arial" w:cs="Arial"/>
                <w:b/>
                <w:color w:val="000000"/>
                <w:sz w:val="20"/>
                <w:szCs w:val="20"/>
              </w:rPr>
              <w:t>1.</w:t>
            </w:r>
            <w:r w:rsidRPr="008D176F">
              <w:rPr>
                <w:rFonts w:ascii="Arial" w:eastAsia="+mn-ea" w:hAnsi="Arial" w:cs="Arial"/>
                <w:b/>
                <w:color w:val="000000"/>
                <w:sz w:val="20"/>
                <w:szCs w:val="20"/>
              </w:rPr>
              <w:t>15 Potraty ve Zlínském kraji</w:t>
            </w:r>
          </w:p>
        </w:tc>
      </w:tr>
      <w:tr w:rsidR="003B1B93" w:rsidRPr="00644F35" w:rsidTr="00890C89">
        <w:trPr>
          <w:gridAfter w:val="1"/>
          <w:wAfter w:w="39" w:type="dxa"/>
        </w:trPr>
        <w:tc>
          <w:tcPr>
            <w:tcW w:w="9786" w:type="dxa"/>
            <w:gridSpan w:val="6"/>
            <w:tcMar>
              <w:left w:w="85" w:type="dxa"/>
              <w:right w:w="85" w:type="dxa"/>
            </w:tcMar>
          </w:tcPr>
          <w:p w:rsidR="003B1B93" w:rsidRPr="00644F35" w:rsidRDefault="009956CB" w:rsidP="009D269A">
            <w:pPr>
              <w:pStyle w:val="Normlnweb"/>
              <w:spacing w:before="60" w:beforeAutospacing="0" w:after="60" w:afterAutospacing="0"/>
              <w:jc w:val="both"/>
              <w:rPr>
                <w:rFonts w:ascii="Arial" w:eastAsia="+mn-ea" w:hAnsi="Arial" w:cs="Arial"/>
                <w:color w:val="000000"/>
                <w:sz w:val="20"/>
                <w:szCs w:val="20"/>
                <w:highlight w:val="yellow"/>
              </w:rPr>
            </w:pPr>
            <w:r w:rsidRPr="00286EFA">
              <w:rPr>
                <w:rFonts w:ascii="Arial" w:eastAsia="+mn-ea" w:hAnsi="Arial" w:cs="Arial"/>
                <w:color w:val="000000"/>
                <w:sz w:val="20"/>
                <w:szCs w:val="20"/>
              </w:rPr>
              <w:pict>
                <v:shape id="_x0000_i1041" type="#_x0000_t75" style="width:480.75pt;height:177pt">
                  <v:imagedata r:id="rId33" o:title=""/>
                </v:shape>
              </w:pict>
            </w:r>
          </w:p>
        </w:tc>
      </w:tr>
      <w:tr w:rsidR="003B1B93" w:rsidRPr="00644F35" w:rsidTr="00890C89">
        <w:trPr>
          <w:gridAfter w:val="1"/>
          <w:wAfter w:w="39" w:type="dxa"/>
          <w:trHeight w:val="1703"/>
        </w:trPr>
        <w:tc>
          <w:tcPr>
            <w:tcW w:w="2070" w:type="dxa"/>
            <w:gridSpan w:val="2"/>
            <w:tcMar>
              <w:left w:w="85" w:type="dxa"/>
              <w:right w:w="85" w:type="dxa"/>
            </w:tcMar>
          </w:tcPr>
          <w:p w:rsidR="003B1B93" w:rsidRPr="00644F35" w:rsidRDefault="008D176F" w:rsidP="00B51A0F">
            <w:pPr>
              <w:pStyle w:val="Normlnweb"/>
              <w:spacing w:before="60" w:beforeAutospacing="0" w:after="60" w:afterAutospacing="0"/>
              <w:rPr>
                <w:rFonts w:ascii="Arial" w:eastAsia="+mn-ea" w:hAnsi="Arial" w:cs="Arial"/>
                <w:color w:val="000000"/>
                <w:sz w:val="20"/>
                <w:szCs w:val="20"/>
                <w:highlight w:val="yellow"/>
              </w:rPr>
            </w:pPr>
            <w:r w:rsidRPr="008D176F">
              <w:rPr>
                <w:rFonts w:ascii="Arial" w:hAnsi="Arial" w:cs="Arial"/>
                <w:b/>
                <w:i/>
                <w:sz w:val="20"/>
                <w:szCs w:val="20"/>
              </w:rPr>
              <w:t>Počet potratů v</w:t>
            </w:r>
            <w:r w:rsidR="00B51A0F">
              <w:rPr>
                <w:rFonts w:ascii="Arial" w:hAnsi="Arial" w:cs="Arial"/>
                <w:b/>
                <w:i/>
                <w:sz w:val="20"/>
                <w:szCs w:val="20"/>
              </w:rPr>
              <w:t> </w:t>
            </w:r>
            <w:r w:rsidRPr="008D176F">
              <w:rPr>
                <w:rFonts w:ascii="Arial" w:hAnsi="Arial" w:cs="Arial"/>
                <w:b/>
                <w:i/>
                <w:sz w:val="20"/>
                <w:szCs w:val="20"/>
              </w:rPr>
              <w:t>kraji se zvýšil</w:t>
            </w:r>
          </w:p>
        </w:tc>
        <w:tc>
          <w:tcPr>
            <w:tcW w:w="7716" w:type="dxa"/>
            <w:gridSpan w:val="4"/>
          </w:tcPr>
          <w:p w:rsidR="003B1B93" w:rsidRPr="00644F35" w:rsidRDefault="00B51A0F" w:rsidP="00D35E31">
            <w:pPr>
              <w:pStyle w:val="Normlnweb"/>
              <w:spacing w:before="60" w:beforeAutospacing="0" w:after="60" w:afterAutospacing="0"/>
              <w:jc w:val="both"/>
              <w:rPr>
                <w:rFonts w:ascii="Arial" w:eastAsia="+mn-ea" w:hAnsi="Arial" w:cs="Arial"/>
                <w:color w:val="000000"/>
                <w:sz w:val="20"/>
                <w:szCs w:val="20"/>
                <w:highlight w:val="yellow"/>
              </w:rPr>
            </w:pPr>
            <w:r w:rsidRPr="00B51A0F">
              <w:rPr>
                <w:rFonts w:ascii="Arial" w:eastAsia="+mn-ea" w:hAnsi="Arial" w:cs="Arial"/>
                <w:color w:val="000000"/>
                <w:sz w:val="20"/>
                <w:szCs w:val="20"/>
              </w:rPr>
              <w:t>V roce 2014 bylo ve Zlínském kraji přerušeno celkem 1 919 těhotenství (z toho podíl umělých přerušení těhotenství činil 52,6 %). Proti minulému roku došlo k nárůstu počtu potratů o 116, tj. 6,4 %. Z pohledu ukazatele úhrnné potratovosti (průměrný počet potratů připadající na jednu ženu za předpokladu dané neměnné potratovosti a</w:t>
            </w:r>
            <w:r w:rsidR="00D35E31">
              <w:rPr>
                <w:rFonts w:ascii="Arial" w:eastAsia="+mn-ea" w:hAnsi="Arial" w:cs="Arial"/>
                <w:color w:val="000000"/>
                <w:sz w:val="20"/>
                <w:szCs w:val="20"/>
              </w:rPr>
              <w:t> </w:t>
            </w:r>
            <w:r w:rsidRPr="00B51A0F">
              <w:rPr>
                <w:rFonts w:ascii="Arial" w:eastAsia="+mn-ea" w:hAnsi="Arial" w:cs="Arial"/>
                <w:color w:val="000000"/>
                <w:sz w:val="20"/>
                <w:szCs w:val="20"/>
              </w:rPr>
              <w:t>nulové úmrtnosti do 50 let) jsou zlínské hodnoty v posledních pěti letech pod republikovými hodnotami. V hodnoceném roce dosáhla potratovost v ČR hodnoty 0,513, ve Zlínském kraji 0,484.</w:t>
            </w:r>
          </w:p>
        </w:tc>
      </w:tr>
    </w:tbl>
    <w:p w:rsidR="00F60790" w:rsidRDefault="00F60790" w:rsidP="00F60790"/>
    <w:p w:rsidR="0017742A" w:rsidRDefault="0017742A" w:rsidP="00E45733">
      <w:pPr>
        <w:pStyle w:val="text"/>
      </w:pPr>
    </w:p>
    <w:p w:rsidR="00804250" w:rsidRDefault="00804250">
      <w:pPr>
        <w:jc w:val="left"/>
        <w:sectPr w:rsidR="00804250" w:rsidSect="009671C9">
          <w:footerReference w:type="first" r:id="rId34"/>
          <w:footnotePr>
            <w:numRestart w:val="eachPage"/>
          </w:footnotePr>
          <w:pgSz w:w="11906" w:h="16838" w:code="9"/>
          <w:pgMar w:top="1134" w:right="1134" w:bottom="1247" w:left="1134" w:header="567" w:footer="709" w:gutter="0"/>
          <w:cols w:space="708" w:equalWidth="0">
            <w:col w:w="9638"/>
          </w:cols>
          <w:titlePg/>
          <w:docGrid w:linePitch="360"/>
        </w:sectPr>
      </w:pPr>
    </w:p>
    <w:p w:rsidR="0017742A" w:rsidRDefault="0017742A" w:rsidP="00FF31A7">
      <w:pPr>
        <w:tabs>
          <w:tab w:val="left" w:pos="2127"/>
        </w:tabs>
        <w:jc w:val="left"/>
        <w:rPr>
          <w:sz w:val="2"/>
        </w:rPr>
      </w:pPr>
    </w:p>
    <w:p w:rsidR="0017742A" w:rsidRDefault="007C121A" w:rsidP="00306A8F">
      <w:pPr>
        <w:pStyle w:val="Nadpis1"/>
      </w:pPr>
      <w:r>
        <w:t xml:space="preserve"> </w:t>
      </w:r>
      <w:bookmarkStart w:id="3" w:name="_Toc428351938"/>
      <w:r w:rsidR="0017742A">
        <w:t>Sociální vývoj</w:t>
      </w:r>
      <w:bookmarkEnd w:id="3"/>
    </w:p>
    <w:tbl>
      <w:tblPr>
        <w:tblW w:w="9786" w:type="dxa"/>
        <w:tblInd w:w="-15" w:type="dxa"/>
        <w:tblLayout w:type="fixed"/>
        <w:tblCellMar>
          <w:left w:w="70" w:type="dxa"/>
          <w:right w:w="70" w:type="dxa"/>
        </w:tblCellMar>
        <w:tblLook w:val="0000"/>
      </w:tblPr>
      <w:tblGrid>
        <w:gridCol w:w="15"/>
        <w:gridCol w:w="1992"/>
        <w:gridCol w:w="17"/>
        <w:gridCol w:w="39"/>
        <w:gridCol w:w="267"/>
        <w:gridCol w:w="16"/>
        <w:gridCol w:w="36"/>
        <w:gridCol w:w="2410"/>
        <w:gridCol w:w="56"/>
        <w:gridCol w:w="30"/>
        <w:gridCol w:w="4701"/>
        <w:gridCol w:w="11"/>
        <w:gridCol w:w="15"/>
        <w:gridCol w:w="181"/>
      </w:tblGrid>
      <w:tr w:rsidR="004F7957" w:rsidTr="00057F4A">
        <w:trPr>
          <w:gridBefore w:val="1"/>
          <w:gridAfter w:val="3"/>
          <w:wBefore w:w="15" w:type="dxa"/>
          <w:wAfter w:w="207" w:type="dxa"/>
        </w:trPr>
        <w:tc>
          <w:tcPr>
            <w:tcW w:w="2315" w:type="dxa"/>
            <w:gridSpan w:val="4"/>
          </w:tcPr>
          <w:p w:rsidR="004F7957" w:rsidRPr="00EB6FAC" w:rsidRDefault="004F7957" w:rsidP="004F7957">
            <w:pPr>
              <w:pStyle w:val="text"/>
              <w:jc w:val="left"/>
              <w:rPr>
                <w:b/>
                <w:i/>
              </w:rPr>
            </w:pPr>
            <w:r w:rsidRPr="00EB6FAC">
              <w:rPr>
                <w:b/>
                <w:i/>
                <w:u w:val="single"/>
              </w:rPr>
              <w:t>Trh práce</w:t>
            </w:r>
            <w:r w:rsidRPr="00EB6FAC">
              <w:rPr>
                <w:b/>
                <w:i/>
              </w:rPr>
              <w:t xml:space="preserve"> </w:t>
            </w:r>
          </w:p>
          <w:p w:rsidR="004F7957" w:rsidRPr="00644F35" w:rsidRDefault="00EB6FAC" w:rsidP="004F7957">
            <w:pPr>
              <w:pStyle w:val="text"/>
              <w:jc w:val="left"/>
              <w:rPr>
                <w:b/>
                <w:bCs/>
                <w:i/>
                <w:iCs/>
                <w:highlight w:val="yellow"/>
              </w:rPr>
            </w:pPr>
            <w:r w:rsidRPr="00EB6FAC">
              <w:rPr>
                <w:b/>
                <w:bCs/>
                <w:i/>
                <w:iCs/>
              </w:rPr>
              <w:t>Objem</w:t>
            </w:r>
            <w:r>
              <w:rPr>
                <w:b/>
                <w:bCs/>
                <w:i/>
                <w:iCs/>
              </w:rPr>
              <w:t xml:space="preserve"> pracovní síly meziročně výrazně klesl</w:t>
            </w:r>
          </w:p>
        </w:tc>
        <w:tc>
          <w:tcPr>
            <w:tcW w:w="7249" w:type="dxa"/>
            <w:gridSpan w:val="6"/>
          </w:tcPr>
          <w:p w:rsidR="004F7957" w:rsidRPr="00644F35" w:rsidRDefault="00EB6FAC" w:rsidP="004B4B4B">
            <w:pPr>
              <w:pStyle w:val="text"/>
              <w:rPr>
                <w:highlight w:val="yellow"/>
              </w:rPr>
            </w:pPr>
            <w:r w:rsidRPr="0067118B">
              <w:t xml:space="preserve">Počet obyvatel kraje ve věku 15 a více let v kraji neustále klesá, </w:t>
            </w:r>
            <w:r>
              <w:t xml:space="preserve">proti roku 2013 </w:t>
            </w:r>
            <w:r w:rsidRPr="0067118B">
              <w:t xml:space="preserve">klesl o 1,6 tis, osob. Zatímco v roce 2013 se výrazně zvýšil objem pracovní síly a vzrostl počet zaměstnaných v NH, v roce 2014 </w:t>
            </w:r>
            <w:r>
              <w:t>tomu bylo naopak. O</w:t>
            </w:r>
            <w:r w:rsidRPr="0067118B">
              <w:t xml:space="preserve">bjem pracovní síly </w:t>
            </w:r>
            <w:r>
              <w:t xml:space="preserve">klesl </w:t>
            </w:r>
            <w:r w:rsidRPr="0067118B">
              <w:t>o</w:t>
            </w:r>
            <w:r>
              <w:t> </w:t>
            </w:r>
            <w:r w:rsidRPr="0067118B">
              <w:t>1,5</w:t>
            </w:r>
            <w:r>
              <w:t> </w:t>
            </w:r>
            <w:r w:rsidRPr="0067118B">
              <w:t xml:space="preserve">% </w:t>
            </w:r>
            <w:r w:rsidR="00E54433">
              <w:t>na 291,9 tis. osob</w:t>
            </w:r>
            <w:r w:rsidRPr="0067118B">
              <w:t xml:space="preserve"> a počet zaměstnaných o 0,7 % </w:t>
            </w:r>
            <w:r w:rsidR="00E54433">
              <w:t>na</w:t>
            </w:r>
            <w:r w:rsidR="004B4B4B">
              <w:t> </w:t>
            </w:r>
            <w:r w:rsidR="00E54433">
              <w:t>274,1 tis. osob</w:t>
            </w:r>
            <w:r w:rsidRPr="0067118B">
              <w:t>. Zároveň vzrostl počet ekonomicky neaktivních obyvatel o</w:t>
            </w:r>
            <w:r w:rsidR="004B4B4B">
              <w:t> </w:t>
            </w:r>
            <w:r w:rsidRPr="0067118B">
              <w:t>1,3</w:t>
            </w:r>
            <w:r w:rsidR="004B4B4B">
              <w:t> </w:t>
            </w:r>
            <w:r w:rsidRPr="0067118B">
              <w:t xml:space="preserve"> </w:t>
            </w:r>
            <w:r w:rsidR="000F377F">
              <w:t xml:space="preserve">% </w:t>
            </w:r>
            <w:r w:rsidR="00E54433">
              <w:t>na 208,8 tis. osob</w:t>
            </w:r>
            <w:r w:rsidRPr="0067118B">
              <w:t xml:space="preserve">. </w:t>
            </w:r>
          </w:p>
        </w:tc>
      </w:tr>
      <w:tr w:rsidR="00EB6FAC" w:rsidTr="00057F4A">
        <w:trPr>
          <w:gridBefore w:val="1"/>
          <w:gridAfter w:val="3"/>
          <w:wBefore w:w="15" w:type="dxa"/>
          <w:wAfter w:w="207" w:type="dxa"/>
        </w:trPr>
        <w:tc>
          <w:tcPr>
            <w:tcW w:w="2315" w:type="dxa"/>
            <w:gridSpan w:val="4"/>
          </w:tcPr>
          <w:p w:rsidR="00EB6FAC" w:rsidRPr="00644F35" w:rsidRDefault="00EB6FAC" w:rsidP="007051AE">
            <w:pPr>
              <w:pStyle w:val="text"/>
              <w:jc w:val="left"/>
              <w:rPr>
                <w:b/>
                <w:bCs/>
                <w:i/>
                <w:iCs/>
                <w:highlight w:val="yellow"/>
              </w:rPr>
            </w:pPr>
            <w:r w:rsidRPr="00DD5A5F">
              <w:rPr>
                <w:b/>
                <w:bCs/>
                <w:i/>
                <w:iCs/>
              </w:rPr>
              <w:t>Pracovní síla stárne</w:t>
            </w:r>
          </w:p>
        </w:tc>
        <w:tc>
          <w:tcPr>
            <w:tcW w:w="7249" w:type="dxa"/>
            <w:gridSpan w:val="6"/>
          </w:tcPr>
          <w:p w:rsidR="00EB6FAC" w:rsidRPr="00EA1ED0" w:rsidRDefault="00EB6FAC" w:rsidP="004B4B4B">
            <w:pPr>
              <w:spacing w:before="60" w:after="60"/>
              <w:rPr>
                <w:highlight w:val="yellow"/>
              </w:rPr>
            </w:pPr>
            <w:r>
              <w:t xml:space="preserve">Za celé období (2009 až 2014) </w:t>
            </w:r>
            <w:r w:rsidRPr="0067118B">
              <w:t>došlo k nárůstu pracovní síly o 0,3 %</w:t>
            </w:r>
            <w:r>
              <w:t>,</w:t>
            </w:r>
            <w:r w:rsidRPr="0067118B">
              <w:t xml:space="preserve"> nárůstu zaměstnaných v</w:t>
            </w:r>
            <w:r>
              <w:t> </w:t>
            </w:r>
            <w:r w:rsidRPr="0067118B">
              <w:t>NH o</w:t>
            </w:r>
            <w:r>
              <w:t> </w:t>
            </w:r>
            <w:r w:rsidRPr="0067118B">
              <w:t xml:space="preserve">1,6 % a poklesu ekonomicky neaktivních osob o 4,3 %. </w:t>
            </w:r>
            <w:r w:rsidRPr="00037FBC">
              <w:t xml:space="preserve">Změny ve věkové skladbě obyvatel, kdy se výrazně snižuje počet obyvatel ve věku 15 až 29 let a roste počet seniorů, se promítají i v pracovní síle. </w:t>
            </w:r>
            <w:r w:rsidRPr="00CA3AED">
              <w:t>Počet osob do 44 let klesl</w:t>
            </w:r>
            <w:r>
              <w:t xml:space="preserve"> </w:t>
            </w:r>
            <w:r w:rsidRPr="00CA3AED">
              <w:t>o</w:t>
            </w:r>
            <w:r>
              <w:t xml:space="preserve"> </w:t>
            </w:r>
            <w:r w:rsidRPr="00CA3AED">
              <w:t>2,9</w:t>
            </w:r>
            <w:r>
              <w:t xml:space="preserve"> </w:t>
            </w:r>
            <w:r w:rsidRPr="00CA3AED">
              <w:t>tis. osob, ve věku 45 a více let vzrostl o 3,9 tis. osob. Ve struktuře pracovní síly vzrostlo zastoupení osob</w:t>
            </w:r>
            <w:r>
              <w:t xml:space="preserve"> </w:t>
            </w:r>
            <w:r w:rsidRPr="00CA3AED">
              <w:t xml:space="preserve">nad 44 </w:t>
            </w:r>
            <w:proofErr w:type="gramStart"/>
            <w:r w:rsidRPr="00CA3AED">
              <w:t>let z 40,5</w:t>
            </w:r>
            <w:proofErr w:type="gramEnd"/>
            <w:r w:rsidRPr="00CA3AED">
              <w:t xml:space="preserve"> % na</w:t>
            </w:r>
            <w:r w:rsidR="004B4B4B">
              <w:t> </w:t>
            </w:r>
            <w:r w:rsidRPr="00CA3AED">
              <w:t>41,7</w:t>
            </w:r>
            <w:r>
              <w:t> </w:t>
            </w:r>
            <w:r w:rsidRPr="00CA3AED">
              <w:t xml:space="preserve">%. </w:t>
            </w:r>
          </w:p>
        </w:tc>
      </w:tr>
      <w:tr w:rsidR="00EB6FAC" w:rsidTr="00057F4A">
        <w:trPr>
          <w:gridBefore w:val="1"/>
          <w:gridAfter w:val="3"/>
          <w:wBefore w:w="15" w:type="dxa"/>
          <w:wAfter w:w="207" w:type="dxa"/>
        </w:trPr>
        <w:tc>
          <w:tcPr>
            <w:tcW w:w="9564" w:type="dxa"/>
            <w:gridSpan w:val="10"/>
          </w:tcPr>
          <w:p w:rsidR="00EB6FAC" w:rsidRPr="00EB6FAC" w:rsidRDefault="00EB6FAC" w:rsidP="00EB6FAC">
            <w:pPr>
              <w:pStyle w:val="text"/>
              <w:jc w:val="left"/>
            </w:pPr>
            <w:r w:rsidRPr="00EB6FAC">
              <w:rPr>
                <w:b/>
              </w:rPr>
              <w:t xml:space="preserve">Graf </w:t>
            </w:r>
            <w:r w:rsidR="00BD18F7">
              <w:rPr>
                <w:b/>
              </w:rPr>
              <w:t xml:space="preserve">2.1 </w:t>
            </w:r>
            <w:r w:rsidRPr="00EB6FAC">
              <w:rPr>
                <w:b/>
              </w:rPr>
              <w:t xml:space="preserve">Pracovní síla a ekonomicky neaktivní </w:t>
            </w:r>
            <w:r w:rsidRPr="00EB6FAC">
              <w:rPr>
                <w:b/>
                <w:bCs/>
                <w:szCs w:val="20"/>
              </w:rPr>
              <w:t>podle věku ve Zlínském kraji v letech 2009 a 2014</w:t>
            </w:r>
          </w:p>
        </w:tc>
      </w:tr>
      <w:tr w:rsidR="004F7957" w:rsidTr="00057F4A">
        <w:trPr>
          <w:gridBefore w:val="1"/>
          <w:gridAfter w:val="3"/>
          <w:wBefore w:w="15" w:type="dxa"/>
          <w:wAfter w:w="207" w:type="dxa"/>
        </w:trPr>
        <w:tc>
          <w:tcPr>
            <w:tcW w:w="9564" w:type="dxa"/>
            <w:gridSpan w:val="10"/>
          </w:tcPr>
          <w:p w:rsidR="004F7957" w:rsidRPr="00EB6FAC" w:rsidRDefault="00EB6FAC" w:rsidP="00954A5A">
            <w:pPr>
              <w:pStyle w:val="text"/>
              <w:jc w:val="center"/>
              <w:rPr>
                <w:b/>
              </w:rPr>
            </w:pPr>
            <w:r w:rsidRPr="00EB6FAC">
              <w:rPr>
                <w:b/>
              </w:rPr>
              <w:t xml:space="preserve">              </w:t>
            </w:r>
            <w:r w:rsidR="004F7957" w:rsidRPr="00EB6FAC">
              <w:rPr>
                <w:b/>
              </w:rPr>
              <w:t xml:space="preserve">Pracovní </w:t>
            </w:r>
            <w:proofErr w:type="gramStart"/>
            <w:r w:rsidR="004F7957" w:rsidRPr="00EB6FAC">
              <w:rPr>
                <w:b/>
              </w:rPr>
              <w:t xml:space="preserve">síla                              </w:t>
            </w:r>
            <w:r w:rsidRPr="00EB6FAC">
              <w:rPr>
                <w:b/>
              </w:rPr>
              <w:t xml:space="preserve">               </w:t>
            </w:r>
            <w:r w:rsidR="004F7957" w:rsidRPr="00EB6FAC">
              <w:rPr>
                <w:b/>
              </w:rPr>
              <w:t xml:space="preserve">  </w:t>
            </w:r>
            <w:r w:rsidRPr="00EB6FAC">
              <w:rPr>
                <w:b/>
              </w:rPr>
              <w:t xml:space="preserve">    </w:t>
            </w:r>
            <w:r w:rsidR="004F7957" w:rsidRPr="00EB6FAC">
              <w:rPr>
                <w:b/>
              </w:rPr>
              <w:t xml:space="preserve">           </w:t>
            </w:r>
            <w:r w:rsidR="00BD58CC" w:rsidRPr="00EB6FAC">
              <w:rPr>
                <w:b/>
              </w:rPr>
              <w:t>Osoby</w:t>
            </w:r>
            <w:proofErr w:type="gramEnd"/>
            <w:r w:rsidR="00BD58CC" w:rsidRPr="00EB6FAC">
              <w:rPr>
                <w:b/>
              </w:rPr>
              <w:t xml:space="preserve"> e</w:t>
            </w:r>
            <w:r w:rsidR="004F7957" w:rsidRPr="00EB6FAC">
              <w:rPr>
                <w:b/>
              </w:rPr>
              <w:t>konomicky neaktivní</w:t>
            </w:r>
          </w:p>
        </w:tc>
      </w:tr>
      <w:tr w:rsidR="00EB6FAC" w:rsidTr="00057F4A">
        <w:trPr>
          <w:gridBefore w:val="1"/>
          <w:gridAfter w:val="3"/>
          <w:wBefore w:w="15" w:type="dxa"/>
          <w:wAfter w:w="207" w:type="dxa"/>
        </w:trPr>
        <w:tc>
          <w:tcPr>
            <w:tcW w:w="9564" w:type="dxa"/>
            <w:gridSpan w:val="10"/>
          </w:tcPr>
          <w:p w:rsidR="00EB6FAC" w:rsidRPr="00285C32" w:rsidRDefault="009956CB" w:rsidP="00EB6FAC">
            <w:pPr>
              <w:pStyle w:val="text"/>
              <w:jc w:val="center"/>
            </w:pPr>
            <w:r>
              <w:pict>
                <v:shape id="_x0000_i1042" type="#_x0000_t75" style="width:473.25pt;height:157.5pt">
                  <v:imagedata r:id="rId35" o:title="" croptop="3492f" cropbottom="5640f"/>
                </v:shape>
              </w:pict>
            </w:r>
          </w:p>
        </w:tc>
      </w:tr>
      <w:tr w:rsidR="00EB6FAC" w:rsidTr="00057F4A">
        <w:trPr>
          <w:gridBefore w:val="1"/>
          <w:gridAfter w:val="3"/>
          <w:wBefore w:w="15" w:type="dxa"/>
          <w:wAfter w:w="207" w:type="dxa"/>
        </w:trPr>
        <w:tc>
          <w:tcPr>
            <w:tcW w:w="2315" w:type="dxa"/>
            <w:gridSpan w:val="4"/>
          </w:tcPr>
          <w:p w:rsidR="00EB6FAC" w:rsidRPr="00644F35" w:rsidRDefault="00EB6FAC" w:rsidP="007051AE">
            <w:pPr>
              <w:pStyle w:val="text"/>
              <w:jc w:val="left"/>
              <w:rPr>
                <w:b/>
                <w:bCs/>
                <w:i/>
                <w:iCs/>
                <w:highlight w:val="yellow"/>
              </w:rPr>
            </w:pPr>
            <w:r>
              <w:rPr>
                <w:b/>
                <w:bCs/>
                <w:i/>
                <w:iCs/>
              </w:rPr>
              <w:t>Pokles počtu nezaměstnaných</w:t>
            </w:r>
          </w:p>
        </w:tc>
        <w:tc>
          <w:tcPr>
            <w:tcW w:w="7249" w:type="dxa"/>
            <w:gridSpan w:val="6"/>
          </w:tcPr>
          <w:p w:rsidR="00EB6FAC" w:rsidRPr="00802D94" w:rsidRDefault="00EB6FAC" w:rsidP="00954A5A">
            <w:pPr>
              <w:spacing w:before="60" w:after="60"/>
              <w:rPr>
                <w:highlight w:val="yellow"/>
              </w:rPr>
            </w:pPr>
            <w:r>
              <w:t>Rozhodující složkou pracovní síly jsou zaměstnaní v národním hospodářství. Z</w:t>
            </w:r>
            <w:r w:rsidRPr="0077268E">
              <w:t xml:space="preserve">a sledované období dosáhl </w:t>
            </w:r>
            <w:r w:rsidR="00A16678">
              <w:t xml:space="preserve">jejich počet </w:t>
            </w:r>
            <w:r w:rsidRPr="0077268E">
              <w:t>maxima v roce 2013 (276,1 tis.) osob, v následujícím roce klesl na 274,1 tis. osob. Druhou složkou pracovní síly jsou nezaměstnaní. Jejich počet byl nejvyšší v roce 2010, kdy dosáhl 24,5 tis. osob. Od tohoto roku postupně klesal až na 17,8 tis. v roce 2014. Pokles za celé sledované období představuje více než 16 tis. osob.</w:t>
            </w:r>
          </w:p>
        </w:tc>
      </w:tr>
      <w:tr w:rsidR="004F7957" w:rsidTr="00057F4A">
        <w:trPr>
          <w:gridBefore w:val="1"/>
          <w:gridAfter w:val="3"/>
          <w:wBefore w:w="15" w:type="dxa"/>
          <w:wAfter w:w="207" w:type="dxa"/>
        </w:trPr>
        <w:tc>
          <w:tcPr>
            <w:tcW w:w="9564" w:type="dxa"/>
            <w:gridSpan w:val="10"/>
          </w:tcPr>
          <w:p w:rsidR="004F7957" w:rsidRPr="00EB6FAC" w:rsidRDefault="004F7957" w:rsidP="00EB6FAC">
            <w:pPr>
              <w:pStyle w:val="text"/>
              <w:jc w:val="left"/>
            </w:pPr>
            <w:r w:rsidRPr="00EB6FAC">
              <w:rPr>
                <w:b/>
              </w:rPr>
              <w:t xml:space="preserve">Graf </w:t>
            </w:r>
            <w:r w:rsidR="00BD18F7">
              <w:rPr>
                <w:b/>
              </w:rPr>
              <w:t xml:space="preserve">2.2 </w:t>
            </w:r>
            <w:r w:rsidRPr="00EB6FAC">
              <w:rPr>
                <w:b/>
                <w:bCs/>
                <w:szCs w:val="20"/>
              </w:rPr>
              <w:t>Struktura pracovní síly</w:t>
            </w:r>
            <w:r w:rsidR="00EB6FAC" w:rsidRPr="00EB6FAC">
              <w:rPr>
                <w:b/>
                <w:bCs/>
                <w:szCs w:val="20"/>
              </w:rPr>
              <w:t xml:space="preserve"> ve Zlínském kraji v letech 2009</w:t>
            </w:r>
            <w:r w:rsidRPr="00EB6FAC">
              <w:rPr>
                <w:b/>
                <w:bCs/>
                <w:szCs w:val="20"/>
              </w:rPr>
              <w:t xml:space="preserve"> až 201</w:t>
            </w:r>
            <w:r w:rsidR="00EB6FAC" w:rsidRPr="00EB6FAC">
              <w:rPr>
                <w:b/>
                <w:bCs/>
                <w:szCs w:val="20"/>
              </w:rPr>
              <w:t>4</w:t>
            </w:r>
          </w:p>
        </w:tc>
      </w:tr>
      <w:tr w:rsidR="00EB6FAC" w:rsidTr="00057F4A">
        <w:trPr>
          <w:gridBefore w:val="1"/>
          <w:gridAfter w:val="3"/>
          <w:wBefore w:w="15" w:type="dxa"/>
          <w:wAfter w:w="207" w:type="dxa"/>
        </w:trPr>
        <w:tc>
          <w:tcPr>
            <w:tcW w:w="9564" w:type="dxa"/>
            <w:gridSpan w:val="10"/>
          </w:tcPr>
          <w:p w:rsidR="00954A5A" w:rsidRPr="00801F01" w:rsidRDefault="009956CB" w:rsidP="00954A5A">
            <w:pPr>
              <w:pStyle w:val="text"/>
              <w:jc w:val="center"/>
            </w:pPr>
            <w:r>
              <w:pict>
                <v:shape id="_x0000_i1043" type="#_x0000_t75" style="width:469.5pt;height:165.75pt">
                  <v:imagedata r:id="rId36" o:title=""/>
                </v:shape>
              </w:pict>
            </w:r>
          </w:p>
        </w:tc>
      </w:tr>
      <w:tr w:rsidR="004F7957" w:rsidTr="00057F4A">
        <w:trPr>
          <w:gridBefore w:val="1"/>
          <w:gridAfter w:val="3"/>
          <w:wBefore w:w="15" w:type="dxa"/>
          <w:wAfter w:w="207" w:type="dxa"/>
        </w:trPr>
        <w:tc>
          <w:tcPr>
            <w:tcW w:w="2315" w:type="dxa"/>
            <w:gridSpan w:val="4"/>
          </w:tcPr>
          <w:p w:rsidR="004F7957" w:rsidRPr="00644F35" w:rsidRDefault="004F7957" w:rsidP="007051AE">
            <w:pPr>
              <w:pStyle w:val="text"/>
              <w:jc w:val="left"/>
              <w:rPr>
                <w:b/>
                <w:bCs/>
                <w:i/>
                <w:iCs/>
                <w:highlight w:val="yellow"/>
              </w:rPr>
            </w:pPr>
            <w:r w:rsidRPr="00EB6FAC">
              <w:rPr>
                <w:b/>
                <w:bCs/>
                <w:i/>
                <w:iCs/>
              </w:rPr>
              <w:t>Nejvíce osob je zaměstnáno ve zpracovatelském průmyslu</w:t>
            </w:r>
          </w:p>
        </w:tc>
        <w:tc>
          <w:tcPr>
            <w:tcW w:w="7249" w:type="dxa"/>
            <w:gridSpan w:val="6"/>
          </w:tcPr>
          <w:p w:rsidR="004F7957" w:rsidRPr="00644F35" w:rsidRDefault="00EB6FAC" w:rsidP="00EB6FAC">
            <w:pPr>
              <w:pStyle w:val="text"/>
              <w:rPr>
                <w:highlight w:val="yellow"/>
              </w:rPr>
            </w:pPr>
            <w:r w:rsidRPr="00DA6FE6">
              <w:t xml:space="preserve">Struktura zaměstnaných podle sektorů zůstala během sledovaného období bez výrazných změn. V primárním sektoru bylo zaměstnáno </w:t>
            </w:r>
            <w:r>
              <w:t>2,3</w:t>
            </w:r>
            <w:r w:rsidRPr="00DA6FE6">
              <w:t xml:space="preserve"> %, v sekundárním </w:t>
            </w:r>
            <w:r>
              <w:t>48,4</w:t>
            </w:r>
            <w:r w:rsidRPr="00DA6FE6">
              <w:t xml:space="preserve"> % a v terciárním </w:t>
            </w:r>
            <w:r>
              <w:t>49,3</w:t>
            </w:r>
            <w:r w:rsidRPr="00DA6FE6">
              <w:t xml:space="preserve"> % z celkového počtu zaměstnaných v NH.</w:t>
            </w:r>
            <w:r>
              <w:t xml:space="preserve"> </w:t>
            </w:r>
            <w:r w:rsidRPr="00DA6FE6">
              <w:t>Nejvíce osob pracuje ve zpracovatelském průmyslu, a to 3</w:t>
            </w:r>
            <w:r>
              <w:t>6</w:t>
            </w:r>
            <w:r w:rsidRPr="00DA6FE6">
              <w:t>,</w:t>
            </w:r>
            <w:r>
              <w:t>7</w:t>
            </w:r>
            <w:r w:rsidRPr="00DA6FE6">
              <w:t xml:space="preserve"> %. Následuje velkoobchod o maloobchod s podílem 1</w:t>
            </w:r>
            <w:r>
              <w:t>1</w:t>
            </w:r>
            <w:r w:rsidRPr="00DA6FE6">
              <w:t>,</w:t>
            </w:r>
            <w:r>
              <w:t>5 % a stavebnictví s 9,2</w:t>
            </w:r>
            <w:r w:rsidRPr="00DA6FE6">
              <w:t xml:space="preserve"> %.</w:t>
            </w:r>
          </w:p>
        </w:tc>
      </w:tr>
      <w:tr w:rsidR="004F7957" w:rsidTr="00057F4A">
        <w:trPr>
          <w:gridBefore w:val="1"/>
          <w:gridAfter w:val="3"/>
          <w:wBefore w:w="15" w:type="dxa"/>
          <w:wAfter w:w="207" w:type="dxa"/>
        </w:trPr>
        <w:tc>
          <w:tcPr>
            <w:tcW w:w="9564" w:type="dxa"/>
            <w:gridSpan w:val="10"/>
          </w:tcPr>
          <w:p w:rsidR="004F7957" w:rsidRPr="00EB6FAC" w:rsidRDefault="004F7957" w:rsidP="007E4636">
            <w:pPr>
              <w:pStyle w:val="text"/>
              <w:jc w:val="left"/>
            </w:pPr>
            <w:r w:rsidRPr="00EB6FAC">
              <w:rPr>
                <w:b/>
              </w:rPr>
              <w:lastRenderedPageBreak/>
              <w:t xml:space="preserve">Graf </w:t>
            </w:r>
            <w:r w:rsidR="00BD18F7">
              <w:rPr>
                <w:b/>
              </w:rPr>
              <w:t xml:space="preserve">2.3 </w:t>
            </w:r>
            <w:r w:rsidRPr="00EB6FAC">
              <w:rPr>
                <w:b/>
                <w:bCs/>
                <w:szCs w:val="20"/>
              </w:rPr>
              <w:t>Zaměstnaní podle věku</w:t>
            </w:r>
            <w:r w:rsidR="00EB6FAC" w:rsidRPr="00EB6FAC">
              <w:rPr>
                <w:b/>
                <w:bCs/>
                <w:szCs w:val="20"/>
              </w:rPr>
              <w:t xml:space="preserve"> ve Zlínském kraji v letech 2009 až 2014</w:t>
            </w:r>
          </w:p>
        </w:tc>
      </w:tr>
      <w:tr w:rsidR="00EB6FAC" w:rsidTr="00057F4A">
        <w:trPr>
          <w:gridBefore w:val="1"/>
          <w:gridAfter w:val="3"/>
          <w:wBefore w:w="15" w:type="dxa"/>
          <w:wAfter w:w="207" w:type="dxa"/>
        </w:trPr>
        <w:tc>
          <w:tcPr>
            <w:tcW w:w="9564" w:type="dxa"/>
            <w:gridSpan w:val="10"/>
          </w:tcPr>
          <w:p w:rsidR="00EB6FAC" w:rsidRPr="00874D92" w:rsidRDefault="009956CB" w:rsidP="00EB6FAC">
            <w:pPr>
              <w:pStyle w:val="text"/>
            </w:pPr>
            <w:r>
              <w:pict>
                <v:shape id="_x0000_i1044" type="#_x0000_t75" style="width:474pt;height:175.5pt">
                  <v:imagedata r:id="rId37" o:title=""/>
                </v:shape>
              </w:pict>
            </w:r>
          </w:p>
        </w:tc>
      </w:tr>
      <w:tr w:rsidR="00EB6FAC" w:rsidTr="00057F4A">
        <w:trPr>
          <w:gridBefore w:val="1"/>
          <w:gridAfter w:val="3"/>
          <w:wBefore w:w="15" w:type="dxa"/>
          <w:wAfter w:w="207" w:type="dxa"/>
        </w:trPr>
        <w:tc>
          <w:tcPr>
            <w:tcW w:w="2315" w:type="dxa"/>
            <w:gridSpan w:val="4"/>
          </w:tcPr>
          <w:p w:rsidR="00EB6FAC" w:rsidRPr="00EB6FAC" w:rsidRDefault="00EB6FAC" w:rsidP="00C56CCA">
            <w:pPr>
              <w:pStyle w:val="text"/>
              <w:jc w:val="left"/>
            </w:pPr>
            <w:r w:rsidRPr="00EB6FAC">
              <w:rPr>
                <w:b/>
                <w:i/>
              </w:rPr>
              <w:t>Míra zaměstnanosti je dlouhodobě podprůměrná</w:t>
            </w:r>
          </w:p>
        </w:tc>
        <w:tc>
          <w:tcPr>
            <w:tcW w:w="7249" w:type="dxa"/>
            <w:gridSpan w:val="6"/>
          </w:tcPr>
          <w:p w:rsidR="00EB6FAC" w:rsidRPr="00802D94" w:rsidRDefault="00F22DEB" w:rsidP="002173A6">
            <w:pPr>
              <w:spacing w:before="60" w:after="60"/>
              <w:rPr>
                <w:highlight w:val="yellow"/>
              </w:rPr>
            </w:pPr>
            <w:r>
              <w:t>Na základě výsledků VŠPS</w:t>
            </w:r>
            <w:r w:rsidRPr="00F22DEB">
              <w:rPr>
                <w:vertAlign w:val="superscript"/>
              </w:rPr>
              <w:t>1)</w:t>
            </w:r>
            <w:r>
              <w:t xml:space="preserve"> je m</w:t>
            </w:r>
            <w:r w:rsidR="00EB6FAC" w:rsidRPr="0042597E">
              <w:t>íra zaměstnanosti</w:t>
            </w:r>
            <w:r w:rsidRPr="00F22DEB">
              <w:rPr>
                <w:vertAlign w:val="superscript"/>
              </w:rPr>
              <w:t>2)</w:t>
            </w:r>
            <w:r w:rsidR="00EB6FAC" w:rsidRPr="0042597E">
              <w:t xml:space="preserve"> v kraji dlouhodobě pod republikovou úrovní. V roce 2014 to bylo 0,9 procentního bodu a</w:t>
            </w:r>
            <w:r>
              <w:t> </w:t>
            </w:r>
            <w:r w:rsidR="00EB6FAC" w:rsidRPr="0042597E">
              <w:t>v</w:t>
            </w:r>
            <w:r>
              <w:t> </w:t>
            </w:r>
            <w:r w:rsidR="00EB6FAC" w:rsidRPr="0042597E">
              <w:t>mezikrajském srovnání se kraj hodnotou 54,7 % řadil na 9. pozici.</w:t>
            </w:r>
            <w:r w:rsidR="00EB6FAC">
              <w:t xml:space="preserve"> </w:t>
            </w:r>
            <w:r w:rsidR="00EB6FAC" w:rsidRPr="0042597E">
              <w:t>U mužů je míra zaměstnanosti dlouhodobě vyšší než u</w:t>
            </w:r>
            <w:r w:rsidR="00EB6FAC">
              <w:t> </w:t>
            </w:r>
            <w:r w:rsidR="00EB6FAC" w:rsidRPr="0042597E">
              <w:t xml:space="preserve">žen. V roce 2014 dosáhla výše 63,8 %, u žen byla 46,3 %. Proti roku 2014 došlo u mužů ke snížení o 0,6 </w:t>
            </w:r>
            <w:proofErr w:type="spellStart"/>
            <w:r w:rsidR="00EB6FAC" w:rsidRPr="0042597E">
              <w:t>proc</w:t>
            </w:r>
            <w:proofErr w:type="spellEnd"/>
            <w:r w:rsidR="00EB6FAC" w:rsidRPr="0042597E">
              <w:t xml:space="preserve">. </w:t>
            </w:r>
            <w:proofErr w:type="gramStart"/>
            <w:r w:rsidR="00EB6FAC" w:rsidRPr="0042597E">
              <w:t>bodu</w:t>
            </w:r>
            <w:proofErr w:type="gramEnd"/>
            <w:r w:rsidR="00EB6FAC" w:rsidRPr="0042597E">
              <w:t xml:space="preserve">, u žen ke zvýšení o 0,2 </w:t>
            </w:r>
            <w:proofErr w:type="spellStart"/>
            <w:r w:rsidR="00EB6FAC" w:rsidRPr="0042597E">
              <w:t>proc</w:t>
            </w:r>
            <w:proofErr w:type="spellEnd"/>
            <w:r w:rsidR="00EB6FAC" w:rsidRPr="0042597E">
              <w:t>. bodu.</w:t>
            </w:r>
          </w:p>
        </w:tc>
      </w:tr>
      <w:tr w:rsidR="00EB6FAC" w:rsidTr="00057F4A">
        <w:trPr>
          <w:gridBefore w:val="1"/>
          <w:gridAfter w:val="3"/>
          <w:wBefore w:w="15" w:type="dxa"/>
          <w:wAfter w:w="207" w:type="dxa"/>
        </w:trPr>
        <w:tc>
          <w:tcPr>
            <w:tcW w:w="2315" w:type="dxa"/>
            <w:gridSpan w:val="4"/>
          </w:tcPr>
          <w:p w:rsidR="00EB6FAC" w:rsidRPr="00EB6FAC" w:rsidRDefault="00EB6FAC" w:rsidP="007051AE">
            <w:pPr>
              <w:pStyle w:val="text"/>
              <w:jc w:val="left"/>
              <w:rPr>
                <w:b/>
                <w:bCs/>
                <w:i/>
                <w:iCs/>
              </w:rPr>
            </w:pPr>
            <w:r w:rsidRPr="00EB6FAC">
              <w:rPr>
                <w:b/>
                <w:i/>
              </w:rPr>
              <w:t>…stejně jako míra ekonomické aktivity</w:t>
            </w:r>
          </w:p>
        </w:tc>
        <w:tc>
          <w:tcPr>
            <w:tcW w:w="7249" w:type="dxa"/>
            <w:gridSpan w:val="6"/>
          </w:tcPr>
          <w:p w:rsidR="00EB6FAC" w:rsidRPr="0016104D" w:rsidRDefault="00EB6FAC" w:rsidP="002173A6">
            <w:pPr>
              <w:spacing w:before="60" w:after="60"/>
            </w:pPr>
            <w:r w:rsidRPr="0092537E">
              <w:t>Také míra ekonomické aktivity</w:t>
            </w:r>
            <w:r w:rsidR="00F22DEB" w:rsidRPr="00F22DEB">
              <w:rPr>
                <w:vertAlign w:val="superscript"/>
              </w:rPr>
              <w:t>3)</w:t>
            </w:r>
            <w:r>
              <w:t xml:space="preserve"> </w:t>
            </w:r>
            <w:r w:rsidRPr="0092537E">
              <w:t>nedosahuje republikového průměru, a to i</w:t>
            </w:r>
            <w:r>
              <w:t> </w:t>
            </w:r>
            <w:r w:rsidRPr="0092537E">
              <w:t>u</w:t>
            </w:r>
            <w:r>
              <w:t> </w:t>
            </w:r>
            <w:r w:rsidRPr="0092537E">
              <w:t xml:space="preserve">obou pohlaví. V roce 2014 byla hodnota ekonomické aktivity 58,3 % a proti roku 2013 došlo k poklesu o 1 </w:t>
            </w:r>
            <w:proofErr w:type="spellStart"/>
            <w:r w:rsidRPr="0092537E">
              <w:t>proc</w:t>
            </w:r>
            <w:proofErr w:type="spellEnd"/>
            <w:r w:rsidRPr="0092537E">
              <w:t xml:space="preserve">. </w:t>
            </w:r>
            <w:proofErr w:type="gramStart"/>
            <w:r w:rsidRPr="0092537E">
              <w:t>bod</w:t>
            </w:r>
            <w:proofErr w:type="gramEnd"/>
            <w:r w:rsidRPr="0092537E">
              <w:t xml:space="preserve">. Ke snížení došlo </w:t>
            </w:r>
            <w:r w:rsidR="00A16678">
              <w:t>jak</w:t>
            </w:r>
            <w:r w:rsidRPr="0092537E">
              <w:t xml:space="preserve"> u mužů </w:t>
            </w:r>
            <w:r w:rsidR="00A16678">
              <w:t>(</w:t>
            </w:r>
            <w:r w:rsidRPr="0092537E">
              <w:t>na</w:t>
            </w:r>
            <w:r w:rsidR="00A16678">
              <w:t> </w:t>
            </w:r>
            <w:r w:rsidRPr="0092537E">
              <w:t>67,1</w:t>
            </w:r>
            <w:r w:rsidR="00A16678">
              <w:t> </w:t>
            </w:r>
            <w:r w:rsidRPr="0092537E">
              <w:t>%</w:t>
            </w:r>
            <w:r w:rsidR="00A16678">
              <w:t>)</w:t>
            </w:r>
            <w:r>
              <w:t>,</w:t>
            </w:r>
            <w:r w:rsidR="00A16678">
              <w:t xml:space="preserve"> tak</w:t>
            </w:r>
            <w:r w:rsidRPr="0092537E">
              <w:t xml:space="preserve"> u žen </w:t>
            </w:r>
            <w:r w:rsidR="00A16678">
              <w:t>(</w:t>
            </w:r>
            <w:r>
              <w:t xml:space="preserve">na </w:t>
            </w:r>
            <w:r w:rsidRPr="0092537E">
              <w:t>50,0 %</w:t>
            </w:r>
            <w:r w:rsidR="00A16678">
              <w:t>)</w:t>
            </w:r>
            <w:r w:rsidRPr="0092537E">
              <w:t xml:space="preserve">. </w:t>
            </w:r>
          </w:p>
        </w:tc>
      </w:tr>
      <w:tr w:rsidR="00EB6FAC" w:rsidTr="00057F4A">
        <w:trPr>
          <w:gridBefore w:val="1"/>
          <w:gridAfter w:val="3"/>
          <w:wBefore w:w="15" w:type="dxa"/>
          <w:wAfter w:w="207" w:type="dxa"/>
        </w:trPr>
        <w:tc>
          <w:tcPr>
            <w:tcW w:w="2315" w:type="dxa"/>
            <w:gridSpan w:val="4"/>
          </w:tcPr>
          <w:p w:rsidR="00EB6FAC" w:rsidRPr="00EB6FAC" w:rsidRDefault="00EB6FAC" w:rsidP="007051AE">
            <w:pPr>
              <w:pStyle w:val="text"/>
              <w:jc w:val="left"/>
              <w:rPr>
                <w:b/>
                <w:bCs/>
                <w:i/>
                <w:iCs/>
              </w:rPr>
            </w:pPr>
            <w:r w:rsidRPr="00EB6FAC">
              <w:rPr>
                <w:b/>
                <w:i/>
              </w:rPr>
              <w:t>Druhé zaměstnání měli častěji muži</w:t>
            </w:r>
          </w:p>
        </w:tc>
        <w:tc>
          <w:tcPr>
            <w:tcW w:w="7249" w:type="dxa"/>
            <w:gridSpan w:val="6"/>
          </w:tcPr>
          <w:p w:rsidR="00EB6FAC" w:rsidRPr="00542281" w:rsidRDefault="00EB6FAC" w:rsidP="002173A6">
            <w:pPr>
              <w:spacing w:before="60" w:after="60"/>
              <w:rPr>
                <w:highlight w:val="yellow"/>
              </w:rPr>
            </w:pPr>
            <w:r w:rsidRPr="0008540B">
              <w:t>Počet osob s druhým</w:t>
            </w:r>
            <w:r>
              <w:t xml:space="preserve"> </w:t>
            </w:r>
            <w:r w:rsidRPr="0008540B">
              <w:t>(dalším) zaměstnáním meziročně vzrostl o 3,4 %, a to v</w:t>
            </w:r>
            <w:r w:rsidR="00F950BC">
              <w:t> </w:t>
            </w:r>
            <w:r w:rsidRPr="0008540B">
              <w:t>důs</w:t>
            </w:r>
            <w:r>
              <w:t>ledku velkého zvýšení počtu žen</w:t>
            </w:r>
            <w:r w:rsidRPr="0008540B">
              <w:t>, které mají druhé zaměstnání</w:t>
            </w:r>
            <w:r>
              <w:t xml:space="preserve"> (o 39,4 %).</w:t>
            </w:r>
            <w:r w:rsidRPr="0008540B">
              <w:t xml:space="preserve"> U mužů došlo naopak k poklesu zhruba o </w:t>
            </w:r>
            <w:r w:rsidR="00F950BC">
              <w:t>jednu</w:t>
            </w:r>
            <w:r w:rsidRPr="0008540B">
              <w:t xml:space="preserve"> čtvrtinu. I přesto</w:t>
            </w:r>
            <w:r>
              <w:t xml:space="preserve"> </w:t>
            </w:r>
            <w:r w:rsidRPr="0008540B">
              <w:t>mají druhé zaměstnání častěji muži,</w:t>
            </w:r>
            <w:r>
              <w:t xml:space="preserve"> </w:t>
            </w:r>
            <w:r w:rsidRPr="0008540B">
              <w:t xml:space="preserve">v celkovém počtu osob s druhým zaměstnáním tvoří 53,2 %. </w:t>
            </w:r>
          </w:p>
        </w:tc>
      </w:tr>
      <w:tr w:rsidR="00F22DEB" w:rsidTr="00057F4A">
        <w:trPr>
          <w:gridBefore w:val="1"/>
          <w:gridAfter w:val="3"/>
          <w:wBefore w:w="15" w:type="dxa"/>
          <w:wAfter w:w="207" w:type="dxa"/>
        </w:trPr>
        <w:tc>
          <w:tcPr>
            <w:tcW w:w="2315" w:type="dxa"/>
            <w:gridSpan w:val="4"/>
          </w:tcPr>
          <w:p w:rsidR="00F22DEB" w:rsidRPr="00644F35" w:rsidRDefault="00F22DEB" w:rsidP="007051AE">
            <w:pPr>
              <w:pStyle w:val="text"/>
              <w:jc w:val="left"/>
              <w:rPr>
                <w:b/>
                <w:bCs/>
                <w:i/>
                <w:iCs/>
                <w:highlight w:val="yellow"/>
              </w:rPr>
            </w:pPr>
            <w:r>
              <w:rPr>
                <w:b/>
                <w:i/>
                <w:szCs w:val="20"/>
              </w:rPr>
              <w:t xml:space="preserve">Míra nezaměstnanosti </w:t>
            </w:r>
          </w:p>
        </w:tc>
        <w:tc>
          <w:tcPr>
            <w:tcW w:w="7249" w:type="dxa"/>
            <w:gridSpan w:val="6"/>
          </w:tcPr>
          <w:p w:rsidR="00F22DEB" w:rsidRPr="00802D94" w:rsidRDefault="00F22DEB" w:rsidP="00954A5A">
            <w:pPr>
              <w:spacing w:before="60" w:after="60"/>
              <w:rPr>
                <w:highlight w:val="yellow"/>
              </w:rPr>
            </w:pPr>
            <w:r w:rsidRPr="00B35B8D">
              <w:t>Obecná míra nezaměstnanosti v kraji byla dlouhodobě nad republikovým průměrem,</w:t>
            </w:r>
            <w:r>
              <w:t xml:space="preserve"> </w:t>
            </w:r>
            <w:r w:rsidRPr="00B35B8D">
              <w:t>v roce 2013 byl</w:t>
            </w:r>
            <w:r w:rsidR="00A158C2">
              <w:t>a</w:t>
            </w:r>
            <w:r w:rsidRPr="00B35B8D">
              <w:t xml:space="preserve"> poprvé</w:t>
            </w:r>
            <w:r>
              <w:t xml:space="preserve"> </w:t>
            </w:r>
            <w:r w:rsidRPr="00B35B8D">
              <w:t>mírně nad ním a v roce 2014 byla na stejné úrovni. U žen je míra nezamě</w:t>
            </w:r>
            <w:r w:rsidR="00A158C2">
              <w:t>stnanosti vyšší, v roce 2014 to</w:t>
            </w:r>
            <w:r w:rsidRPr="00B35B8D">
              <w:t xml:space="preserve"> bylo</w:t>
            </w:r>
            <w:r>
              <w:t xml:space="preserve"> </w:t>
            </w:r>
            <w:r w:rsidRPr="00B35B8D">
              <w:t>7,5 %, zatímco u mužů 5,0 %.</w:t>
            </w:r>
          </w:p>
        </w:tc>
      </w:tr>
      <w:tr w:rsidR="004F7957" w:rsidTr="00057F4A">
        <w:trPr>
          <w:gridBefore w:val="1"/>
          <w:gridAfter w:val="3"/>
          <w:wBefore w:w="15" w:type="dxa"/>
          <w:wAfter w:w="207" w:type="dxa"/>
        </w:trPr>
        <w:tc>
          <w:tcPr>
            <w:tcW w:w="9564" w:type="dxa"/>
            <w:gridSpan w:val="10"/>
          </w:tcPr>
          <w:p w:rsidR="004F7957" w:rsidRPr="002B2D68" w:rsidRDefault="002B2D68" w:rsidP="002B2D68">
            <w:pPr>
              <w:pStyle w:val="text"/>
              <w:jc w:val="left"/>
            </w:pPr>
            <w:r w:rsidRPr="002B2D68">
              <w:rPr>
                <w:b/>
              </w:rPr>
              <w:t xml:space="preserve">Graf </w:t>
            </w:r>
            <w:r w:rsidR="00BD18F7">
              <w:rPr>
                <w:b/>
              </w:rPr>
              <w:t xml:space="preserve">2.4 </w:t>
            </w:r>
            <w:r w:rsidR="004F7957" w:rsidRPr="002B2D68">
              <w:rPr>
                <w:b/>
                <w:bCs/>
                <w:szCs w:val="20"/>
              </w:rPr>
              <w:t>Obecná míra nezaměstnanosti ve Zlínském kraji a ČR v letech 199</w:t>
            </w:r>
            <w:r w:rsidRPr="002B2D68">
              <w:rPr>
                <w:b/>
                <w:bCs/>
                <w:szCs w:val="20"/>
              </w:rPr>
              <w:t>4</w:t>
            </w:r>
            <w:r w:rsidR="004F7957" w:rsidRPr="002B2D68">
              <w:rPr>
                <w:b/>
                <w:bCs/>
                <w:szCs w:val="20"/>
              </w:rPr>
              <w:t xml:space="preserve"> až 201</w:t>
            </w:r>
            <w:r w:rsidRPr="002B2D68">
              <w:rPr>
                <w:b/>
                <w:bCs/>
                <w:szCs w:val="20"/>
              </w:rPr>
              <w:t>4</w:t>
            </w:r>
          </w:p>
        </w:tc>
      </w:tr>
      <w:tr w:rsidR="002B2D68" w:rsidTr="00057F4A">
        <w:trPr>
          <w:gridBefore w:val="1"/>
          <w:gridAfter w:val="1"/>
          <w:wBefore w:w="15" w:type="dxa"/>
          <w:wAfter w:w="181" w:type="dxa"/>
        </w:trPr>
        <w:tc>
          <w:tcPr>
            <w:tcW w:w="9590" w:type="dxa"/>
            <w:gridSpan w:val="12"/>
          </w:tcPr>
          <w:p w:rsidR="002B2D68" w:rsidRPr="00A00060" w:rsidRDefault="009956CB" w:rsidP="005C5094">
            <w:pPr>
              <w:pStyle w:val="text"/>
            </w:pPr>
            <w:r>
              <w:pict>
                <v:shape id="_x0000_i1045" type="#_x0000_t75" style="width:474.75pt;height:170.25pt">
                  <v:imagedata r:id="rId38" o:title=""/>
                </v:shape>
              </w:pict>
            </w:r>
          </w:p>
        </w:tc>
      </w:tr>
      <w:tr w:rsidR="004F7957" w:rsidTr="00057F4A">
        <w:trPr>
          <w:gridBefore w:val="1"/>
          <w:gridAfter w:val="3"/>
          <w:wBefore w:w="15" w:type="dxa"/>
          <w:wAfter w:w="207" w:type="dxa"/>
        </w:trPr>
        <w:tc>
          <w:tcPr>
            <w:tcW w:w="9564" w:type="dxa"/>
            <w:gridSpan w:val="10"/>
          </w:tcPr>
          <w:p w:rsidR="004F7957" w:rsidRPr="002B2D68" w:rsidRDefault="004F7957" w:rsidP="004F7957">
            <w:pPr>
              <w:rPr>
                <w:sz w:val="16"/>
                <w:szCs w:val="16"/>
              </w:rPr>
            </w:pPr>
            <w:r w:rsidRPr="002B2D68">
              <w:t>___________________________</w:t>
            </w:r>
          </w:p>
          <w:p w:rsidR="004F7957" w:rsidRPr="002B2D68" w:rsidRDefault="004F7957" w:rsidP="004F7957">
            <w:pPr>
              <w:rPr>
                <w:sz w:val="16"/>
                <w:szCs w:val="16"/>
              </w:rPr>
            </w:pPr>
            <w:r w:rsidRPr="002B2D68">
              <w:rPr>
                <w:vertAlign w:val="superscript"/>
              </w:rPr>
              <w:t xml:space="preserve">1 </w:t>
            </w:r>
            <w:r w:rsidRPr="002B2D68">
              <w:rPr>
                <w:sz w:val="16"/>
                <w:szCs w:val="16"/>
              </w:rPr>
              <w:t>Výběrové šetření pracovních sil (VŠPS) poskytuje údaje ve čtvrtletní periodicitě, v textu však uvádíme především roční průměry. VŠPS je organizováno od roku 1993, řídí se definicemi a doporučeními Mezinárodní organizace práce (ILO), respektuje definice a</w:t>
            </w:r>
            <w:r w:rsidR="00320227" w:rsidRPr="002B2D68">
              <w:rPr>
                <w:sz w:val="16"/>
                <w:szCs w:val="16"/>
              </w:rPr>
              <w:t> </w:t>
            </w:r>
            <w:r w:rsidRPr="002B2D68">
              <w:rPr>
                <w:sz w:val="16"/>
                <w:szCs w:val="16"/>
              </w:rPr>
              <w:t xml:space="preserve">obsahovou náplň celoevropského šetření </w:t>
            </w:r>
            <w:proofErr w:type="spellStart"/>
            <w:r w:rsidRPr="002B2D68">
              <w:rPr>
                <w:sz w:val="16"/>
                <w:szCs w:val="16"/>
              </w:rPr>
              <w:t>Labour</w:t>
            </w:r>
            <w:proofErr w:type="spellEnd"/>
            <w:r w:rsidRPr="002B2D68">
              <w:rPr>
                <w:sz w:val="16"/>
                <w:szCs w:val="16"/>
              </w:rPr>
              <w:t xml:space="preserve"> </w:t>
            </w:r>
            <w:proofErr w:type="spellStart"/>
            <w:r w:rsidRPr="002B2D68">
              <w:rPr>
                <w:sz w:val="16"/>
                <w:szCs w:val="16"/>
              </w:rPr>
              <w:t>Force</w:t>
            </w:r>
            <w:proofErr w:type="spellEnd"/>
            <w:r w:rsidRPr="002B2D68">
              <w:rPr>
                <w:sz w:val="16"/>
                <w:szCs w:val="16"/>
              </w:rPr>
              <w:t xml:space="preserve"> </w:t>
            </w:r>
            <w:proofErr w:type="spellStart"/>
            <w:r w:rsidRPr="002B2D68">
              <w:rPr>
                <w:sz w:val="16"/>
                <w:szCs w:val="16"/>
              </w:rPr>
              <w:t>Survey</w:t>
            </w:r>
            <w:proofErr w:type="spellEnd"/>
            <w:r w:rsidRPr="002B2D68">
              <w:rPr>
                <w:sz w:val="16"/>
                <w:szCs w:val="16"/>
              </w:rPr>
              <w:t xml:space="preserve"> a jeho data jsou mezinárodně srovnatelná.</w:t>
            </w:r>
          </w:p>
          <w:p w:rsidR="004F7957" w:rsidRPr="002B2D68" w:rsidRDefault="004F7957" w:rsidP="004F7957">
            <w:pPr>
              <w:rPr>
                <w:sz w:val="16"/>
                <w:szCs w:val="16"/>
              </w:rPr>
            </w:pPr>
            <w:r w:rsidRPr="002B2D68">
              <w:rPr>
                <w:vertAlign w:val="superscript"/>
              </w:rPr>
              <w:t xml:space="preserve">2 </w:t>
            </w:r>
            <w:r w:rsidRPr="002B2D68">
              <w:rPr>
                <w:sz w:val="16"/>
                <w:szCs w:val="16"/>
              </w:rPr>
              <w:t xml:space="preserve">Míra zaměstnanosti je podíl zaměstnaných na populaci ve věku 15 let a více </w:t>
            </w:r>
          </w:p>
          <w:p w:rsidR="00954A5A" w:rsidRPr="002B2D68" w:rsidRDefault="004F7957" w:rsidP="002173A6">
            <w:pPr>
              <w:rPr>
                <w:sz w:val="16"/>
                <w:szCs w:val="16"/>
              </w:rPr>
            </w:pPr>
            <w:r w:rsidRPr="002B2D68">
              <w:rPr>
                <w:vertAlign w:val="superscript"/>
              </w:rPr>
              <w:t xml:space="preserve">3 </w:t>
            </w:r>
            <w:r w:rsidRPr="002B2D68">
              <w:rPr>
                <w:sz w:val="16"/>
                <w:szCs w:val="16"/>
              </w:rPr>
              <w:t>Míra ekonomické aktivity vyjadřuje podíl osob zaměstnaných a takových nezaměstnaných, kteří aktivně hledají práci a jsou schopni</w:t>
            </w:r>
            <w:r w:rsidR="009A7ED7" w:rsidRPr="002B2D68">
              <w:rPr>
                <w:sz w:val="16"/>
                <w:szCs w:val="16"/>
              </w:rPr>
              <w:t xml:space="preserve"> na</w:t>
            </w:r>
            <w:r w:rsidRPr="002B2D68">
              <w:rPr>
                <w:sz w:val="16"/>
                <w:szCs w:val="16"/>
              </w:rPr>
              <w:t>st</w:t>
            </w:r>
            <w:r w:rsidR="009A7ED7" w:rsidRPr="002B2D68">
              <w:rPr>
                <w:sz w:val="16"/>
                <w:szCs w:val="16"/>
              </w:rPr>
              <w:t>oupit</w:t>
            </w:r>
            <w:r w:rsidRPr="002B2D68">
              <w:rPr>
                <w:sz w:val="16"/>
                <w:szCs w:val="16"/>
              </w:rPr>
              <w:t xml:space="preserve"> do práce okamžitě nebo nejpozději do 14 dnů, na celkovém počtu obyvatel. Tento ukazatel se počítá pouze za osoby patnáctileté a starší.</w:t>
            </w:r>
          </w:p>
        </w:tc>
      </w:tr>
      <w:tr w:rsidR="00B7564C" w:rsidTr="00057F4A">
        <w:trPr>
          <w:gridBefore w:val="1"/>
          <w:gridAfter w:val="3"/>
          <w:wBefore w:w="15" w:type="dxa"/>
          <w:wAfter w:w="207" w:type="dxa"/>
        </w:trPr>
        <w:tc>
          <w:tcPr>
            <w:tcW w:w="2315" w:type="dxa"/>
            <w:gridSpan w:val="4"/>
          </w:tcPr>
          <w:p w:rsidR="00B7564C" w:rsidRPr="007E4636" w:rsidRDefault="00B7564C" w:rsidP="008B13B3">
            <w:pPr>
              <w:pStyle w:val="text"/>
              <w:jc w:val="left"/>
              <w:rPr>
                <w:b/>
                <w:bCs/>
                <w:i/>
                <w:iCs/>
              </w:rPr>
            </w:pPr>
            <w:r w:rsidRPr="007E4636">
              <w:rPr>
                <w:b/>
                <w:i/>
              </w:rPr>
              <w:lastRenderedPageBreak/>
              <w:t>Pokles počtu ekonomicky neaktivních osob</w:t>
            </w:r>
          </w:p>
        </w:tc>
        <w:tc>
          <w:tcPr>
            <w:tcW w:w="7249" w:type="dxa"/>
            <w:gridSpan w:val="6"/>
          </w:tcPr>
          <w:p w:rsidR="00B7564C" w:rsidRPr="00C35058" w:rsidRDefault="007E4636" w:rsidP="001C5F6E">
            <w:pPr>
              <w:pStyle w:val="text"/>
              <w:rPr>
                <w:highlight w:val="yellow"/>
              </w:rPr>
            </w:pPr>
            <w:r w:rsidRPr="00BD7ACE">
              <w:t xml:space="preserve">Počet ekonomicky neaktivního obyvatelstva se v posledních letech vyvíjel nerovnoměrně. Nárůst v roce 2010 byl ovlivněn především zvýšením počtu studujících na </w:t>
            </w:r>
            <w:r w:rsidR="001C5F6E">
              <w:t>vysokých školách</w:t>
            </w:r>
            <w:r w:rsidRPr="00BD7ACE">
              <w:t>, neaktivních ze zdravotních důvodů a nárůstem počtu invalidních a starobních důchodců. Z maxima v roce 2010 (219,3 tis. osob) klesl během následujících let na 206,1 tis. osob v roce 2013, tedy o</w:t>
            </w:r>
            <w:r w:rsidR="001C5F6E">
              <w:t> </w:t>
            </w:r>
            <w:r w:rsidRPr="00BD7ACE">
              <w:t>13,2</w:t>
            </w:r>
            <w:r w:rsidR="001C5F6E">
              <w:t> </w:t>
            </w:r>
            <w:r w:rsidRPr="00BD7ACE">
              <w:t>tis. osob.</w:t>
            </w:r>
            <w:r>
              <w:t xml:space="preserve"> </w:t>
            </w:r>
            <w:r w:rsidRPr="00BD7ACE">
              <w:t>V</w:t>
            </w:r>
            <w:r>
              <w:t> </w:t>
            </w:r>
            <w:r w:rsidRPr="00BD7ACE">
              <w:t>roce 2014 opět počet ekonomicky neaktivních osob vzrostl, a</w:t>
            </w:r>
            <w:r w:rsidR="001C5F6E">
              <w:t> </w:t>
            </w:r>
            <w:r w:rsidRPr="00BD7ACE">
              <w:t>to o 1,3 %, tedy o více než 2,7 tis. osob.</w:t>
            </w:r>
            <w:r>
              <w:t xml:space="preserve"> </w:t>
            </w:r>
            <w:r w:rsidRPr="00BD7ACE">
              <w:t>Nejrychleji rostl počet osob ve věku 30 až 44 let, o</w:t>
            </w:r>
            <w:r>
              <w:t> </w:t>
            </w:r>
            <w:r w:rsidRPr="00BD7ACE">
              <w:t>14,</w:t>
            </w:r>
            <w:r>
              <w:t> </w:t>
            </w:r>
            <w:r w:rsidRPr="00BD7ACE">
              <w:t>7</w:t>
            </w:r>
            <w:r>
              <w:t> </w:t>
            </w:r>
            <w:r w:rsidRPr="00BD7ACE">
              <w:t>%, menší nárůst (o 4,4 %) byl vykázán u osob ve věku 60</w:t>
            </w:r>
            <w:r w:rsidR="001C5F6E">
              <w:t> </w:t>
            </w:r>
            <w:r w:rsidRPr="00BD7ACE">
              <w:t>a</w:t>
            </w:r>
            <w:r w:rsidR="001C5F6E">
              <w:t> </w:t>
            </w:r>
            <w:r w:rsidRPr="00BD7ACE">
              <w:t>více let.</w:t>
            </w:r>
            <w:r>
              <w:t xml:space="preserve"> </w:t>
            </w:r>
            <w:r w:rsidRPr="00BD7ACE">
              <w:t>K</w:t>
            </w:r>
            <w:r>
              <w:t> </w:t>
            </w:r>
            <w:r w:rsidRPr="00BD7ACE">
              <w:t xml:space="preserve">poklesu o 4,7 % došlo v kategorii </w:t>
            </w:r>
            <w:r>
              <w:t>15 až 29 let, a o 0,3 % ve věku</w:t>
            </w:r>
            <w:r w:rsidRPr="00BD7ACE">
              <w:t xml:space="preserve"> 45 až 59 let.</w:t>
            </w:r>
            <w:r>
              <w:t xml:space="preserve"> </w:t>
            </w:r>
            <w:r w:rsidRPr="00872812">
              <w:t>Skladba ekonomicky neaktivních obyvatel se mění ve prospěch obyvatel ve věku 65 a více let, naopak klesá zastoupení osob v kategorii 15</w:t>
            </w:r>
            <w:r w:rsidR="001C5F6E">
              <w:t> </w:t>
            </w:r>
            <w:r w:rsidRPr="00872812">
              <w:t>až</w:t>
            </w:r>
            <w:r w:rsidR="001C5F6E">
              <w:t> </w:t>
            </w:r>
            <w:r w:rsidRPr="00872812">
              <w:t>29 let</w:t>
            </w:r>
            <w:r w:rsidRPr="00E02BA7">
              <w:rPr>
                <w:rFonts w:ascii="Calibri" w:eastAsia="+mn-ea" w:hAnsi="Calibri" w:cs="+mn-cs"/>
                <w:color w:val="000000"/>
                <w:sz w:val="22"/>
                <w:szCs w:val="22"/>
              </w:rPr>
              <w:t>.</w:t>
            </w:r>
          </w:p>
        </w:tc>
      </w:tr>
      <w:tr w:rsidR="00B7564C" w:rsidTr="00057F4A">
        <w:trPr>
          <w:gridBefore w:val="1"/>
          <w:gridAfter w:val="3"/>
          <w:wBefore w:w="15" w:type="dxa"/>
          <w:wAfter w:w="207" w:type="dxa"/>
        </w:trPr>
        <w:tc>
          <w:tcPr>
            <w:tcW w:w="9564" w:type="dxa"/>
            <w:gridSpan w:val="10"/>
          </w:tcPr>
          <w:p w:rsidR="00B7564C" w:rsidRPr="009817BA" w:rsidRDefault="00B7564C" w:rsidP="009817BA">
            <w:pPr>
              <w:pStyle w:val="text"/>
              <w:jc w:val="left"/>
            </w:pPr>
            <w:r w:rsidRPr="009817BA">
              <w:rPr>
                <w:b/>
              </w:rPr>
              <w:t xml:space="preserve">Graf </w:t>
            </w:r>
            <w:r w:rsidR="00BD18F7">
              <w:rPr>
                <w:b/>
              </w:rPr>
              <w:t xml:space="preserve">2.5 </w:t>
            </w:r>
            <w:r w:rsidRPr="009817BA">
              <w:rPr>
                <w:b/>
                <w:bCs/>
                <w:szCs w:val="20"/>
              </w:rPr>
              <w:t>Struktura ekonomicky neaktivn</w:t>
            </w:r>
            <w:r w:rsidR="009817BA" w:rsidRPr="009817BA">
              <w:rPr>
                <w:b/>
                <w:bCs/>
                <w:szCs w:val="20"/>
              </w:rPr>
              <w:t>ích osob podle věku v letech 2009</w:t>
            </w:r>
            <w:r w:rsidRPr="009817BA">
              <w:rPr>
                <w:b/>
                <w:bCs/>
                <w:szCs w:val="20"/>
              </w:rPr>
              <w:t xml:space="preserve"> a</w:t>
            </w:r>
            <w:r w:rsidR="009817BA" w:rsidRPr="009817BA">
              <w:rPr>
                <w:b/>
                <w:bCs/>
                <w:szCs w:val="20"/>
              </w:rPr>
              <w:t>ž</w:t>
            </w:r>
            <w:r w:rsidRPr="009817BA">
              <w:rPr>
                <w:b/>
                <w:bCs/>
                <w:szCs w:val="20"/>
              </w:rPr>
              <w:t xml:space="preserve"> 201</w:t>
            </w:r>
            <w:r w:rsidR="009817BA" w:rsidRPr="009817BA">
              <w:rPr>
                <w:b/>
                <w:bCs/>
                <w:szCs w:val="20"/>
              </w:rPr>
              <w:t>4</w:t>
            </w:r>
          </w:p>
        </w:tc>
      </w:tr>
      <w:tr w:rsidR="00B7564C" w:rsidTr="00057F4A">
        <w:trPr>
          <w:gridBefore w:val="1"/>
          <w:gridAfter w:val="3"/>
          <w:wBefore w:w="15" w:type="dxa"/>
          <w:wAfter w:w="207" w:type="dxa"/>
        </w:trPr>
        <w:tc>
          <w:tcPr>
            <w:tcW w:w="9564" w:type="dxa"/>
            <w:gridSpan w:val="10"/>
          </w:tcPr>
          <w:p w:rsidR="00B7564C" w:rsidRPr="00C35058" w:rsidRDefault="009956CB" w:rsidP="008B13B3">
            <w:pPr>
              <w:pStyle w:val="text"/>
              <w:jc w:val="center"/>
              <w:rPr>
                <w:highlight w:val="yellow"/>
              </w:rPr>
            </w:pPr>
            <w:r>
              <w:pict>
                <v:shape id="_x0000_i1046" type="#_x0000_t75" style="width:452.25pt;height:216.75pt">
                  <v:imagedata r:id="rId39" o:title=""/>
                </v:shape>
              </w:pict>
            </w:r>
          </w:p>
        </w:tc>
      </w:tr>
      <w:tr w:rsidR="00700BDD" w:rsidTr="00057F4A">
        <w:trPr>
          <w:gridAfter w:val="3"/>
          <w:wAfter w:w="207" w:type="dxa"/>
        </w:trPr>
        <w:tc>
          <w:tcPr>
            <w:tcW w:w="2330" w:type="dxa"/>
            <w:gridSpan w:val="5"/>
            <w:tcMar>
              <w:left w:w="85" w:type="dxa"/>
              <w:right w:w="85" w:type="dxa"/>
            </w:tcMar>
          </w:tcPr>
          <w:p w:rsidR="00700BDD" w:rsidRPr="00390544" w:rsidRDefault="00700BDD" w:rsidP="000B3766">
            <w:pPr>
              <w:spacing w:before="60" w:after="60"/>
              <w:jc w:val="left"/>
              <w:rPr>
                <w:b/>
                <w:i/>
                <w:szCs w:val="20"/>
                <w:u w:val="single"/>
              </w:rPr>
            </w:pPr>
            <w:r w:rsidRPr="00390544">
              <w:rPr>
                <w:b/>
                <w:i/>
                <w:szCs w:val="20"/>
                <w:u w:val="single"/>
              </w:rPr>
              <w:t>Nezaměstnanost</w:t>
            </w:r>
          </w:p>
          <w:p w:rsidR="00700BDD" w:rsidRPr="00C35058" w:rsidRDefault="00390544" w:rsidP="000B3766">
            <w:pPr>
              <w:spacing w:before="60" w:after="60"/>
              <w:jc w:val="left"/>
              <w:rPr>
                <w:szCs w:val="20"/>
                <w:highlight w:val="yellow"/>
              </w:rPr>
            </w:pPr>
            <w:r w:rsidRPr="00390544">
              <w:rPr>
                <w:b/>
                <w:i/>
                <w:szCs w:val="20"/>
              </w:rPr>
              <w:t xml:space="preserve">Počet nezaměstnaných v kraji </w:t>
            </w:r>
            <w:proofErr w:type="gramStart"/>
            <w:r w:rsidRPr="00390544">
              <w:rPr>
                <w:b/>
                <w:i/>
                <w:szCs w:val="20"/>
              </w:rPr>
              <w:t>se  meziročně</w:t>
            </w:r>
            <w:proofErr w:type="gramEnd"/>
            <w:r w:rsidRPr="00390544">
              <w:rPr>
                <w:b/>
                <w:i/>
                <w:szCs w:val="20"/>
              </w:rPr>
              <w:t xml:space="preserve"> snížil</w:t>
            </w:r>
          </w:p>
        </w:tc>
        <w:tc>
          <w:tcPr>
            <w:tcW w:w="7249" w:type="dxa"/>
            <w:gridSpan w:val="6"/>
            <w:tcMar>
              <w:left w:w="85" w:type="dxa"/>
              <w:right w:w="85" w:type="dxa"/>
            </w:tcMar>
            <w:vAlign w:val="center"/>
          </w:tcPr>
          <w:p w:rsidR="000B3766" w:rsidRDefault="000B3766" w:rsidP="000B3766">
            <w:pPr>
              <w:pStyle w:val="text"/>
            </w:pPr>
            <w:r>
              <w:t>Na konci roku 2014 bylo ve Zlínském kraji registrováno úřady práce celkem 29</w:t>
            </w:r>
            <w:r w:rsidR="00C56CCA">
              <w:t> </w:t>
            </w:r>
            <w:r>
              <w:t>439 uchazečů o zaměstnání. V porovnání s předchozím rokem tak došlo ke</w:t>
            </w:r>
            <w:r w:rsidR="001947E0">
              <w:t> </w:t>
            </w:r>
            <w:r>
              <w:t>snížení počtu o 4,5 tisíce, tj. o 13,4 %. Podíl nezaměstnaných, který vyjadřuje podíl dosažitelných uchazečů o zaměstnání ve věku 15 až 64 let ze</w:t>
            </w:r>
            <w:r w:rsidR="001947E0">
              <w:t> </w:t>
            </w:r>
            <w:r>
              <w:t>všech obyvatel ve stejném věku, tak na konci sledovaného roku dosáhl 7,36</w:t>
            </w:r>
            <w:r w:rsidR="00C56CCA">
              <w:t> </w:t>
            </w:r>
            <w:r>
              <w:t xml:space="preserve">% a proti podílu nezaměstnaných v celé republice byl o 0,1 </w:t>
            </w:r>
            <w:proofErr w:type="spellStart"/>
            <w:proofErr w:type="gramStart"/>
            <w:r>
              <w:t>p.b</w:t>
            </w:r>
            <w:proofErr w:type="spellEnd"/>
            <w:r>
              <w:t>. nižší</w:t>
            </w:r>
            <w:proofErr w:type="gramEnd"/>
            <w:r>
              <w:t xml:space="preserve">. Meziročně došlo k poklesu podílu nezaměstnaných v kraji o 0,98 </w:t>
            </w:r>
            <w:proofErr w:type="spellStart"/>
            <w:proofErr w:type="gramStart"/>
            <w:r>
              <w:t>p.b</w:t>
            </w:r>
            <w:proofErr w:type="spellEnd"/>
            <w:r>
              <w:t>.</w:t>
            </w:r>
            <w:proofErr w:type="gramEnd"/>
            <w:r>
              <w:t xml:space="preserve"> </w:t>
            </w:r>
          </w:p>
          <w:p w:rsidR="000B3766" w:rsidRDefault="000B3766" w:rsidP="000B3766">
            <w:pPr>
              <w:pStyle w:val="text"/>
            </w:pPr>
            <w:r>
              <w:t xml:space="preserve">Od roku 2009 počet registrovaných uchazečů o práci v kraji klesal a v roce 2011 dosáhl minima (celkem 29 418 žadatelů). V následujícím roce se počet žadatelů zvýšil na 32 100, tedy takřka o 10 %. V roce 2013 nárůst počtu uchazečů pokračoval a na konci roku se vyšplhal na 33 978 osob. V roce 2014 jejich počet začal klesat a k 31. 12. 2014 se celkový počet zaregistrovaných uchazečů zastavil na 29 439 osobách. </w:t>
            </w:r>
          </w:p>
          <w:p w:rsidR="00700BDD" w:rsidRDefault="000B3766" w:rsidP="000B3766">
            <w:pPr>
              <w:pStyle w:val="text"/>
            </w:pPr>
            <w:r>
              <w:t>Mezi uchazeči po celé sledované pětileté období od roku 2009 převažoval podíl mužů.</w:t>
            </w:r>
          </w:p>
          <w:p w:rsidR="001D055B" w:rsidRDefault="00911EF7" w:rsidP="001947E0">
            <w:pPr>
              <w:pStyle w:val="text"/>
              <w:rPr>
                <w:rFonts w:eastAsia="+mn-ea" w:cs="Arial"/>
                <w:color w:val="000000"/>
                <w:szCs w:val="20"/>
              </w:rPr>
            </w:pPr>
            <w:r w:rsidRPr="002C2ED6">
              <w:rPr>
                <w:rFonts w:eastAsia="+mn-ea" w:cs="Arial"/>
                <w:color w:val="000000"/>
                <w:szCs w:val="20"/>
              </w:rPr>
              <w:t>Obdobná situace se projevila ve všech krajích. V prvním roce sledovaného období pouze ve dvou krajích (Libereckém a Zlínském) začaly počty žadatelů o</w:t>
            </w:r>
            <w:r w:rsidR="0088436F">
              <w:rPr>
                <w:rFonts w:eastAsia="+mn-ea" w:cs="Arial"/>
                <w:color w:val="000000"/>
                <w:szCs w:val="20"/>
              </w:rPr>
              <w:t> </w:t>
            </w:r>
            <w:r w:rsidRPr="002C2ED6">
              <w:rPr>
                <w:rFonts w:eastAsia="+mn-ea" w:cs="Arial"/>
                <w:color w:val="000000"/>
                <w:szCs w:val="20"/>
              </w:rPr>
              <w:t>práci mírně klesat. V ostatních se jejich počty ještě zvyšovaly. Nejvýraznější meziroční nárůst v absolutních hodnotách v roce 2010 byl zaznamenán ve</w:t>
            </w:r>
            <w:r w:rsidR="001947E0">
              <w:rPr>
                <w:rFonts w:eastAsia="+mn-ea" w:cs="Arial"/>
                <w:color w:val="000000"/>
                <w:szCs w:val="20"/>
              </w:rPr>
              <w:t> </w:t>
            </w:r>
            <w:r w:rsidRPr="002C2ED6">
              <w:rPr>
                <w:rFonts w:eastAsia="+mn-ea" w:cs="Arial"/>
                <w:color w:val="000000"/>
                <w:szCs w:val="20"/>
              </w:rPr>
              <w:t>Středočeském kraji, a to o 5 572 osob. V následujícím roce byl pokles počtu žadatelů zachycen ve všech krajích republiky. Největší pokles zaznamenal Moravskoslezský kraj (o 7 757 osob), nejmenší v Hlavním městě Praze (o 853 osob). V letech 2012 a 2013 ve všech krajích došlo k nárůstu počtu registrovaných nezaměstnaných a v koncovém roce období bylo ve všech krajích zachyceno meziroční snížení (největší o 6 099 osob v </w:t>
            </w:r>
            <w:proofErr w:type="spellStart"/>
            <w:r w:rsidRPr="002C2ED6">
              <w:rPr>
                <w:rFonts w:eastAsia="+mn-ea" w:cs="Arial"/>
                <w:color w:val="000000"/>
                <w:szCs w:val="20"/>
              </w:rPr>
              <w:t>Moravsko</w:t>
            </w:r>
            <w:r w:rsidR="002C2ED6" w:rsidRPr="002C2ED6">
              <w:rPr>
                <w:rFonts w:eastAsia="+mn-ea" w:cs="Arial"/>
                <w:color w:val="000000"/>
                <w:szCs w:val="20"/>
              </w:rPr>
              <w:t>slez</w:t>
            </w:r>
            <w:proofErr w:type="spellEnd"/>
            <w:r w:rsidRPr="002C2ED6">
              <w:rPr>
                <w:rFonts w:eastAsia="+mn-ea" w:cs="Arial"/>
                <w:color w:val="000000"/>
                <w:szCs w:val="20"/>
              </w:rPr>
              <w:t xml:space="preserve">- </w:t>
            </w:r>
          </w:p>
          <w:p w:rsidR="007E3F3A" w:rsidRPr="00C35058" w:rsidRDefault="007E3F3A" w:rsidP="001947E0">
            <w:pPr>
              <w:pStyle w:val="text"/>
              <w:rPr>
                <w:szCs w:val="20"/>
                <w:highlight w:val="yellow"/>
              </w:rPr>
            </w:pPr>
          </w:p>
        </w:tc>
      </w:tr>
      <w:tr w:rsidR="00700BDD" w:rsidTr="00057F4A">
        <w:trPr>
          <w:gridAfter w:val="3"/>
          <w:wAfter w:w="207" w:type="dxa"/>
          <w:trHeight w:val="449"/>
        </w:trPr>
        <w:tc>
          <w:tcPr>
            <w:tcW w:w="9579" w:type="dxa"/>
            <w:gridSpan w:val="11"/>
            <w:tcMar>
              <w:left w:w="85" w:type="dxa"/>
              <w:right w:w="85" w:type="dxa"/>
            </w:tcMar>
          </w:tcPr>
          <w:p w:rsidR="00700BDD" w:rsidRPr="001D055B" w:rsidRDefault="001D055B" w:rsidP="00BD18F7">
            <w:pPr>
              <w:spacing w:before="60" w:after="60"/>
              <w:rPr>
                <w:b/>
                <w:szCs w:val="20"/>
                <w:highlight w:val="yellow"/>
              </w:rPr>
            </w:pPr>
            <w:r w:rsidRPr="001D055B">
              <w:rPr>
                <w:b/>
                <w:szCs w:val="20"/>
              </w:rPr>
              <w:lastRenderedPageBreak/>
              <w:t xml:space="preserve">Graf </w:t>
            </w:r>
            <w:r w:rsidR="00BD18F7">
              <w:rPr>
                <w:b/>
                <w:szCs w:val="20"/>
              </w:rPr>
              <w:t>2.6</w:t>
            </w:r>
            <w:r w:rsidRPr="001D055B">
              <w:rPr>
                <w:b/>
                <w:szCs w:val="20"/>
              </w:rPr>
              <w:t xml:space="preserve"> Žadatelé o práci a volná pracovní místa ve Zlínském kraji k 31. 12.</w:t>
            </w:r>
          </w:p>
        </w:tc>
      </w:tr>
      <w:tr w:rsidR="000B3766" w:rsidTr="00057F4A">
        <w:trPr>
          <w:gridAfter w:val="3"/>
          <w:wAfter w:w="207" w:type="dxa"/>
          <w:trHeight w:val="1622"/>
        </w:trPr>
        <w:tc>
          <w:tcPr>
            <w:tcW w:w="9579" w:type="dxa"/>
            <w:gridSpan w:val="11"/>
            <w:tcMar>
              <w:left w:w="85" w:type="dxa"/>
              <w:right w:w="85" w:type="dxa"/>
            </w:tcMar>
          </w:tcPr>
          <w:p w:rsidR="000B3766" w:rsidRPr="00C35058" w:rsidRDefault="009956CB" w:rsidP="001D055B">
            <w:pPr>
              <w:jc w:val="center"/>
              <w:rPr>
                <w:szCs w:val="20"/>
                <w:highlight w:val="yellow"/>
              </w:rPr>
            </w:pPr>
            <w:r w:rsidRPr="00286EFA">
              <w:rPr>
                <w:b/>
                <w:szCs w:val="20"/>
              </w:rPr>
              <w:pict>
                <v:shape id="_x0000_i1047" type="#_x0000_t75" style="width:481.5pt;height:207pt">
                  <v:imagedata r:id="rId40" o:title=""/>
                </v:shape>
              </w:pict>
            </w:r>
          </w:p>
        </w:tc>
      </w:tr>
      <w:tr w:rsidR="00700BDD" w:rsidTr="00057F4A">
        <w:trPr>
          <w:gridAfter w:val="3"/>
          <w:wAfter w:w="207" w:type="dxa"/>
        </w:trPr>
        <w:tc>
          <w:tcPr>
            <w:tcW w:w="2330" w:type="dxa"/>
            <w:gridSpan w:val="5"/>
            <w:tcMar>
              <w:left w:w="85" w:type="dxa"/>
              <w:right w:w="85" w:type="dxa"/>
            </w:tcMar>
          </w:tcPr>
          <w:p w:rsidR="00700BDD" w:rsidRPr="00C35058" w:rsidRDefault="00700BDD" w:rsidP="00700BDD">
            <w:pPr>
              <w:jc w:val="left"/>
              <w:rPr>
                <w:b/>
                <w:i/>
                <w:szCs w:val="20"/>
                <w:highlight w:val="yellow"/>
                <w:u w:val="single"/>
              </w:rPr>
            </w:pPr>
          </w:p>
        </w:tc>
        <w:tc>
          <w:tcPr>
            <w:tcW w:w="7249" w:type="dxa"/>
            <w:gridSpan w:val="6"/>
            <w:tcMar>
              <w:left w:w="85" w:type="dxa"/>
              <w:right w:w="85" w:type="dxa"/>
            </w:tcMar>
            <w:vAlign w:val="center"/>
          </w:tcPr>
          <w:p w:rsidR="00B860CD" w:rsidRDefault="002C2ED6" w:rsidP="002C2ED6">
            <w:pPr>
              <w:spacing w:before="60" w:after="60"/>
              <w:rPr>
                <w:rFonts w:eastAsia="+mn-ea" w:cs="Arial"/>
                <w:color w:val="000000"/>
                <w:szCs w:val="20"/>
              </w:rPr>
            </w:pPr>
            <w:proofErr w:type="spellStart"/>
            <w:r w:rsidRPr="002C2ED6">
              <w:rPr>
                <w:rFonts w:eastAsia="+mn-ea" w:cs="Arial"/>
                <w:color w:val="000000"/>
                <w:szCs w:val="20"/>
              </w:rPr>
              <w:t>ském</w:t>
            </w:r>
            <w:proofErr w:type="spellEnd"/>
            <w:r w:rsidRPr="002C2ED6">
              <w:rPr>
                <w:rFonts w:eastAsia="+mn-ea" w:cs="Arial"/>
                <w:color w:val="000000"/>
                <w:szCs w:val="20"/>
              </w:rPr>
              <w:t xml:space="preserve"> </w:t>
            </w:r>
            <w:r w:rsidR="001D055B" w:rsidRPr="002C2ED6">
              <w:rPr>
                <w:rFonts w:eastAsia="+mn-ea" w:cs="Arial"/>
                <w:color w:val="000000"/>
                <w:szCs w:val="20"/>
              </w:rPr>
              <w:t>kraji,</w:t>
            </w:r>
            <w:r w:rsidR="001D055B" w:rsidRPr="00911EF7">
              <w:rPr>
                <w:rFonts w:eastAsia="+mn-ea" w:cs="Arial"/>
                <w:color w:val="000000"/>
                <w:szCs w:val="20"/>
              </w:rPr>
              <w:t xml:space="preserve"> nejmenší o 1 423 osob v Hlavním městě Praze). Ve Zlínském kraji bylo v roce 2014 meziroční snížení počtu uchazečů o práci 5. největší, a to o</w:t>
            </w:r>
            <w:r w:rsidR="002A46C3">
              <w:rPr>
                <w:rFonts w:eastAsia="+mn-ea" w:cs="Arial"/>
                <w:color w:val="000000"/>
                <w:szCs w:val="20"/>
              </w:rPr>
              <w:t> </w:t>
            </w:r>
            <w:r w:rsidR="001D055B" w:rsidRPr="00911EF7">
              <w:rPr>
                <w:rFonts w:eastAsia="+mn-ea" w:cs="Arial"/>
                <w:color w:val="000000"/>
                <w:szCs w:val="20"/>
              </w:rPr>
              <w:t>4</w:t>
            </w:r>
            <w:r w:rsidR="002A46C3">
              <w:rPr>
                <w:rFonts w:eastAsia="+mn-ea" w:cs="Arial"/>
                <w:color w:val="000000"/>
                <w:szCs w:val="20"/>
              </w:rPr>
              <w:t> </w:t>
            </w:r>
            <w:r w:rsidR="001D055B" w:rsidRPr="00911EF7">
              <w:rPr>
                <w:rFonts w:eastAsia="+mn-ea" w:cs="Arial"/>
                <w:color w:val="000000"/>
                <w:szCs w:val="20"/>
              </w:rPr>
              <w:t xml:space="preserve">539 osob. Největší republikový podíl nezaměstnaných zůstal po celé pětileté období v Moravskoslezském kraji, který se o 0,6 </w:t>
            </w:r>
            <w:proofErr w:type="spellStart"/>
            <w:proofErr w:type="gramStart"/>
            <w:r w:rsidR="001D055B" w:rsidRPr="00911EF7">
              <w:rPr>
                <w:rFonts w:eastAsia="+mn-ea" w:cs="Arial"/>
                <w:color w:val="000000"/>
                <w:szCs w:val="20"/>
              </w:rPr>
              <w:t>p.b</w:t>
            </w:r>
            <w:proofErr w:type="spellEnd"/>
            <w:r w:rsidR="001D055B" w:rsidRPr="00911EF7">
              <w:rPr>
                <w:rFonts w:eastAsia="+mn-ea" w:cs="Arial"/>
                <w:color w:val="000000"/>
                <w:szCs w:val="20"/>
              </w:rPr>
              <w:t>. zvýšil</w:t>
            </w:r>
            <w:proofErr w:type="gramEnd"/>
            <w:r w:rsidR="001D055B" w:rsidRPr="00911EF7">
              <w:rPr>
                <w:rFonts w:eastAsia="+mn-ea" w:cs="Arial"/>
                <w:color w:val="000000"/>
                <w:szCs w:val="20"/>
              </w:rPr>
              <w:t xml:space="preserve"> </w:t>
            </w:r>
            <w:r w:rsidR="009C40CC" w:rsidRPr="00911EF7">
              <w:rPr>
                <w:rFonts w:eastAsia="+mn-ea" w:cs="Arial"/>
                <w:color w:val="000000"/>
                <w:szCs w:val="20"/>
              </w:rPr>
              <w:t>v</w:t>
            </w:r>
            <w:r w:rsidR="009C40CC">
              <w:rPr>
                <w:rFonts w:eastAsia="+mn-ea" w:cs="Arial"/>
                <w:color w:val="000000"/>
                <w:szCs w:val="20"/>
              </w:rPr>
              <w:t> </w:t>
            </w:r>
            <w:r w:rsidR="009C40CC" w:rsidRPr="00911EF7">
              <w:rPr>
                <w:rFonts w:eastAsia="+mn-ea" w:cs="Arial"/>
                <w:color w:val="000000"/>
                <w:szCs w:val="20"/>
              </w:rPr>
              <w:t xml:space="preserve">posledním roce </w:t>
            </w:r>
            <w:r w:rsidR="001D055B" w:rsidRPr="00911EF7">
              <w:rPr>
                <w:rFonts w:eastAsia="+mn-ea" w:cs="Arial"/>
                <w:color w:val="000000"/>
                <w:szCs w:val="20"/>
              </w:rPr>
              <w:t>na</w:t>
            </w:r>
            <w:r w:rsidR="001947E0">
              <w:rPr>
                <w:rFonts w:eastAsia="+mn-ea" w:cs="Arial"/>
                <w:color w:val="000000"/>
                <w:szCs w:val="20"/>
              </w:rPr>
              <w:t> </w:t>
            </w:r>
            <w:r w:rsidR="001D055B" w:rsidRPr="00911EF7">
              <w:rPr>
                <w:rFonts w:eastAsia="+mn-ea" w:cs="Arial"/>
                <w:color w:val="000000"/>
                <w:szCs w:val="20"/>
              </w:rPr>
              <w:t>15,5 %. Naopak nejmenší podíl po celých pět let vykazovaly úřady práce v</w:t>
            </w:r>
            <w:r w:rsidR="001947E0">
              <w:rPr>
                <w:rFonts w:eastAsia="+mn-ea" w:cs="Arial"/>
                <w:color w:val="000000"/>
                <w:szCs w:val="20"/>
              </w:rPr>
              <w:t> </w:t>
            </w:r>
            <w:r w:rsidR="001D055B" w:rsidRPr="00911EF7">
              <w:rPr>
                <w:rFonts w:eastAsia="+mn-ea" w:cs="Arial"/>
                <w:color w:val="000000"/>
                <w:szCs w:val="20"/>
              </w:rPr>
              <w:t>Karlovarském kraji, a to 3,6 % v roce 2009 a 3,2 % v roce 2014. Ve</w:t>
            </w:r>
            <w:r w:rsidR="00B737CA">
              <w:rPr>
                <w:rFonts w:eastAsia="+mn-ea" w:cs="Arial"/>
                <w:color w:val="000000"/>
                <w:szCs w:val="20"/>
              </w:rPr>
              <w:t> </w:t>
            </w:r>
            <w:r w:rsidR="001D055B" w:rsidRPr="00911EF7">
              <w:rPr>
                <w:rFonts w:eastAsia="+mn-ea" w:cs="Arial"/>
                <w:color w:val="000000"/>
                <w:szCs w:val="20"/>
              </w:rPr>
              <w:t>Zlínském kraji v roce 2009 činil podíl žadatelů o práci z celé republiky 6,3 % a</w:t>
            </w:r>
            <w:r w:rsidR="009C40CC">
              <w:rPr>
                <w:rFonts w:eastAsia="+mn-ea" w:cs="Arial"/>
                <w:color w:val="000000"/>
                <w:szCs w:val="20"/>
              </w:rPr>
              <w:t> </w:t>
            </w:r>
            <w:r w:rsidR="001D055B" w:rsidRPr="00911EF7">
              <w:rPr>
                <w:rFonts w:eastAsia="+mn-ea" w:cs="Arial"/>
                <w:color w:val="000000"/>
                <w:szCs w:val="20"/>
              </w:rPr>
              <w:t>v</w:t>
            </w:r>
            <w:r w:rsidR="009C40CC">
              <w:rPr>
                <w:rFonts w:eastAsia="+mn-ea" w:cs="Arial"/>
                <w:color w:val="000000"/>
                <w:szCs w:val="20"/>
              </w:rPr>
              <w:t> </w:t>
            </w:r>
            <w:r w:rsidR="001D055B" w:rsidRPr="00911EF7">
              <w:rPr>
                <w:rFonts w:eastAsia="+mn-ea" w:cs="Arial"/>
                <w:color w:val="000000"/>
                <w:szCs w:val="20"/>
              </w:rPr>
              <w:t>následujících letech tento podíl s výjimkou v roce 2012 klesal</w:t>
            </w:r>
            <w:r w:rsidR="00B737CA">
              <w:rPr>
                <w:rFonts w:eastAsia="+mn-ea" w:cs="Arial"/>
                <w:color w:val="000000"/>
                <w:szCs w:val="20"/>
              </w:rPr>
              <w:t>,</w:t>
            </w:r>
            <w:r w:rsidR="001D055B" w:rsidRPr="00911EF7">
              <w:rPr>
                <w:rFonts w:eastAsia="+mn-ea" w:cs="Arial"/>
                <w:color w:val="000000"/>
                <w:szCs w:val="20"/>
              </w:rPr>
              <w:t xml:space="preserve"> až v roce 2014 dosáhl 5,4 %. </w:t>
            </w:r>
          </w:p>
          <w:p w:rsidR="002C2ED6" w:rsidRPr="002C2ED6" w:rsidRDefault="002C2ED6" w:rsidP="002C2ED6">
            <w:pPr>
              <w:spacing w:before="60" w:after="60"/>
              <w:rPr>
                <w:rFonts w:eastAsia="+mn-ea" w:cs="Arial"/>
                <w:color w:val="000000"/>
                <w:szCs w:val="20"/>
              </w:rPr>
            </w:pPr>
          </w:p>
        </w:tc>
      </w:tr>
      <w:tr w:rsidR="002C2ED6" w:rsidTr="00057F4A">
        <w:trPr>
          <w:gridAfter w:val="3"/>
          <w:wAfter w:w="207" w:type="dxa"/>
        </w:trPr>
        <w:tc>
          <w:tcPr>
            <w:tcW w:w="9579" w:type="dxa"/>
            <w:gridSpan w:val="11"/>
            <w:tcMar>
              <w:left w:w="85" w:type="dxa"/>
              <w:right w:w="85" w:type="dxa"/>
            </w:tcMar>
          </w:tcPr>
          <w:p w:rsidR="002C2ED6" w:rsidRPr="002C2ED6" w:rsidRDefault="009956CB" w:rsidP="002C2ED6">
            <w:pPr>
              <w:spacing w:before="60" w:after="60"/>
              <w:jc w:val="center"/>
              <w:rPr>
                <w:rFonts w:eastAsia="+mn-ea" w:cs="Arial"/>
                <w:color w:val="000000"/>
                <w:szCs w:val="20"/>
              </w:rPr>
            </w:pPr>
            <w:r w:rsidRPr="00286EFA">
              <w:rPr>
                <w:rFonts w:eastAsia="+mn-ea" w:cs="Arial"/>
                <w:color w:val="000000"/>
                <w:szCs w:val="20"/>
              </w:rPr>
              <w:pict>
                <v:shape id="_x0000_i1048" type="#_x0000_t75" style="width:481.5pt;height:340.5pt">
                  <v:imagedata r:id="rId41" o:title="nezamestnanost_2014"/>
                </v:shape>
              </w:pict>
            </w:r>
          </w:p>
        </w:tc>
      </w:tr>
      <w:tr w:rsidR="00B61E66" w:rsidTr="00057F4A">
        <w:trPr>
          <w:gridAfter w:val="3"/>
          <w:wAfter w:w="207" w:type="dxa"/>
        </w:trPr>
        <w:tc>
          <w:tcPr>
            <w:tcW w:w="2346" w:type="dxa"/>
            <w:gridSpan w:val="6"/>
            <w:tcMar>
              <w:left w:w="85" w:type="dxa"/>
              <w:right w:w="85" w:type="dxa"/>
            </w:tcMar>
          </w:tcPr>
          <w:p w:rsidR="00B61E66" w:rsidRPr="00C35058" w:rsidRDefault="00B61E66" w:rsidP="00784BDA">
            <w:pPr>
              <w:pStyle w:val="Normlnweb"/>
              <w:spacing w:before="120" w:beforeAutospacing="0" w:after="120" w:afterAutospacing="0"/>
              <w:jc w:val="both"/>
              <w:rPr>
                <w:rFonts w:ascii="Arial" w:hAnsi="Arial" w:cs="Arial"/>
                <w:b/>
                <w:sz w:val="20"/>
                <w:szCs w:val="20"/>
                <w:highlight w:val="yellow"/>
              </w:rPr>
            </w:pPr>
          </w:p>
        </w:tc>
        <w:tc>
          <w:tcPr>
            <w:tcW w:w="7233" w:type="dxa"/>
            <w:gridSpan w:val="5"/>
          </w:tcPr>
          <w:p w:rsidR="00B737CA" w:rsidRPr="00C94D53" w:rsidRDefault="00B61E66" w:rsidP="001947E0">
            <w:pPr>
              <w:pStyle w:val="Normlnweb"/>
              <w:spacing w:before="60" w:beforeAutospacing="0" w:after="60" w:afterAutospacing="0"/>
              <w:jc w:val="both"/>
              <w:rPr>
                <w:rFonts w:ascii="Arial" w:hAnsi="Arial" w:cs="Arial"/>
                <w:sz w:val="20"/>
                <w:szCs w:val="20"/>
              </w:rPr>
            </w:pPr>
            <w:r w:rsidRPr="00B61E66">
              <w:rPr>
                <w:rFonts w:ascii="Arial" w:hAnsi="Arial" w:cs="Arial"/>
                <w:sz w:val="20"/>
                <w:szCs w:val="20"/>
              </w:rPr>
              <w:t>Ve struktuře uchazečů byl v kraji na konci roku 2014 ve srovnání s údaji za</w:t>
            </w:r>
            <w:r w:rsidR="001947E0">
              <w:rPr>
                <w:rFonts w:ascii="Arial" w:hAnsi="Arial" w:cs="Arial"/>
                <w:sz w:val="20"/>
                <w:szCs w:val="20"/>
              </w:rPr>
              <w:t> </w:t>
            </w:r>
            <w:r w:rsidRPr="00B61E66">
              <w:rPr>
                <w:rFonts w:ascii="Arial" w:hAnsi="Arial" w:cs="Arial"/>
                <w:sz w:val="20"/>
                <w:szCs w:val="20"/>
              </w:rPr>
              <w:t xml:space="preserve">republiku vyšší podíl uchazečů se zdravotním postižením (o 1,8 </w:t>
            </w:r>
            <w:proofErr w:type="spellStart"/>
            <w:proofErr w:type="gramStart"/>
            <w:r w:rsidRPr="00B61E66">
              <w:rPr>
                <w:rFonts w:ascii="Arial" w:hAnsi="Arial" w:cs="Arial"/>
                <w:sz w:val="20"/>
                <w:szCs w:val="20"/>
              </w:rPr>
              <w:t>p.b</w:t>
            </w:r>
            <w:proofErr w:type="spellEnd"/>
            <w:r w:rsidRPr="00B61E66">
              <w:rPr>
                <w:rFonts w:ascii="Arial" w:hAnsi="Arial" w:cs="Arial"/>
                <w:sz w:val="20"/>
                <w:szCs w:val="20"/>
              </w:rPr>
              <w:t>.) a</w:t>
            </w:r>
            <w:r w:rsidR="00B737CA">
              <w:rPr>
                <w:rFonts w:ascii="Arial" w:hAnsi="Arial" w:cs="Arial"/>
                <w:sz w:val="20"/>
                <w:szCs w:val="20"/>
              </w:rPr>
              <w:t> </w:t>
            </w:r>
            <w:r w:rsidRPr="00B61E66">
              <w:rPr>
                <w:rFonts w:ascii="Arial" w:hAnsi="Arial" w:cs="Arial"/>
                <w:sz w:val="20"/>
                <w:szCs w:val="20"/>
              </w:rPr>
              <w:t>absolventů</w:t>
            </w:r>
            <w:proofErr w:type="gramEnd"/>
            <w:r w:rsidRPr="00B61E66">
              <w:rPr>
                <w:rFonts w:ascii="Arial" w:hAnsi="Arial" w:cs="Arial"/>
                <w:sz w:val="20"/>
                <w:szCs w:val="20"/>
              </w:rPr>
              <w:t xml:space="preserve"> škol.(o 1,2 </w:t>
            </w:r>
            <w:proofErr w:type="spellStart"/>
            <w:r w:rsidRPr="00B61E66">
              <w:rPr>
                <w:rFonts w:ascii="Arial" w:hAnsi="Arial" w:cs="Arial"/>
                <w:sz w:val="20"/>
                <w:szCs w:val="20"/>
              </w:rPr>
              <w:t>p.b</w:t>
            </w:r>
            <w:proofErr w:type="spellEnd"/>
            <w:r w:rsidRPr="00B61E66">
              <w:rPr>
                <w:rFonts w:ascii="Arial" w:hAnsi="Arial" w:cs="Arial"/>
                <w:sz w:val="20"/>
                <w:szCs w:val="20"/>
              </w:rPr>
              <w:t xml:space="preserve">.). Ve Zlínském kraji byl také o 2,5 </w:t>
            </w:r>
            <w:proofErr w:type="spellStart"/>
            <w:proofErr w:type="gramStart"/>
            <w:r w:rsidRPr="00B61E66">
              <w:rPr>
                <w:rFonts w:ascii="Arial" w:hAnsi="Arial" w:cs="Arial"/>
                <w:sz w:val="20"/>
                <w:szCs w:val="20"/>
              </w:rPr>
              <w:t>p.b</w:t>
            </w:r>
            <w:proofErr w:type="spellEnd"/>
            <w:r w:rsidRPr="00B61E66">
              <w:rPr>
                <w:rFonts w:ascii="Arial" w:hAnsi="Arial" w:cs="Arial"/>
                <w:sz w:val="20"/>
                <w:szCs w:val="20"/>
              </w:rPr>
              <w:t>. vyšší</w:t>
            </w:r>
            <w:proofErr w:type="gramEnd"/>
            <w:r w:rsidRPr="00B61E66">
              <w:rPr>
                <w:rFonts w:ascii="Arial" w:hAnsi="Arial" w:cs="Arial"/>
                <w:sz w:val="20"/>
                <w:szCs w:val="20"/>
              </w:rPr>
              <w:t xml:space="preserve"> podíl uchazečů nárokem na podporu v nezaměstnanosti.  </w:t>
            </w:r>
          </w:p>
        </w:tc>
      </w:tr>
      <w:tr w:rsidR="00700BDD" w:rsidTr="00057F4A">
        <w:trPr>
          <w:gridAfter w:val="3"/>
          <w:wAfter w:w="207" w:type="dxa"/>
        </w:trPr>
        <w:tc>
          <w:tcPr>
            <w:tcW w:w="9579" w:type="dxa"/>
            <w:gridSpan w:val="11"/>
            <w:tcMar>
              <w:left w:w="85" w:type="dxa"/>
              <w:right w:w="85" w:type="dxa"/>
            </w:tcMar>
          </w:tcPr>
          <w:p w:rsidR="00700BDD" w:rsidRPr="00C35058" w:rsidRDefault="00B737CA" w:rsidP="0088436F">
            <w:pPr>
              <w:pStyle w:val="Normlnweb"/>
              <w:spacing w:before="60" w:beforeAutospacing="0" w:after="60" w:afterAutospacing="0"/>
              <w:jc w:val="both"/>
              <w:rPr>
                <w:rFonts w:ascii="Arial" w:hAnsi="Arial" w:cs="Arial"/>
                <w:b/>
                <w:sz w:val="20"/>
                <w:szCs w:val="20"/>
                <w:highlight w:val="yellow"/>
              </w:rPr>
            </w:pPr>
            <w:r w:rsidRPr="00B737CA">
              <w:rPr>
                <w:rFonts w:ascii="Arial" w:hAnsi="Arial" w:cs="Arial"/>
                <w:b/>
                <w:sz w:val="20"/>
                <w:szCs w:val="20"/>
              </w:rPr>
              <w:t xml:space="preserve">Graf </w:t>
            </w:r>
            <w:r w:rsidR="0088436F">
              <w:rPr>
                <w:rFonts w:ascii="Arial" w:hAnsi="Arial" w:cs="Arial"/>
                <w:b/>
                <w:sz w:val="20"/>
                <w:szCs w:val="20"/>
              </w:rPr>
              <w:t>2</w:t>
            </w:r>
            <w:r w:rsidR="00BD18F7">
              <w:rPr>
                <w:rFonts w:ascii="Arial" w:hAnsi="Arial" w:cs="Arial"/>
                <w:b/>
                <w:sz w:val="20"/>
                <w:szCs w:val="20"/>
              </w:rPr>
              <w:t>.7</w:t>
            </w:r>
            <w:r w:rsidRPr="00B737CA">
              <w:rPr>
                <w:rFonts w:ascii="Arial" w:hAnsi="Arial" w:cs="Arial"/>
                <w:b/>
                <w:sz w:val="20"/>
                <w:szCs w:val="20"/>
              </w:rPr>
              <w:t xml:space="preserve"> Meziroční změna na konci roku 2014 v počtu nezaměstnaných v jednotlivých krajích</w:t>
            </w:r>
          </w:p>
        </w:tc>
      </w:tr>
      <w:tr w:rsidR="00700BDD" w:rsidTr="00057F4A">
        <w:trPr>
          <w:gridAfter w:val="3"/>
          <w:wAfter w:w="207" w:type="dxa"/>
          <w:trHeight w:val="4253"/>
        </w:trPr>
        <w:tc>
          <w:tcPr>
            <w:tcW w:w="9579" w:type="dxa"/>
            <w:gridSpan w:val="11"/>
            <w:tcMar>
              <w:left w:w="85" w:type="dxa"/>
              <w:right w:w="85" w:type="dxa"/>
            </w:tcMar>
            <w:vAlign w:val="center"/>
          </w:tcPr>
          <w:p w:rsidR="00700BDD" w:rsidRPr="00C35058" w:rsidRDefault="009956CB" w:rsidP="00B737CA">
            <w:pPr>
              <w:jc w:val="center"/>
              <w:rPr>
                <w:b/>
                <w:szCs w:val="20"/>
                <w:highlight w:val="yellow"/>
              </w:rPr>
            </w:pPr>
            <w:r w:rsidRPr="00286EFA">
              <w:rPr>
                <w:rFonts w:eastAsia="+mn-ea" w:cs="Arial"/>
                <w:color w:val="000000"/>
                <w:szCs w:val="20"/>
              </w:rPr>
              <w:pict>
                <v:shape id="_x0000_i1049" type="#_x0000_t75" style="width:331.5pt;height:216.75pt">
                  <v:imagedata r:id="rId42" o:title=""/>
                </v:shape>
              </w:pict>
            </w:r>
          </w:p>
        </w:tc>
      </w:tr>
      <w:tr w:rsidR="00700BDD" w:rsidTr="00057F4A">
        <w:trPr>
          <w:gridAfter w:val="3"/>
          <w:wAfter w:w="207" w:type="dxa"/>
          <w:trHeight w:val="1850"/>
        </w:trPr>
        <w:tc>
          <w:tcPr>
            <w:tcW w:w="2330" w:type="dxa"/>
            <w:gridSpan w:val="5"/>
            <w:tcMar>
              <w:left w:w="85" w:type="dxa"/>
              <w:right w:w="85" w:type="dxa"/>
            </w:tcMar>
          </w:tcPr>
          <w:p w:rsidR="00700BDD" w:rsidRPr="00C35058" w:rsidRDefault="00700BDD" w:rsidP="001E56D3">
            <w:pPr>
              <w:spacing w:before="60" w:after="60"/>
              <w:jc w:val="left"/>
              <w:rPr>
                <w:b/>
                <w:i/>
                <w:szCs w:val="20"/>
                <w:highlight w:val="yellow"/>
              </w:rPr>
            </w:pPr>
            <w:r w:rsidRPr="001E56D3">
              <w:rPr>
                <w:b/>
                <w:i/>
                <w:szCs w:val="20"/>
              </w:rPr>
              <w:t xml:space="preserve">Podíl nezaměstnaných s podporou se </w:t>
            </w:r>
            <w:r w:rsidR="001E56D3" w:rsidRPr="001E56D3">
              <w:rPr>
                <w:b/>
                <w:i/>
                <w:szCs w:val="20"/>
              </w:rPr>
              <w:t>zvýšil</w:t>
            </w:r>
          </w:p>
        </w:tc>
        <w:tc>
          <w:tcPr>
            <w:tcW w:w="7249" w:type="dxa"/>
            <w:gridSpan w:val="6"/>
          </w:tcPr>
          <w:p w:rsidR="00700BDD" w:rsidRPr="00C35058" w:rsidRDefault="001E56D3" w:rsidP="00C56CCA">
            <w:pPr>
              <w:spacing w:before="60" w:after="60"/>
              <w:rPr>
                <w:b/>
                <w:szCs w:val="20"/>
                <w:highlight w:val="yellow"/>
              </w:rPr>
            </w:pPr>
            <w:r w:rsidRPr="001E56D3">
              <w:rPr>
                <w:rFonts w:eastAsia="+mn-ea" w:cs="Arial"/>
                <w:color w:val="000000"/>
                <w:szCs w:val="20"/>
              </w:rPr>
              <w:t>Na konci roku 2014 byl počet registrovaných uchazečů o práci s nárokem na</w:t>
            </w:r>
            <w:r w:rsidR="001947E0">
              <w:rPr>
                <w:rFonts w:eastAsia="+mn-ea" w:cs="Arial"/>
                <w:color w:val="000000"/>
                <w:szCs w:val="20"/>
              </w:rPr>
              <w:t> </w:t>
            </w:r>
            <w:r w:rsidRPr="001E56D3">
              <w:rPr>
                <w:rFonts w:eastAsia="+mn-ea" w:cs="Arial"/>
                <w:color w:val="000000"/>
                <w:szCs w:val="20"/>
              </w:rPr>
              <w:t>podporu v nezaměstnanosti 7 037 a proti předchozímu srovnatelnému období došlo k nárůstu o 380 osob (o 5,7 %). Podíl nezaměstnaných s</w:t>
            </w:r>
            <w:r w:rsidR="001947E0">
              <w:rPr>
                <w:rFonts w:eastAsia="+mn-ea" w:cs="Arial"/>
                <w:color w:val="000000"/>
                <w:szCs w:val="20"/>
              </w:rPr>
              <w:t> </w:t>
            </w:r>
            <w:r w:rsidRPr="001E56D3">
              <w:rPr>
                <w:rFonts w:eastAsia="+mn-ea" w:cs="Arial"/>
                <w:color w:val="000000"/>
                <w:szCs w:val="20"/>
              </w:rPr>
              <w:t>podporou se tak zvýšil o 4,3 procentního bodu a činil 23,9 %. Celkem byla v</w:t>
            </w:r>
            <w:r w:rsidR="001947E0">
              <w:rPr>
                <w:rFonts w:eastAsia="+mn-ea" w:cs="Arial"/>
                <w:color w:val="000000"/>
                <w:szCs w:val="20"/>
              </w:rPr>
              <w:t> </w:t>
            </w:r>
            <w:r w:rsidRPr="001E56D3">
              <w:rPr>
                <w:rFonts w:eastAsia="+mn-ea" w:cs="Arial"/>
                <w:color w:val="000000"/>
                <w:szCs w:val="20"/>
              </w:rPr>
              <w:t>kraji ve sledovaném roce přiznána podpora 7 037 nezaměstnaným a</w:t>
            </w:r>
            <w:r w:rsidR="001947E0">
              <w:rPr>
                <w:rFonts w:eastAsia="+mn-ea" w:cs="Arial"/>
                <w:color w:val="000000"/>
                <w:szCs w:val="20"/>
              </w:rPr>
              <w:t> </w:t>
            </w:r>
            <w:r w:rsidRPr="001E56D3">
              <w:rPr>
                <w:rFonts w:eastAsia="+mn-ea" w:cs="Arial"/>
                <w:color w:val="000000"/>
                <w:szCs w:val="20"/>
              </w:rPr>
              <w:t>průměrná výše měsíční podpory v nezaměstnanosti činila 5 623 Kč, která byla o 416 Kč nižší než republikový průměr. V roce 2013 byla průměrná měsíční podpora v kraji 5 947 Kč, v republice 6 343 Kč.</w:t>
            </w:r>
          </w:p>
        </w:tc>
      </w:tr>
      <w:tr w:rsidR="00700BDD" w:rsidTr="00057F4A">
        <w:trPr>
          <w:gridAfter w:val="3"/>
          <w:wAfter w:w="207" w:type="dxa"/>
          <w:trHeight w:val="255"/>
        </w:trPr>
        <w:tc>
          <w:tcPr>
            <w:tcW w:w="2330" w:type="dxa"/>
            <w:gridSpan w:val="5"/>
            <w:tcMar>
              <w:left w:w="85" w:type="dxa"/>
              <w:right w:w="85" w:type="dxa"/>
            </w:tcMar>
          </w:tcPr>
          <w:p w:rsidR="00700BDD" w:rsidRPr="00C35058" w:rsidRDefault="001E56D3" w:rsidP="001E56D3">
            <w:pPr>
              <w:spacing w:before="60" w:after="60"/>
              <w:jc w:val="left"/>
              <w:rPr>
                <w:b/>
                <w:bCs/>
                <w:i/>
                <w:szCs w:val="20"/>
                <w:highlight w:val="yellow"/>
              </w:rPr>
            </w:pPr>
            <w:r w:rsidRPr="001E56D3">
              <w:rPr>
                <w:b/>
                <w:bCs/>
                <w:i/>
                <w:szCs w:val="20"/>
              </w:rPr>
              <w:t>Snížil se podíl nezaměstnaných žen v kraji na celkovém počtu nezaměstnaných žen v republice</w:t>
            </w:r>
          </w:p>
        </w:tc>
        <w:tc>
          <w:tcPr>
            <w:tcW w:w="7249" w:type="dxa"/>
            <w:gridSpan w:val="6"/>
          </w:tcPr>
          <w:p w:rsidR="001E56D3" w:rsidRPr="001E56D3" w:rsidRDefault="001E56D3" w:rsidP="001E56D3">
            <w:pPr>
              <w:spacing w:before="60" w:after="60"/>
              <w:rPr>
                <w:rFonts w:eastAsia="+mn-ea" w:cs="Arial"/>
                <w:color w:val="000000"/>
                <w:szCs w:val="20"/>
              </w:rPr>
            </w:pPr>
            <w:r w:rsidRPr="001E56D3">
              <w:rPr>
                <w:rFonts w:eastAsia="+mn-ea" w:cs="Arial"/>
                <w:color w:val="000000"/>
                <w:szCs w:val="20"/>
              </w:rPr>
              <w:t xml:space="preserve">Také podíl nezaměstnaných žen v kraji z celkového počtu registrovaných žadatelek o práci v republice k 31. 12. 2014 meziročně klesl o 0,2 </w:t>
            </w:r>
            <w:proofErr w:type="spellStart"/>
            <w:proofErr w:type="gramStart"/>
            <w:r w:rsidRPr="001E56D3">
              <w:rPr>
                <w:rFonts w:eastAsia="+mn-ea" w:cs="Arial"/>
                <w:color w:val="000000"/>
                <w:szCs w:val="20"/>
              </w:rPr>
              <w:t>p.b</w:t>
            </w:r>
            <w:proofErr w:type="spellEnd"/>
            <w:r w:rsidRPr="001E56D3">
              <w:rPr>
                <w:rFonts w:eastAsia="+mn-ea" w:cs="Arial"/>
                <w:color w:val="000000"/>
                <w:szCs w:val="20"/>
              </w:rPr>
              <w:t>. na</w:t>
            </w:r>
            <w:proofErr w:type="gramEnd"/>
            <w:r w:rsidRPr="001E56D3">
              <w:rPr>
                <w:rFonts w:eastAsia="+mn-ea" w:cs="Arial"/>
                <w:color w:val="000000"/>
                <w:szCs w:val="20"/>
              </w:rPr>
              <w:t xml:space="preserve"> 5,3 %. Celkový počet žadatelů o práci – žen dosáhl k tomuto datu v kraji celkem 14</w:t>
            </w:r>
            <w:r w:rsidR="001947E0">
              <w:rPr>
                <w:rFonts w:eastAsia="+mn-ea" w:cs="Arial"/>
                <w:color w:val="000000"/>
                <w:szCs w:val="20"/>
              </w:rPr>
              <w:t> </w:t>
            </w:r>
            <w:r w:rsidRPr="001E56D3">
              <w:rPr>
                <w:rFonts w:eastAsia="+mn-ea" w:cs="Arial"/>
                <w:color w:val="000000"/>
                <w:szCs w:val="20"/>
              </w:rPr>
              <w:t>266 osob. V kraji se podíl žadatelek z celkového počtu nezaměstnaných zvýšil a dosáhl na konci roku 2014 48,5 % (v roce 2013 46,8 %) a byl o 1,2 procentního bodu nižší než republikový průměr.</w:t>
            </w:r>
          </w:p>
          <w:p w:rsidR="00700BDD" w:rsidRPr="00C35058" w:rsidRDefault="001E56D3" w:rsidP="002A46C3">
            <w:pPr>
              <w:spacing w:before="60" w:after="60"/>
              <w:rPr>
                <w:b/>
                <w:bCs/>
                <w:szCs w:val="20"/>
                <w:highlight w:val="yellow"/>
              </w:rPr>
            </w:pPr>
            <w:r w:rsidRPr="001E56D3">
              <w:rPr>
                <w:rFonts w:eastAsia="+mn-ea" w:cs="Arial"/>
                <w:color w:val="000000"/>
                <w:szCs w:val="20"/>
              </w:rPr>
              <w:t>Počet nezaměstnaných žen s nárokem na podporu v nezaměstnanosti na konci roku 2014 činil 3 305 osob a meziročně se jejich počet zvýšil o 175 žen (o</w:t>
            </w:r>
            <w:r w:rsidR="002A46C3">
              <w:rPr>
                <w:rFonts w:eastAsia="+mn-ea" w:cs="Arial"/>
                <w:color w:val="000000"/>
                <w:szCs w:val="20"/>
              </w:rPr>
              <w:t> </w:t>
            </w:r>
            <w:r w:rsidRPr="001E56D3">
              <w:rPr>
                <w:rFonts w:eastAsia="+mn-ea" w:cs="Arial"/>
                <w:color w:val="000000"/>
                <w:szCs w:val="20"/>
              </w:rPr>
              <w:t>5,6</w:t>
            </w:r>
            <w:r w:rsidR="002A46C3">
              <w:rPr>
                <w:rFonts w:eastAsia="+mn-ea" w:cs="Arial"/>
                <w:color w:val="000000"/>
                <w:szCs w:val="20"/>
              </w:rPr>
              <w:t> </w:t>
            </w:r>
            <w:r w:rsidRPr="001E56D3">
              <w:rPr>
                <w:rFonts w:eastAsia="+mn-ea" w:cs="Arial"/>
                <w:color w:val="000000"/>
                <w:szCs w:val="20"/>
              </w:rPr>
              <w:t>%). Podíl uchazeček o práci s podporou z celkového počtu evidovaných nezaměstnaných žen na konci sledovaného období tak činil 23,2 % a proti předchozímu roku vzrostl o 3,5 procentního bodu. Průměrná měsíční výše podpory evidovaných nezaměstnaných žen v roce 2014 dosáhla ve Zlínském kraji 5 109 Kč a byla o 342 Kč nižší než průměr za celou republiku (v roce 2013 v kraji u žen měsíční podpora 5 420 Kč, v republice 5 775 Kč).</w:t>
            </w:r>
          </w:p>
        </w:tc>
      </w:tr>
      <w:tr w:rsidR="007A6729" w:rsidTr="00057F4A">
        <w:trPr>
          <w:gridAfter w:val="3"/>
          <w:wAfter w:w="207" w:type="dxa"/>
          <w:trHeight w:val="255"/>
        </w:trPr>
        <w:tc>
          <w:tcPr>
            <w:tcW w:w="2330" w:type="dxa"/>
            <w:gridSpan w:val="5"/>
            <w:tcMar>
              <w:left w:w="85" w:type="dxa"/>
              <w:right w:w="85" w:type="dxa"/>
            </w:tcMar>
          </w:tcPr>
          <w:p w:rsidR="007A6729" w:rsidRPr="00C35058" w:rsidRDefault="001E56D3" w:rsidP="001E56D3">
            <w:pPr>
              <w:spacing w:before="60" w:after="60"/>
              <w:jc w:val="left"/>
              <w:rPr>
                <w:b/>
                <w:i/>
                <w:szCs w:val="20"/>
                <w:highlight w:val="yellow"/>
              </w:rPr>
            </w:pPr>
            <w:r w:rsidRPr="001E56D3">
              <w:rPr>
                <w:b/>
                <w:i/>
                <w:szCs w:val="20"/>
              </w:rPr>
              <w:t>Počty uchazečů o</w:t>
            </w:r>
            <w:r w:rsidR="0057538F">
              <w:rPr>
                <w:b/>
                <w:i/>
                <w:szCs w:val="20"/>
              </w:rPr>
              <w:t> </w:t>
            </w:r>
            <w:r w:rsidRPr="001E56D3">
              <w:rPr>
                <w:b/>
                <w:i/>
                <w:szCs w:val="20"/>
              </w:rPr>
              <w:t>práci s délkou evidence do 3 měsíců vzrostly, také se zvýšily stavy uchazečů s dobou evidence nad 24 měsíců</w:t>
            </w:r>
          </w:p>
          <w:p w:rsidR="007A6729" w:rsidRPr="00C35058" w:rsidRDefault="007A6729" w:rsidP="007A6729">
            <w:pPr>
              <w:jc w:val="left"/>
              <w:rPr>
                <w:b/>
                <w:bCs/>
                <w:i/>
                <w:szCs w:val="20"/>
                <w:highlight w:val="yellow"/>
              </w:rPr>
            </w:pPr>
          </w:p>
        </w:tc>
        <w:tc>
          <w:tcPr>
            <w:tcW w:w="7249" w:type="dxa"/>
            <w:gridSpan w:val="6"/>
          </w:tcPr>
          <w:p w:rsidR="001E56D3" w:rsidRPr="001E56D3" w:rsidRDefault="001E56D3" w:rsidP="00C94D53">
            <w:pPr>
              <w:pStyle w:val="Normlnweb"/>
              <w:spacing w:before="60" w:beforeAutospacing="0" w:after="60" w:afterAutospacing="0"/>
              <w:jc w:val="both"/>
              <w:rPr>
                <w:rFonts w:ascii="Arial" w:eastAsia="+mn-ea" w:hAnsi="Arial" w:cs="Arial"/>
                <w:color w:val="000000"/>
                <w:sz w:val="20"/>
                <w:szCs w:val="20"/>
              </w:rPr>
            </w:pPr>
            <w:r w:rsidRPr="001E56D3">
              <w:rPr>
                <w:rFonts w:ascii="Arial" w:eastAsia="+mn-ea" w:hAnsi="Arial" w:cs="Arial"/>
                <w:color w:val="000000"/>
                <w:sz w:val="20"/>
                <w:szCs w:val="20"/>
              </w:rPr>
              <w:t>Z hlediska délky evidence na úřadu práce klesly v kraji meziročně výrazně počty i podíly uchazečů, kteří byli v evidenci nezaměstnaných od 12 do 24 měsíců (o</w:t>
            </w:r>
            <w:r w:rsidR="001947E0">
              <w:rPr>
                <w:rFonts w:ascii="Arial" w:eastAsia="+mn-ea" w:hAnsi="Arial" w:cs="Arial"/>
                <w:color w:val="000000"/>
                <w:sz w:val="20"/>
                <w:szCs w:val="20"/>
              </w:rPr>
              <w:t> </w:t>
            </w:r>
            <w:r w:rsidRPr="001E56D3">
              <w:rPr>
                <w:rFonts w:ascii="Arial" w:eastAsia="+mn-ea" w:hAnsi="Arial" w:cs="Arial"/>
                <w:color w:val="000000"/>
                <w:sz w:val="20"/>
                <w:szCs w:val="20"/>
              </w:rPr>
              <w:t xml:space="preserve">1 443 osob, tj. o 2,2 procentních bodů) a také od 3 do 6 měsíců (o 1 123 osob, tj. o 1,2 </w:t>
            </w:r>
            <w:proofErr w:type="spellStart"/>
            <w:proofErr w:type="gramStart"/>
            <w:r w:rsidRPr="001E56D3">
              <w:rPr>
                <w:rFonts w:ascii="Arial" w:eastAsia="+mn-ea" w:hAnsi="Arial" w:cs="Arial"/>
                <w:color w:val="000000"/>
                <w:sz w:val="20"/>
                <w:szCs w:val="20"/>
              </w:rPr>
              <w:t>p.b</w:t>
            </w:r>
            <w:proofErr w:type="spellEnd"/>
            <w:r w:rsidRPr="001E56D3">
              <w:rPr>
                <w:rFonts w:ascii="Arial" w:eastAsia="+mn-ea" w:hAnsi="Arial" w:cs="Arial"/>
                <w:color w:val="000000"/>
                <w:sz w:val="20"/>
                <w:szCs w:val="20"/>
              </w:rPr>
              <w:t>.).</w:t>
            </w:r>
            <w:proofErr w:type="gramEnd"/>
            <w:r w:rsidRPr="001E56D3">
              <w:rPr>
                <w:rFonts w:ascii="Arial" w:eastAsia="+mn-ea" w:hAnsi="Arial" w:cs="Arial"/>
                <w:color w:val="000000"/>
                <w:sz w:val="20"/>
                <w:szCs w:val="20"/>
              </w:rPr>
              <w:t xml:space="preserve"> Ve skupinách délky evidence od 6 do 9 měsíců a od 9 do 12 měsíců také poklesly jak počty osob, tak i jejich podíly z celkového počtu žadatelů o práci, a to o 558 osob, </w:t>
            </w:r>
            <w:proofErr w:type="spellStart"/>
            <w:r w:rsidRPr="001E56D3">
              <w:rPr>
                <w:rFonts w:ascii="Arial" w:eastAsia="+mn-ea" w:hAnsi="Arial" w:cs="Arial"/>
                <w:color w:val="000000"/>
                <w:sz w:val="20"/>
                <w:szCs w:val="20"/>
              </w:rPr>
              <w:t>tj</w:t>
            </w:r>
            <w:proofErr w:type="spellEnd"/>
            <w:r w:rsidRPr="001E56D3">
              <w:rPr>
                <w:rFonts w:ascii="Arial" w:eastAsia="+mn-ea" w:hAnsi="Arial" w:cs="Arial"/>
                <w:color w:val="000000"/>
                <w:sz w:val="20"/>
                <w:szCs w:val="20"/>
              </w:rPr>
              <w:t xml:space="preserve"> pokles podílu o 0,4 </w:t>
            </w:r>
            <w:proofErr w:type="spellStart"/>
            <w:proofErr w:type="gramStart"/>
            <w:r w:rsidRPr="001E56D3">
              <w:rPr>
                <w:rFonts w:ascii="Arial" w:eastAsia="+mn-ea" w:hAnsi="Arial" w:cs="Arial"/>
                <w:color w:val="000000"/>
                <w:sz w:val="20"/>
                <w:szCs w:val="20"/>
              </w:rPr>
              <w:t>p.b</w:t>
            </w:r>
            <w:proofErr w:type="spellEnd"/>
            <w:r w:rsidRPr="001E56D3">
              <w:rPr>
                <w:rFonts w:ascii="Arial" w:eastAsia="+mn-ea" w:hAnsi="Arial" w:cs="Arial"/>
                <w:color w:val="000000"/>
                <w:sz w:val="20"/>
                <w:szCs w:val="20"/>
              </w:rPr>
              <w:t xml:space="preserve"> u první</w:t>
            </w:r>
            <w:proofErr w:type="gramEnd"/>
            <w:r w:rsidRPr="001E56D3">
              <w:rPr>
                <w:rFonts w:ascii="Arial" w:eastAsia="+mn-ea" w:hAnsi="Arial" w:cs="Arial"/>
                <w:color w:val="000000"/>
                <w:sz w:val="20"/>
                <w:szCs w:val="20"/>
              </w:rPr>
              <w:t xml:space="preserve"> jmenované skupiny a o 856 osob, tj. o 1,6 </w:t>
            </w:r>
            <w:proofErr w:type="spellStart"/>
            <w:r w:rsidRPr="001E56D3">
              <w:rPr>
                <w:rFonts w:ascii="Arial" w:eastAsia="+mn-ea" w:hAnsi="Arial" w:cs="Arial"/>
                <w:color w:val="000000"/>
                <w:sz w:val="20"/>
                <w:szCs w:val="20"/>
              </w:rPr>
              <w:t>p.b</w:t>
            </w:r>
            <w:proofErr w:type="spellEnd"/>
            <w:r w:rsidRPr="001E56D3">
              <w:rPr>
                <w:rFonts w:ascii="Arial" w:eastAsia="+mn-ea" w:hAnsi="Arial" w:cs="Arial"/>
                <w:color w:val="000000"/>
                <w:sz w:val="20"/>
                <w:szCs w:val="20"/>
              </w:rPr>
              <w:t>. u skupiny druhé. Ve skupině s délkou evidence do 3 měsíců sice poklesl počet uchazečů o 851 osob, ale jejich podíl z</w:t>
            </w:r>
            <w:r w:rsidR="00A165A1">
              <w:rPr>
                <w:rFonts w:ascii="Arial" w:eastAsia="+mn-ea" w:hAnsi="Arial" w:cs="Arial"/>
                <w:color w:val="000000"/>
                <w:sz w:val="20"/>
                <w:szCs w:val="20"/>
              </w:rPr>
              <w:t> </w:t>
            </w:r>
            <w:r w:rsidRPr="001E56D3">
              <w:rPr>
                <w:rFonts w:ascii="Arial" w:eastAsia="+mn-ea" w:hAnsi="Arial" w:cs="Arial"/>
                <w:color w:val="000000"/>
                <w:sz w:val="20"/>
                <w:szCs w:val="20"/>
              </w:rPr>
              <w:t xml:space="preserve">celkového počtu nezaměstnaných meziročně vzrostl o 1,2 </w:t>
            </w:r>
            <w:proofErr w:type="spellStart"/>
            <w:proofErr w:type="gramStart"/>
            <w:r w:rsidRPr="001E56D3">
              <w:rPr>
                <w:rFonts w:ascii="Arial" w:eastAsia="+mn-ea" w:hAnsi="Arial" w:cs="Arial"/>
                <w:color w:val="000000"/>
                <w:sz w:val="20"/>
                <w:szCs w:val="20"/>
              </w:rPr>
              <w:t>p.b</w:t>
            </w:r>
            <w:proofErr w:type="spellEnd"/>
            <w:r w:rsidRPr="001E56D3">
              <w:rPr>
                <w:rFonts w:ascii="Arial" w:eastAsia="+mn-ea" w:hAnsi="Arial" w:cs="Arial"/>
                <w:color w:val="000000"/>
                <w:sz w:val="20"/>
                <w:szCs w:val="20"/>
              </w:rPr>
              <w:t>. na</w:t>
            </w:r>
            <w:proofErr w:type="gramEnd"/>
            <w:r w:rsidRPr="001E56D3">
              <w:rPr>
                <w:rFonts w:ascii="Arial" w:eastAsia="+mn-ea" w:hAnsi="Arial" w:cs="Arial"/>
                <w:color w:val="000000"/>
                <w:sz w:val="20"/>
                <w:szCs w:val="20"/>
              </w:rPr>
              <w:t xml:space="preserve"> 28,1 %. Ve</w:t>
            </w:r>
            <w:r w:rsidR="00A165A1">
              <w:rPr>
                <w:rFonts w:ascii="Arial" w:eastAsia="+mn-ea" w:hAnsi="Arial" w:cs="Arial"/>
                <w:color w:val="000000"/>
                <w:sz w:val="20"/>
                <w:szCs w:val="20"/>
              </w:rPr>
              <w:t> </w:t>
            </w:r>
            <w:r w:rsidRPr="001E56D3">
              <w:rPr>
                <w:rFonts w:ascii="Arial" w:eastAsia="+mn-ea" w:hAnsi="Arial" w:cs="Arial"/>
                <w:color w:val="000000"/>
                <w:sz w:val="20"/>
                <w:szCs w:val="20"/>
              </w:rPr>
              <w:t xml:space="preserve">skupině nad 24 měsíce trvající nezaměstnanosti se počet uchazečů zvýšil jak početně (o 292 osob), tak procentuálně (o 4,2 </w:t>
            </w:r>
            <w:proofErr w:type="spellStart"/>
            <w:proofErr w:type="gramStart"/>
            <w:r w:rsidRPr="001E56D3">
              <w:rPr>
                <w:rFonts w:ascii="Arial" w:eastAsia="+mn-ea" w:hAnsi="Arial" w:cs="Arial"/>
                <w:color w:val="000000"/>
                <w:sz w:val="20"/>
                <w:szCs w:val="20"/>
              </w:rPr>
              <w:t>p.b</w:t>
            </w:r>
            <w:proofErr w:type="spellEnd"/>
            <w:r w:rsidRPr="001E56D3">
              <w:rPr>
                <w:rFonts w:ascii="Arial" w:eastAsia="+mn-ea" w:hAnsi="Arial" w:cs="Arial"/>
                <w:color w:val="000000"/>
                <w:sz w:val="20"/>
                <w:szCs w:val="20"/>
              </w:rPr>
              <w:t>. na</w:t>
            </w:r>
            <w:proofErr w:type="gramEnd"/>
            <w:r w:rsidRPr="001E56D3">
              <w:rPr>
                <w:rFonts w:ascii="Arial" w:eastAsia="+mn-ea" w:hAnsi="Arial" w:cs="Arial"/>
                <w:color w:val="000000"/>
                <w:sz w:val="20"/>
                <w:szCs w:val="20"/>
              </w:rPr>
              <w:t xml:space="preserve"> 25,1 %). </w:t>
            </w:r>
          </w:p>
          <w:p w:rsidR="007A6729" w:rsidRPr="00C35058" w:rsidRDefault="001E56D3" w:rsidP="00A165A1">
            <w:pPr>
              <w:pStyle w:val="Normlnweb"/>
              <w:spacing w:before="60" w:beforeAutospacing="0" w:after="60" w:afterAutospacing="0"/>
              <w:jc w:val="both"/>
              <w:rPr>
                <w:b/>
                <w:bCs/>
                <w:szCs w:val="20"/>
                <w:highlight w:val="yellow"/>
              </w:rPr>
            </w:pPr>
            <w:r w:rsidRPr="001E56D3">
              <w:rPr>
                <w:rFonts w:ascii="Arial" w:eastAsia="+mn-ea" w:hAnsi="Arial" w:cs="Arial"/>
                <w:color w:val="000000"/>
                <w:sz w:val="20"/>
                <w:szCs w:val="20"/>
              </w:rPr>
              <w:t>O 61 dnů se v kraji prodloužila průměrná délka evidence na 604 dnů. Také v</w:t>
            </w:r>
            <w:r w:rsidR="00A165A1">
              <w:rPr>
                <w:rFonts w:ascii="Arial" w:eastAsia="+mn-ea" w:hAnsi="Arial" w:cs="Arial"/>
                <w:color w:val="000000"/>
                <w:sz w:val="20"/>
                <w:szCs w:val="20"/>
              </w:rPr>
              <w:t> </w:t>
            </w:r>
            <w:r w:rsidRPr="001E56D3">
              <w:rPr>
                <w:rFonts w:ascii="Arial" w:eastAsia="+mn-ea" w:hAnsi="Arial" w:cs="Arial"/>
                <w:color w:val="000000"/>
                <w:sz w:val="20"/>
                <w:szCs w:val="20"/>
              </w:rPr>
              <w:t>celé republice byl zjištěn meziroční nárůst o 75 dnů na 639 dnů.</w:t>
            </w:r>
          </w:p>
        </w:tc>
      </w:tr>
      <w:tr w:rsidR="00700BDD" w:rsidTr="00057F4A">
        <w:trPr>
          <w:gridAfter w:val="3"/>
          <w:wAfter w:w="207" w:type="dxa"/>
          <w:trHeight w:val="255"/>
        </w:trPr>
        <w:tc>
          <w:tcPr>
            <w:tcW w:w="9579" w:type="dxa"/>
            <w:gridSpan w:val="11"/>
            <w:tcMar>
              <w:left w:w="85" w:type="dxa"/>
              <w:right w:w="85" w:type="dxa"/>
            </w:tcMar>
          </w:tcPr>
          <w:p w:rsidR="00700BDD" w:rsidRPr="00C35058" w:rsidRDefault="00C153AC" w:rsidP="00BD18F7">
            <w:pPr>
              <w:spacing w:before="60" w:after="60"/>
              <w:rPr>
                <w:b/>
                <w:bCs/>
                <w:szCs w:val="20"/>
                <w:highlight w:val="yellow"/>
              </w:rPr>
            </w:pPr>
            <w:r w:rsidRPr="00C153AC">
              <w:rPr>
                <w:b/>
                <w:bCs/>
                <w:szCs w:val="20"/>
              </w:rPr>
              <w:lastRenderedPageBreak/>
              <w:t xml:space="preserve">Graf </w:t>
            </w:r>
            <w:r w:rsidR="00BD18F7">
              <w:rPr>
                <w:b/>
                <w:bCs/>
                <w:szCs w:val="20"/>
              </w:rPr>
              <w:t>2.8</w:t>
            </w:r>
            <w:r w:rsidRPr="00C153AC">
              <w:rPr>
                <w:b/>
                <w:bCs/>
                <w:szCs w:val="20"/>
              </w:rPr>
              <w:t xml:space="preserve"> Uchazeči o zaměstnání a žadatelé s nárokem na podporu v nezaměstnanosti ve Zlínském kraji, podíl uchazečů s podporou podle pohlaví (k 31. 12.)</w:t>
            </w:r>
          </w:p>
        </w:tc>
      </w:tr>
      <w:tr w:rsidR="00700BDD" w:rsidTr="00057F4A">
        <w:trPr>
          <w:gridAfter w:val="3"/>
          <w:wAfter w:w="207" w:type="dxa"/>
          <w:trHeight w:val="4044"/>
        </w:trPr>
        <w:tc>
          <w:tcPr>
            <w:tcW w:w="9579" w:type="dxa"/>
            <w:gridSpan w:val="11"/>
            <w:tcMar>
              <w:left w:w="85" w:type="dxa"/>
              <w:right w:w="85" w:type="dxa"/>
            </w:tcMar>
            <w:vAlign w:val="center"/>
          </w:tcPr>
          <w:p w:rsidR="00700BDD" w:rsidRPr="00C35058" w:rsidRDefault="009956CB" w:rsidP="00C153AC">
            <w:pPr>
              <w:spacing w:after="120"/>
              <w:jc w:val="center"/>
              <w:rPr>
                <w:szCs w:val="20"/>
                <w:highlight w:val="yellow"/>
              </w:rPr>
            </w:pPr>
            <w:r w:rsidRPr="00286EFA">
              <w:rPr>
                <w:szCs w:val="20"/>
              </w:rPr>
              <w:pict>
                <v:shape id="_x0000_i1050" type="#_x0000_t75" style="width:482.25pt;height:205.5pt">
                  <v:imagedata r:id="rId43" o:title=""/>
                </v:shape>
              </w:pict>
            </w:r>
          </w:p>
        </w:tc>
      </w:tr>
      <w:tr w:rsidR="007A6729" w:rsidTr="00057F4A">
        <w:trPr>
          <w:gridAfter w:val="3"/>
          <w:wAfter w:w="207" w:type="dxa"/>
        </w:trPr>
        <w:tc>
          <w:tcPr>
            <w:tcW w:w="9579" w:type="dxa"/>
            <w:gridSpan w:val="11"/>
            <w:tcMar>
              <w:left w:w="85" w:type="dxa"/>
              <w:right w:w="85" w:type="dxa"/>
            </w:tcMar>
          </w:tcPr>
          <w:p w:rsidR="007A6729" w:rsidRPr="00C35058" w:rsidRDefault="007A6729" w:rsidP="007A6729">
            <w:pPr>
              <w:pStyle w:val="Normlnweb"/>
              <w:spacing w:before="0" w:beforeAutospacing="0" w:after="0" w:afterAutospacing="0"/>
              <w:jc w:val="both"/>
              <w:rPr>
                <w:rFonts w:ascii="Arial" w:eastAsia="+mn-ea" w:hAnsi="Arial" w:cs="Arial"/>
                <w:color w:val="000000"/>
                <w:sz w:val="20"/>
                <w:szCs w:val="20"/>
                <w:highlight w:val="yellow"/>
              </w:rPr>
            </w:pPr>
          </w:p>
          <w:p w:rsidR="007A6729" w:rsidRPr="00C35058" w:rsidRDefault="007A6729" w:rsidP="007A6729">
            <w:pPr>
              <w:pStyle w:val="Normlnweb"/>
              <w:spacing w:before="0" w:beforeAutospacing="0" w:after="0" w:afterAutospacing="0"/>
              <w:jc w:val="both"/>
              <w:rPr>
                <w:rFonts w:ascii="Arial" w:eastAsia="+mn-ea" w:hAnsi="Arial" w:cs="Arial"/>
                <w:color w:val="000000"/>
                <w:sz w:val="20"/>
                <w:szCs w:val="20"/>
                <w:highlight w:val="yellow"/>
              </w:rPr>
            </w:pPr>
          </w:p>
        </w:tc>
      </w:tr>
      <w:tr w:rsidR="00700BDD" w:rsidTr="00057F4A">
        <w:trPr>
          <w:gridAfter w:val="3"/>
          <w:wAfter w:w="207" w:type="dxa"/>
          <w:trHeight w:val="286"/>
        </w:trPr>
        <w:tc>
          <w:tcPr>
            <w:tcW w:w="2330" w:type="dxa"/>
            <w:gridSpan w:val="5"/>
            <w:tcMar>
              <w:left w:w="85" w:type="dxa"/>
              <w:right w:w="85" w:type="dxa"/>
            </w:tcMar>
          </w:tcPr>
          <w:p w:rsidR="00700BDD" w:rsidRPr="00C35058" w:rsidRDefault="00273420" w:rsidP="00273420">
            <w:pPr>
              <w:spacing w:before="60" w:after="60"/>
              <w:jc w:val="left"/>
              <w:rPr>
                <w:b/>
                <w:i/>
                <w:szCs w:val="20"/>
                <w:highlight w:val="yellow"/>
              </w:rPr>
            </w:pPr>
            <w:r w:rsidRPr="00273420">
              <w:rPr>
                <w:b/>
                <w:i/>
                <w:szCs w:val="20"/>
              </w:rPr>
              <w:t>Mezi uchazeči o práci převládaly osoby ve věku od 50 a více let</w:t>
            </w:r>
          </w:p>
        </w:tc>
        <w:tc>
          <w:tcPr>
            <w:tcW w:w="7249" w:type="dxa"/>
            <w:gridSpan w:val="6"/>
            <w:tcMar>
              <w:left w:w="85" w:type="dxa"/>
              <w:right w:w="85" w:type="dxa"/>
            </w:tcMar>
            <w:vAlign w:val="center"/>
          </w:tcPr>
          <w:p w:rsidR="00273420" w:rsidRPr="00273420" w:rsidRDefault="00273420" w:rsidP="00273420">
            <w:pPr>
              <w:pStyle w:val="Normlnweb"/>
              <w:spacing w:before="60" w:beforeAutospacing="0" w:after="60" w:afterAutospacing="0"/>
              <w:jc w:val="both"/>
              <w:rPr>
                <w:rFonts w:ascii="Arial" w:eastAsia="+mn-ea" w:hAnsi="Arial" w:cs="Arial"/>
                <w:color w:val="000000"/>
                <w:sz w:val="20"/>
                <w:szCs w:val="20"/>
              </w:rPr>
            </w:pPr>
            <w:r w:rsidRPr="00273420">
              <w:rPr>
                <w:rFonts w:ascii="Arial" w:eastAsia="+mn-ea" w:hAnsi="Arial" w:cs="Arial"/>
                <w:color w:val="000000"/>
                <w:sz w:val="20"/>
                <w:szCs w:val="20"/>
              </w:rPr>
              <w:t>V členění evidovaných uchazečů o zaměstnání podle věkový</w:t>
            </w:r>
            <w:r w:rsidR="00FE29FE">
              <w:rPr>
                <w:rFonts w:ascii="Arial" w:eastAsia="+mn-ea" w:hAnsi="Arial" w:cs="Arial"/>
                <w:color w:val="000000"/>
                <w:sz w:val="20"/>
                <w:szCs w:val="20"/>
              </w:rPr>
              <w:t>ch</w:t>
            </w:r>
            <w:r w:rsidRPr="00273420">
              <w:rPr>
                <w:rFonts w:ascii="Arial" w:eastAsia="+mn-ea" w:hAnsi="Arial" w:cs="Arial"/>
                <w:color w:val="000000"/>
                <w:sz w:val="20"/>
                <w:szCs w:val="20"/>
              </w:rPr>
              <w:t xml:space="preserve"> skupin došlo také ke změnám. Pouze v jedné věkové skupině, a to od 60 do 64 let, došlo ke</w:t>
            </w:r>
            <w:r w:rsidR="001947E0">
              <w:rPr>
                <w:rFonts w:ascii="Arial" w:eastAsia="+mn-ea" w:hAnsi="Arial" w:cs="Arial"/>
                <w:color w:val="000000"/>
                <w:sz w:val="20"/>
                <w:szCs w:val="20"/>
              </w:rPr>
              <w:t> </w:t>
            </w:r>
            <w:r w:rsidRPr="00273420">
              <w:rPr>
                <w:rFonts w:ascii="Arial" w:eastAsia="+mn-ea" w:hAnsi="Arial" w:cs="Arial"/>
                <w:color w:val="000000"/>
                <w:sz w:val="20"/>
                <w:szCs w:val="20"/>
              </w:rPr>
              <w:t>zvýšení počtu žadatelů o práci, a to o 164 osob. V ostatních skupinách došlo k poklesu počtu uchazečů. Nejvýraznější snížení 1 201 osob bylo zachyceno u</w:t>
            </w:r>
            <w:r w:rsidR="001947E0">
              <w:rPr>
                <w:rFonts w:ascii="Arial" w:eastAsia="+mn-ea" w:hAnsi="Arial" w:cs="Arial"/>
                <w:color w:val="000000"/>
                <w:sz w:val="20"/>
                <w:szCs w:val="20"/>
              </w:rPr>
              <w:t> </w:t>
            </w:r>
            <w:r w:rsidRPr="00273420">
              <w:rPr>
                <w:rFonts w:ascii="Arial" w:eastAsia="+mn-ea" w:hAnsi="Arial" w:cs="Arial"/>
                <w:color w:val="000000"/>
                <w:sz w:val="20"/>
                <w:szCs w:val="20"/>
              </w:rPr>
              <w:t>věkové skupiny od 20 do 24 let. Dále pak u skupiny od 25 do 29 let (snížení o</w:t>
            </w:r>
            <w:r w:rsidR="001947E0">
              <w:rPr>
                <w:rFonts w:ascii="Arial" w:eastAsia="+mn-ea" w:hAnsi="Arial" w:cs="Arial"/>
                <w:color w:val="000000"/>
                <w:sz w:val="20"/>
                <w:szCs w:val="20"/>
              </w:rPr>
              <w:t> </w:t>
            </w:r>
            <w:r w:rsidRPr="00273420">
              <w:rPr>
                <w:rFonts w:ascii="Arial" w:eastAsia="+mn-ea" w:hAnsi="Arial" w:cs="Arial"/>
                <w:color w:val="000000"/>
                <w:sz w:val="20"/>
                <w:szCs w:val="20"/>
              </w:rPr>
              <w:t xml:space="preserve">690 osob), u skupiny 30 až 34 let (pokles o 592 osob), u skupiny 35 až 39 let (o 532) a 45 až 49 let (o 457 osob). </w:t>
            </w:r>
          </w:p>
          <w:p w:rsidR="00273420" w:rsidRPr="00273420" w:rsidRDefault="00273420" w:rsidP="00273420">
            <w:pPr>
              <w:pStyle w:val="Normlnweb"/>
              <w:spacing w:before="60" w:beforeAutospacing="0" w:after="60" w:afterAutospacing="0"/>
              <w:jc w:val="both"/>
              <w:rPr>
                <w:rFonts w:ascii="Arial" w:eastAsia="+mn-ea" w:hAnsi="Arial" w:cs="Arial"/>
                <w:color w:val="000000"/>
                <w:sz w:val="20"/>
                <w:szCs w:val="20"/>
              </w:rPr>
            </w:pPr>
            <w:r w:rsidRPr="00273420">
              <w:rPr>
                <w:rFonts w:ascii="Arial" w:eastAsia="+mn-ea" w:hAnsi="Arial" w:cs="Arial"/>
                <w:color w:val="000000"/>
                <w:sz w:val="20"/>
                <w:szCs w:val="20"/>
              </w:rPr>
              <w:t xml:space="preserve">Nejvíce uchazečů o práci evidovaných úřady práce ve Zlínském kraji na konci roku 2014 bylo ve </w:t>
            </w:r>
            <w:proofErr w:type="gramStart"/>
            <w:r w:rsidRPr="00273420">
              <w:rPr>
                <w:rFonts w:ascii="Arial" w:eastAsia="+mn-ea" w:hAnsi="Arial" w:cs="Arial"/>
                <w:color w:val="000000"/>
                <w:sz w:val="20"/>
                <w:szCs w:val="20"/>
              </w:rPr>
              <w:t>věku  55</w:t>
            </w:r>
            <w:proofErr w:type="gramEnd"/>
            <w:r w:rsidRPr="00273420">
              <w:rPr>
                <w:rFonts w:ascii="Arial" w:eastAsia="+mn-ea" w:hAnsi="Arial" w:cs="Arial"/>
                <w:color w:val="000000"/>
                <w:sz w:val="20"/>
                <w:szCs w:val="20"/>
              </w:rPr>
              <w:t xml:space="preserve"> až 59 let (4 276 osob), dále ve věku od 35 do 39 let (3 652), od 50 do 54 let 3 572 osob, od 20 do 24 let (3 399) a ve skupině od 40 do 44 let bylo zaevidováno celkem 3 311 uchazečů.</w:t>
            </w:r>
          </w:p>
          <w:p w:rsidR="00273420" w:rsidRPr="00273420" w:rsidRDefault="00273420" w:rsidP="00273420">
            <w:pPr>
              <w:pStyle w:val="Normlnweb"/>
              <w:spacing w:before="60" w:beforeAutospacing="0" w:after="60" w:afterAutospacing="0"/>
              <w:jc w:val="both"/>
              <w:rPr>
                <w:rFonts w:ascii="Arial" w:eastAsia="+mn-ea" w:hAnsi="Arial" w:cs="Arial"/>
                <w:color w:val="000000"/>
                <w:sz w:val="20"/>
                <w:szCs w:val="20"/>
              </w:rPr>
            </w:pPr>
            <w:r w:rsidRPr="00273420">
              <w:rPr>
                <w:rFonts w:ascii="Arial" w:eastAsia="+mn-ea" w:hAnsi="Arial" w:cs="Arial"/>
                <w:color w:val="000000"/>
                <w:sz w:val="20"/>
                <w:szCs w:val="20"/>
              </w:rPr>
              <w:t xml:space="preserve">V pohledu na podíly jednotlivých věkových skupin z celkového počtu nezaměstnaných uchazečů v letech 2013 a 2014 je zřejmé, že se nejvíce zvětšil podíl 55 až 59letrých osob (o 1,1 </w:t>
            </w:r>
            <w:proofErr w:type="spellStart"/>
            <w:proofErr w:type="gram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w:t>
            </w:r>
            <w:r w:rsidR="0060371E">
              <w:rPr>
                <w:rFonts w:ascii="Arial" w:eastAsia="+mn-ea" w:hAnsi="Arial" w:cs="Arial"/>
                <w:color w:val="000000"/>
                <w:sz w:val="20"/>
                <w:szCs w:val="20"/>
              </w:rPr>
              <w:t xml:space="preserve"> </w:t>
            </w:r>
            <w:r w:rsidRPr="00273420">
              <w:rPr>
                <w:rFonts w:ascii="Arial" w:eastAsia="+mn-ea" w:hAnsi="Arial" w:cs="Arial"/>
                <w:color w:val="000000"/>
                <w:sz w:val="20"/>
                <w:szCs w:val="20"/>
              </w:rPr>
              <w:t>a 60</w:t>
            </w:r>
            <w:proofErr w:type="gramEnd"/>
            <w:r w:rsidRPr="00273420">
              <w:rPr>
                <w:rFonts w:ascii="Arial" w:eastAsia="+mn-ea" w:hAnsi="Arial" w:cs="Arial"/>
                <w:color w:val="000000"/>
                <w:sz w:val="20"/>
                <w:szCs w:val="20"/>
              </w:rPr>
              <w:t xml:space="preserve"> až 64letých (o 1,1 </w:t>
            </w:r>
            <w:proofErr w:type="spell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 a</w:t>
            </w:r>
            <w:r w:rsidR="001947E0">
              <w:rPr>
                <w:rFonts w:ascii="Arial" w:eastAsia="+mn-ea" w:hAnsi="Arial" w:cs="Arial"/>
                <w:color w:val="000000"/>
                <w:sz w:val="20"/>
                <w:szCs w:val="20"/>
              </w:rPr>
              <w:t> </w:t>
            </w:r>
            <w:r w:rsidRPr="00273420">
              <w:rPr>
                <w:rFonts w:ascii="Arial" w:eastAsia="+mn-ea" w:hAnsi="Arial" w:cs="Arial"/>
                <w:color w:val="000000"/>
                <w:sz w:val="20"/>
                <w:szCs w:val="20"/>
              </w:rPr>
              <w:t xml:space="preserve">dále pak ve skupinách 40 až 44letých osob (o 0,6 </w:t>
            </w:r>
            <w:proofErr w:type="spell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 a 50 až 54letých (o</w:t>
            </w:r>
            <w:r w:rsidR="005C6491">
              <w:rPr>
                <w:rFonts w:ascii="Arial" w:eastAsia="+mn-ea" w:hAnsi="Arial" w:cs="Arial"/>
                <w:color w:val="000000"/>
                <w:sz w:val="20"/>
                <w:szCs w:val="20"/>
              </w:rPr>
              <w:t> </w:t>
            </w:r>
            <w:r w:rsidRPr="00273420">
              <w:rPr>
                <w:rFonts w:ascii="Arial" w:eastAsia="+mn-ea" w:hAnsi="Arial" w:cs="Arial"/>
                <w:color w:val="000000"/>
                <w:sz w:val="20"/>
                <w:szCs w:val="20"/>
              </w:rPr>
              <w:t xml:space="preserve">0,6 </w:t>
            </w:r>
            <w:proofErr w:type="spell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 Naopak nejvíce se snížil podíl žadatelů o práci ve věku od 20 do 24 let (o</w:t>
            </w:r>
            <w:r w:rsidR="001947E0">
              <w:rPr>
                <w:rFonts w:ascii="Arial" w:eastAsia="+mn-ea" w:hAnsi="Arial" w:cs="Arial"/>
                <w:color w:val="000000"/>
                <w:sz w:val="20"/>
                <w:szCs w:val="20"/>
              </w:rPr>
              <w:t> </w:t>
            </w:r>
            <w:r w:rsidR="0060371E">
              <w:rPr>
                <w:rFonts w:ascii="Arial" w:eastAsia="+mn-ea" w:hAnsi="Arial" w:cs="Arial"/>
                <w:color w:val="000000"/>
                <w:sz w:val="20"/>
                <w:szCs w:val="20"/>
              </w:rPr>
              <w:t xml:space="preserve">2,0 </w:t>
            </w:r>
            <w:proofErr w:type="spellStart"/>
            <w:proofErr w:type="gramStart"/>
            <w:r w:rsidR="0060371E">
              <w:rPr>
                <w:rFonts w:ascii="Arial" w:eastAsia="+mn-ea" w:hAnsi="Arial" w:cs="Arial"/>
                <w:color w:val="000000"/>
                <w:sz w:val="20"/>
                <w:szCs w:val="20"/>
              </w:rPr>
              <w:t>p.b</w:t>
            </w:r>
            <w:proofErr w:type="spellEnd"/>
            <w:r w:rsidR="0060371E">
              <w:rPr>
                <w:rFonts w:ascii="Arial" w:eastAsia="+mn-ea" w:hAnsi="Arial" w:cs="Arial"/>
                <w:color w:val="000000"/>
                <w:sz w:val="20"/>
                <w:szCs w:val="20"/>
              </w:rPr>
              <w:t xml:space="preserve">.) </w:t>
            </w:r>
            <w:r w:rsidRPr="00273420">
              <w:rPr>
                <w:rFonts w:ascii="Arial" w:eastAsia="+mn-ea" w:hAnsi="Arial" w:cs="Arial"/>
                <w:color w:val="000000"/>
                <w:sz w:val="20"/>
                <w:szCs w:val="20"/>
              </w:rPr>
              <w:t>a od</w:t>
            </w:r>
            <w:proofErr w:type="gramEnd"/>
            <w:r w:rsidRPr="00273420">
              <w:rPr>
                <w:rFonts w:ascii="Arial" w:eastAsia="+mn-ea" w:hAnsi="Arial" w:cs="Arial"/>
                <w:color w:val="000000"/>
                <w:sz w:val="20"/>
                <w:szCs w:val="20"/>
              </w:rPr>
              <w:t xml:space="preserve"> 25 do 29 let (o 0,6 </w:t>
            </w:r>
            <w:proofErr w:type="spell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 xml:space="preserve">.), do 19 let věku (o 0,5 </w:t>
            </w:r>
            <w:proofErr w:type="spell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 xml:space="preserve">.) a o 0,4 </w:t>
            </w:r>
            <w:proofErr w:type="spell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 poklesl podíl osob ve věku 30 až 34 let a také ve</w:t>
            </w:r>
            <w:r w:rsidR="001947E0">
              <w:rPr>
                <w:rFonts w:ascii="Arial" w:eastAsia="+mn-ea" w:hAnsi="Arial" w:cs="Arial"/>
                <w:color w:val="000000"/>
                <w:sz w:val="20"/>
                <w:szCs w:val="20"/>
              </w:rPr>
              <w:t> </w:t>
            </w:r>
            <w:r w:rsidRPr="00273420">
              <w:rPr>
                <w:rFonts w:ascii="Arial" w:eastAsia="+mn-ea" w:hAnsi="Arial" w:cs="Arial"/>
                <w:color w:val="000000"/>
                <w:sz w:val="20"/>
                <w:szCs w:val="20"/>
              </w:rPr>
              <w:t>skupině 45 až 49 let (o</w:t>
            </w:r>
            <w:r w:rsidR="0060371E">
              <w:rPr>
                <w:rFonts w:ascii="Arial" w:eastAsia="+mn-ea" w:hAnsi="Arial" w:cs="Arial"/>
                <w:color w:val="000000"/>
                <w:sz w:val="20"/>
                <w:szCs w:val="20"/>
              </w:rPr>
              <w:t> </w:t>
            </w:r>
            <w:r w:rsidRPr="00273420">
              <w:rPr>
                <w:rFonts w:ascii="Arial" w:eastAsia="+mn-ea" w:hAnsi="Arial" w:cs="Arial"/>
                <w:color w:val="000000"/>
                <w:sz w:val="20"/>
                <w:szCs w:val="20"/>
              </w:rPr>
              <w:t xml:space="preserve">0,1 </w:t>
            </w:r>
            <w:proofErr w:type="spellStart"/>
            <w:r w:rsidRPr="00273420">
              <w:rPr>
                <w:rFonts w:ascii="Arial" w:eastAsia="+mn-ea" w:hAnsi="Arial" w:cs="Arial"/>
                <w:color w:val="000000"/>
                <w:sz w:val="20"/>
                <w:szCs w:val="20"/>
              </w:rPr>
              <w:t>p.b</w:t>
            </w:r>
            <w:proofErr w:type="spellEnd"/>
            <w:r w:rsidRPr="00273420">
              <w:rPr>
                <w:rFonts w:ascii="Arial" w:eastAsia="+mn-ea" w:hAnsi="Arial" w:cs="Arial"/>
                <w:color w:val="000000"/>
                <w:sz w:val="20"/>
                <w:szCs w:val="20"/>
              </w:rPr>
              <w:t>.).</w:t>
            </w:r>
          </w:p>
          <w:p w:rsidR="00700BDD" w:rsidRPr="00C35058" w:rsidRDefault="00273420" w:rsidP="001947E0">
            <w:pPr>
              <w:pStyle w:val="Normlnweb"/>
              <w:spacing w:before="60" w:beforeAutospacing="0" w:after="60" w:afterAutospacing="0"/>
              <w:jc w:val="both"/>
              <w:rPr>
                <w:rFonts w:ascii="Arial" w:eastAsia="+mn-ea" w:hAnsi="Arial" w:cs="Arial"/>
                <w:color w:val="000000"/>
                <w:sz w:val="20"/>
                <w:szCs w:val="20"/>
                <w:highlight w:val="yellow"/>
              </w:rPr>
            </w:pPr>
            <w:r w:rsidRPr="00273420">
              <w:rPr>
                <w:rFonts w:ascii="Arial" w:eastAsia="+mn-ea" w:hAnsi="Arial" w:cs="Arial"/>
                <w:color w:val="000000"/>
                <w:sz w:val="20"/>
                <w:szCs w:val="20"/>
              </w:rPr>
              <w:t>Průměrný věk žadatelů o práci registrovaných úřady práce ve Zlínském kraji vzrostl z 39,6 let na konci roku 2013 na 41,1 let na konci sledovaného roku. Také v celé České republice se průměrný věk nezaměstnaných zvýšil a to z</w:t>
            </w:r>
            <w:r w:rsidR="001947E0">
              <w:rPr>
                <w:rFonts w:ascii="Arial" w:eastAsia="+mn-ea" w:hAnsi="Arial" w:cs="Arial"/>
                <w:color w:val="000000"/>
                <w:sz w:val="20"/>
                <w:szCs w:val="20"/>
              </w:rPr>
              <w:t> </w:t>
            </w:r>
            <w:r w:rsidRPr="00273420">
              <w:rPr>
                <w:rFonts w:ascii="Arial" w:eastAsia="+mn-ea" w:hAnsi="Arial" w:cs="Arial"/>
                <w:color w:val="000000"/>
                <w:sz w:val="20"/>
                <w:szCs w:val="20"/>
              </w:rPr>
              <w:t>39,4 v roce 2013 na 40,6 let v roce 2014.</w:t>
            </w:r>
          </w:p>
        </w:tc>
      </w:tr>
      <w:tr w:rsidR="007A6729" w:rsidTr="00057F4A">
        <w:trPr>
          <w:gridAfter w:val="3"/>
          <w:wAfter w:w="207" w:type="dxa"/>
        </w:trPr>
        <w:tc>
          <w:tcPr>
            <w:tcW w:w="2330" w:type="dxa"/>
            <w:gridSpan w:val="5"/>
            <w:tcMar>
              <w:left w:w="85" w:type="dxa"/>
              <w:right w:w="85" w:type="dxa"/>
            </w:tcMar>
          </w:tcPr>
          <w:p w:rsidR="007A6729" w:rsidRPr="00C35058" w:rsidRDefault="006C7A12" w:rsidP="006C7A12">
            <w:pPr>
              <w:spacing w:before="60" w:after="60"/>
              <w:jc w:val="left"/>
              <w:rPr>
                <w:b/>
                <w:i/>
                <w:szCs w:val="20"/>
                <w:highlight w:val="yellow"/>
              </w:rPr>
            </w:pPr>
            <w:r w:rsidRPr="006C7A12">
              <w:rPr>
                <w:b/>
                <w:i/>
                <w:szCs w:val="20"/>
              </w:rPr>
              <w:t xml:space="preserve">Počet nabízených volných pracovních míst se </w:t>
            </w:r>
            <w:r w:rsidR="00FE29FE">
              <w:rPr>
                <w:b/>
                <w:i/>
                <w:szCs w:val="20"/>
              </w:rPr>
              <w:t>z</w:t>
            </w:r>
            <w:r w:rsidRPr="006C7A12">
              <w:rPr>
                <w:b/>
                <w:i/>
                <w:szCs w:val="20"/>
              </w:rPr>
              <w:t>výšil</w:t>
            </w:r>
          </w:p>
        </w:tc>
        <w:tc>
          <w:tcPr>
            <w:tcW w:w="7249" w:type="dxa"/>
            <w:gridSpan w:val="6"/>
            <w:tcMar>
              <w:left w:w="85" w:type="dxa"/>
              <w:right w:w="85" w:type="dxa"/>
            </w:tcMar>
            <w:vAlign w:val="center"/>
          </w:tcPr>
          <w:p w:rsidR="007A6729" w:rsidRDefault="006C7A12" w:rsidP="000D72CC">
            <w:pPr>
              <w:pStyle w:val="Normlnweb"/>
              <w:spacing w:before="60" w:beforeAutospacing="0" w:after="60" w:afterAutospacing="0"/>
              <w:jc w:val="both"/>
              <w:rPr>
                <w:rFonts w:ascii="Arial" w:eastAsia="+mn-ea" w:hAnsi="Arial" w:cs="Arial"/>
                <w:color w:val="000000"/>
                <w:sz w:val="20"/>
                <w:szCs w:val="20"/>
              </w:rPr>
            </w:pPr>
            <w:r w:rsidRPr="006C7A12">
              <w:rPr>
                <w:rFonts w:ascii="Arial" w:eastAsia="+mn-ea" w:hAnsi="Arial" w:cs="Arial"/>
                <w:color w:val="000000"/>
                <w:sz w:val="20"/>
                <w:szCs w:val="20"/>
              </w:rPr>
              <w:t>Počet volných pracovních míst se proti předchozímu roku o 532 zvýšil (o</w:t>
            </w:r>
            <w:r w:rsidR="00411544">
              <w:rPr>
                <w:rFonts w:ascii="Arial" w:eastAsia="+mn-ea" w:hAnsi="Arial" w:cs="Arial"/>
                <w:color w:val="000000"/>
                <w:sz w:val="20"/>
                <w:szCs w:val="20"/>
              </w:rPr>
              <w:t> </w:t>
            </w:r>
            <w:r w:rsidRPr="006C7A12">
              <w:rPr>
                <w:rFonts w:ascii="Arial" w:eastAsia="+mn-ea" w:hAnsi="Arial" w:cs="Arial"/>
                <w:color w:val="000000"/>
                <w:sz w:val="20"/>
                <w:szCs w:val="20"/>
              </w:rPr>
              <w:t>24,0</w:t>
            </w:r>
            <w:r w:rsidR="00411544">
              <w:rPr>
                <w:rFonts w:ascii="Arial" w:eastAsia="+mn-ea" w:hAnsi="Arial" w:cs="Arial"/>
                <w:color w:val="000000"/>
                <w:sz w:val="20"/>
                <w:szCs w:val="20"/>
              </w:rPr>
              <w:t> </w:t>
            </w:r>
            <w:r w:rsidRPr="006C7A12">
              <w:rPr>
                <w:rFonts w:ascii="Arial" w:eastAsia="+mn-ea" w:hAnsi="Arial" w:cs="Arial"/>
                <w:color w:val="000000"/>
                <w:sz w:val="20"/>
                <w:szCs w:val="20"/>
              </w:rPr>
              <w:t>%) na celkových 2 749. Tento nárůst nabízených míst se současným poklesem uchazečů o práci se projevil ve snížení počtu uchazečů na jedno pracovní místo, a to z 15,3 na konci roku 2013 na 10,7 na konci roku 2014. Meziroční podíl uchazečů se zdravotním postižením z celkového počtu registrovaných osob se zvýšil o 1,0 procentní bod, v absolutní hodnotě se však jejich počet snížil o 272 osob (o 6,6 %). Navýšení počtu volných pracovních míst pro tyto občany dosáhlo 140 míst na celkových 259 a tak se uplatnění těchto lidí alespoň mírně zlepšilo. Na jedno takové volné pracovní místo koncem roku 2014 připadlo v průměru 14,9 žadatelů-OZP (34,7 v roce 2013).</w:t>
            </w:r>
          </w:p>
          <w:p w:rsidR="004513A3" w:rsidRPr="004513A3" w:rsidRDefault="004513A3" w:rsidP="004513A3">
            <w:pPr>
              <w:pStyle w:val="Normlnweb"/>
              <w:spacing w:before="60" w:beforeAutospacing="0" w:after="60" w:afterAutospacing="0"/>
              <w:jc w:val="both"/>
              <w:rPr>
                <w:rFonts w:ascii="Arial" w:eastAsia="+mn-ea" w:hAnsi="Arial" w:cs="Arial"/>
                <w:color w:val="000000"/>
                <w:sz w:val="20"/>
                <w:szCs w:val="20"/>
              </w:rPr>
            </w:pPr>
            <w:r w:rsidRPr="004513A3">
              <w:rPr>
                <w:rFonts w:ascii="Arial" w:eastAsia="+mn-ea" w:hAnsi="Arial" w:cs="Arial"/>
                <w:color w:val="000000"/>
                <w:sz w:val="20"/>
                <w:szCs w:val="20"/>
              </w:rPr>
              <w:t xml:space="preserve">Úřady práce se i v roce 2014 aktivně zapojovaly do vytváření a podpory pracovních míst. Od počátku roku bylo takto v kraji vytvořeno 73 míst v oblasti veřejně prospěšných prací (v roce 2013 to bylo 309 míst se 316 umístěnými žadateli), ve kterých bylo v průběhu roku umístěno 75 uchazečů o práci. Dále vzniklo 192 vyhrazených společensky účelných pracovních míst s 208 žadateli </w:t>
            </w:r>
            <w:r w:rsidRPr="004513A3">
              <w:rPr>
                <w:rFonts w:ascii="Arial" w:eastAsia="+mn-ea" w:hAnsi="Arial" w:cs="Arial"/>
                <w:color w:val="000000"/>
                <w:sz w:val="20"/>
                <w:szCs w:val="20"/>
              </w:rPr>
              <w:lastRenderedPageBreak/>
              <w:t>(v roce 2013 bylo na 418 nových místech umístěno během roku 404 žadatelů) a</w:t>
            </w:r>
            <w:r w:rsidR="001947E0">
              <w:rPr>
                <w:rFonts w:ascii="Arial" w:eastAsia="+mn-ea" w:hAnsi="Arial" w:cs="Arial"/>
                <w:color w:val="000000"/>
                <w:sz w:val="20"/>
                <w:szCs w:val="20"/>
              </w:rPr>
              <w:t> </w:t>
            </w:r>
            <w:r w:rsidRPr="004513A3">
              <w:rPr>
                <w:rFonts w:ascii="Arial" w:eastAsia="+mn-ea" w:hAnsi="Arial" w:cs="Arial"/>
                <w:color w:val="000000"/>
                <w:sz w:val="20"/>
                <w:szCs w:val="20"/>
              </w:rPr>
              <w:t>také byla vytvořená společensky účelná pracovní místa pro OSVČ (meziroční zvýšení o 35 osob na 115 osob</w:t>
            </w:r>
            <w:r w:rsidR="00190AAF">
              <w:rPr>
                <w:rFonts w:ascii="Arial" w:eastAsia="+mn-ea" w:hAnsi="Arial" w:cs="Arial"/>
                <w:color w:val="000000"/>
                <w:sz w:val="20"/>
                <w:szCs w:val="20"/>
              </w:rPr>
              <w:t>)</w:t>
            </w:r>
            <w:r w:rsidRPr="004513A3">
              <w:rPr>
                <w:rFonts w:ascii="Arial" w:eastAsia="+mn-ea" w:hAnsi="Arial" w:cs="Arial"/>
                <w:color w:val="000000"/>
                <w:sz w:val="20"/>
                <w:szCs w:val="20"/>
              </w:rPr>
              <w:t xml:space="preserve">. </w:t>
            </w:r>
          </w:p>
          <w:p w:rsidR="006C7A12" w:rsidRPr="00C35058" w:rsidRDefault="004513A3" w:rsidP="003A7602">
            <w:pPr>
              <w:pStyle w:val="Normlnweb"/>
              <w:spacing w:before="60" w:beforeAutospacing="0" w:after="60" w:afterAutospacing="0"/>
              <w:jc w:val="both"/>
              <w:rPr>
                <w:rFonts w:ascii="Arial" w:hAnsi="Arial" w:cs="Arial"/>
                <w:sz w:val="20"/>
                <w:szCs w:val="20"/>
                <w:highlight w:val="yellow"/>
              </w:rPr>
            </w:pPr>
            <w:r w:rsidRPr="004513A3">
              <w:rPr>
                <w:rFonts w:ascii="Arial" w:eastAsia="+mn-ea" w:hAnsi="Arial" w:cs="Arial"/>
                <w:color w:val="000000"/>
                <w:sz w:val="20"/>
                <w:szCs w:val="20"/>
              </w:rPr>
              <w:t>V chráněných dílnách se během sledovaného roku vytvořilo 69 nových pracovních míst. Na těchto nově vytvořených chráněných pracovních místech se od počátku roku umístilo 109 lidí. Od počátku roku byl vydán příspěvek na provoz 2 chráněných pracovních míst. Od počátku roku 2014 bylo uzavřeno 1</w:t>
            </w:r>
            <w:r w:rsidR="001947E0">
              <w:rPr>
                <w:rFonts w:ascii="Arial" w:eastAsia="+mn-ea" w:hAnsi="Arial" w:cs="Arial"/>
                <w:color w:val="000000"/>
                <w:sz w:val="20"/>
                <w:szCs w:val="20"/>
              </w:rPr>
              <w:t> </w:t>
            </w:r>
            <w:r w:rsidRPr="004513A3">
              <w:rPr>
                <w:rFonts w:ascii="Arial" w:eastAsia="+mn-ea" w:hAnsi="Arial" w:cs="Arial"/>
                <w:color w:val="000000"/>
                <w:sz w:val="20"/>
                <w:szCs w:val="20"/>
              </w:rPr>
              <w:t>923 dohod o rekvalifikaci (v předchozím roce 3 019 dohod). V průběhu roku bylo schváleno 1583 žádostí zvolených rekvalifikací (v roce 2013 bylo schváleno 1 005 žádostí</w:t>
            </w:r>
          </w:p>
        </w:tc>
      </w:tr>
      <w:tr w:rsidR="00700BDD" w:rsidTr="00057F4A">
        <w:trPr>
          <w:gridAfter w:val="3"/>
          <w:wAfter w:w="207" w:type="dxa"/>
          <w:trHeight w:val="255"/>
        </w:trPr>
        <w:tc>
          <w:tcPr>
            <w:tcW w:w="9579" w:type="dxa"/>
            <w:gridSpan w:val="11"/>
            <w:tcMar>
              <w:left w:w="85" w:type="dxa"/>
              <w:right w:w="85" w:type="dxa"/>
            </w:tcMar>
          </w:tcPr>
          <w:p w:rsidR="00700BDD" w:rsidRPr="00C35058" w:rsidRDefault="00700BDD" w:rsidP="00BD18F7">
            <w:pPr>
              <w:spacing w:before="60" w:after="60"/>
              <w:rPr>
                <w:b/>
                <w:bCs/>
                <w:szCs w:val="20"/>
                <w:highlight w:val="yellow"/>
              </w:rPr>
            </w:pPr>
            <w:r w:rsidRPr="006C7A12">
              <w:rPr>
                <w:b/>
                <w:bCs/>
                <w:szCs w:val="20"/>
              </w:rPr>
              <w:lastRenderedPageBreak/>
              <w:t xml:space="preserve">Graf </w:t>
            </w:r>
            <w:r w:rsidR="00BD18F7">
              <w:rPr>
                <w:b/>
                <w:bCs/>
                <w:szCs w:val="20"/>
              </w:rPr>
              <w:t>2.9</w:t>
            </w:r>
            <w:r w:rsidRPr="006C7A12">
              <w:rPr>
                <w:b/>
                <w:bCs/>
                <w:szCs w:val="20"/>
              </w:rPr>
              <w:t xml:space="preserve"> Uchazeči Zlínského kraje s délkou evidence nad 1 rok</w:t>
            </w:r>
          </w:p>
        </w:tc>
      </w:tr>
      <w:tr w:rsidR="00700BDD" w:rsidTr="00057F4A">
        <w:trPr>
          <w:gridAfter w:val="3"/>
          <w:wAfter w:w="207" w:type="dxa"/>
          <w:trHeight w:val="4760"/>
        </w:trPr>
        <w:tc>
          <w:tcPr>
            <w:tcW w:w="9579" w:type="dxa"/>
            <w:gridSpan w:val="11"/>
            <w:tcMar>
              <w:left w:w="85" w:type="dxa"/>
              <w:right w:w="85" w:type="dxa"/>
            </w:tcMar>
          </w:tcPr>
          <w:p w:rsidR="00700BDD" w:rsidRDefault="00700BDD" w:rsidP="00700BDD">
            <w:pPr>
              <w:spacing w:after="120"/>
              <w:jc w:val="center"/>
              <w:rPr>
                <w:szCs w:val="20"/>
                <w:highlight w:val="yellow"/>
              </w:rPr>
            </w:pPr>
          </w:p>
          <w:p w:rsidR="006C7A12" w:rsidRPr="00C35058" w:rsidRDefault="009956CB" w:rsidP="00700BDD">
            <w:pPr>
              <w:spacing w:after="120"/>
              <w:jc w:val="center"/>
              <w:rPr>
                <w:szCs w:val="20"/>
                <w:highlight w:val="yellow"/>
              </w:rPr>
            </w:pPr>
            <w:r w:rsidRPr="00286EFA">
              <w:rPr>
                <w:szCs w:val="20"/>
              </w:rPr>
              <w:pict>
                <v:shape id="_x0000_i1051" type="#_x0000_t75" style="width:459.75pt;height:213.75pt">
                  <v:imagedata r:id="rId44" o:title=""/>
                </v:shape>
              </w:pict>
            </w:r>
          </w:p>
        </w:tc>
      </w:tr>
      <w:tr w:rsidR="00700BDD" w:rsidTr="00057F4A">
        <w:trPr>
          <w:gridAfter w:val="3"/>
          <w:wAfter w:w="207" w:type="dxa"/>
        </w:trPr>
        <w:tc>
          <w:tcPr>
            <w:tcW w:w="2330" w:type="dxa"/>
            <w:gridSpan w:val="5"/>
            <w:tcMar>
              <w:left w:w="85" w:type="dxa"/>
              <w:right w:w="85" w:type="dxa"/>
            </w:tcMar>
          </w:tcPr>
          <w:p w:rsidR="00700BDD" w:rsidRPr="00C35058" w:rsidRDefault="00BF36EA" w:rsidP="00BF36EA">
            <w:pPr>
              <w:spacing w:before="60" w:after="60"/>
              <w:jc w:val="left"/>
              <w:rPr>
                <w:b/>
                <w:i/>
                <w:szCs w:val="20"/>
                <w:highlight w:val="yellow"/>
              </w:rPr>
            </w:pPr>
            <w:r w:rsidRPr="00BF36EA">
              <w:rPr>
                <w:b/>
                <w:i/>
                <w:szCs w:val="20"/>
              </w:rPr>
              <w:t>Mezi žadateli je nejvíce vyučených</w:t>
            </w:r>
          </w:p>
        </w:tc>
        <w:tc>
          <w:tcPr>
            <w:tcW w:w="7249" w:type="dxa"/>
            <w:gridSpan w:val="6"/>
            <w:tcMar>
              <w:left w:w="85" w:type="dxa"/>
              <w:right w:w="85" w:type="dxa"/>
            </w:tcMar>
            <w:vAlign w:val="center"/>
          </w:tcPr>
          <w:p w:rsidR="00D32A95" w:rsidRPr="00C35058" w:rsidRDefault="002432F6" w:rsidP="00190AAF">
            <w:pPr>
              <w:spacing w:before="60" w:after="60"/>
              <w:rPr>
                <w:rFonts w:cs="Arial"/>
                <w:szCs w:val="20"/>
                <w:highlight w:val="yellow"/>
              </w:rPr>
            </w:pPr>
            <w:r w:rsidRPr="002432F6">
              <w:rPr>
                <w:rFonts w:cs="Arial"/>
                <w:szCs w:val="20"/>
              </w:rPr>
              <w:t>Z hlediska vzdělání představují v kraji největší podíl mezi uchazeči o</w:t>
            </w:r>
            <w:r w:rsidR="00A75DE3">
              <w:rPr>
                <w:rFonts w:cs="Arial"/>
                <w:szCs w:val="20"/>
              </w:rPr>
              <w:t> </w:t>
            </w:r>
            <w:r w:rsidRPr="002432F6">
              <w:rPr>
                <w:rFonts w:cs="Arial"/>
                <w:szCs w:val="20"/>
              </w:rPr>
              <w:t>zaměstnání vyučení (44,2 %). Následují osoby s úplným středním vzděláním (17,3 %), se základním vzděláním (17,8 %), vyučení s maturitou (6,4 %), s</w:t>
            </w:r>
            <w:r w:rsidR="00A75DE3">
              <w:rPr>
                <w:rFonts w:cs="Arial"/>
                <w:szCs w:val="20"/>
              </w:rPr>
              <w:t> </w:t>
            </w:r>
            <w:r w:rsidRPr="002432F6">
              <w:rPr>
                <w:rFonts w:cs="Arial"/>
                <w:szCs w:val="20"/>
              </w:rPr>
              <w:t>vysokoškolským vzděláním (4,9 %), s úplným středním všeobecným vzděláním (3,0 %) a žadatelé o práci s bakalářským vzděláním (2,0 %). Ve</w:t>
            </w:r>
            <w:r w:rsidR="00A75DE3">
              <w:rPr>
                <w:rFonts w:cs="Arial"/>
                <w:szCs w:val="20"/>
              </w:rPr>
              <w:t> </w:t>
            </w:r>
            <w:r w:rsidRPr="002432F6">
              <w:rPr>
                <w:rFonts w:cs="Arial"/>
                <w:szCs w:val="20"/>
              </w:rPr>
              <w:t xml:space="preserve">srovnání s republikovými průměry byly v kraji podprůměrné pouze podíly uchazečů se základním (o 9,3 </w:t>
            </w:r>
            <w:proofErr w:type="spellStart"/>
            <w:proofErr w:type="gramStart"/>
            <w:r w:rsidRPr="002432F6">
              <w:rPr>
                <w:rFonts w:cs="Arial"/>
                <w:szCs w:val="20"/>
              </w:rPr>
              <w:t>p.b</w:t>
            </w:r>
            <w:proofErr w:type="spellEnd"/>
            <w:r w:rsidRPr="002432F6">
              <w:rPr>
                <w:rFonts w:cs="Arial"/>
                <w:szCs w:val="20"/>
              </w:rPr>
              <w:t>.), neúplným</w:t>
            </w:r>
            <w:proofErr w:type="gramEnd"/>
            <w:r w:rsidRPr="002432F6">
              <w:rPr>
                <w:rFonts w:cs="Arial"/>
                <w:szCs w:val="20"/>
              </w:rPr>
              <w:t xml:space="preserve"> základním (0,5 </w:t>
            </w:r>
            <w:proofErr w:type="spellStart"/>
            <w:r w:rsidRPr="002432F6">
              <w:rPr>
                <w:rFonts w:cs="Arial"/>
                <w:szCs w:val="20"/>
              </w:rPr>
              <w:t>p.b</w:t>
            </w:r>
            <w:proofErr w:type="spellEnd"/>
            <w:r w:rsidRPr="002432F6">
              <w:rPr>
                <w:rFonts w:cs="Arial"/>
                <w:szCs w:val="20"/>
              </w:rPr>
              <w:t xml:space="preserve">.) a nižším středním odborným vzděláním (0,1 </w:t>
            </w:r>
            <w:proofErr w:type="spellStart"/>
            <w:r w:rsidRPr="002432F6">
              <w:rPr>
                <w:rFonts w:cs="Arial"/>
                <w:szCs w:val="20"/>
              </w:rPr>
              <w:t>p.b</w:t>
            </w:r>
            <w:proofErr w:type="spellEnd"/>
            <w:r w:rsidRPr="002432F6">
              <w:rPr>
                <w:rFonts w:cs="Arial"/>
                <w:szCs w:val="20"/>
              </w:rPr>
              <w:t>.). Dále pak žadatelé bez vzdělání. U</w:t>
            </w:r>
            <w:r w:rsidR="00A75DE3">
              <w:rPr>
                <w:rFonts w:cs="Arial"/>
                <w:szCs w:val="20"/>
              </w:rPr>
              <w:t> </w:t>
            </w:r>
            <w:r w:rsidRPr="002432F6">
              <w:rPr>
                <w:rFonts w:cs="Arial"/>
                <w:szCs w:val="20"/>
              </w:rPr>
              <w:t>ostatních vzdělanostních skupin byl jejich podíl na celkovém počtu žadatelů o</w:t>
            </w:r>
            <w:r w:rsidR="00A75DE3">
              <w:rPr>
                <w:rFonts w:cs="Arial"/>
                <w:szCs w:val="20"/>
              </w:rPr>
              <w:t> </w:t>
            </w:r>
            <w:r w:rsidRPr="002432F6">
              <w:rPr>
                <w:rFonts w:cs="Arial"/>
                <w:szCs w:val="20"/>
              </w:rPr>
              <w:t>práci ve Zlínském kraji vždy vyšší než republikový. Nejvýraznější byl rozdíl u</w:t>
            </w:r>
            <w:r w:rsidR="00A75DE3">
              <w:rPr>
                <w:rFonts w:cs="Arial"/>
                <w:szCs w:val="20"/>
              </w:rPr>
              <w:t> </w:t>
            </w:r>
            <w:r w:rsidRPr="002432F6">
              <w:rPr>
                <w:rFonts w:cs="Arial"/>
                <w:szCs w:val="20"/>
              </w:rPr>
              <w:t xml:space="preserve">skupiny vyučených uchazečů (5,7 </w:t>
            </w:r>
            <w:proofErr w:type="spellStart"/>
            <w:proofErr w:type="gramStart"/>
            <w:r w:rsidRPr="002432F6">
              <w:rPr>
                <w:rFonts w:cs="Arial"/>
                <w:szCs w:val="20"/>
              </w:rPr>
              <w:t>p.b</w:t>
            </w:r>
            <w:proofErr w:type="spellEnd"/>
            <w:r w:rsidRPr="002432F6">
              <w:rPr>
                <w:rFonts w:cs="Arial"/>
                <w:szCs w:val="20"/>
              </w:rPr>
              <w:t>.), s ÚSO</w:t>
            </w:r>
            <w:proofErr w:type="gramEnd"/>
            <w:r w:rsidRPr="002432F6">
              <w:rPr>
                <w:rFonts w:cs="Arial"/>
                <w:szCs w:val="20"/>
              </w:rPr>
              <w:t xml:space="preserve"> s vyučením a maturitou (o 1,8 </w:t>
            </w:r>
            <w:proofErr w:type="spellStart"/>
            <w:r w:rsidRPr="002432F6">
              <w:rPr>
                <w:rFonts w:cs="Arial"/>
                <w:szCs w:val="20"/>
              </w:rPr>
              <w:t>p.b</w:t>
            </w:r>
            <w:proofErr w:type="spellEnd"/>
            <w:r w:rsidRPr="002432F6">
              <w:rPr>
                <w:rFonts w:cs="Arial"/>
                <w:szCs w:val="20"/>
              </w:rPr>
              <w:t xml:space="preserve">.) a s ÚSO s maturitou bez vyučení (o 1,3 </w:t>
            </w:r>
            <w:proofErr w:type="spellStart"/>
            <w:r w:rsidRPr="002432F6">
              <w:rPr>
                <w:rFonts w:cs="Arial"/>
                <w:szCs w:val="20"/>
              </w:rPr>
              <w:t>p.b</w:t>
            </w:r>
            <w:proofErr w:type="spellEnd"/>
            <w:r w:rsidRPr="002432F6">
              <w:rPr>
                <w:rFonts w:cs="Arial"/>
                <w:szCs w:val="20"/>
              </w:rPr>
              <w:t>.). V ostatních vzdělanostních skupinách převyšoval kraj republikové průměry v desetinách procentního bodu.</w:t>
            </w:r>
          </w:p>
        </w:tc>
      </w:tr>
      <w:tr w:rsidR="00BF36EA" w:rsidTr="00057F4A">
        <w:trPr>
          <w:gridAfter w:val="3"/>
          <w:wAfter w:w="207" w:type="dxa"/>
        </w:trPr>
        <w:tc>
          <w:tcPr>
            <w:tcW w:w="2330" w:type="dxa"/>
            <w:gridSpan w:val="5"/>
            <w:tcMar>
              <w:left w:w="85" w:type="dxa"/>
              <w:right w:w="85" w:type="dxa"/>
            </w:tcMar>
          </w:tcPr>
          <w:p w:rsidR="00BF36EA" w:rsidRPr="00BF36EA" w:rsidRDefault="00BF36EA" w:rsidP="00BF36EA">
            <w:pPr>
              <w:spacing w:before="60" w:after="60"/>
              <w:jc w:val="left"/>
              <w:rPr>
                <w:b/>
                <w:i/>
                <w:szCs w:val="20"/>
              </w:rPr>
            </w:pPr>
            <w:r w:rsidRPr="00BF36EA">
              <w:rPr>
                <w:b/>
                <w:i/>
                <w:szCs w:val="20"/>
              </w:rPr>
              <w:t>Podíl nezaměstnaných osob na obyvatelstvu meziročně klesl</w:t>
            </w:r>
          </w:p>
        </w:tc>
        <w:tc>
          <w:tcPr>
            <w:tcW w:w="7249" w:type="dxa"/>
            <w:gridSpan w:val="6"/>
            <w:tcMar>
              <w:left w:w="85" w:type="dxa"/>
              <w:right w:w="85" w:type="dxa"/>
            </w:tcMar>
            <w:vAlign w:val="center"/>
          </w:tcPr>
          <w:p w:rsidR="00BF36EA" w:rsidRPr="00BF36EA" w:rsidRDefault="002432F6" w:rsidP="00A75DE3">
            <w:pPr>
              <w:spacing w:before="60" w:after="60"/>
              <w:rPr>
                <w:rFonts w:cs="Arial"/>
                <w:szCs w:val="20"/>
              </w:rPr>
            </w:pPr>
            <w:r w:rsidRPr="002432F6">
              <w:rPr>
                <w:rFonts w:cs="Arial"/>
                <w:szCs w:val="20"/>
              </w:rPr>
              <w:t>Podíl nezaměstnaných osob, který v kraji na konci sledovaného roku dosáhl 7,36 %</w:t>
            </w:r>
            <w:r w:rsidR="00190AAF">
              <w:rPr>
                <w:rFonts w:cs="Arial"/>
                <w:szCs w:val="20"/>
              </w:rPr>
              <w:t>,</w:t>
            </w:r>
            <w:r w:rsidRPr="002432F6">
              <w:rPr>
                <w:rFonts w:cs="Arial"/>
                <w:szCs w:val="20"/>
              </w:rPr>
              <w:t xml:space="preserve"> byl nižší než celorepublikový (7,46 %) a proti předchozímu roku klesl o</w:t>
            </w:r>
            <w:r w:rsidR="00A75DE3">
              <w:rPr>
                <w:rFonts w:cs="Arial"/>
                <w:szCs w:val="20"/>
              </w:rPr>
              <w:t> </w:t>
            </w:r>
            <w:r w:rsidRPr="002432F6">
              <w:rPr>
                <w:rFonts w:cs="Arial"/>
                <w:szCs w:val="20"/>
              </w:rPr>
              <w:t>0,98 bodu. Podíl nezaměstnaných osob se meziročně snížil ve všech krajích, ale zlínský pokles byl po karlovarském a pardubickém úbytku třetí nejvýraznější. Krajský podíl nezaměstnaných žen (7,24 %) byl nižší než mužů (7,48 %).</w:t>
            </w:r>
          </w:p>
        </w:tc>
      </w:tr>
      <w:tr w:rsidR="00BF36EA" w:rsidTr="00057F4A">
        <w:trPr>
          <w:gridAfter w:val="3"/>
          <w:wAfter w:w="207" w:type="dxa"/>
        </w:trPr>
        <w:tc>
          <w:tcPr>
            <w:tcW w:w="2330" w:type="dxa"/>
            <w:gridSpan w:val="5"/>
            <w:tcMar>
              <w:left w:w="85" w:type="dxa"/>
              <w:right w:w="85" w:type="dxa"/>
            </w:tcMar>
          </w:tcPr>
          <w:p w:rsidR="00BF36EA" w:rsidRPr="00BF36EA" w:rsidRDefault="00BF36EA" w:rsidP="00BF36EA">
            <w:pPr>
              <w:spacing w:before="60" w:after="60"/>
              <w:jc w:val="left"/>
              <w:rPr>
                <w:b/>
                <w:i/>
                <w:szCs w:val="20"/>
              </w:rPr>
            </w:pPr>
            <w:r w:rsidRPr="00BF36EA">
              <w:rPr>
                <w:b/>
                <w:i/>
                <w:szCs w:val="20"/>
              </w:rPr>
              <w:t xml:space="preserve">Podíl nezaměstnaných osob na obyvatelstvu v kraji je od dubna pod </w:t>
            </w:r>
            <w:proofErr w:type="spellStart"/>
            <w:r w:rsidRPr="00BF36EA">
              <w:rPr>
                <w:b/>
                <w:i/>
                <w:szCs w:val="20"/>
              </w:rPr>
              <w:t>celorepubliko</w:t>
            </w:r>
            <w:proofErr w:type="spellEnd"/>
            <w:r w:rsidR="002432F6">
              <w:rPr>
                <w:b/>
                <w:i/>
                <w:szCs w:val="20"/>
              </w:rPr>
              <w:t xml:space="preserve">- </w:t>
            </w:r>
            <w:proofErr w:type="spellStart"/>
            <w:r w:rsidRPr="00BF36EA">
              <w:rPr>
                <w:b/>
                <w:i/>
                <w:szCs w:val="20"/>
              </w:rPr>
              <w:t>vými</w:t>
            </w:r>
            <w:proofErr w:type="spellEnd"/>
            <w:r w:rsidRPr="00BF36EA">
              <w:rPr>
                <w:b/>
                <w:i/>
                <w:szCs w:val="20"/>
              </w:rPr>
              <w:t xml:space="preserve"> hodnotami</w:t>
            </w:r>
          </w:p>
        </w:tc>
        <w:tc>
          <w:tcPr>
            <w:tcW w:w="7249" w:type="dxa"/>
            <w:gridSpan w:val="6"/>
            <w:tcMar>
              <w:left w:w="85" w:type="dxa"/>
              <w:right w:w="85" w:type="dxa"/>
            </w:tcMar>
            <w:vAlign w:val="center"/>
          </w:tcPr>
          <w:p w:rsidR="00BF36EA" w:rsidRDefault="002432F6" w:rsidP="00190AAF">
            <w:pPr>
              <w:spacing w:before="60" w:after="60"/>
              <w:rPr>
                <w:rFonts w:cs="Arial"/>
                <w:szCs w:val="20"/>
              </w:rPr>
            </w:pPr>
            <w:r w:rsidRPr="002432F6">
              <w:rPr>
                <w:rFonts w:cs="Arial"/>
                <w:szCs w:val="20"/>
              </w:rPr>
              <w:t xml:space="preserve">V roce 2013 se od června hodnoty </w:t>
            </w:r>
            <w:r w:rsidR="00190AAF" w:rsidRPr="002432F6">
              <w:rPr>
                <w:rFonts w:cs="Arial"/>
                <w:szCs w:val="20"/>
              </w:rPr>
              <w:t xml:space="preserve">zlínského </w:t>
            </w:r>
            <w:r w:rsidRPr="002432F6">
              <w:rPr>
                <w:rFonts w:cs="Arial"/>
                <w:szCs w:val="20"/>
              </w:rPr>
              <w:t>podílu nezaměstnaných začaly přibližovat k republikovým a až v říjnu a listopadu republikové hodnoty podílu velmi mírně převýšily zlínské. V prosinci však opět Zlínské hodnoty podílu nezaměstnaných osob převýšily republikové. Tento stav hodnot pokračoval až do března 2014 avšak od dubna až do konce sledovaného roku byly zlínské hodnoty podílu nezaměstnaných nižší než republikové. A tento stav pokračoval do června následujícího roku.</w:t>
            </w:r>
          </w:p>
          <w:p w:rsidR="0057538F" w:rsidRPr="00BF36EA" w:rsidRDefault="0057538F" w:rsidP="00190AAF">
            <w:pPr>
              <w:spacing w:before="60" w:after="60"/>
              <w:rPr>
                <w:rFonts w:cs="Arial"/>
                <w:szCs w:val="20"/>
              </w:rPr>
            </w:pPr>
          </w:p>
        </w:tc>
      </w:tr>
      <w:tr w:rsidR="00700BDD" w:rsidTr="00057F4A">
        <w:trPr>
          <w:gridAfter w:val="3"/>
          <w:wAfter w:w="207" w:type="dxa"/>
          <w:trHeight w:val="255"/>
        </w:trPr>
        <w:tc>
          <w:tcPr>
            <w:tcW w:w="9579" w:type="dxa"/>
            <w:gridSpan w:val="11"/>
            <w:tcMar>
              <w:left w:w="85" w:type="dxa"/>
              <w:right w:w="85" w:type="dxa"/>
            </w:tcMar>
          </w:tcPr>
          <w:p w:rsidR="00700BDD" w:rsidRPr="00C35058" w:rsidRDefault="00700BDD" w:rsidP="00BD18F7">
            <w:pPr>
              <w:spacing w:before="60" w:after="60"/>
              <w:rPr>
                <w:b/>
                <w:bCs/>
                <w:szCs w:val="20"/>
                <w:highlight w:val="yellow"/>
              </w:rPr>
            </w:pPr>
            <w:r w:rsidRPr="002432F6">
              <w:rPr>
                <w:b/>
                <w:bCs/>
                <w:szCs w:val="20"/>
              </w:rPr>
              <w:lastRenderedPageBreak/>
              <w:t xml:space="preserve">Graf </w:t>
            </w:r>
            <w:r w:rsidR="00BD18F7">
              <w:rPr>
                <w:b/>
                <w:bCs/>
                <w:szCs w:val="20"/>
              </w:rPr>
              <w:t>2.10</w:t>
            </w:r>
            <w:r w:rsidRPr="002432F6">
              <w:rPr>
                <w:b/>
                <w:bCs/>
                <w:szCs w:val="20"/>
              </w:rPr>
              <w:t xml:space="preserve"> Podíl nezaměstnaných na obyvatelstvu ve Zlínském kraji a ČR v jednotlivých měsících</w:t>
            </w:r>
          </w:p>
        </w:tc>
      </w:tr>
      <w:tr w:rsidR="00700BDD" w:rsidTr="00057F4A">
        <w:trPr>
          <w:gridAfter w:val="3"/>
          <w:wAfter w:w="207" w:type="dxa"/>
          <w:trHeight w:val="3200"/>
        </w:trPr>
        <w:tc>
          <w:tcPr>
            <w:tcW w:w="9579" w:type="dxa"/>
            <w:gridSpan w:val="11"/>
            <w:tcMar>
              <w:left w:w="85" w:type="dxa"/>
              <w:right w:w="85" w:type="dxa"/>
            </w:tcMar>
            <w:vAlign w:val="center"/>
          </w:tcPr>
          <w:p w:rsidR="00700BDD" w:rsidRPr="00C35058" w:rsidRDefault="00700BDD" w:rsidP="003731D4">
            <w:pPr>
              <w:jc w:val="center"/>
              <w:rPr>
                <w:szCs w:val="20"/>
                <w:highlight w:val="yellow"/>
              </w:rPr>
            </w:pPr>
          </w:p>
          <w:p w:rsidR="00366E04" w:rsidRDefault="009956CB" w:rsidP="003731D4">
            <w:pPr>
              <w:jc w:val="center"/>
              <w:rPr>
                <w:szCs w:val="20"/>
              </w:rPr>
            </w:pPr>
            <w:r w:rsidRPr="00286EFA">
              <w:rPr>
                <w:szCs w:val="20"/>
              </w:rPr>
              <w:pict>
                <v:shape id="_x0000_i1052" type="#_x0000_t75" style="width:468pt;height:233.25pt">
                  <v:imagedata r:id="rId45" o:title=""/>
                </v:shape>
              </w:pict>
            </w:r>
          </w:p>
          <w:p w:rsidR="00B4175E" w:rsidRPr="00C35058" w:rsidRDefault="00B4175E" w:rsidP="003731D4">
            <w:pPr>
              <w:jc w:val="center"/>
              <w:rPr>
                <w:szCs w:val="20"/>
                <w:highlight w:val="yellow"/>
              </w:rPr>
            </w:pPr>
          </w:p>
        </w:tc>
      </w:tr>
      <w:tr w:rsidR="00700BDD" w:rsidTr="00057F4A">
        <w:trPr>
          <w:gridAfter w:val="3"/>
          <w:wAfter w:w="207" w:type="dxa"/>
          <w:trHeight w:val="1601"/>
        </w:trPr>
        <w:tc>
          <w:tcPr>
            <w:tcW w:w="2330" w:type="dxa"/>
            <w:gridSpan w:val="5"/>
            <w:tcMar>
              <w:left w:w="85" w:type="dxa"/>
              <w:right w:w="85" w:type="dxa"/>
            </w:tcMar>
          </w:tcPr>
          <w:p w:rsidR="00700BDD" w:rsidRPr="00411544" w:rsidRDefault="00AA44CF" w:rsidP="00AA44CF">
            <w:pPr>
              <w:spacing w:before="60" w:after="60"/>
              <w:jc w:val="left"/>
              <w:rPr>
                <w:b/>
                <w:i/>
                <w:szCs w:val="20"/>
                <w:highlight w:val="yellow"/>
              </w:rPr>
            </w:pPr>
            <w:r w:rsidRPr="00411544">
              <w:rPr>
                <w:b/>
                <w:i/>
                <w:szCs w:val="20"/>
              </w:rPr>
              <w:t>Nejvíce registrovaných žadatelů o práci bylo koncem roku 2014 ve zlínském okrese</w:t>
            </w:r>
          </w:p>
        </w:tc>
        <w:tc>
          <w:tcPr>
            <w:tcW w:w="7249" w:type="dxa"/>
            <w:gridSpan w:val="6"/>
          </w:tcPr>
          <w:p w:rsidR="00700BDD" w:rsidRDefault="00AA44CF" w:rsidP="00366E04">
            <w:pPr>
              <w:spacing w:before="60" w:after="60"/>
              <w:rPr>
                <w:rFonts w:cs="Arial"/>
                <w:szCs w:val="20"/>
              </w:rPr>
            </w:pPr>
            <w:r w:rsidRPr="00AA44CF">
              <w:rPr>
                <w:rFonts w:cs="Arial"/>
                <w:szCs w:val="20"/>
              </w:rPr>
              <w:t>Ve všech okresech kraje byl vývoj počtu uchazečů o práci registrovaných úřady práce obdobný jako krajský. Do roku 2008 byl nejvyšší počet uchazečů o práci registrovaný úřady práce v okrese Vsetín. Vsetínský okres byl v roce 2009 předstižen zlínským okresem. Také v následujících letech byl počet registrovaných uchazečů nejvyšší v okrese Zlín, a to až do 2012, kdy ve</w:t>
            </w:r>
            <w:r w:rsidR="00A75DE3">
              <w:rPr>
                <w:rFonts w:cs="Arial"/>
                <w:szCs w:val="20"/>
              </w:rPr>
              <w:t> </w:t>
            </w:r>
            <w:r w:rsidRPr="00AA44CF">
              <w:rPr>
                <w:rFonts w:cs="Arial"/>
                <w:szCs w:val="20"/>
              </w:rPr>
              <w:t>vsetínském okrese bylo registrováno o 83 uchazečů více jak v okrese Zlín. Hned v následujícím roce však opět zlínský okres “předběhl“ vsetínský (o 258 osob) a v roce 2014 bylo opět v okrese Zlín nejvíc žadatelů o práci (o 174 osob více než ve druhém vsetínském okrese). Okresy Kroměříž a Uherské Hradiště měly od samého počátku sledování výrazně méně registrovaných uchazečů než v okrese Zlín a Vsetín. Od roku 2008 bylo nejméně uchazečů o práci registrováno v okrese Kroměříž a v roce 2014 bylo v uherskohradišťském okrese o 127 uchazečů méně než v kroměřížském.</w:t>
            </w:r>
          </w:p>
          <w:p w:rsidR="00AA44CF" w:rsidRPr="00C35058" w:rsidRDefault="00AA44CF" w:rsidP="00366E04">
            <w:pPr>
              <w:spacing w:before="60" w:after="60"/>
              <w:rPr>
                <w:rFonts w:cs="Arial"/>
                <w:szCs w:val="20"/>
                <w:highlight w:val="yellow"/>
              </w:rPr>
            </w:pPr>
          </w:p>
        </w:tc>
      </w:tr>
      <w:tr w:rsidR="00700BDD" w:rsidTr="00057F4A">
        <w:trPr>
          <w:gridAfter w:val="3"/>
          <w:wAfter w:w="207" w:type="dxa"/>
          <w:trHeight w:val="397"/>
        </w:trPr>
        <w:tc>
          <w:tcPr>
            <w:tcW w:w="9579" w:type="dxa"/>
            <w:gridSpan w:val="11"/>
            <w:tcMar>
              <w:left w:w="85" w:type="dxa"/>
              <w:right w:w="85" w:type="dxa"/>
            </w:tcMar>
            <w:vAlign w:val="center"/>
          </w:tcPr>
          <w:p w:rsidR="00700BDD" w:rsidRPr="00C35058" w:rsidRDefault="00AA44CF" w:rsidP="00BD18F7">
            <w:pPr>
              <w:pStyle w:val="Normlnweb"/>
              <w:spacing w:before="0" w:beforeAutospacing="0" w:after="0" w:afterAutospacing="0"/>
              <w:rPr>
                <w:rFonts w:ascii="Arial" w:hAnsi="Arial" w:cs="Arial"/>
                <w:b/>
                <w:sz w:val="20"/>
                <w:szCs w:val="20"/>
                <w:highlight w:val="yellow"/>
              </w:rPr>
            </w:pPr>
            <w:r w:rsidRPr="00AA44CF">
              <w:rPr>
                <w:rFonts w:ascii="Arial" w:hAnsi="Arial" w:cs="Arial"/>
                <w:b/>
                <w:sz w:val="20"/>
                <w:szCs w:val="20"/>
              </w:rPr>
              <w:t xml:space="preserve">Graf </w:t>
            </w:r>
            <w:r w:rsidR="00BD18F7">
              <w:rPr>
                <w:rFonts w:ascii="Arial" w:hAnsi="Arial" w:cs="Arial"/>
                <w:b/>
                <w:sz w:val="20"/>
                <w:szCs w:val="20"/>
              </w:rPr>
              <w:t>2.11</w:t>
            </w:r>
            <w:r w:rsidRPr="00AA44CF">
              <w:rPr>
                <w:rFonts w:ascii="Arial" w:hAnsi="Arial" w:cs="Arial"/>
                <w:b/>
                <w:sz w:val="20"/>
                <w:szCs w:val="20"/>
              </w:rPr>
              <w:t xml:space="preserve"> Počet nezaměstnaných osob v okresech Zlínského kraje (k 31. 12.)</w:t>
            </w:r>
          </w:p>
        </w:tc>
      </w:tr>
      <w:tr w:rsidR="00700BDD" w:rsidTr="00057F4A">
        <w:trPr>
          <w:gridAfter w:val="3"/>
          <w:wAfter w:w="207" w:type="dxa"/>
          <w:trHeight w:val="80"/>
        </w:trPr>
        <w:tc>
          <w:tcPr>
            <w:tcW w:w="9579" w:type="dxa"/>
            <w:gridSpan w:val="11"/>
            <w:tcMar>
              <w:left w:w="85" w:type="dxa"/>
              <w:right w:w="85" w:type="dxa"/>
            </w:tcMar>
            <w:vAlign w:val="center"/>
          </w:tcPr>
          <w:p w:rsidR="00700BDD" w:rsidRPr="00C35058" w:rsidRDefault="009956CB" w:rsidP="00584722">
            <w:pPr>
              <w:jc w:val="center"/>
              <w:rPr>
                <w:szCs w:val="20"/>
                <w:highlight w:val="yellow"/>
              </w:rPr>
            </w:pPr>
            <w:r w:rsidRPr="00286EFA">
              <w:rPr>
                <w:szCs w:val="20"/>
              </w:rPr>
              <w:pict>
                <v:shape id="_x0000_i1053" type="#_x0000_t75" style="width:471pt;height:209.25pt">
                  <v:imagedata r:id="rId46" o:title=""/>
                </v:shape>
              </w:pict>
            </w:r>
          </w:p>
          <w:p w:rsidR="00366E04" w:rsidRPr="00C35058" w:rsidRDefault="00366E04" w:rsidP="00584722">
            <w:pPr>
              <w:jc w:val="center"/>
              <w:rPr>
                <w:szCs w:val="20"/>
                <w:highlight w:val="yellow"/>
              </w:rPr>
            </w:pPr>
          </w:p>
        </w:tc>
      </w:tr>
      <w:tr w:rsidR="00AA44CF" w:rsidTr="00057F4A">
        <w:trPr>
          <w:gridAfter w:val="3"/>
          <w:wAfter w:w="207" w:type="dxa"/>
          <w:trHeight w:val="930"/>
        </w:trPr>
        <w:tc>
          <w:tcPr>
            <w:tcW w:w="2330" w:type="dxa"/>
            <w:gridSpan w:val="5"/>
            <w:tcMar>
              <w:left w:w="85" w:type="dxa"/>
              <w:right w:w="85" w:type="dxa"/>
            </w:tcMar>
          </w:tcPr>
          <w:p w:rsidR="00AA44CF" w:rsidRPr="00C35058" w:rsidRDefault="00AA44CF" w:rsidP="00366E04">
            <w:pPr>
              <w:jc w:val="left"/>
              <w:rPr>
                <w:b/>
                <w:i/>
                <w:szCs w:val="20"/>
                <w:highlight w:val="yellow"/>
              </w:rPr>
            </w:pPr>
          </w:p>
        </w:tc>
        <w:tc>
          <w:tcPr>
            <w:tcW w:w="7249" w:type="dxa"/>
            <w:gridSpan w:val="6"/>
          </w:tcPr>
          <w:p w:rsidR="00915780" w:rsidRDefault="00AA44CF" w:rsidP="00915780">
            <w:pPr>
              <w:pStyle w:val="Normlnweb"/>
              <w:spacing w:before="60" w:beforeAutospacing="0" w:after="60" w:afterAutospacing="0"/>
              <w:jc w:val="both"/>
              <w:rPr>
                <w:rFonts w:ascii="Arial" w:eastAsia="+mn-ea" w:hAnsi="Arial" w:cs="Arial"/>
                <w:color w:val="000000"/>
                <w:sz w:val="20"/>
                <w:szCs w:val="20"/>
              </w:rPr>
            </w:pPr>
            <w:r w:rsidRPr="00AA44CF">
              <w:rPr>
                <w:rFonts w:ascii="Arial" w:eastAsia="+mn-ea" w:hAnsi="Arial" w:cs="Arial"/>
                <w:color w:val="000000"/>
                <w:sz w:val="20"/>
                <w:szCs w:val="20"/>
              </w:rPr>
              <w:t>S podílem nezaměstnaných ve věku 15 až 64 let na obyvatelstvu stejného věku to však vypadalo jinak. Tento ukazatel jednoznačně po celé období dosahoval v</w:t>
            </w:r>
            <w:r w:rsidR="0098594A">
              <w:rPr>
                <w:rFonts w:ascii="Arial" w:eastAsia="+mn-ea" w:hAnsi="Arial" w:cs="Arial"/>
                <w:color w:val="000000"/>
                <w:sz w:val="20"/>
                <w:szCs w:val="20"/>
              </w:rPr>
              <w:t> </w:t>
            </w:r>
            <w:r w:rsidRPr="00AA44CF">
              <w:rPr>
                <w:rFonts w:ascii="Arial" w:eastAsia="+mn-ea" w:hAnsi="Arial" w:cs="Arial"/>
                <w:color w:val="000000"/>
                <w:sz w:val="20"/>
                <w:szCs w:val="20"/>
              </w:rPr>
              <w:t>okrese Vsetín nejvyšších hodnot, pouze v roce 2014 měl okres Kroměříž podíl nezaměstnaných o 0,05 procentního bodu vyšší než vsetínsk</w:t>
            </w:r>
            <w:r w:rsidR="008B6699">
              <w:rPr>
                <w:rFonts w:ascii="Arial" w:eastAsia="+mn-ea" w:hAnsi="Arial" w:cs="Arial"/>
                <w:color w:val="000000"/>
                <w:sz w:val="20"/>
                <w:szCs w:val="20"/>
              </w:rPr>
              <w:t>ý</w:t>
            </w:r>
            <w:r w:rsidRPr="00AA44CF">
              <w:rPr>
                <w:rFonts w:ascii="Arial" w:eastAsia="+mn-ea" w:hAnsi="Arial" w:cs="Arial"/>
                <w:color w:val="000000"/>
                <w:sz w:val="20"/>
                <w:szCs w:val="20"/>
              </w:rPr>
              <w:t>. Hodnoty podílů těchto dvou okresů převyšovaly po celé sledované období podíly nezaměstnaných</w:t>
            </w:r>
            <w:r w:rsidR="004717EC">
              <w:rPr>
                <w:rFonts w:ascii="Arial" w:eastAsia="+mn-ea" w:hAnsi="Arial" w:cs="Arial"/>
                <w:color w:val="000000"/>
                <w:sz w:val="20"/>
                <w:szCs w:val="20"/>
              </w:rPr>
              <w:t xml:space="preserve"> </w:t>
            </w:r>
            <w:r w:rsidR="004717EC" w:rsidRPr="004717EC">
              <w:rPr>
                <w:rFonts w:ascii="Arial" w:eastAsia="+mn-ea" w:hAnsi="Arial" w:cs="Arial"/>
                <w:color w:val="000000"/>
                <w:sz w:val="20"/>
                <w:szCs w:val="20"/>
              </w:rPr>
              <w:t>Zlínského kraje i celé republiky. Nejnižší podíl nezaměstnaných byl kromě let 2006, 2009 a 2014 zjištěn v okrese Zlín.</w:t>
            </w:r>
          </w:p>
          <w:p w:rsidR="00827D9A" w:rsidRPr="00C35058" w:rsidRDefault="004717EC" w:rsidP="00915780">
            <w:pPr>
              <w:pStyle w:val="Normlnweb"/>
              <w:spacing w:before="60" w:beforeAutospacing="0" w:after="60" w:afterAutospacing="0"/>
              <w:jc w:val="both"/>
              <w:rPr>
                <w:rFonts w:ascii="Arial" w:eastAsia="+mn-ea" w:hAnsi="Arial" w:cs="Arial"/>
                <w:color w:val="000000"/>
                <w:sz w:val="20"/>
                <w:szCs w:val="20"/>
                <w:highlight w:val="yellow"/>
              </w:rPr>
            </w:pPr>
            <w:r w:rsidRPr="004717EC">
              <w:rPr>
                <w:rFonts w:ascii="Arial" w:eastAsia="+mn-ea" w:hAnsi="Arial" w:cs="Arial"/>
                <w:color w:val="000000"/>
                <w:sz w:val="20"/>
                <w:szCs w:val="20"/>
              </w:rPr>
              <w:t xml:space="preserve"> </w:t>
            </w:r>
          </w:p>
        </w:tc>
      </w:tr>
      <w:tr w:rsidR="00700BDD" w:rsidTr="00057F4A">
        <w:trPr>
          <w:gridAfter w:val="3"/>
          <w:wAfter w:w="207" w:type="dxa"/>
          <w:trHeight w:val="487"/>
        </w:trPr>
        <w:tc>
          <w:tcPr>
            <w:tcW w:w="9579" w:type="dxa"/>
            <w:gridSpan w:val="11"/>
            <w:tcMar>
              <w:left w:w="85" w:type="dxa"/>
              <w:right w:w="85" w:type="dxa"/>
            </w:tcMar>
            <w:vAlign w:val="center"/>
          </w:tcPr>
          <w:p w:rsidR="00700BDD" w:rsidRPr="00C35058" w:rsidRDefault="0088436F" w:rsidP="00BD18F7">
            <w:pPr>
              <w:spacing w:after="120"/>
              <w:jc w:val="left"/>
              <w:rPr>
                <w:b/>
                <w:szCs w:val="20"/>
                <w:highlight w:val="yellow"/>
              </w:rPr>
            </w:pPr>
            <w:r>
              <w:rPr>
                <w:b/>
                <w:szCs w:val="20"/>
              </w:rPr>
              <w:t xml:space="preserve">Graf </w:t>
            </w:r>
            <w:r w:rsidR="00BD18F7">
              <w:rPr>
                <w:b/>
                <w:szCs w:val="20"/>
              </w:rPr>
              <w:t>2.12</w:t>
            </w:r>
            <w:r w:rsidR="0098594A" w:rsidRPr="0098594A">
              <w:rPr>
                <w:b/>
                <w:szCs w:val="20"/>
              </w:rPr>
              <w:t xml:space="preserve"> Podíl nezaměstnaných osob v republice, ve Zlínském kraji a jeho okresech (k 31. 12.)</w:t>
            </w:r>
          </w:p>
        </w:tc>
      </w:tr>
      <w:tr w:rsidR="00700BDD" w:rsidTr="00057F4A">
        <w:trPr>
          <w:gridAfter w:val="3"/>
          <w:wAfter w:w="207" w:type="dxa"/>
          <w:trHeight w:val="4152"/>
        </w:trPr>
        <w:tc>
          <w:tcPr>
            <w:tcW w:w="9579" w:type="dxa"/>
            <w:gridSpan w:val="11"/>
            <w:tcMar>
              <w:left w:w="85" w:type="dxa"/>
              <w:right w:w="85" w:type="dxa"/>
            </w:tcMar>
            <w:vAlign w:val="center"/>
          </w:tcPr>
          <w:p w:rsidR="00700BDD" w:rsidRPr="00C35058" w:rsidRDefault="009956CB" w:rsidP="00700BDD">
            <w:pPr>
              <w:spacing w:after="120"/>
              <w:rPr>
                <w:szCs w:val="20"/>
                <w:highlight w:val="yellow"/>
              </w:rPr>
            </w:pPr>
            <w:r w:rsidRPr="00286EFA">
              <w:rPr>
                <w:szCs w:val="20"/>
              </w:rPr>
              <w:pict>
                <v:shape id="_x0000_i1054" type="#_x0000_t75" style="width:470.25pt;height:197.25pt">
                  <v:imagedata r:id="rId47" o:title=""/>
                </v:shape>
              </w:pict>
            </w:r>
          </w:p>
          <w:p w:rsidR="00366E04" w:rsidRPr="00C35058" w:rsidRDefault="00366E04" w:rsidP="00700BDD">
            <w:pPr>
              <w:spacing w:after="120"/>
              <w:rPr>
                <w:szCs w:val="20"/>
                <w:highlight w:val="yellow"/>
              </w:rPr>
            </w:pPr>
          </w:p>
        </w:tc>
      </w:tr>
      <w:tr w:rsidR="00915780" w:rsidTr="00057F4A">
        <w:trPr>
          <w:gridAfter w:val="3"/>
          <w:wAfter w:w="207" w:type="dxa"/>
          <w:trHeight w:val="539"/>
        </w:trPr>
        <w:tc>
          <w:tcPr>
            <w:tcW w:w="2346" w:type="dxa"/>
            <w:gridSpan w:val="6"/>
            <w:tcMar>
              <w:left w:w="85" w:type="dxa"/>
              <w:right w:w="85" w:type="dxa"/>
            </w:tcMar>
            <w:vAlign w:val="center"/>
          </w:tcPr>
          <w:p w:rsidR="00915780" w:rsidRPr="00C35058" w:rsidRDefault="00915780" w:rsidP="002975F1">
            <w:pPr>
              <w:jc w:val="left"/>
              <w:rPr>
                <w:b/>
                <w:highlight w:val="yellow"/>
              </w:rPr>
            </w:pPr>
          </w:p>
        </w:tc>
        <w:tc>
          <w:tcPr>
            <w:tcW w:w="7233" w:type="dxa"/>
            <w:gridSpan w:val="5"/>
            <w:vAlign w:val="center"/>
          </w:tcPr>
          <w:p w:rsidR="00915780" w:rsidRDefault="00915780" w:rsidP="00915780">
            <w:pPr>
              <w:spacing w:before="60" w:after="60"/>
            </w:pPr>
            <w:r w:rsidRPr="00915780">
              <w:t>Ve jmenovaných letech byl nejnižší podíl zachycen v uherskohradišťském okrese. Podíl nezaměstnaných Zlínského kraje byl ve sledovaném období vyšší než v okresech Zlín a Uherské Hradiště. Také hodnoty za celou republiku byly vyšší než okresu Uherské Hradiště a Zlín kromě roku 2009. V letech 2010 a</w:t>
            </w:r>
            <w:r w:rsidR="00A75DE3">
              <w:t> </w:t>
            </w:r>
            <w:r w:rsidRPr="00915780">
              <w:t>2012 uherskohradišťské hodnoty podílu převyšovaly republikové hodnoty.</w:t>
            </w:r>
          </w:p>
          <w:p w:rsidR="00915780" w:rsidRDefault="00915780" w:rsidP="00915780">
            <w:pPr>
              <w:spacing w:before="60" w:after="60"/>
              <w:rPr>
                <w:highlight w:val="yellow"/>
              </w:rPr>
            </w:pPr>
          </w:p>
          <w:p w:rsidR="00371241" w:rsidRPr="00915780" w:rsidRDefault="00371241" w:rsidP="00915780">
            <w:pPr>
              <w:spacing w:before="60" w:after="60"/>
              <w:rPr>
                <w:highlight w:val="yellow"/>
              </w:rPr>
            </w:pPr>
          </w:p>
        </w:tc>
      </w:tr>
      <w:tr w:rsidR="00700BDD" w:rsidTr="00057F4A">
        <w:trPr>
          <w:gridAfter w:val="3"/>
          <w:wAfter w:w="207" w:type="dxa"/>
          <w:trHeight w:val="539"/>
        </w:trPr>
        <w:tc>
          <w:tcPr>
            <w:tcW w:w="9579" w:type="dxa"/>
            <w:gridSpan w:val="11"/>
            <w:tcMar>
              <w:left w:w="85" w:type="dxa"/>
              <w:right w:w="85" w:type="dxa"/>
            </w:tcMar>
            <w:vAlign w:val="center"/>
          </w:tcPr>
          <w:p w:rsidR="00861566" w:rsidRPr="00C35058" w:rsidRDefault="00700BDD" w:rsidP="00BD18F7">
            <w:pPr>
              <w:jc w:val="left"/>
              <w:rPr>
                <w:szCs w:val="20"/>
                <w:highlight w:val="yellow"/>
              </w:rPr>
            </w:pPr>
            <w:r w:rsidRPr="00861566">
              <w:rPr>
                <w:b/>
              </w:rPr>
              <w:t xml:space="preserve">Graf </w:t>
            </w:r>
            <w:r w:rsidR="00BD18F7">
              <w:rPr>
                <w:b/>
              </w:rPr>
              <w:t>2.13</w:t>
            </w:r>
            <w:r w:rsidRPr="00861566">
              <w:rPr>
                <w:b/>
              </w:rPr>
              <w:t xml:space="preserve"> Nezaměstnaní a podíly nezaměstnaných ve Zlínském kraji a ČR</w:t>
            </w:r>
          </w:p>
        </w:tc>
      </w:tr>
      <w:tr w:rsidR="004120AB" w:rsidTr="00057F4A">
        <w:trPr>
          <w:gridAfter w:val="3"/>
          <w:wAfter w:w="207" w:type="dxa"/>
          <w:trHeight w:val="3450"/>
        </w:trPr>
        <w:tc>
          <w:tcPr>
            <w:tcW w:w="9579" w:type="dxa"/>
            <w:gridSpan w:val="11"/>
            <w:tcMar>
              <w:left w:w="85" w:type="dxa"/>
              <w:right w:w="85" w:type="dxa"/>
            </w:tcMar>
            <w:vAlign w:val="center"/>
          </w:tcPr>
          <w:p w:rsidR="004120AB" w:rsidRPr="00C35058" w:rsidRDefault="009956CB" w:rsidP="003220D2">
            <w:pPr>
              <w:jc w:val="center"/>
              <w:rPr>
                <w:b/>
                <w:highlight w:val="yellow"/>
              </w:rPr>
            </w:pPr>
            <w:r w:rsidRPr="00286EFA">
              <w:rPr>
                <w:szCs w:val="20"/>
              </w:rPr>
              <w:pict>
                <v:shape id="_x0000_i1055" type="#_x0000_t75" style="width:481.5pt;height:224.25pt">
                  <v:imagedata r:id="rId48" o:title=""/>
                </v:shape>
              </w:pict>
            </w:r>
          </w:p>
        </w:tc>
      </w:tr>
      <w:tr w:rsidR="004B721B" w:rsidTr="00057F4A">
        <w:trPr>
          <w:gridBefore w:val="1"/>
          <w:gridAfter w:val="3"/>
          <w:wBefore w:w="15" w:type="dxa"/>
          <w:wAfter w:w="207" w:type="dxa"/>
        </w:trPr>
        <w:tc>
          <w:tcPr>
            <w:tcW w:w="2367" w:type="dxa"/>
            <w:gridSpan w:val="6"/>
          </w:tcPr>
          <w:p w:rsidR="004B721B" w:rsidRPr="00C35058" w:rsidRDefault="004B721B" w:rsidP="00521988">
            <w:pPr>
              <w:spacing w:before="60" w:after="60"/>
              <w:jc w:val="left"/>
              <w:rPr>
                <w:b/>
                <w:i/>
                <w:highlight w:val="yellow"/>
                <w:u w:val="single"/>
              </w:rPr>
            </w:pPr>
          </w:p>
        </w:tc>
        <w:tc>
          <w:tcPr>
            <w:tcW w:w="7197" w:type="dxa"/>
            <w:gridSpan w:val="4"/>
          </w:tcPr>
          <w:p w:rsidR="004B721B" w:rsidRDefault="004B721B" w:rsidP="008B13B3">
            <w:pPr>
              <w:pStyle w:val="text"/>
              <w:rPr>
                <w:rFonts w:eastAsia="+mn-ea" w:cs="Arial"/>
                <w:color w:val="000000"/>
                <w:szCs w:val="20"/>
                <w:highlight w:val="yellow"/>
              </w:rPr>
            </w:pPr>
          </w:p>
          <w:p w:rsidR="00827D9A" w:rsidRPr="00C35058" w:rsidRDefault="00827D9A" w:rsidP="008B13B3">
            <w:pPr>
              <w:pStyle w:val="text"/>
              <w:rPr>
                <w:rFonts w:eastAsia="+mn-ea" w:cs="Arial"/>
                <w:color w:val="000000"/>
                <w:szCs w:val="20"/>
                <w:highlight w:val="yellow"/>
              </w:rPr>
            </w:pPr>
          </w:p>
        </w:tc>
      </w:tr>
      <w:tr w:rsidR="004B721B" w:rsidTr="00057F4A">
        <w:trPr>
          <w:gridBefore w:val="1"/>
          <w:gridAfter w:val="3"/>
          <w:wBefore w:w="15" w:type="dxa"/>
          <w:wAfter w:w="207" w:type="dxa"/>
        </w:trPr>
        <w:tc>
          <w:tcPr>
            <w:tcW w:w="9564" w:type="dxa"/>
            <w:gridSpan w:val="10"/>
          </w:tcPr>
          <w:p w:rsidR="004B721B" w:rsidRPr="004B721B" w:rsidRDefault="004B721B" w:rsidP="00BD18F7">
            <w:pPr>
              <w:pStyle w:val="text"/>
              <w:rPr>
                <w:rFonts w:eastAsia="+mn-ea" w:cs="Arial"/>
                <w:b/>
                <w:color w:val="000000"/>
                <w:szCs w:val="20"/>
                <w:highlight w:val="yellow"/>
              </w:rPr>
            </w:pPr>
            <w:r w:rsidRPr="004B721B">
              <w:rPr>
                <w:rFonts w:eastAsia="+mn-ea" w:cs="Arial"/>
                <w:b/>
                <w:color w:val="000000"/>
                <w:szCs w:val="20"/>
              </w:rPr>
              <w:lastRenderedPageBreak/>
              <w:t xml:space="preserve">Graf </w:t>
            </w:r>
            <w:r w:rsidR="00BD18F7">
              <w:rPr>
                <w:rFonts w:eastAsia="+mn-ea" w:cs="Arial"/>
                <w:b/>
                <w:color w:val="000000"/>
                <w:szCs w:val="20"/>
              </w:rPr>
              <w:t>2.14</w:t>
            </w:r>
            <w:r w:rsidRPr="004B721B">
              <w:rPr>
                <w:rFonts w:eastAsia="+mn-ea" w:cs="Arial"/>
                <w:b/>
                <w:color w:val="000000"/>
                <w:szCs w:val="20"/>
              </w:rPr>
              <w:t xml:space="preserve"> Nezaměstnaní a jejich podíl na obyvatelstvu podle správních obvodů obcí s rozšířenou působností Zlínského kraje k 31. 12. 2014</w:t>
            </w:r>
          </w:p>
        </w:tc>
      </w:tr>
      <w:tr w:rsidR="004B721B" w:rsidTr="00057F4A">
        <w:trPr>
          <w:gridBefore w:val="1"/>
          <w:gridAfter w:val="3"/>
          <w:wBefore w:w="15" w:type="dxa"/>
          <w:wAfter w:w="207" w:type="dxa"/>
        </w:trPr>
        <w:tc>
          <w:tcPr>
            <w:tcW w:w="9564" w:type="dxa"/>
            <w:gridSpan w:val="10"/>
          </w:tcPr>
          <w:p w:rsidR="004B721B" w:rsidRPr="00C35058" w:rsidRDefault="009956CB" w:rsidP="004B721B">
            <w:pPr>
              <w:pStyle w:val="text"/>
              <w:jc w:val="center"/>
              <w:rPr>
                <w:rFonts w:eastAsia="+mn-ea" w:cs="Arial"/>
                <w:color w:val="000000"/>
                <w:szCs w:val="20"/>
                <w:highlight w:val="yellow"/>
              </w:rPr>
            </w:pPr>
            <w:r w:rsidRPr="00286EFA">
              <w:rPr>
                <w:szCs w:val="20"/>
              </w:rPr>
              <w:pict>
                <v:shape id="_x0000_i1056" type="#_x0000_t75" style="width:471.75pt;height:233.25pt">
                  <v:imagedata r:id="rId49" o:title=""/>
                </v:shape>
              </w:pict>
            </w:r>
          </w:p>
        </w:tc>
      </w:tr>
      <w:tr w:rsidR="00521988" w:rsidTr="00057F4A">
        <w:trPr>
          <w:gridBefore w:val="1"/>
          <w:gridAfter w:val="3"/>
          <w:wBefore w:w="15" w:type="dxa"/>
          <w:wAfter w:w="207" w:type="dxa"/>
        </w:trPr>
        <w:tc>
          <w:tcPr>
            <w:tcW w:w="2367" w:type="dxa"/>
            <w:gridSpan w:val="6"/>
          </w:tcPr>
          <w:p w:rsidR="00521988" w:rsidRPr="00036974" w:rsidRDefault="00521988" w:rsidP="00521988">
            <w:pPr>
              <w:spacing w:before="60" w:after="60"/>
              <w:jc w:val="left"/>
              <w:rPr>
                <w:b/>
                <w:i/>
                <w:szCs w:val="20"/>
                <w:u w:val="single"/>
              </w:rPr>
            </w:pPr>
            <w:r w:rsidRPr="00036974">
              <w:rPr>
                <w:b/>
                <w:i/>
                <w:u w:val="single"/>
              </w:rPr>
              <w:t>Mzdy</w:t>
            </w:r>
          </w:p>
          <w:p w:rsidR="00521988" w:rsidRPr="00C35058" w:rsidRDefault="00521988" w:rsidP="00521988">
            <w:pPr>
              <w:pStyle w:val="text"/>
              <w:jc w:val="left"/>
              <w:rPr>
                <w:b/>
                <w:bCs/>
                <w:i/>
                <w:iCs/>
                <w:highlight w:val="yellow"/>
              </w:rPr>
            </w:pPr>
            <w:r w:rsidRPr="00036974">
              <w:rPr>
                <w:b/>
                <w:i/>
                <w:szCs w:val="20"/>
              </w:rPr>
              <w:t>Dlouhodobě nízká mzdová úroveň</w:t>
            </w:r>
          </w:p>
        </w:tc>
        <w:tc>
          <w:tcPr>
            <w:tcW w:w="7197" w:type="dxa"/>
            <w:gridSpan w:val="4"/>
          </w:tcPr>
          <w:p w:rsidR="00521988" w:rsidRPr="00C35058" w:rsidRDefault="00036974" w:rsidP="008B13B3">
            <w:pPr>
              <w:pStyle w:val="text"/>
              <w:rPr>
                <w:highlight w:val="yellow"/>
              </w:rPr>
            </w:pPr>
            <w:r>
              <w:rPr>
                <w:rFonts w:eastAsia="+mn-ea" w:cs="Arial"/>
                <w:color w:val="000000"/>
                <w:szCs w:val="20"/>
              </w:rPr>
              <w:t>Průměrné mzdy v kraji jsou dlouhodobě nejnižší, případně druhé nejnižší mezi kraji. V roce 2014 dosáhla průměrná mzda výše 23 873 Kč a byla o 1 166 Kč vyšší než minimum mezi kraji (Karlovarský kraj) a proti celorepublikovému průměru zaostávala o 3 129 Kč. Ve srovnání s předchozím rokem došlo k jejímu nominálnímu zvýšení o 3,5 %. Vlivem meziročního nárůstu spotřebitelských cen (míra inflace v roce 2014 v ČR činila 0,4</w:t>
            </w:r>
            <w:r w:rsidR="00BC2A56">
              <w:rPr>
                <w:rFonts w:eastAsia="+mn-ea" w:cs="Arial"/>
                <w:color w:val="000000"/>
                <w:szCs w:val="20"/>
              </w:rPr>
              <w:t xml:space="preserve"> </w:t>
            </w:r>
            <w:r>
              <w:rPr>
                <w:rFonts w:eastAsia="+mn-ea" w:cs="Arial"/>
                <w:color w:val="000000"/>
                <w:szCs w:val="20"/>
              </w:rPr>
              <w:t xml:space="preserve">%) představuje reálné zvýšení mezd 3,1 %. </w:t>
            </w:r>
          </w:p>
        </w:tc>
      </w:tr>
      <w:tr w:rsidR="00036974" w:rsidTr="00057F4A">
        <w:trPr>
          <w:gridBefore w:val="1"/>
          <w:gridAfter w:val="3"/>
          <w:wBefore w:w="15" w:type="dxa"/>
          <w:wAfter w:w="207" w:type="dxa"/>
        </w:trPr>
        <w:tc>
          <w:tcPr>
            <w:tcW w:w="2367" w:type="dxa"/>
            <w:gridSpan w:val="6"/>
          </w:tcPr>
          <w:p w:rsidR="00036974" w:rsidRPr="00C35058" w:rsidRDefault="00036974" w:rsidP="008B13B3">
            <w:pPr>
              <w:spacing w:before="60" w:after="60"/>
              <w:jc w:val="left"/>
              <w:rPr>
                <w:b/>
                <w:i/>
                <w:szCs w:val="20"/>
                <w:highlight w:val="yellow"/>
              </w:rPr>
            </w:pPr>
            <w:r>
              <w:rPr>
                <w:b/>
                <w:i/>
                <w:szCs w:val="20"/>
              </w:rPr>
              <w:t>Prohlubuje se rozdíl mezi průměrnou mzdou mužů a žen</w:t>
            </w:r>
          </w:p>
        </w:tc>
        <w:tc>
          <w:tcPr>
            <w:tcW w:w="7197" w:type="dxa"/>
            <w:gridSpan w:val="4"/>
            <w:vAlign w:val="center"/>
          </w:tcPr>
          <w:p w:rsidR="00036974" w:rsidRPr="00054165" w:rsidRDefault="00036974" w:rsidP="00BC2A56">
            <w:pPr>
              <w:pStyle w:val="Normlnweb"/>
              <w:spacing w:before="60" w:beforeAutospacing="0" w:after="60" w:afterAutospacing="0"/>
              <w:jc w:val="both"/>
              <w:rPr>
                <w:rFonts w:ascii="Arial" w:eastAsia="+mn-ea" w:hAnsi="Arial" w:cs="Arial"/>
                <w:color w:val="000000"/>
                <w:sz w:val="20"/>
                <w:szCs w:val="20"/>
              </w:rPr>
            </w:pPr>
            <w:r w:rsidRPr="00A3316A">
              <w:rPr>
                <w:rFonts w:ascii="Arial" w:eastAsia="+mn-ea" w:hAnsi="Arial" w:cs="Arial"/>
                <w:color w:val="000000"/>
                <w:sz w:val="20"/>
                <w:szCs w:val="20"/>
              </w:rPr>
              <w:t>Rychlejší</w:t>
            </w:r>
            <w:r>
              <w:rPr>
                <w:rFonts w:ascii="Arial" w:eastAsia="+mn-ea" w:hAnsi="Arial" w:cs="Arial"/>
                <w:color w:val="000000"/>
                <w:sz w:val="20"/>
                <w:szCs w:val="20"/>
              </w:rPr>
              <w:t xml:space="preserve"> </w:t>
            </w:r>
            <w:r w:rsidRPr="00A3316A">
              <w:rPr>
                <w:rFonts w:ascii="Arial" w:eastAsia="+mn-ea" w:hAnsi="Arial" w:cs="Arial"/>
                <w:color w:val="000000"/>
                <w:sz w:val="20"/>
                <w:szCs w:val="20"/>
              </w:rPr>
              <w:t xml:space="preserve">meziroční nárůst průměrných mezd mužů </w:t>
            </w:r>
            <w:r w:rsidR="00BC2A56">
              <w:rPr>
                <w:rFonts w:ascii="Arial" w:eastAsia="+mn-ea" w:hAnsi="Arial" w:cs="Arial"/>
                <w:color w:val="000000"/>
                <w:sz w:val="20"/>
                <w:szCs w:val="20"/>
              </w:rPr>
              <w:t>zvětšil</w:t>
            </w:r>
            <w:r w:rsidRPr="00A3316A">
              <w:rPr>
                <w:rFonts w:ascii="Arial" w:eastAsia="+mn-ea" w:hAnsi="Arial" w:cs="Arial"/>
                <w:color w:val="000000"/>
                <w:sz w:val="20"/>
                <w:szCs w:val="20"/>
              </w:rPr>
              <w:t xml:space="preserve"> rozdíl mezi průměrnou mzdou mužů a žen na více než 7 tis. Kč. V roce 2014 byla průměrná mzda mužů 27 004 Kč a meziročně vzrostla o 4,3 %. U žen byl nárůst</w:t>
            </w:r>
            <w:r>
              <w:rPr>
                <w:rFonts w:ascii="Arial" w:eastAsia="+mn-ea" w:hAnsi="Arial" w:cs="Arial"/>
                <w:color w:val="000000"/>
                <w:sz w:val="20"/>
                <w:szCs w:val="20"/>
              </w:rPr>
              <w:t xml:space="preserve"> </w:t>
            </w:r>
            <w:r w:rsidRPr="00A3316A">
              <w:rPr>
                <w:rFonts w:ascii="Arial" w:eastAsia="+mn-ea" w:hAnsi="Arial" w:cs="Arial"/>
                <w:color w:val="000000"/>
                <w:sz w:val="20"/>
                <w:szCs w:val="20"/>
              </w:rPr>
              <w:t>2,6 % a 19 966 Kč předs</w:t>
            </w:r>
            <w:r>
              <w:rPr>
                <w:rFonts w:ascii="Arial" w:eastAsia="+mn-ea" w:hAnsi="Arial" w:cs="Arial"/>
                <w:color w:val="000000"/>
                <w:sz w:val="20"/>
                <w:szCs w:val="20"/>
              </w:rPr>
              <w:t xml:space="preserve">tavuje nejnižší </w:t>
            </w:r>
            <w:r w:rsidR="00BC2A56">
              <w:rPr>
                <w:rFonts w:ascii="Arial" w:eastAsia="+mn-ea" w:hAnsi="Arial" w:cs="Arial"/>
                <w:color w:val="000000"/>
                <w:sz w:val="20"/>
                <w:szCs w:val="20"/>
              </w:rPr>
              <w:t xml:space="preserve">průměrnou </w:t>
            </w:r>
            <w:r>
              <w:rPr>
                <w:rFonts w:ascii="Arial" w:eastAsia="+mn-ea" w:hAnsi="Arial" w:cs="Arial"/>
                <w:color w:val="000000"/>
                <w:sz w:val="20"/>
                <w:szCs w:val="20"/>
              </w:rPr>
              <w:t>mzdu mezi kraji.</w:t>
            </w:r>
          </w:p>
        </w:tc>
      </w:tr>
      <w:tr w:rsidR="00036974" w:rsidTr="00057F4A">
        <w:trPr>
          <w:gridBefore w:val="1"/>
          <w:gridAfter w:val="3"/>
          <w:wBefore w:w="15" w:type="dxa"/>
          <w:wAfter w:w="207" w:type="dxa"/>
        </w:trPr>
        <w:tc>
          <w:tcPr>
            <w:tcW w:w="2367" w:type="dxa"/>
            <w:gridSpan w:val="6"/>
          </w:tcPr>
          <w:p w:rsidR="00036974" w:rsidRPr="00036974" w:rsidRDefault="00036974" w:rsidP="008B13B3">
            <w:pPr>
              <w:pStyle w:val="text"/>
              <w:jc w:val="left"/>
              <w:rPr>
                <w:b/>
                <w:bCs/>
                <w:i/>
                <w:iCs/>
              </w:rPr>
            </w:pPr>
            <w:r w:rsidRPr="00036974">
              <w:rPr>
                <w:b/>
                <w:i/>
                <w:szCs w:val="20"/>
              </w:rPr>
              <w:t xml:space="preserve">Medián mezd žen nejnižší mezi kraji </w:t>
            </w:r>
          </w:p>
        </w:tc>
        <w:tc>
          <w:tcPr>
            <w:tcW w:w="7197" w:type="dxa"/>
            <w:gridSpan w:val="4"/>
            <w:vAlign w:val="center"/>
          </w:tcPr>
          <w:p w:rsidR="00036974" w:rsidRPr="006C29BD" w:rsidRDefault="00036974" w:rsidP="005C5094">
            <w:pPr>
              <w:pStyle w:val="Normlnweb"/>
              <w:spacing w:before="60" w:beforeAutospacing="0" w:after="60" w:afterAutospacing="0"/>
              <w:jc w:val="both"/>
              <w:rPr>
                <w:rFonts w:eastAsia="+mn-ea" w:cs="Arial"/>
                <w:color w:val="000000"/>
                <w:szCs w:val="20"/>
              </w:rPr>
            </w:pPr>
            <w:r>
              <w:rPr>
                <w:rFonts w:ascii="Arial" w:eastAsia="+mn-ea" w:hAnsi="Arial" w:cs="Arial"/>
                <w:color w:val="000000"/>
                <w:sz w:val="20"/>
                <w:szCs w:val="20"/>
              </w:rPr>
              <w:t>T</w:t>
            </w:r>
            <w:r w:rsidRPr="00353F86">
              <w:rPr>
                <w:rFonts w:ascii="Arial" w:eastAsia="+mn-ea" w:hAnsi="Arial" w:cs="Arial"/>
                <w:color w:val="000000"/>
                <w:sz w:val="20"/>
                <w:szCs w:val="20"/>
              </w:rPr>
              <w:t xml:space="preserve">aké hodnocení mzdové úrovně krajů na základě mediánu hrubých měsíčních mezd řadí </w:t>
            </w:r>
            <w:r>
              <w:rPr>
                <w:rFonts w:ascii="Arial" w:eastAsia="+mn-ea" w:hAnsi="Arial" w:cs="Arial"/>
                <w:color w:val="000000"/>
                <w:sz w:val="20"/>
                <w:szCs w:val="20"/>
              </w:rPr>
              <w:t>region</w:t>
            </w:r>
            <w:r w:rsidRPr="00353F86">
              <w:rPr>
                <w:rFonts w:ascii="Arial" w:eastAsia="+mn-ea" w:hAnsi="Arial" w:cs="Arial"/>
                <w:color w:val="000000"/>
                <w:sz w:val="20"/>
                <w:szCs w:val="20"/>
              </w:rPr>
              <w:t xml:space="preserve"> na </w:t>
            </w:r>
            <w:r>
              <w:rPr>
                <w:rFonts w:ascii="Arial" w:eastAsia="+mn-ea" w:hAnsi="Arial" w:cs="Arial"/>
                <w:color w:val="000000"/>
                <w:sz w:val="20"/>
                <w:szCs w:val="20"/>
              </w:rPr>
              <w:t xml:space="preserve">předposlední </w:t>
            </w:r>
            <w:r w:rsidRPr="00353F86">
              <w:rPr>
                <w:rFonts w:ascii="Arial" w:eastAsia="+mn-ea" w:hAnsi="Arial" w:cs="Arial"/>
                <w:color w:val="000000"/>
                <w:sz w:val="20"/>
                <w:szCs w:val="20"/>
              </w:rPr>
              <w:t>pozici</w:t>
            </w:r>
            <w:r>
              <w:rPr>
                <w:rFonts w:ascii="Arial" w:eastAsia="+mn-ea" w:hAnsi="Arial" w:cs="Arial"/>
                <w:color w:val="000000"/>
                <w:sz w:val="20"/>
                <w:szCs w:val="20"/>
              </w:rPr>
              <w:t xml:space="preserve"> mezi kraji</w:t>
            </w:r>
            <w:r w:rsidRPr="00353F86">
              <w:rPr>
                <w:rFonts w:ascii="Arial" w:eastAsia="+mn-ea" w:hAnsi="Arial" w:cs="Arial"/>
                <w:color w:val="000000"/>
                <w:sz w:val="20"/>
                <w:szCs w:val="20"/>
              </w:rPr>
              <w:t xml:space="preserve">. </w:t>
            </w:r>
            <w:r>
              <w:rPr>
                <w:rFonts w:ascii="Arial" w:eastAsia="+mn-ea" w:hAnsi="Arial" w:cs="Arial"/>
                <w:color w:val="000000"/>
                <w:sz w:val="20"/>
                <w:szCs w:val="20"/>
              </w:rPr>
              <w:t>V roce 2014 činil medián mezd v kraji 21 542 Kč, u mužů dosahoval 23 873 Kč a u žen 18 198 Kč. V roce 2014 tvořil medián 90,2 % průměrných mezd v</w:t>
            </w:r>
            <w:r w:rsidR="00432D31">
              <w:rPr>
                <w:rFonts w:ascii="Arial" w:eastAsia="+mn-ea" w:hAnsi="Arial" w:cs="Arial"/>
                <w:color w:val="000000"/>
                <w:sz w:val="20"/>
                <w:szCs w:val="20"/>
              </w:rPr>
              <w:t> </w:t>
            </w:r>
            <w:r>
              <w:rPr>
                <w:rFonts w:ascii="Arial" w:eastAsia="+mn-ea" w:hAnsi="Arial" w:cs="Arial"/>
                <w:color w:val="000000"/>
                <w:sz w:val="20"/>
                <w:szCs w:val="20"/>
              </w:rPr>
              <w:t>kraji</w:t>
            </w:r>
            <w:r w:rsidR="00432D31">
              <w:rPr>
                <w:rFonts w:ascii="Arial" w:eastAsia="+mn-ea" w:hAnsi="Arial" w:cs="Arial"/>
                <w:color w:val="000000"/>
                <w:sz w:val="20"/>
                <w:szCs w:val="20"/>
              </w:rPr>
              <w:t>.</w:t>
            </w:r>
            <w:r>
              <w:rPr>
                <w:rFonts w:ascii="Arial" w:eastAsia="+mn-ea" w:hAnsi="Arial" w:cs="Arial"/>
                <w:color w:val="000000"/>
                <w:sz w:val="20"/>
                <w:szCs w:val="20"/>
              </w:rPr>
              <w:t xml:space="preserve"> Více se odchyloval od průměru u mužů (o 11,6 %) než u žen (o 8,9 %).</w:t>
            </w:r>
          </w:p>
        </w:tc>
      </w:tr>
      <w:tr w:rsidR="00036974" w:rsidTr="00057F4A">
        <w:trPr>
          <w:gridBefore w:val="1"/>
          <w:gridAfter w:val="3"/>
          <w:wBefore w:w="15" w:type="dxa"/>
          <w:wAfter w:w="207" w:type="dxa"/>
        </w:trPr>
        <w:tc>
          <w:tcPr>
            <w:tcW w:w="2367" w:type="dxa"/>
            <w:gridSpan w:val="6"/>
          </w:tcPr>
          <w:p w:rsidR="00036974" w:rsidRPr="00036974" w:rsidRDefault="00036974" w:rsidP="00D8303B">
            <w:pPr>
              <w:spacing w:before="60" w:after="60"/>
              <w:jc w:val="left"/>
              <w:rPr>
                <w:b/>
                <w:szCs w:val="20"/>
                <w:u w:val="single"/>
              </w:rPr>
            </w:pPr>
            <w:r w:rsidRPr="00036974">
              <w:rPr>
                <w:b/>
                <w:i/>
                <w:szCs w:val="20"/>
                <w:u w:val="single"/>
              </w:rPr>
              <w:t>Důchody</w:t>
            </w:r>
          </w:p>
          <w:p w:rsidR="00036974" w:rsidRPr="00C35058" w:rsidRDefault="00036974" w:rsidP="00D8303B">
            <w:pPr>
              <w:pStyle w:val="text"/>
              <w:jc w:val="left"/>
              <w:rPr>
                <w:b/>
                <w:bCs/>
                <w:i/>
                <w:iCs/>
                <w:highlight w:val="yellow"/>
              </w:rPr>
            </w:pPr>
            <w:r>
              <w:rPr>
                <w:b/>
                <w:i/>
                <w:szCs w:val="20"/>
              </w:rPr>
              <w:t>Počet příjemců důchodů se meziročně mírně snížil</w:t>
            </w:r>
          </w:p>
        </w:tc>
        <w:tc>
          <w:tcPr>
            <w:tcW w:w="7197" w:type="dxa"/>
            <w:gridSpan w:val="4"/>
            <w:vAlign w:val="center"/>
          </w:tcPr>
          <w:p w:rsidR="00036974" w:rsidRPr="00D32DCC" w:rsidRDefault="00036974" w:rsidP="00432D31">
            <w:pPr>
              <w:spacing w:before="60" w:after="60"/>
              <w:rPr>
                <w:szCs w:val="20"/>
              </w:rPr>
            </w:pPr>
            <w:r w:rsidRPr="00FA30DF">
              <w:rPr>
                <w:rFonts w:cs="Arial"/>
                <w:color w:val="000000"/>
                <w:szCs w:val="20"/>
              </w:rPr>
              <w:t xml:space="preserve">Snižování počtu příjemců důchodu pokračovalo ve Zlínském kraji i v roce 2014, pokles však byl mírnější než v předchozích letech, představoval necelých 200 osob. Proti roku 2011, kdy počet příjemců důchodu v kraji dosáhl nejvyšší hodnoty za posledních 20 let (168,4 tis. osob), klesl téměř o 2 tis. osob. Celkem v roce 2014 pobíralo v kraji </w:t>
            </w:r>
            <w:r>
              <w:rPr>
                <w:rFonts w:cs="Arial"/>
                <w:color w:val="000000"/>
                <w:szCs w:val="20"/>
              </w:rPr>
              <w:t xml:space="preserve">nějaký druh </w:t>
            </w:r>
            <w:r w:rsidRPr="00FA30DF">
              <w:rPr>
                <w:rFonts w:cs="Arial"/>
                <w:color w:val="000000"/>
                <w:szCs w:val="20"/>
              </w:rPr>
              <w:t>důchod</w:t>
            </w:r>
            <w:r>
              <w:rPr>
                <w:rFonts w:cs="Arial"/>
                <w:color w:val="000000"/>
                <w:szCs w:val="20"/>
              </w:rPr>
              <w:t>u</w:t>
            </w:r>
            <w:r w:rsidRPr="00FA30DF">
              <w:rPr>
                <w:rFonts w:cs="Arial"/>
                <w:color w:val="000000"/>
                <w:szCs w:val="20"/>
              </w:rPr>
              <w:t xml:space="preserve"> 167,3 tis. osob</w:t>
            </w:r>
            <w:r>
              <w:rPr>
                <w:rFonts w:cs="Arial"/>
                <w:color w:val="000000"/>
                <w:szCs w:val="20"/>
              </w:rPr>
              <w:t>.</w:t>
            </w:r>
          </w:p>
        </w:tc>
      </w:tr>
      <w:tr w:rsidR="00036974" w:rsidTr="00057F4A">
        <w:trPr>
          <w:gridBefore w:val="1"/>
          <w:gridAfter w:val="3"/>
          <w:wBefore w:w="15" w:type="dxa"/>
          <w:wAfter w:w="207" w:type="dxa"/>
        </w:trPr>
        <w:tc>
          <w:tcPr>
            <w:tcW w:w="2367" w:type="dxa"/>
            <w:gridSpan w:val="6"/>
          </w:tcPr>
          <w:p w:rsidR="00036974" w:rsidRPr="00FA30DF" w:rsidRDefault="00036974" w:rsidP="009D7F3D">
            <w:pPr>
              <w:pStyle w:val="normalnsodrkami"/>
              <w:numPr>
                <w:ilvl w:val="0"/>
                <w:numId w:val="0"/>
              </w:numPr>
              <w:jc w:val="left"/>
              <w:rPr>
                <w:b/>
                <w:i/>
                <w:szCs w:val="20"/>
                <w:highlight w:val="yellow"/>
              </w:rPr>
            </w:pPr>
            <w:r>
              <w:rPr>
                <w:b/>
                <w:i/>
                <w:szCs w:val="20"/>
              </w:rPr>
              <w:t>Meziroční nárůst p</w:t>
            </w:r>
            <w:r w:rsidRPr="00881D99">
              <w:rPr>
                <w:b/>
                <w:i/>
                <w:szCs w:val="20"/>
              </w:rPr>
              <w:t>oč</w:t>
            </w:r>
            <w:r>
              <w:rPr>
                <w:b/>
                <w:i/>
                <w:szCs w:val="20"/>
              </w:rPr>
              <w:t xml:space="preserve">tu starobních důchodců </w:t>
            </w:r>
            <w:r w:rsidRPr="00881D99">
              <w:rPr>
                <w:b/>
                <w:i/>
                <w:szCs w:val="20"/>
              </w:rPr>
              <w:t>o</w:t>
            </w:r>
            <w:r w:rsidR="009D7F3D">
              <w:rPr>
                <w:b/>
                <w:i/>
                <w:szCs w:val="20"/>
              </w:rPr>
              <w:t> </w:t>
            </w:r>
            <w:r w:rsidRPr="00881D99">
              <w:rPr>
                <w:b/>
                <w:i/>
                <w:szCs w:val="20"/>
              </w:rPr>
              <w:t xml:space="preserve">0,6 % </w:t>
            </w:r>
          </w:p>
        </w:tc>
        <w:tc>
          <w:tcPr>
            <w:tcW w:w="7197" w:type="dxa"/>
            <w:gridSpan w:val="4"/>
            <w:vAlign w:val="center"/>
          </w:tcPr>
          <w:p w:rsidR="00036974" w:rsidRPr="00881D99" w:rsidRDefault="00036974" w:rsidP="009D7F3D">
            <w:pPr>
              <w:spacing w:before="60" w:after="60"/>
              <w:rPr>
                <w:rFonts w:cs="Arial"/>
                <w:color w:val="000000"/>
                <w:szCs w:val="20"/>
              </w:rPr>
            </w:pPr>
            <w:r w:rsidRPr="007F1681">
              <w:rPr>
                <w:rFonts w:cs="Arial"/>
                <w:color w:val="000000"/>
                <w:szCs w:val="20"/>
              </w:rPr>
              <w:t>Rozhodující význam v počtu příjemců důchodu mají starobní důchodci, jejichž podíl navíc stále stoupá. V roce 2009 tvořili 53,1 % ze všech příjemců důchodu, v roce 2014 to bylo již 58,9 %.</w:t>
            </w:r>
            <w:r>
              <w:rPr>
                <w:rFonts w:cs="Arial"/>
                <w:color w:val="000000"/>
                <w:szCs w:val="20"/>
              </w:rPr>
              <w:t xml:space="preserve"> V</w:t>
            </w:r>
            <w:r w:rsidRPr="00CE329D">
              <w:rPr>
                <w:rFonts w:cs="Arial"/>
                <w:color w:val="000000"/>
                <w:szCs w:val="20"/>
              </w:rPr>
              <w:t>ýrazněji jich přibylo především v roce 2010 díky legislativní změně, kdy se mezi starobní důchodce začali převádět invalidní důchodci po dosažení věku 65 let.</w:t>
            </w:r>
            <w:r w:rsidRPr="007F1681">
              <w:rPr>
                <w:rFonts w:cs="Arial"/>
                <w:color w:val="000000"/>
                <w:szCs w:val="20"/>
              </w:rPr>
              <w:t xml:space="preserve"> Meziročně vzrostl jejich počet o</w:t>
            </w:r>
            <w:r w:rsidR="009D7F3D">
              <w:rPr>
                <w:rFonts w:cs="Arial"/>
                <w:color w:val="000000"/>
                <w:szCs w:val="20"/>
              </w:rPr>
              <w:t> </w:t>
            </w:r>
            <w:r w:rsidRPr="007F1681">
              <w:rPr>
                <w:rFonts w:cs="Arial"/>
                <w:color w:val="000000"/>
                <w:szCs w:val="20"/>
              </w:rPr>
              <w:t>623</w:t>
            </w:r>
            <w:r w:rsidR="009D7F3D">
              <w:rPr>
                <w:rFonts w:cs="Arial"/>
                <w:color w:val="000000"/>
                <w:szCs w:val="20"/>
              </w:rPr>
              <w:t> </w:t>
            </w:r>
            <w:r w:rsidRPr="007F1681">
              <w:rPr>
                <w:rFonts w:cs="Arial"/>
                <w:color w:val="000000"/>
                <w:szCs w:val="20"/>
              </w:rPr>
              <w:t xml:space="preserve">osob, takže ke konci roku 2014 bylo v kraji téměř 98,5 tis. osob pobírajících starobní důchod. </w:t>
            </w:r>
          </w:p>
        </w:tc>
      </w:tr>
      <w:tr w:rsidR="00036974" w:rsidTr="00057F4A">
        <w:trPr>
          <w:gridBefore w:val="1"/>
          <w:gridAfter w:val="3"/>
          <w:wBefore w:w="15" w:type="dxa"/>
          <w:wAfter w:w="207" w:type="dxa"/>
        </w:trPr>
        <w:tc>
          <w:tcPr>
            <w:tcW w:w="2367" w:type="dxa"/>
            <w:gridSpan w:val="6"/>
          </w:tcPr>
          <w:p w:rsidR="00036974" w:rsidRPr="00E26446" w:rsidRDefault="00036974" w:rsidP="00BC0697">
            <w:pPr>
              <w:pStyle w:val="normalnsodrkami"/>
              <w:numPr>
                <w:ilvl w:val="0"/>
                <w:numId w:val="0"/>
              </w:numPr>
              <w:jc w:val="left"/>
              <w:rPr>
                <w:b/>
                <w:i/>
                <w:szCs w:val="20"/>
              </w:rPr>
            </w:pPr>
            <w:r w:rsidRPr="00E26446">
              <w:rPr>
                <w:b/>
                <w:i/>
                <w:szCs w:val="20"/>
              </w:rPr>
              <w:t>Klesá počet osob s pozůstalostním důchodem</w:t>
            </w:r>
          </w:p>
        </w:tc>
        <w:tc>
          <w:tcPr>
            <w:tcW w:w="7197" w:type="dxa"/>
            <w:gridSpan w:val="4"/>
            <w:vAlign w:val="center"/>
          </w:tcPr>
          <w:p w:rsidR="00036974" w:rsidRPr="00FA30DF" w:rsidRDefault="00036974" w:rsidP="009D7F3D">
            <w:pPr>
              <w:pStyle w:val="Normlnweb"/>
              <w:spacing w:before="60" w:beforeAutospacing="0" w:after="60" w:afterAutospacing="0"/>
              <w:jc w:val="both"/>
              <w:rPr>
                <w:rFonts w:ascii="Arial" w:eastAsia="Times New Roman" w:hAnsi="Arial" w:cs="Arial"/>
                <w:color w:val="000000"/>
                <w:sz w:val="20"/>
                <w:szCs w:val="20"/>
                <w:highlight w:val="yellow"/>
              </w:rPr>
            </w:pPr>
            <w:r w:rsidRPr="002E10F1">
              <w:rPr>
                <w:rFonts w:ascii="Arial" w:eastAsia="Times New Roman" w:hAnsi="Arial" w:cs="Arial"/>
                <w:color w:val="000000"/>
                <w:sz w:val="20"/>
                <w:szCs w:val="20"/>
              </w:rPr>
              <w:t xml:space="preserve">Druhou nejpočetnější skupinou jsou osoby pobírající vdovský nebo vdovecký důchod, představují téměř čtvrtinu z úhrnu příjemců důchodu. </w:t>
            </w:r>
            <w:r>
              <w:rPr>
                <w:rFonts w:ascii="Arial" w:eastAsia="Times New Roman" w:hAnsi="Arial" w:cs="Arial"/>
                <w:color w:val="000000"/>
                <w:sz w:val="20"/>
                <w:szCs w:val="20"/>
              </w:rPr>
              <w:t>Počet osob s tímto druhem pozůstalostního důchodu má mírně klesající tendenci, v období 2009 až 2014 klesl o 780 osob, přitom v posledním roce o 302 na 40 420 osob. Pokles je patrný rovněž u sirotčích důchodů, počet příjemců se ve sledovaném období snížil o 12,9 % na 2 643.</w:t>
            </w:r>
          </w:p>
        </w:tc>
      </w:tr>
      <w:tr w:rsidR="00036974" w:rsidTr="00057F4A">
        <w:trPr>
          <w:gridBefore w:val="1"/>
          <w:gridAfter w:val="3"/>
          <w:wBefore w:w="15" w:type="dxa"/>
          <w:wAfter w:w="207" w:type="dxa"/>
        </w:trPr>
        <w:tc>
          <w:tcPr>
            <w:tcW w:w="2367" w:type="dxa"/>
            <w:gridSpan w:val="6"/>
          </w:tcPr>
          <w:p w:rsidR="00036974" w:rsidRPr="00240DCD" w:rsidRDefault="00036974" w:rsidP="005C5094">
            <w:pPr>
              <w:pStyle w:val="normalnsodrkami"/>
              <w:numPr>
                <w:ilvl w:val="0"/>
                <w:numId w:val="0"/>
              </w:numPr>
              <w:jc w:val="left"/>
              <w:rPr>
                <w:b/>
                <w:i/>
                <w:szCs w:val="20"/>
              </w:rPr>
            </w:pPr>
            <w:r w:rsidRPr="00240DCD">
              <w:rPr>
                <w:b/>
                <w:i/>
                <w:szCs w:val="20"/>
              </w:rPr>
              <w:t xml:space="preserve"> …stejně jako s důchodem invalidním</w:t>
            </w:r>
          </w:p>
        </w:tc>
        <w:tc>
          <w:tcPr>
            <w:tcW w:w="7197" w:type="dxa"/>
            <w:gridSpan w:val="4"/>
            <w:vAlign w:val="center"/>
          </w:tcPr>
          <w:p w:rsidR="00036974" w:rsidRPr="00FA30DF" w:rsidRDefault="00036974" w:rsidP="00057F4A">
            <w:pPr>
              <w:pStyle w:val="Normlnweb"/>
              <w:spacing w:before="60" w:beforeAutospacing="0" w:after="60" w:afterAutospacing="0"/>
              <w:jc w:val="both"/>
              <w:rPr>
                <w:rFonts w:ascii="Arial" w:eastAsia="Times New Roman" w:hAnsi="Arial" w:cs="Arial"/>
                <w:color w:val="000000"/>
                <w:sz w:val="20"/>
                <w:szCs w:val="20"/>
                <w:highlight w:val="yellow"/>
              </w:rPr>
            </w:pPr>
            <w:r>
              <w:rPr>
                <w:rFonts w:ascii="Arial" w:eastAsia="Times New Roman" w:hAnsi="Arial" w:cs="Arial"/>
                <w:color w:val="000000"/>
                <w:sz w:val="20"/>
                <w:szCs w:val="20"/>
              </w:rPr>
              <w:t xml:space="preserve">V roce 2014 bylo v kraji 25 749 osob pobírajících invalidní důchod, tedy o 357 méně než v předcházejícím roce. Ve struktuře podle stupně vypláceného </w:t>
            </w:r>
            <w:r>
              <w:rPr>
                <w:rFonts w:ascii="Arial" w:eastAsia="Times New Roman" w:hAnsi="Arial" w:cs="Arial"/>
                <w:color w:val="000000"/>
                <w:sz w:val="20"/>
                <w:szCs w:val="20"/>
              </w:rPr>
              <w:lastRenderedPageBreak/>
              <w:t>důchodu po roce 2010 klesá podíl příjemců důchodu 1. a 3. stupně, naopak roste podíl příjemců 2. stupně.</w:t>
            </w:r>
          </w:p>
        </w:tc>
      </w:tr>
      <w:tr w:rsidR="00036974" w:rsidTr="00057F4A">
        <w:trPr>
          <w:gridBefore w:val="1"/>
          <w:gridAfter w:val="3"/>
          <w:wBefore w:w="15" w:type="dxa"/>
          <w:wAfter w:w="207" w:type="dxa"/>
        </w:trPr>
        <w:tc>
          <w:tcPr>
            <w:tcW w:w="2367" w:type="dxa"/>
            <w:gridSpan w:val="6"/>
          </w:tcPr>
          <w:p w:rsidR="00036974" w:rsidRPr="00C35058" w:rsidRDefault="00036974" w:rsidP="005C5094">
            <w:pPr>
              <w:pStyle w:val="text"/>
              <w:jc w:val="left"/>
              <w:rPr>
                <w:b/>
                <w:i/>
                <w:szCs w:val="20"/>
                <w:highlight w:val="yellow"/>
              </w:rPr>
            </w:pPr>
            <w:r>
              <w:rPr>
                <w:b/>
                <w:i/>
                <w:szCs w:val="20"/>
              </w:rPr>
              <w:lastRenderedPageBreak/>
              <w:t>Převládají ženy</w:t>
            </w:r>
          </w:p>
        </w:tc>
        <w:tc>
          <w:tcPr>
            <w:tcW w:w="7197" w:type="dxa"/>
            <w:gridSpan w:val="4"/>
            <w:vAlign w:val="center"/>
          </w:tcPr>
          <w:p w:rsidR="00036974" w:rsidRPr="00FA30DF" w:rsidRDefault="00036974" w:rsidP="00057F4A">
            <w:pPr>
              <w:pStyle w:val="Normlnweb"/>
              <w:spacing w:before="60" w:beforeAutospacing="0" w:after="60" w:afterAutospacing="0"/>
              <w:jc w:val="both"/>
              <w:rPr>
                <w:rFonts w:ascii="Arial" w:eastAsia="Times New Roman" w:hAnsi="Arial" w:cs="Arial"/>
                <w:color w:val="000000"/>
                <w:sz w:val="20"/>
                <w:szCs w:val="20"/>
                <w:highlight w:val="yellow"/>
              </w:rPr>
            </w:pPr>
            <w:r w:rsidRPr="00792511">
              <w:rPr>
                <w:rFonts w:ascii="Arial" w:eastAsia="Times New Roman" w:hAnsi="Arial" w:cs="Arial"/>
                <w:color w:val="000000"/>
                <w:sz w:val="20"/>
                <w:szCs w:val="20"/>
              </w:rPr>
              <w:t xml:space="preserve">Z </w:t>
            </w:r>
            <w:proofErr w:type="spellStart"/>
            <w:r w:rsidRPr="00792511">
              <w:rPr>
                <w:rFonts w:ascii="Arial" w:eastAsia="Times New Roman" w:hAnsi="Arial" w:cs="Arial"/>
                <w:color w:val="000000"/>
                <w:sz w:val="20"/>
                <w:szCs w:val="20"/>
              </w:rPr>
              <w:t>gen</w:t>
            </w:r>
            <w:r>
              <w:rPr>
                <w:rFonts w:ascii="Arial" w:eastAsia="Times New Roman" w:hAnsi="Arial" w:cs="Arial"/>
                <w:color w:val="000000"/>
                <w:sz w:val="20"/>
                <w:szCs w:val="20"/>
              </w:rPr>
              <w:t>d</w:t>
            </w:r>
            <w:r w:rsidRPr="00792511">
              <w:rPr>
                <w:rFonts w:ascii="Arial" w:eastAsia="Times New Roman" w:hAnsi="Arial" w:cs="Arial"/>
                <w:color w:val="000000"/>
                <w:sz w:val="20"/>
                <w:szCs w:val="20"/>
              </w:rPr>
              <w:t>erového</w:t>
            </w:r>
            <w:proofErr w:type="spellEnd"/>
            <w:r w:rsidRPr="00792511">
              <w:rPr>
                <w:rFonts w:ascii="Arial" w:eastAsia="Times New Roman" w:hAnsi="Arial" w:cs="Arial"/>
                <w:color w:val="000000"/>
                <w:sz w:val="20"/>
                <w:szCs w:val="20"/>
              </w:rPr>
              <w:t xml:space="preserve"> hlediska mezi lidmi pobírajícími penzi převládají ženy</w:t>
            </w:r>
            <w:r>
              <w:rPr>
                <w:rFonts w:ascii="Arial" w:eastAsia="Times New Roman" w:hAnsi="Arial" w:cs="Arial"/>
                <w:color w:val="000000"/>
                <w:sz w:val="20"/>
                <w:szCs w:val="20"/>
              </w:rPr>
              <w:t>,</w:t>
            </w:r>
            <w:r w:rsidRPr="00792511">
              <w:rPr>
                <w:rFonts w:ascii="Arial" w:eastAsia="Times New Roman" w:hAnsi="Arial" w:cs="Arial"/>
                <w:color w:val="000000"/>
                <w:sz w:val="20"/>
                <w:szCs w:val="20"/>
              </w:rPr>
              <w:t xml:space="preserve"> a to v</w:t>
            </w:r>
            <w:r>
              <w:rPr>
                <w:rFonts w:ascii="Arial" w:eastAsia="Times New Roman" w:hAnsi="Arial" w:cs="Arial"/>
                <w:color w:val="000000"/>
                <w:sz w:val="20"/>
                <w:szCs w:val="20"/>
              </w:rPr>
              <w:t xml:space="preserve"> poměru 60 ku 40. </w:t>
            </w:r>
            <w:r w:rsidRPr="00A56637">
              <w:rPr>
                <w:rFonts w:ascii="Arial" w:eastAsia="Times New Roman" w:hAnsi="Arial" w:cs="Arial"/>
                <w:color w:val="000000"/>
                <w:sz w:val="20"/>
                <w:szCs w:val="20"/>
              </w:rPr>
              <w:t>V rámci</w:t>
            </w:r>
            <w:r>
              <w:rPr>
                <w:rFonts w:ascii="Arial" w:eastAsia="Times New Roman" w:hAnsi="Arial" w:cs="Arial"/>
                <w:color w:val="000000"/>
                <w:sz w:val="20"/>
                <w:szCs w:val="20"/>
              </w:rPr>
              <w:t xml:space="preserve"> </w:t>
            </w:r>
            <w:r w:rsidRPr="00A56637">
              <w:rPr>
                <w:rFonts w:ascii="Arial" w:eastAsia="Times New Roman" w:hAnsi="Arial" w:cs="Arial"/>
                <w:color w:val="000000"/>
                <w:sz w:val="20"/>
                <w:szCs w:val="20"/>
              </w:rPr>
              <w:t>jednotlivých typů důchodů</w:t>
            </w:r>
            <w:r>
              <w:rPr>
                <w:rFonts w:ascii="Arial" w:eastAsia="Times New Roman" w:hAnsi="Arial" w:cs="Arial"/>
                <w:color w:val="000000"/>
                <w:sz w:val="20"/>
                <w:szCs w:val="20"/>
              </w:rPr>
              <w:t xml:space="preserve"> je zastoupení mužů a žen značně odlišné. </w:t>
            </w:r>
            <w:r w:rsidRPr="00792511">
              <w:rPr>
                <w:rFonts w:ascii="Arial" w:eastAsia="Times New Roman" w:hAnsi="Arial" w:cs="Arial"/>
                <w:color w:val="000000"/>
                <w:sz w:val="20"/>
                <w:szCs w:val="20"/>
              </w:rPr>
              <w:t>Zv</w:t>
            </w:r>
            <w:r>
              <w:rPr>
                <w:rFonts w:ascii="Arial" w:eastAsia="Times New Roman" w:hAnsi="Arial" w:cs="Arial"/>
                <w:color w:val="000000"/>
                <w:sz w:val="20"/>
                <w:szCs w:val="20"/>
              </w:rPr>
              <w:t>l</w:t>
            </w:r>
            <w:r w:rsidRPr="00792511">
              <w:rPr>
                <w:rFonts w:ascii="Arial" w:eastAsia="Times New Roman" w:hAnsi="Arial" w:cs="Arial"/>
                <w:color w:val="000000"/>
                <w:sz w:val="20"/>
                <w:szCs w:val="20"/>
              </w:rPr>
              <w:t>áště výrazný je rozdíl u</w:t>
            </w:r>
            <w:r>
              <w:rPr>
                <w:rFonts w:ascii="Arial" w:eastAsia="Times New Roman" w:hAnsi="Arial" w:cs="Arial"/>
                <w:color w:val="000000"/>
                <w:sz w:val="20"/>
                <w:szCs w:val="20"/>
              </w:rPr>
              <w:t> </w:t>
            </w:r>
            <w:r w:rsidRPr="00792511">
              <w:rPr>
                <w:rFonts w:ascii="Arial" w:eastAsia="Times New Roman" w:hAnsi="Arial" w:cs="Arial"/>
                <w:color w:val="000000"/>
                <w:sz w:val="20"/>
                <w:szCs w:val="20"/>
              </w:rPr>
              <w:t>vdovských a v</w:t>
            </w:r>
            <w:r>
              <w:rPr>
                <w:rFonts w:ascii="Arial" w:eastAsia="Times New Roman" w:hAnsi="Arial" w:cs="Arial"/>
                <w:color w:val="000000"/>
                <w:sz w:val="20"/>
                <w:szCs w:val="20"/>
              </w:rPr>
              <w:t>d</w:t>
            </w:r>
            <w:r w:rsidRPr="00792511">
              <w:rPr>
                <w:rFonts w:ascii="Arial" w:eastAsia="Times New Roman" w:hAnsi="Arial" w:cs="Arial"/>
                <w:color w:val="000000"/>
                <w:sz w:val="20"/>
                <w:szCs w:val="20"/>
              </w:rPr>
              <w:t>oveckých důchodů, ženy tvoří 86 % všech příjemců.</w:t>
            </w:r>
            <w:r>
              <w:rPr>
                <w:rFonts w:ascii="Arial" w:eastAsia="Times New Roman" w:hAnsi="Arial" w:cs="Arial"/>
                <w:color w:val="000000"/>
                <w:sz w:val="20"/>
                <w:szCs w:val="20"/>
              </w:rPr>
              <w:t xml:space="preserve"> Převaha žen je i u</w:t>
            </w:r>
            <w:r w:rsidRPr="00792511">
              <w:rPr>
                <w:rFonts w:ascii="Arial" w:eastAsia="Times New Roman" w:hAnsi="Arial" w:cs="Arial"/>
                <w:color w:val="000000"/>
                <w:sz w:val="20"/>
                <w:szCs w:val="20"/>
              </w:rPr>
              <w:t xml:space="preserve"> starobních důchodů</w:t>
            </w:r>
            <w:r>
              <w:rPr>
                <w:rFonts w:ascii="Arial" w:eastAsia="Times New Roman" w:hAnsi="Arial" w:cs="Arial"/>
                <w:color w:val="000000"/>
                <w:sz w:val="20"/>
                <w:szCs w:val="20"/>
              </w:rPr>
              <w:t>, kde</w:t>
            </w:r>
            <w:r w:rsidRPr="00792511">
              <w:rPr>
                <w:rFonts w:ascii="Arial" w:eastAsia="Times New Roman" w:hAnsi="Arial" w:cs="Arial"/>
                <w:color w:val="000000"/>
                <w:sz w:val="20"/>
                <w:szCs w:val="20"/>
              </w:rPr>
              <w:t xml:space="preserve"> ženy představují </w:t>
            </w:r>
            <w:r>
              <w:rPr>
                <w:rFonts w:ascii="Arial" w:eastAsia="Times New Roman" w:hAnsi="Arial" w:cs="Arial"/>
                <w:color w:val="000000"/>
                <w:sz w:val="20"/>
                <w:szCs w:val="20"/>
              </w:rPr>
              <w:t xml:space="preserve">54 % příjemců. Naopak </w:t>
            </w:r>
            <w:r w:rsidRPr="00792511">
              <w:rPr>
                <w:rFonts w:ascii="Arial" w:eastAsia="Times New Roman" w:hAnsi="Arial" w:cs="Arial"/>
                <w:color w:val="000000"/>
                <w:sz w:val="20"/>
                <w:szCs w:val="20"/>
              </w:rPr>
              <w:t>u</w:t>
            </w:r>
            <w:r>
              <w:rPr>
                <w:rFonts w:ascii="Arial" w:eastAsia="Times New Roman" w:hAnsi="Arial" w:cs="Arial"/>
                <w:color w:val="000000"/>
                <w:sz w:val="20"/>
                <w:szCs w:val="20"/>
              </w:rPr>
              <w:t> </w:t>
            </w:r>
            <w:r w:rsidRPr="00792511">
              <w:rPr>
                <w:rFonts w:ascii="Arial" w:eastAsia="Times New Roman" w:hAnsi="Arial" w:cs="Arial"/>
                <w:color w:val="000000"/>
                <w:sz w:val="20"/>
                <w:szCs w:val="20"/>
              </w:rPr>
              <w:t>důchodů invalidních převládají příjemci muži</w:t>
            </w:r>
            <w:r>
              <w:rPr>
                <w:rFonts w:ascii="Arial" w:eastAsia="Times New Roman" w:hAnsi="Arial" w:cs="Arial"/>
                <w:color w:val="000000"/>
                <w:sz w:val="20"/>
                <w:szCs w:val="20"/>
              </w:rPr>
              <w:t xml:space="preserve">, tvoří </w:t>
            </w:r>
            <w:r w:rsidRPr="00792511">
              <w:rPr>
                <w:rFonts w:ascii="Arial" w:eastAsia="Times New Roman" w:hAnsi="Arial" w:cs="Arial"/>
                <w:color w:val="000000"/>
                <w:sz w:val="20"/>
                <w:szCs w:val="20"/>
              </w:rPr>
              <w:t xml:space="preserve">55 %. </w:t>
            </w:r>
          </w:p>
        </w:tc>
      </w:tr>
      <w:tr w:rsidR="00036974" w:rsidTr="00057F4A">
        <w:trPr>
          <w:gridBefore w:val="1"/>
          <w:gridAfter w:val="3"/>
          <w:wBefore w:w="15" w:type="dxa"/>
          <w:wAfter w:w="207" w:type="dxa"/>
        </w:trPr>
        <w:tc>
          <w:tcPr>
            <w:tcW w:w="9564" w:type="dxa"/>
            <w:gridSpan w:val="10"/>
          </w:tcPr>
          <w:p w:rsidR="00036974" w:rsidRPr="00C35058" w:rsidRDefault="009956CB" w:rsidP="008B13B3">
            <w:pPr>
              <w:pStyle w:val="text"/>
              <w:jc w:val="center"/>
              <w:rPr>
                <w:highlight w:val="yellow"/>
              </w:rPr>
            </w:pPr>
            <w:r w:rsidRPr="00286EFA">
              <w:rPr>
                <w:highlight w:val="yellow"/>
              </w:rPr>
              <w:pict>
                <v:shape id="_x0000_i1057" type="#_x0000_t75" style="width:474pt;height:340.5pt">
                  <v:imagedata r:id="rId50" o:title="duchod_predcasny_2014" cropright="1021f"/>
                </v:shape>
              </w:pict>
            </w:r>
          </w:p>
        </w:tc>
      </w:tr>
      <w:tr w:rsidR="00036974" w:rsidTr="00057F4A">
        <w:trPr>
          <w:gridBefore w:val="1"/>
          <w:gridAfter w:val="3"/>
          <w:wBefore w:w="15" w:type="dxa"/>
          <w:wAfter w:w="207" w:type="dxa"/>
        </w:trPr>
        <w:tc>
          <w:tcPr>
            <w:tcW w:w="2367" w:type="dxa"/>
            <w:gridSpan w:val="6"/>
          </w:tcPr>
          <w:p w:rsidR="00036974" w:rsidRPr="00057F4A" w:rsidRDefault="00036974" w:rsidP="009B38ED">
            <w:pPr>
              <w:pStyle w:val="text"/>
              <w:jc w:val="left"/>
              <w:rPr>
                <w:b/>
                <w:i/>
                <w:szCs w:val="20"/>
              </w:rPr>
            </w:pPr>
            <w:r w:rsidRPr="00057F4A">
              <w:rPr>
                <w:b/>
                <w:i/>
                <w:szCs w:val="20"/>
              </w:rPr>
              <w:t xml:space="preserve">Počet osob s předčasným důchodem se zvyšuje </w:t>
            </w:r>
          </w:p>
          <w:p w:rsidR="00036974" w:rsidRPr="00C35058" w:rsidRDefault="00036974" w:rsidP="009B38ED">
            <w:pPr>
              <w:pStyle w:val="text"/>
              <w:jc w:val="left"/>
              <w:rPr>
                <w:b/>
                <w:i/>
                <w:szCs w:val="20"/>
                <w:highlight w:val="yellow"/>
              </w:rPr>
            </w:pPr>
          </w:p>
        </w:tc>
        <w:tc>
          <w:tcPr>
            <w:tcW w:w="7197" w:type="dxa"/>
            <w:gridSpan w:val="4"/>
          </w:tcPr>
          <w:p w:rsidR="00036974" w:rsidRPr="00C35058" w:rsidRDefault="005C5094" w:rsidP="009B38ED">
            <w:pPr>
              <w:pStyle w:val="text"/>
              <w:rPr>
                <w:rFonts w:eastAsia="+mn-ea" w:cs="Arial"/>
                <w:color w:val="000000"/>
                <w:szCs w:val="20"/>
                <w:highlight w:val="yellow"/>
              </w:rPr>
            </w:pPr>
            <w:r w:rsidRPr="008B53F9">
              <w:rPr>
                <w:rFonts w:cs="Arial"/>
                <w:color w:val="000000"/>
                <w:szCs w:val="20"/>
              </w:rPr>
              <w:t xml:space="preserve">Složitá situace na trhu práce vede k nárůstu počtu osob s předčasným starobním důchodem, meziroční zvýšení v kraji představuje 3,6 %. V roce 2014 pobíralo předčasný důchod 30,1 tis. osob, to je </w:t>
            </w:r>
            <w:r>
              <w:rPr>
                <w:rFonts w:cs="Arial"/>
                <w:color w:val="000000"/>
                <w:szCs w:val="20"/>
              </w:rPr>
              <w:t>30 % z úhrnu</w:t>
            </w:r>
            <w:r w:rsidRPr="008B53F9">
              <w:rPr>
                <w:rFonts w:cs="Arial"/>
                <w:color w:val="000000"/>
                <w:szCs w:val="20"/>
              </w:rPr>
              <w:t xml:space="preserve"> příjemců starobních důchodů</w:t>
            </w:r>
            <w:r>
              <w:rPr>
                <w:rFonts w:cs="Arial"/>
                <w:color w:val="000000"/>
                <w:szCs w:val="20"/>
              </w:rPr>
              <w:t>, zatímco v roce 2009 to bylo necelých 25 %.</w:t>
            </w:r>
          </w:p>
        </w:tc>
      </w:tr>
      <w:tr w:rsidR="00057F4A" w:rsidTr="00057F4A">
        <w:trPr>
          <w:gridBefore w:val="1"/>
          <w:gridAfter w:val="3"/>
          <w:wBefore w:w="15" w:type="dxa"/>
          <w:wAfter w:w="207" w:type="dxa"/>
          <w:cantSplit/>
        </w:trPr>
        <w:tc>
          <w:tcPr>
            <w:tcW w:w="9564" w:type="dxa"/>
            <w:gridSpan w:val="10"/>
          </w:tcPr>
          <w:p w:rsidR="00057F4A" w:rsidRDefault="00057F4A" w:rsidP="00BD18F7">
            <w:pPr>
              <w:spacing w:before="60" w:after="60"/>
              <w:jc w:val="left"/>
            </w:pPr>
            <w:r w:rsidRPr="00093EFB">
              <w:rPr>
                <w:b/>
                <w:bCs/>
                <w:szCs w:val="20"/>
              </w:rPr>
              <w:t xml:space="preserve">Graf </w:t>
            </w:r>
            <w:r w:rsidR="00BD18F7">
              <w:rPr>
                <w:b/>
                <w:bCs/>
                <w:szCs w:val="20"/>
              </w:rPr>
              <w:t xml:space="preserve">2.15 </w:t>
            </w:r>
            <w:r w:rsidRPr="00093EFB">
              <w:rPr>
                <w:b/>
                <w:bCs/>
                <w:szCs w:val="20"/>
              </w:rPr>
              <w:t>Průměrný starobní důchod ve Zlínském kraji v letech 2010 až 2014</w:t>
            </w:r>
          </w:p>
        </w:tc>
      </w:tr>
      <w:tr w:rsidR="00057F4A" w:rsidTr="00057F4A">
        <w:trPr>
          <w:gridBefore w:val="1"/>
          <w:gridAfter w:val="3"/>
          <w:wBefore w:w="15" w:type="dxa"/>
          <w:wAfter w:w="207" w:type="dxa"/>
          <w:cantSplit/>
        </w:trPr>
        <w:tc>
          <w:tcPr>
            <w:tcW w:w="9564" w:type="dxa"/>
            <w:gridSpan w:val="10"/>
          </w:tcPr>
          <w:p w:rsidR="00057F4A" w:rsidRDefault="009956CB" w:rsidP="00057F4A">
            <w:pPr>
              <w:spacing w:before="60" w:after="60"/>
            </w:pPr>
            <w:r>
              <w:pict>
                <v:shape id="_x0000_i1058" type="#_x0000_t75" style="width:462pt;height:186pt">
                  <v:imagedata r:id="rId51" o:title=""/>
                </v:shape>
              </w:pict>
            </w:r>
          </w:p>
        </w:tc>
      </w:tr>
      <w:tr w:rsidR="00F8224A" w:rsidTr="00470A7D">
        <w:trPr>
          <w:gridBefore w:val="1"/>
          <w:gridAfter w:val="3"/>
          <w:wBefore w:w="15" w:type="dxa"/>
          <w:wAfter w:w="207" w:type="dxa"/>
        </w:trPr>
        <w:tc>
          <w:tcPr>
            <w:tcW w:w="2367" w:type="dxa"/>
            <w:gridSpan w:val="6"/>
          </w:tcPr>
          <w:p w:rsidR="00F8224A" w:rsidRPr="00C35058" w:rsidRDefault="00F8224A" w:rsidP="00470A7D">
            <w:pPr>
              <w:pStyle w:val="text"/>
              <w:jc w:val="left"/>
              <w:rPr>
                <w:b/>
                <w:i/>
                <w:szCs w:val="20"/>
                <w:highlight w:val="yellow"/>
              </w:rPr>
            </w:pPr>
            <w:r w:rsidRPr="002C4917">
              <w:rPr>
                <w:b/>
                <w:i/>
                <w:szCs w:val="20"/>
              </w:rPr>
              <w:lastRenderedPageBreak/>
              <w:t>Průměrné důchody v kraji patří dlouhodobě mezi nejnižší</w:t>
            </w:r>
            <w:r w:rsidRPr="002C4917">
              <w:t xml:space="preserve"> </w:t>
            </w:r>
          </w:p>
        </w:tc>
        <w:tc>
          <w:tcPr>
            <w:tcW w:w="7197" w:type="dxa"/>
            <w:gridSpan w:val="4"/>
            <w:vAlign w:val="center"/>
          </w:tcPr>
          <w:p w:rsidR="00F8224A" w:rsidRPr="00CF1765" w:rsidRDefault="00F8224A" w:rsidP="00F8224A">
            <w:pPr>
              <w:pStyle w:val="Normlnweb"/>
              <w:spacing w:before="60" w:beforeAutospacing="0" w:after="60" w:afterAutospacing="0"/>
              <w:jc w:val="both"/>
              <w:rPr>
                <w:sz w:val="20"/>
                <w:szCs w:val="20"/>
                <w:highlight w:val="yellow"/>
              </w:rPr>
            </w:pPr>
            <w:r w:rsidRPr="002C4917">
              <w:rPr>
                <w:rFonts w:ascii="Arial" w:eastAsia="Times New Roman" w:hAnsi="Arial" w:cs="Arial"/>
                <w:color w:val="000000"/>
                <w:sz w:val="20"/>
                <w:szCs w:val="20"/>
              </w:rPr>
              <w:t xml:space="preserve">Zvyšování průměrné výše důchodu v kraji odpovídalo vývoji na úrovni celé republiky. V roce 2014 byl průměrný důchod v kraji 10 539 Kč, tedy o 925 Kč vyšší než v roce 2009. Mezi kraji to byl 4. nejnižší průměrný důchod. Stejné umístění patří kraji i z hlediska starobního důchodu, který v roce 2014 dosáhl výše 10 843 Kč a proti roku 2009 vzrostl o 1 011 Kč. </w:t>
            </w:r>
          </w:p>
        </w:tc>
      </w:tr>
      <w:tr w:rsidR="00F8224A" w:rsidTr="00470A7D">
        <w:trPr>
          <w:gridBefore w:val="1"/>
          <w:gridAfter w:val="3"/>
          <w:wBefore w:w="15" w:type="dxa"/>
          <w:wAfter w:w="207" w:type="dxa"/>
        </w:trPr>
        <w:tc>
          <w:tcPr>
            <w:tcW w:w="2367" w:type="dxa"/>
            <w:gridSpan w:val="6"/>
          </w:tcPr>
          <w:p w:rsidR="00F8224A" w:rsidRPr="00C35058" w:rsidRDefault="00F8224A" w:rsidP="00470A7D">
            <w:pPr>
              <w:pStyle w:val="text"/>
              <w:jc w:val="left"/>
              <w:rPr>
                <w:b/>
                <w:i/>
                <w:szCs w:val="20"/>
                <w:highlight w:val="yellow"/>
              </w:rPr>
            </w:pPr>
            <w:r w:rsidRPr="00E12C06">
              <w:rPr>
                <w:b/>
                <w:i/>
                <w:szCs w:val="20"/>
              </w:rPr>
              <w:t xml:space="preserve">Starobní důchod žen o více než 2 tis. Kč nižší proti mužům </w:t>
            </w:r>
          </w:p>
        </w:tc>
        <w:tc>
          <w:tcPr>
            <w:tcW w:w="7197" w:type="dxa"/>
            <w:gridSpan w:val="4"/>
            <w:vAlign w:val="center"/>
          </w:tcPr>
          <w:p w:rsidR="00F8224A" w:rsidRPr="00CF1765" w:rsidRDefault="00F8224A" w:rsidP="00F8224A">
            <w:pPr>
              <w:spacing w:before="60" w:after="60"/>
              <w:rPr>
                <w:szCs w:val="20"/>
                <w:highlight w:val="yellow"/>
              </w:rPr>
            </w:pPr>
            <w:r w:rsidRPr="00E12C06">
              <w:rPr>
                <w:rFonts w:cs="Arial"/>
                <w:color w:val="000000"/>
                <w:szCs w:val="20"/>
              </w:rPr>
              <w:t>Průměrný starobní důchod v prosinci 2014 činil u mu</w:t>
            </w:r>
            <w:r>
              <w:rPr>
                <w:rFonts w:cs="Arial"/>
                <w:color w:val="000000"/>
                <w:szCs w:val="20"/>
              </w:rPr>
              <w:t xml:space="preserve">žů 11 990 Kč a 9 863 Kč u žen. </w:t>
            </w:r>
            <w:r w:rsidRPr="00E12C06">
              <w:rPr>
                <w:rFonts w:cs="Arial"/>
                <w:color w:val="000000"/>
                <w:szCs w:val="20"/>
              </w:rPr>
              <w:t>Proti roku 2009 se jedná u mužů o zvýšení o 1 088 Kč, u žen o 894</w:t>
            </w:r>
            <w:r>
              <w:rPr>
                <w:rFonts w:cs="Arial"/>
                <w:color w:val="000000"/>
                <w:szCs w:val="20"/>
              </w:rPr>
              <w:t xml:space="preserve"> Kč</w:t>
            </w:r>
            <w:r w:rsidRPr="00E12C06">
              <w:rPr>
                <w:rFonts w:cs="Arial"/>
                <w:color w:val="000000"/>
                <w:szCs w:val="20"/>
              </w:rPr>
              <w:t>. Rozdíl mezi průměrným důchodem mužů a žen se tak proti roku 2009 zvýšil o</w:t>
            </w:r>
            <w:r>
              <w:rPr>
                <w:rFonts w:cs="Arial"/>
                <w:color w:val="000000"/>
                <w:szCs w:val="20"/>
              </w:rPr>
              <w:t> </w:t>
            </w:r>
            <w:r w:rsidRPr="00E12C06">
              <w:rPr>
                <w:rFonts w:cs="Arial"/>
                <w:color w:val="000000"/>
                <w:szCs w:val="20"/>
              </w:rPr>
              <w:t xml:space="preserve">více než 300 Kč </w:t>
            </w:r>
            <w:r>
              <w:rPr>
                <w:rFonts w:cs="Arial"/>
                <w:color w:val="000000"/>
                <w:szCs w:val="20"/>
              </w:rPr>
              <w:t>n</w:t>
            </w:r>
            <w:r w:rsidRPr="00E12C06">
              <w:rPr>
                <w:rFonts w:cs="Arial"/>
                <w:color w:val="000000"/>
                <w:szCs w:val="20"/>
              </w:rPr>
              <w:t>a 2 127 Kč</w:t>
            </w:r>
            <w:r>
              <w:rPr>
                <w:rFonts w:cs="Arial"/>
                <w:color w:val="000000"/>
                <w:szCs w:val="20"/>
              </w:rPr>
              <w:t xml:space="preserve"> v roce 2014</w:t>
            </w:r>
            <w:r w:rsidRPr="00E12C06">
              <w:rPr>
                <w:rFonts w:cs="Arial"/>
                <w:color w:val="000000"/>
                <w:szCs w:val="20"/>
              </w:rPr>
              <w:t xml:space="preserve">. </w:t>
            </w:r>
          </w:p>
        </w:tc>
      </w:tr>
      <w:tr w:rsidR="00036974" w:rsidTr="00057F4A">
        <w:trPr>
          <w:gridBefore w:val="1"/>
          <w:gridAfter w:val="3"/>
          <w:wBefore w:w="15" w:type="dxa"/>
          <w:wAfter w:w="207" w:type="dxa"/>
        </w:trPr>
        <w:tc>
          <w:tcPr>
            <w:tcW w:w="2315" w:type="dxa"/>
            <w:gridSpan w:val="4"/>
          </w:tcPr>
          <w:p w:rsidR="00036974" w:rsidRPr="00057F4A" w:rsidRDefault="00036974" w:rsidP="0014686A">
            <w:pPr>
              <w:spacing w:before="60" w:after="60"/>
              <w:jc w:val="left"/>
              <w:rPr>
                <w:b/>
                <w:i/>
                <w:szCs w:val="20"/>
                <w:u w:val="single"/>
              </w:rPr>
            </w:pPr>
            <w:r w:rsidRPr="00057F4A">
              <w:rPr>
                <w:b/>
                <w:i/>
                <w:szCs w:val="20"/>
                <w:u w:val="single"/>
              </w:rPr>
              <w:t>Vzdělávání</w:t>
            </w:r>
          </w:p>
          <w:p w:rsidR="00036974" w:rsidRPr="00C35058" w:rsidRDefault="00057F4A" w:rsidP="0014686A">
            <w:pPr>
              <w:spacing w:before="60" w:after="60"/>
              <w:jc w:val="left"/>
              <w:rPr>
                <w:b/>
                <w:i/>
                <w:szCs w:val="20"/>
                <w:highlight w:val="yellow"/>
              </w:rPr>
            </w:pPr>
            <w:r>
              <w:rPr>
                <w:b/>
                <w:i/>
                <w:szCs w:val="20"/>
              </w:rPr>
              <w:t>Počet dětí v MŠ meziročně klesl</w:t>
            </w:r>
          </w:p>
        </w:tc>
        <w:tc>
          <w:tcPr>
            <w:tcW w:w="7249" w:type="dxa"/>
            <w:gridSpan w:val="6"/>
            <w:vAlign w:val="center"/>
          </w:tcPr>
          <w:p w:rsidR="00036974" w:rsidRPr="00C35058" w:rsidRDefault="00057F4A" w:rsidP="00057F4A">
            <w:pPr>
              <w:pStyle w:val="text"/>
              <w:rPr>
                <w:rFonts w:eastAsia="+mn-ea" w:cs="Arial"/>
                <w:color w:val="000000"/>
                <w:szCs w:val="20"/>
                <w:highlight w:val="yellow"/>
              </w:rPr>
            </w:pPr>
            <w:r>
              <w:rPr>
                <w:rFonts w:cs="Arial"/>
                <w:color w:val="000000"/>
                <w:szCs w:val="20"/>
              </w:rPr>
              <w:t>Nárůst počtu dětí v mateřskýc</w:t>
            </w:r>
            <w:r w:rsidRPr="00EC00B7">
              <w:rPr>
                <w:rFonts w:cs="Arial"/>
                <w:color w:val="000000"/>
                <w:szCs w:val="20"/>
              </w:rPr>
              <w:t>h školách se zastavil v roce 2013, kdy dosáhl téměř 20,4 tis. osob. V následujícím r</w:t>
            </w:r>
            <w:r>
              <w:rPr>
                <w:rFonts w:cs="Arial"/>
                <w:color w:val="000000"/>
                <w:szCs w:val="20"/>
              </w:rPr>
              <w:t>oce došlo k jen mírnému poklesu. V základním školství se</w:t>
            </w:r>
            <w:r w:rsidRPr="00EC00B7">
              <w:rPr>
                <w:rFonts w:cs="Arial"/>
                <w:color w:val="000000"/>
                <w:szCs w:val="20"/>
              </w:rPr>
              <w:t xml:space="preserve"> poč</w:t>
            </w:r>
            <w:r>
              <w:rPr>
                <w:rFonts w:cs="Arial"/>
                <w:color w:val="000000"/>
                <w:szCs w:val="20"/>
              </w:rPr>
              <w:t>et</w:t>
            </w:r>
            <w:r w:rsidRPr="00EC00B7">
              <w:rPr>
                <w:rFonts w:cs="Arial"/>
                <w:color w:val="000000"/>
                <w:szCs w:val="20"/>
              </w:rPr>
              <w:t xml:space="preserve"> žáků </w:t>
            </w:r>
            <w:r>
              <w:rPr>
                <w:rFonts w:cs="Arial"/>
                <w:color w:val="000000"/>
                <w:szCs w:val="20"/>
              </w:rPr>
              <w:t>vyvíjel značně odlišně</w:t>
            </w:r>
            <w:r w:rsidRPr="00EC00B7">
              <w:rPr>
                <w:rFonts w:cs="Arial"/>
                <w:color w:val="000000"/>
                <w:szCs w:val="20"/>
              </w:rPr>
              <w:t xml:space="preserve">. </w:t>
            </w:r>
            <w:r>
              <w:rPr>
                <w:rFonts w:cs="Arial"/>
                <w:color w:val="000000"/>
                <w:szCs w:val="20"/>
              </w:rPr>
              <w:t xml:space="preserve">Klesající trend trval až do roku </w:t>
            </w:r>
            <w:r w:rsidRPr="00EC00B7">
              <w:rPr>
                <w:rFonts w:cs="Arial"/>
                <w:color w:val="000000"/>
                <w:szCs w:val="20"/>
              </w:rPr>
              <w:t>2011, kdy počet žáků klesl na 45,8 tis.</w:t>
            </w:r>
            <w:r>
              <w:rPr>
                <w:rFonts w:cs="Arial"/>
                <w:color w:val="000000"/>
                <w:szCs w:val="20"/>
              </w:rPr>
              <w:t xml:space="preserve"> V následujících třech letech</w:t>
            </w:r>
            <w:r w:rsidRPr="00EC00B7">
              <w:rPr>
                <w:rFonts w:cs="Arial"/>
                <w:color w:val="000000"/>
                <w:szCs w:val="20"/>
              </w:rPr>
              <w:t xml:space="preserve">, došlo k nárůstu </w:t>
            </w:r>
            <w:r>
              <w:rPr>
                <w:rFonts w:cs="Arial"/>
                <w:color w:val="000000"/>
                <w:szCs w:val="20"/>
              </w:rPr>
              <w:t xml:space="preserve">o více než 2,3 tis. osob. </w:t>
            </w:r>
            <w:r w:rsidRPr="00EC00B7">
              <w:rPr>
                <w:rFonts w:cs="Arial"/>
                <w:color w:val="000000"/>
                <w:szCs w:val="20"/>
              </w:rPr>
              <w:t xml:space="preserve">Tento vývoj zcela </w:t>
            </w:r>
            <w:r>
              <w:rPr>
                <w:rFonts w:cs="Arial"/>
                <w:color w:val="000000"/>
                <w:szCs w:val="20"/>
              </w:rPr>
              <w:t>odpovídá demografickému vývoji.</w:t>
            </w:r>
          </w:p>
        </w:tc>
      </w:tr>
      <w:tr w:rsidR="002A411D" w:rsidTr="00057F4A">
        <w:trPr>
          <w:gridBefore w:val="1"/>
          <w:gridAfter w:val="3"/>
          <w:wBefore w:w="15" w:type="dxa"/>
          <w:wAfter w:w="207" w:type="dxa"/>
        </w:trPr>
        <w:tc>
          <w:tcPr>
            <w:tcW w:w="2315" w:type="dxa"/>
            <w:gridSpan w:val="4"/>
          </w:tcPr>
          <w:p w:rsidR="002A411D" w:rsidRPr="00C35058" w:rsidRDefault="002A411D" w:rsidP="0014686A">
            <w:pPr>
              <w:spacing w:before="60" w:after="60"/>
              <w:jc w:val="left"/>
              <w:rPr>
                <w:b/>
                <w:i/>
                <w:szCs w:val="20"/>
                <w:highlight w:val="yellow"/>
              </w:rPr>
            </w:pPr>
            <w:r>
              <w:rPr>
                <w:b/>
                <w:i/>
                <w:szCs w:val="20"/>
              </w:rPr>
              <w:t xml:space="preserve">Klesá počet studentů </w:t>
            </w:r>
          </w:p>
        </w:tc>
        <w:tc>
          <w:tcPr>
            <w:tcW w:w="7249" w:type="dxa"/>
            <w:gridSpan w:val="6"/>
            <w:vAlign w:val="center"/>
          </w:tcPr>
          <w:p w:rsidR="002A411D" w:rsidRDefault="002A411D" w:rsidP="009D7F3D">
            <w:pPr>
              <w:spacing w:before="60" w:after="60"/>
              <w:rPr>
                <w:rFonts w:cs="Arial"/>
                <w:color w:val="000000"/>
                <w:szCs w:val="20"/>
              </w:rPr>
            </w:pPr>
            <w:r w:rsidRPr="009A0061">
              <w:rPr>
                <w:rFonts w:cs="Arial"/>
                <w:color w:val="000000"/>
                <w:szCs w:val="20"/>
              </w:rPr>
              <w:t>Výrazný pokles obyvatel kraje ve věku 15 až 29 let se projevil ve snížení počtu studujících na středních a vysokých školách.</w:t>
            </w:r>
            <w:r>
              <w:rPr>
                <w:rFonts w:cs="Arial"/>
                <w:color w:val="000000"/>
                <w:szCs w:val="20"/>
              </w:rPr>
              <w:t xml:space="preserve"> </w:t>
            </w:r>
            <w:r w:rsidRPr="009A0061">
              <w:rPr>
                <w:rFonts w:cs="Arial"/>
                <w:color w:val="000000"/>
                <w:szCs w:val="20"/>
              </w:rPr>
              <w:t>Počet studentů středních škol a konzervatoří v denním studiu klesl proti roku 2009 o více než čtvrtinu na 23,7</w:t>
            </w:r>
            <w:r>
              <w:rPr>
                <w:rFonts w:cs="Arial"/>
                <w:color w:val="000000"/>
                <w:szCs w:val="20"/>
              </w:rPr>
              <w:t> </w:t>
            </w:r>
            <w:r w:rsidRPr="009A0061">
              <w:rPr>
                <w:rFonts w:cs="Arial"/>
                <w:color w:val="000000"/>
                <w:szCs w:val="20"/>
              </w:rPr>
              <w:t xml:space="preserve">tis. osob. Počet studujících </w:t>
            </w:r>
            <w:r w:rsidR="009D7F3D">
              <w:rPr>
                <w:rFonts w:cs="Arial"/>
                <w:color w:val="000000"/>
                <w:szCs w:val="20"/>
              </w:rPr>
              <w:t xml:space="preserve">vysokých </w:t>
            </w:r>
            <w:proofErr w:type="gramStart"/>
            <w:r w:rsidR="009D7F3D">
              <w:rPr>
                <w:rFonts w:cs="Arial"/>
                <w:color w:val="000000"/>
                <w:szCs w:val="20"/>
              </w:rPr>
              <w:t>školách</w:t>
            </w:r>
            <w:proofErr w:type="gramEnd"/>
            <w:r w:rsidRPr="009A0061">
              <w:rPr>
                <w:rFonts w:cs="Arial"/>
                <w:color w:val="000000"/>
                <w:szCs w:val="20"/>
              </w:rPr>
              <w:t xml:space="preserve"> klesl o 15 % na 19,9 tis. studentů.</w:t>
            </w:r>
          </w:p>
          <w:p w:rsidR="00BC0697" w:rsidRPr="00443E50" w:rsidRDefault="00BC0697" w:rsidP="009D7F3D">
            <w:pPr>
              <w:spacing w:before="60" w:after="60"/>
              <w:rPr>
                <w:rFonts w:cs="Arial"/>
                <w:color w:val="000000"/>
                <w:szCs w:val="20"/>
              </w:rPr>
            </w:pPr>
          </w:p>
        </w:tc>
      </w:tr>
      <w:tr w:rsidR="002A411D" w:rsidTr="005B2848">
        <w:trPr>
          <w:gridBefore w:val="1"/>
          <w:gridAfter w:val="3"/>
          <w:wBefore w:w="15" w:type="dxa"/>
          <w:wAfter w:w="207" w:type="dxa"/>
          <w:trHeight w:val="431"/>
        </w:trPr>
        <w:tc>
          <w:tcPr>
            <w:tcW w:w="9564" w:type="dxa"/>
            <w:gridSpan w:val="10"/>
            <w:vAlign w:val="center"/>
          </w:tcPr>
          <w:p w:rsidR="002A411D" w:rsidRPr="00C35058" w:rsidRDefault="002A411D" w:rsidP="005B2848">
            <w:pPr>
              <w:spacing w:before="60" w:after="60"/>
              <w:jc w:val="left"/>
              <w:rPr>
                <w:highlight w:val="yellow"/>
              </w:rPr>
            </w:pPr>
            <w:r w:rsidRPr="005B2848">
              <w:rPr>
                <w:b/>
              </w:rPr>
              <w:t>Graf</w:t>
            </w:r>
            <w:r w:rsidR="00BD18F7">
              <w:rPr>
                <w:b/>
              </w:rPr>
              <w:t xml:space="preserve"> 2.16</w:t>
            </w:r>
            <w:r w:rsidRPr="005B2848">
              <w:rPr>
                <w:b/>
              </w:rPr>
              <w:t xml:space="preserve"> </w:t>
            </w:r>
            <w:r>
              <w:rPr>
                <w:b/>
                <w:bCs/>
                <w:szCs w:val="20"/>
              </w:rPr>
              <w:t xml:space="preserve">Počet žáků </w:t>
            </w:r>
            <w:r w:rsidR="009D7F3D">
              <w:rPr>
                <w:b/>
                <w:bCs/>
                <w:szCs w:val="20"/>
              </w:rPr>
              <w:t xml:space="preserve">a studentů </w:t>
            </w:r>
            <w:r>
              <w:rPr>
                <w:b/>
                <w:bCs/>
                <w:szCs w:val="20"/>
              </w:rPr>
              <w:t>ve Zlínském kraji v letech 2009 až 2014</w:t>
            </w:r>
          </w:p>
        </w:tc>
      </w:tr>
      <w:tr w:rsidR="002A411D" w:rsidTr="00057F4A">
        <w:trPr>
          <w:gridBefore w:val="1"/>
          <w:gridAfter w:val="3"/>
          <w:wBefore w:w="15" w:type="dxa"/>
          <w:wAfter w:w="207" w:type="dxa"/>
          <w:trHeight w:val="647"/>
        </w:trPr>
        <w:tc>
          <w:tcPr>
            <w:tcW w:w="9564" w:type="dxa"/>
            <w:gridSpan w:val="10"/>
          </w:tcPr>
          <w:p w:rsidR="00BC0697" w:rsidRDefault="009956CB" w:rsidP="0014686A">
            <w:pPr>
              <w:pStyle w:val="text"/>
              <w:jc w:val="center"/>
            </w:pPr>
            <w:r>
              <w:pict>
                <v:shape id="_x0000_i1059" type="#_x0000_t75" style="width:481.5pt;height:186.75pt">
                  <v:imagedata r:id="rId52" o:title=""/>
                </v:shape>
              </w:pict>
            </w:r>
          </w:p>
          <w:p w:rsidR="002A411D" w:rsidRDefault="002A411D" w:rsidP="0014686A">
            <w:pPr>
              <w:pStyle w:val="text"/>
              <w:jc w:val="center"/>
              <w:rPr>
                <w:highlight w:val="yellow"/>
              </w:rPr>
            </w:pPr>
          </w:p>
          <w:p w:rsidR="00BC0697" w:rsidRPr="00C35058" w:rsidRDefault="00BC0697" w:rsidP="0014686A">
            <w:pPr>
              <w:pStyle w:val="text"/>
              <w:jc w:val="center"/>
              <w:rPr>
                <w:highlight w:val="yellow"/>
              </w:rPr>
            </w:pPr>
          </w:p>
        </w:tc>
      </w:tr>
      <w:tr w:rsidR="002A411D" w:rsidTr="00057F4A">
        <w:trPr>
          <w:gridAfter w:val="2"/>
          <w:wAfter w:w="196" w:type="dxa"/>
        </w:trPr>
        <w:tc>
          <w:tcPr>
            <w:tcW w:w="2330" w:type="dxa"/>
            <w:gridSpan w:val="5"/>
            <w:tcMar>
              <w:left w:w="85" w:type="dxa"/>
              <w:right w:w="85" w:type="dxa"/>
            </w:tcMar>
          </w:tcPr>
          <w:p w:rsidR="002A411D" w:rsidRPr="001A6D07" w:rsidRDefault="002A411D" w:rsidP="001A6D07">
            <w:pPr>
              <w:spacing w:before="60" w:after="60"/>
              <w:jc w:val="left"/>
              <w:rPr>
                <w:b/>
                <w:i/>
                <w:szCs w:val="20"/>
                <w:u w:val="single"/>
              </w:rPr>
            </w:pPr>
            <w:r w:rsidRPr="001A6D07">
              <w:rPr>
                <w:b/>
                <w:i/>
                <w:szCs w:val="20"/>
                <w:u w:val="single"/>
              </w:rPr>
              <w:t>Kriminalita</w:t>
            </w:r>
          </w:p>
          <w:p w:rsidR="002A411D" w:rsidRPr="00C35058" w:rsidRDefault="002A411D" w:rsidP="001A6D07">
            <w:pPr>
              <w:spacing w:before="60" w:after="60"/>
              <w:jc w:val="left"/>
              <w:rPr>
                <w:b/>
                <w:i/>
                <w:szCs w:val="20"/>
                <w:highlight w:val="yellow"/>
              </w:rPr>
            </w:pPr>
            <w:r w:rsidRPr="001A6D07">
              <w:rPr>
                <w:b/>
                <w:i/>
                <w:szCs w:val="20"/>
              </w:rPr>
              <w:t>Ve Zlínském kraji bylo nejméně trestných činů v přepočtu na tisíc obyvatel</w:t>
            </w:r>
          </w:p>
        </w:tc>
        <w:tc>
          <w:tcPr>
            <w:tcW w:w="7260" w:type="dxa"/>
            <w:gridSpan w:val="7"/>
            <w:tcMar>
              <w:left w:w="85" w:type="dxa"/>
              <w:right w:w="85" w:type="dxa"/>
            </w:tcMar>
            <w:vAlign w:val="center"/>
          </w:tcPr>
          <w:p w:rsidR="002A411D" w:rsidRPr="001A6D07" w:rsidRDefault="002A411D" w:rsidP="00C425B0">
            <w:pPr>
              <w:pStyle w:val="Normlnweb"/>
              <w:spacing w:before="60" w:beforeAutospacing="0" w:after="60" w:afterAutospacing="0"/>
              <w:jc w:val="both"/>
              <w:rPr>
                <w:rFonts w:ascii="Arial" w:eastAsia="+mn-ea" w:hAnsi="Arial" w:cs="Arial"/>
                <w:color w:val="000000"/>
                <w:sz w:val="20"/>
                <w:szCs w:val="20"/>
              </w:rPr>
            </w:pPr>
            <w:r w:rsidRPr="001A6D07">
              <w:rPr>
                <w:rFonts w:ascii="Arial" w:eastAsia="+mn-ea" w:hAnsi="Arial" w:cs="Arial"/>
                <w:color w:val="000000"/>
                <w:sz w:val="20"/>
                <w:szCs w:val="20"/>
              </w:rPr>
              <w:t>Ve Zlínském kraji od roku 2009 počet zjištěných trestných činů klesal a tento klesající trend byl v roce 2013 přerušen meziročním nárůstem trestných činů o</w:t>
            </w:r>
            <w:r>
              <w:rPr>
                <w:rFonts w:ascii="Arial" w:eastAsia="+mn-ea" w:hAnsi="Arial" w:cs="Arial"/>
                <w:color w:val="000000"/>
                <w:sz w:val="20"/>
                <w:szCs w:val="20"/>
              </w:rPr>
              <w:t> </w:t>
            </w:r>
            <w:r w:rsidRPr="001A6D07">
              <w:rPr>
                <w:rFonts w:ascii="Arial" w:eastAsia="+mn-ea" w:hAnsi="Arial" w:cs="Arial"/>
                <w:color w:val="000000"/>
                <w:sz w:val="20"/>
                <w:szCs w:val="20"/>
              </w:rPr>
              <w:t xml:space="preserve">3,5 % (o 310 trestných deliktů). V následujícím roce se počet zjištěných trestných činů o 390 deliktů (o 4,2 %) opět snížil. Celkově bylo ve Zlínském kraji v tomto roce spácháno 8 807 trestných deliktů. Zlínský podíl na celkovém počtu trestných činů v republice dosáhl 3,1 %. I když se počet trestných činů v kraji meziročně snížil, republikový podíl o 0,3 procentních bodů vzrostl. </w:t>
            </w:r>
          </w:p>
          <w:p w:rsidR="002A411D" w:rsidRPr="001A6D07" w:rsidRDefault="002A411D" w:rsidP="00C425B0">
            <w:pPr>
              <w:pStyle w:val="Normlnweb"/>
              <w:spacing w:before="60" w:beforeAutospacing="0" w:after="60" w:afterAutospacing="0"/>
              <w:jc w:val="both"/>
              <w:rPr>
                <w:rFonts w:ascii="Arial" w:eastAsia="+mn-ea" w:hAnsi="Arial" w:cs="Arial"/>
                <w:color w:val="000000"/>
                <w:sz w:val="20"/>
                <w:szCs w:val="20"/>
              </w:rPr>
            </w:pPr>
            <w:r w:rsidRPr="001A6D07">
              <w:rPr>
                <w:rFonts w:ascii="Arial" w:eastAsia="+mn-ea" w:hAnsi="Arial" w:cs="Arial"/>
                <w:color w:val="000000"/>
                <w:sz w:val="20"/>
                <w:szCs w:val="20"/>
              </w:rPr>
              <w:t>Ve Zlínském kraji byl zjištěn stejně jako v předchozím roce čtvrtý nejnižší počet trestných činů. Méně jich bylo spácháno jen v krajích Karlovarském, Vysočině a</w:t>
            </w:r>
            <w:r>
              <w:rPr>
                <w:rFonts w:ascii="Arial" w:eastAsia="+mn-ea" w:hAnsi="Arial" w:cs="Arial"/>
                <w:color w:val="000000"/>
                <w:sz w:val="20"/>
                <w:szCs w:val="20"/>
              </w:rPr>
              <w:t> </w:t>
            </w:r>
            <w:r w:rsidRPr="001A6D07">
              <w:rPr>
                <w:rFonts w:ascii="Arial" w:eastAsia="+mn-ea" w:hAnsi="Arial" w:cs="Arial"/>
                <w:color w:val="000000"/>
                <w:sz w:val="20"/>
                <w:szCs w:val="20"/>
              </w:rPr>
              <w:t xml:space="preserve">Pardubickém. </w:t>
            </w:r>
          </w:p>
          <w:p w:rsidR="002A411D" w:rsidRDefault="002A411D" w:rsidP="00C425B0">
            <w:pPr>
              <w:pStyle w:val="Normlnweb"/>
              <w:spacing w:before="60" w:beforeAutospacing="0" w:after="60" w:afterAutospacing="0"/>
              <w:jc w:val="both"/>
              <w:rPr>
                <w:rFonts w:ascii="Arial" w:eastAsia="+mn-ea" w:hAnsi="Arial" w:cs="Arial"/>
                <w:color w:val="000000"/>
                <w:sz w:val="20"/>
                <w:szCs w:val="20"/>
              </w:rPr>
            </w:pPr>
            <w:r w:rsidRPr="001A6D07">
              <w:rPr>
                <w:rFonts w:ascii="Arial" w:eastAsia="+mn-ea" w:hAnsi="Arial" w:cs="Arial"/>
                <w:color w:val="000000"/>
                <w:sz w:val="20"/>
                <w:szCs w:val="20"/>
              </w:rPr>
              <w:t>Ještě lépe je na tom kraj v přepočtu na tisíc obyvatel, neboť vykazoval po celé pětileté období nejnižší hodnotu ukazatele v republice.</w:t>
            </w:r>
          </w:p>
          <w:p w:rsidR="00BC0697" w:rsidRDefault="00BC0697" w:rsidP="00C425B0">
            <w:pPr>
              <w:pStyle w:val="Normlnweb"/>
              <w:spacing w:before="60" w:beforeAutospacing="0" w:after="60" w:afterAutospacing="0"/>
              <w:jc w:val="both"/>
              <w:rPr>
                <w:rFonts w:ascii="Arial" w:eastAsia="+mn-ea" w:hAnsi="Arial" w:cs="Arial"/>
                <w:color w:val="000000"/>
                <w:sz w:val="20"/>
                <w:szCs w:val="20"/>
              </w:rPr>
            </w:pPr>
          </w:p>
          <w:p w:rsidR="00BC0697" w:rsidRDefault="00BC0697" w:rsidP="00C425B0">
            <w:pPr>
              <w:pStyle w:val="Normlnweb"/>
              <w:spacing w:before="60" w:beforeAutospacing="0" w:after="60" w:afterAutospacing="0"/>
              <w:jc w:val="both"/>
              <w:rPr>
                <w:rFonts w:ascii="Arial" w:eastAsia="+mn-ea" w:hAnsi="Arial" w:cs="Arial"/>
                <w:color w:val="000000"/>
                <w:sz w:val="20"/>
                <w:szCs w:val="20"/>
              </w:rPr>
            </w:pPr>
          </w:p>
          <w:p w:rsidR="00BC0697" w:rsidRPr="00C35058" w:rsidRDefault="00BC0697" w:rsidP="00C425B0">
            <w:pPr>
              <w:pStyle w:val="Normlnweb"/>
              <w:spacing w:before="60" w:beforeAutospacing="0" w:after="60" w:afterAutospacing="0"/>
              <w:jc w:val="both"/>
              <w:rPr>
                <w:rFonts w:ascii="Arial" w:hAnsi="Arial" w:cs="Arial"/>
                <w:sz w:val="20"/>
                <w:szCs w:val="20"/>
                <w:highlight w:val="yellow"/>
              </w:rPr>
            </w:pPr>
          </w:p>
        </w:tc>
      </w:tr>
      <w:tr w:rsidR="002A411D" w:rsidTr="00057F4A">
        <w:trPr>
          <w:gridAfter w:val="2"/>
          <w:wAfter w:w="196" w:type="dxa"/>
          <w:trHeight w:val="497"/>
        </w:trPr>
        <w:tc>
          <w:tcPr>
            <w:tcW w:w="4792" w:type="dxa"/>
            <w:gridSpan w:val="8"/>
            <w:tcMar>
              <w:left w:w="85" w:type="dxa"/>
              <w:right w:w="85" w:type="dxa"/>
            </w:tcMar>
            <w:vAlign w:val="center"/>
          </w:tcPr>
          <w:p w:rsidR="002A411D" w:rsidRPr="001A6D07" w:rsidRDefault="002A411D" w:rsidP="001A6D07">
            <w:pPr>
              <w:spacing w:before="60" w:after="60"/>
              <w:jc w:val="left"/>
              <w:rPr>
                <w:b/>
              </w:rPr>
            </w:pPr>
            <w:r w:rsidRPr="001A6D07">
              <w:rPr>
                <w:b/>
              </w:rPr>
              <w:lastRenderedPageBreak/>
              <w:t xml:space="preserve">Graf </w:t>
            </w:r>
            <w:r w:rsidR="00BD18F7">
              <w:rPr>
                <w:b/>
              </w:rPr>
              <w:t>2.17</w:t>
            </w:r>
            <w:r w:rsidRPr="001A6D07">
              <w:rPr>
                <w:b/>
              </w:rPr>
              <w:t xml:space="preserve"> Zjištěné trestné činy celkem na tisíc</w:t>
            </w:r>
          </w:p>
          <w:p w:rsidR="002A411D" w:rsidRPr="00C35058" w:rsidRDefault="002A411D" w:rsidP="001A6D07">
            <w:pPr>
              <w:spacing w:before="60" w:after="60"/>
              <w:jc w:val="left"/>
              <w:rPr>
                <w:b/>
                <w:highlight w:val="yellow"/>
              </w:rPr>
            </w:pPr>
            <w:r w:rsidRPr="001A6D07">
              <w:rPr>
                <w:b/>
              </w:rPr>
              <w:t xml:space="preserve">          </w:t>
            </w:r>
            <w:r w:rsidR="00BC0697">
              <w:rPr>
                <w:b/>
              </w:rPr>
              <w:t xml:space="preserve">     </w:t>
            </w:r>
            <w:r w:rsidRPr="001A6D07">
              <w:rPr>
                <w:b/>
              </w:rPr>
              <w:t xml:space="preserve"> obyvatel podle krajů</w:t>
            </w:r>
          </w:p>
        </w:tc>
        <w:tc>
          <w:tcPr>
            <w:tcW w:w="4798" w:type="dxa"/>
            <w:gridSpan w:val="4"/>
            <w:vAlign w:val="center"/>
          </w:tcPr>
          <w:p w:rsidR="002A411D" w:rsidRPr="001A6D07" w:rsidRDefault="002A411D" w:rsidP="001A6D07">
            <w:pPr>
              <w:spacing w:before="60" w:after="60"/>
              <w:jc w:val="left"/>
              <w:rPr>
                <w:b/>
              </w:rPr>
            </w:pPr>
            <w:r w:rsidRPr="001A6D07">
              <w:rPr>
                <w:b/>
              </w:rPr>
              <w:t>Graf 2</w:t>
            </w:r>
            <w:r w:rsidR="00BD18F7">
              <w:rPr>
                <w:b/>
              </w:rPr>
              <w:t>.18</w:t>
            </w:r>
            <w:r w:rsidRPr="001A6D07">
              <w:rPr>
                <w:b/>
              </w:rPr>
              <w:t xml:space="preserve"> Zjištěné trestné činy celkem na tisíc</w:t>
            </w:r>
          </w:p>
          <w:p w:rsidR="002A411D" w:rsidRPr="00C35058" w:rsidRDefault="002A411D" w:rsidP="00BC0697">
            <w:pPr>
              <w:spacing w:before="60" w:after="60"/>
              <w:jc w:val="left"/>
              <w:rPr>
                <w:b/>
                <w:highlight w:val="yellow"/>
              </w:rPr>
            </w:pPr>
            <w:r w:rsidRPr="001A6D07">
              <w:rPr>
                <w:b/>
              </w:rPr>
              <w:t xml:space="preserve">          </w:t>
            </w:r>
            <w:r w:rsidR="00BC0697">
              <w:rPr>
                <w:b/>
              </w:rPr>
              <w:t xml:space="preserve">      </w:t>
            </w:r>
            <w:r w:rsidRPr="001A6D07">
              <w:rPr>
                <w:b/>
              </w:rPr>
              <w:t>obyvatel podle krajů</w:t>
            </w:r>
          </w:p>
        </w:tc>
      </w:tr>
      <w:tr w:rsidR="002A411D" w:rsidTr="00057F4A">
        <w:trPr>
          <w:gridAfter w:val="2"/>
          <w:wAfter w:w="196" w:type="dxa"/>
          <w:trHeight w:val="402"/>
        </w:trPr>
        <w:tc>
          <w:tcPr>
            <w:tcW w:w="4792" w:type="dxa"/>
            <w:gridSpan w:val="8"/>
            <w:tcMar>
              <w:left w:w="85" w:type="dxa"/>
              <w:right w:w="85" w:type="dxa"/>
            </w:tcMar>
            <w:vAlign w:val="center"/>
          </w:tcPr>
          <w:p w:rsidR="00BC0697" w:rsidRPr="002C6826" w:rsidRDefault="009956CB" w:rsidP="001A6D07">
            <w:pPr>
              <w:spacing w:before="60" w:after="60"/>
              <w:jc w:val="center"/>
              <w:rPr>
                <w:b/>
                <w:szCs w:val="20"/>
              </w:rPr>
            </w:pPr>
            <w:r w:rsidRPr="00286EFA">
              <w:rPr>
                <w:b/>
                <w:szCs w:val="20"/>
              </w:rPr>
              <w:pict>
                <v:shape id="_x0000_i1060" type="#_x0000_t75" style="width:236.25pt;height:214.5pt">
                  <v:imagedata r:id="rId53" o:title=""/>
                </v:shape>
              </w:pict>
            </w:r>
          </w:p>
          <w:p w:rsidR="002A411D" w:rsidRPr="00C35058" w:rsidRDefault="002A411D" w:rsidP="001A6D07">
            <w:pPr>
              <w:spacing w:before="60" w:after="60"/>
              <w:jc w:val="center"/>
              <w:rPr>
                <w:b/>
                <w:szCs w:val="20"/>
                <w:highlight w:val="yellow"/>
              </w:rPr>
            </w:pPr>
          </w:p>
        </w:tc>
        <w:tc>
          <w:tcPr>
            <w:tcW w:w="4798" w:type="dxa"/>
            <w:gridSpan w:val="4"/>
            <w:vAlign w:val="center"/>
          </w:tcPr>
          <w:p w:rsidR="00BC0697" w:rsidRPr="002C6826" w:rsidRDefault="009956CB" w:rsidP="001A6D07">
            <w:pPr>
              <w:spacing w:before="60" w:after="60"/>
              <w:jc w:val="center"/>
              <w:rPr>
                <w:b/>
                <w:szCs w:val="20"/>
              </w:rPr>
            </w:pPr>
            <w:r w:rsidRPr="00286EFA">
              <w:rPr>
                <w:b/>
                <w:szCs w:val="20"/>
              </w:rPr>
              <w:pict>
                <v:shape id="_x0000_i1061" type="#_x0000_t75" style="width:237.75pt;height:209.25pt">
                  <v:imagedata r:id="rId54" o:title=""/>
                </v:shape>
              </w:pict>
            </w:r>
          </w:p>
          <w:p w:rsidR="002A411D" w:rsidRPr="00C35058" w:rsidRDefault="002A411D" w:rsidP="001A6D07">
            <w:pPr>
              <w:spacing w:before="60" w:after="60"/>
              <w:jc w:val="center"/>
              <w:rPr>
                <w:b/>
                <w:szCs w:val="20"/>
                <w:highlight w:val="yellow"/>
              </w:rPr>
            </w:pPr>
          </w:p>
        </w:tc>
      </w:tr>
      <w:tr w:rsidR="002A411D" w:rsidTr="00057F4A">
        <w:trPr>
          <w:gridAfter w:val="2"/>
          <w:wAfter w:w="196" w:type="dxa"/>
        </w:trPr>
        <w:tc>
          <w:tcPr>
            <w:tcW w:w="2330" w:type="dxa"/>
            <w:gridSpan w:val="5"/>
            <w:tcMar>
              <w:left w:w="85" w:type="dxa"/>
              <w:right w:w="85" w:type="dxa"/>
            </w:tcMar>
          </w:tcPr>
          <w:p w:rsidR="002A411D" w:rsidRPr="00C35058" w:rsidRDefault="002A411D" w:rsidP="001A6D07">
            <w:pPr>
              <w:spacing w:before="60" w:after="60"/>
              <w:jc w:val="left"/>
              <w:rPr>
                <w:b/>
                <w:i/>
                <w:szCs w:val="20"/>
                <w:highlight w:val="yellow"/>
              </w:rPr>
            </w:pPr>
            <w:r w:rsidRPr="001A6D07">
              <w:rPr>
                <w:b/>
                <w:i/>
                <w:szCs w:val="20"/>
              </w:rPr>
              <w:t>Nejvíc trestných činů v kraji bylo zjištěno v okrese Zlín</w:t>
            </w:r>
          </w:p>
        </w:tc>
        <w:tc>
          <w:tcPr>
            <w:tcW w:w="7260" w:type="dxa"/>
            <w:gridSpan w:val="7"/>
            <w:tcMar>
              <w:left w:w="85" w:type="dxa"/>
              <w:right w:w="85" w:type="dxa"/>
            </w:tcMar>
            <w:vAlign w:val="center"/>
          </w:tcPr>
          <w:p w:rsidR="002A411D" w:rsidRPr="001A6D07" w:rsidRDefault="002A411D" w:rsidP="00C425B0">
            <w:pPr>
              <w:pStyle w:val="Normlnweb"/>
              <w:spacing w:before="60" w:beforeAutospacing="0" w:after="60" w:afterAutospacing="0"/>
              <w:jc w:val="both"/>
              <w:rPr>
                <w:rFonts w:ascii="Arial" w:eastAsia="+mn-ea" w:hAnsi="Arial" w:cs="Arial"/>
                <w:color w:val="000000"/>
                <w:sz w:val="20"/>
                <w:szCs w:val="20"/>
              </w:rPr>
            </w:pPr>
            <w:r w:rsidRPr="001A6D07">
              <w:rPr>
                <w:rFonts w:ascii="Arial" w:eastAsia="+mn-ea" w:hAnsi="Arial" w:cs="Arial"/>
                <w:color w:val="000000"/>
                <w:sz w:val="20"/>
                <w:szCs w:val="20"/>
              </w:rPr>
              <w:t>V hodnocení okresů v celkové zjištěné trestné činnosti dopadl nejlépe okres Kroměříž a nejhůře okres Zlín. Tento stav se netýká pouze roku 2014, ale celého období od roku 2009.</w:t>
            </w:r>
          </w:p>
          <w:p w:rsidR="002A411D" w:rsidRDefault="002A411D" w:rsidP="00C425B0">
            <w:pPr>
              <w:pStyle w:val="Normlnweb"/>
              <w:spacing w:before="60" w:beforeAutospacing="0" w:after="60" w:afterAutospacing="0"/>
              <w:jc w:val="both"/>
              <w:rPr>
                <w:rFonts w:ascii="Arial" w:eastAsia="+mn-ea" w:hAnsi="Arial" w:cs="Arial"/>
                <w:color w:val="000000"/>
                <w:sz w:val="20"/>
                <w:szCs w:val="20"/>
              </w:rPr>
            </w:pPr>
            <w:r w:rsidRPr="001A6D07">
              <w:rPr>
                <w:rFonts w:ascii="Arial" w:eastAsia="+mn-ea" w:hAnsi="Arial" w:cs="Arial"/>
                <w:color w:val="000000"/>
                <w:sz w:val="20"/>
                <w:szCs w:val="20"/>
              </w:rPr>
              <w:t>V přepočtu trestných činů na tisíc obyvatel byl pokles proti předchozímu roku zaznamenán ve všech okresech. Nejvýraznější snížení bylo zachyceno v</w:t>
            </w:r>
            <w:r>
              <w:rPr>
                <w:rFonts w:ascii="Arial" w:eastAsia="+mn-ea" w:hAnsi="Arial" w:cs="Arial"/>
                <w:color w:val="000000"/>
                <w:sz w:val="20"/>
                <w:szCs w:val="20"/>
              </w:rPr>
              <w:t> </w:t>
            </w:r>
            <w:r w:rsidRPr="001A6D07">
              <w:rPr>
                <w:rFonts w:ascii="Arial" w:eastAsia="+mn-ea" w:hAnsi="Arial" w:cs="Arial"/>
                <w:color w:val="000000"/>
                <w:sz w:val="20"/>
                <w:szCs w:val="20"/>
              </w:rPr>
              <w:t>okrese Kroměříž (o 1,6 zjištěných trestných činů na tis. obyvatel), nejmenší v</w:t>
            </w:r>
            <w:r>
              <w:rPr>
                <w:rFonts w:ascii="Arial" w:eastAsia="+mn-ea" w:hAnsi="Arial" w:cs="Arial"/>
                <w:color w:val="000000"/>
                <w:sz w:val="20"/>
                <w:szCs w:val="20"/>
              </w:rPr>
              <w:t> </w:t>
            </w:r>
            <w:r w:rsidRPr="001A6D07">
              <w:rPr>
                <w:rFonts w:ascii="Arial" w:eastAsia="+mn-ea" w:hAnsi="Arial" w:cs="Arial"/>
                <w:color w:val="000000"/>
                <w:sz w:val="20"/>
                <w:szCs w:val="20"/>
              </w:rPr>
              <w:t>okrese Uherské Hradiště a Zlín (shodně o 0,1).</w:t>
            </w:r>
          </w:p>
          <w:p w:rsidR="00BC0697" w:rsidRPr="00C35058" w:rsidRDefault="00BC0697" w:rsidP="00C425B0">
            <w:pPr>
              <w:pStyle w:val="Normlnweb"/>
              <w:spacing w:before="60" w:beforeAutospacing="0" w:after="60" w:afterAutospacing="0"/>
              <w:jc w:val="both"/>
              <w:rPr>
                <w:rFonts w:ascii="Arial" w:hAnsi="Arial" w:cs="Arial"/>
                <w:sz w:val="20"/>
                <w:szCs w:val="20"/>
                <w:highlight w:val="yellow"/>
              </w:rPr>
            </w:pPr>
          </w:p>
        </w:tc>
      </w:tr>
      <w:tr w:rsidR="002A411D" w:rsidTr="00057F4A">
        <w:trPr>
          <w:gridAfter w:val="2"/>
          <w:wAfter w:w="196" w:type="dxa"/>
          <w:trHeight w:val="425"/>
        </w:trPr>
        <w:tc>
          <w:tcPr>
            <w:tcW w:w="4792" w:type="dxa"/>
            <w:gridSpan w:val="8"/>
            <w:tcMar>
              <w:left w:w="85" w:type="dxa"/>
              <w:right w:w="85" w:type="dxa"/>
            </w:tcMar>
            <w:vAlign w:val="center"/>
          </w:tcPr>
          <w:p w:rsidR="002A411D" w:rsidRPr="00BC0697" w:rsidRDefault="002A411D" w:rsidP="00BC0697">
            <w:pPr>
              <w:spacing w:before="60" w:after="60"/>
              <w:jc w:val="left"/>
              <w:rPr>
                <w:b/>
              </w:rPr>
            </w:pPr>
            <w:r w:rsidRPr="00BC0697">
              <w:rPr>
                <w:b/>
              </w:rPr>
              <w:t xml:space="preserve">Graf </w:t>
            </w:r>
            <w:r w:rsidR="00BD18F7" w:rsidRPr="00BC0697">
              <w:rPr>
                <w:b/>
              </w:rPr>
              <w:t>2.19</w:t>
            </w:r>
            <w:r w:rsidRPr="00BC0697">
              <w:rPr>
                <w:b/>
              </w:rPr>
              <w:t xml:space="preserve"> Zjištěné trestné činy na tisíc obyvatel </w:t>
            </w:r>
          </w:p>
          <w:p w:rsidR="002A411D" w:rsidRPr="00C35058" w:rsidRDefault="002A411D" w:rsidP="00BC0697">
            <w:pPr>
              <w:spacing w:before="60" w:after="60"/>
              <w:jc w:val="left"/>
              <w:rPr>
                <w:b/>
                <w:bCs/>
                <w:szCs w:val="20"/>
                <w:highlight w:val="yellow"/>
              </w:rPr>
            </w:pPr>
            <w:r w:rsidRPr="00BC0697">
              <w:rPr>
                <w:b/>
              </w:rPr>
              <w:t xml:space="preserve">       </w:t>
            </w:r>
            <w:r w:rsidR="00BC0697">
              <w:rPr>
                <w:b/>
              </w:rPr>
              <w:t xml:space="preserve">      </w:t>
            </w:r>
            <w:r w:rsidRPr="00BC0697">
              <w:rPr>
                <w:b/>
              </w:rPr>
              <w:t xml:space="preserve">   v okresech Zlínského kraje</w:t>
            </w:r>
          </w:p>
        </w:tc>
        <w:tc>
          <w:tcPr>
            <w:tcW w:w="4798" w:type="dxa"/>
            <w:gridSpan w:val="4"/>
            <w:vAlign w:val="center"/>
          </w:tcPr>
          <w:p w:rsidR="002A411D" w:rsidRPr="00A077F1" w:rsidRDefault="002A411D" w:rsidP="00A077F1">
            <w:pPr>
              <w:jc w:val="left"/>
              <w:rPr>
                <w:b/>
                <w:bCs/>
                <w:szCs w:val="20"/>
              </w:rPr>
            </w:pPr>
            <w:r w:rsidRPr="00A077F1">
              <w:rPr>
                <w:b/>
                <w:bCs/>
                <w:szCs w:val="20"/>
              </w:rPr>
              <w:t xml:space="preserve">Graf </w:t>
            </w:r>
            <w:r w:rsidR="00BD18F7">
              <w:rPr>
                <w:b/>
                <w:bCs/>
                <w:szCs w:val="20"/>
              </w:rPr>
              <w:t>2.20</w:t>
            </w:r>
            <w:r w:rsidRPr="00A077F1">
              <w:rPr>
                <w:b/>
                <w:bCs/>
                <w:szCs w:val="20"/>
              </w:rPr>
              <w:t xml:space="preserve"> Zjištěné trestné činy na tisíc obyvatel </w:t>
            </w:r>
          </w:p>
          <w:p w:rsidR="002A411D" w:rsidRPr="00C35058" w:rsidRDefault="002A411D" w:rsidP="00A077F1">
            <w:pPr>
              <w:jc w:val="left"/>
              <w:rPr>
                <w:b/>
                <w:bCs/>
                <w:szCs w:val="20"/>
                <w:highlight w:val="yellow"/>
              </w:rPr>
            </w:pPr>
            <w:r w:rsidRPr="00A077F1">
              <w:rPr>
                <w:b/>
                <w:bCs/>
                <w:szCs w:val="20"/>
              </w:rPr>
              <w:t xml:space="preserve">    </w:t>
            </w:r>
            <w:r w:rsidR="00BC0697">
              <w:rPr>
                <w:b/>
                <w:bCs/>
                <w:szCs w:val="20"/>
              </w:rPr>
              <w:t xml:space="preserve">      </w:t>
            </w:r>
            <w:r w:rsidRPr="00A077F1">
              <w:rPr>
                <w:b/>
                <w:bCs/>
                <w:szCs w:val="20"/>
              </w:rPr>
              <w:t xml:space="preserve">      v okresech Zlínského kraje</w:t>
            </w:r>
          </w:p>
        </w:tc>
      </w:tr>
      <w:tr w:rsidR="002A411D" w:rsidTr="00057F4A">
        <w:trPr>
          <w:gridAfter w:val="2"/>
          <w:wAfter w:w="196" w:type="dxa"/>
          <w:trHeight w:val="255"/>
        </w:trPr>
        <w:tc>
          <w:tcPr>
            <w:tcW w:w="4792" w:type="dxa"/>
            <w:gridSpan w:val="8"/>
            <w:tcMar>
              <w:left w:w="85" w:type="dxa"/>
              <w:right w:w="85" w:type="dxa"/>
            </w:tcMar>
          </w:tcPr>
          <w:p w:rsidR="002A411D" w:rsidRPr="00C35058" w:rsidRDefault="009956CB" w:rsidP="004120AB">
            <w:pPr>
              <w:rPr>
                <w:b/>
                <w:bCs/>
                <w:szCs w:val="20"/>
                <w:highlight w:val="yellow"/>
              </w:rPr>
            </w:pPr>
            <w:r w:rsidRPr="00286EFA">
              <w:rPr>
                <w:szCs w:val="20"/>
              </w:rPr>
              <w:pict>
                <v:shape id="_x0000_i1062" type="#_x0000_t75" style="width:237pt;height:186pt">
                  <v:imagedata r:id="rId55" o:title=""/>
                </v:shape>
              </w:pict>
            </w:r>
          </w:p>
        </w:tc>
        <w:tc>
          <w:tcPr>
            <w:tcW w:w="4798" w:type="dxa"/>
            <w:gridSpan w:val="4"/>
          </w:tcPr>
          <w:p w:rsidR="002A411D" w:rsidRPr="00C35058" w:rsidRDefault="009956CB" w:rsidP="004120AB">
            <w:pPr>
              <w:rPr>
                <w:b/>
                <w:bCs/>
                <w:szCs w:val="20"/>
                <w:highlight w:val="yellow"/>
              </w:rPr>
            </w:pPr>
            <w:r w:rsidRPr="00286EFA">
              <w:rPr>
                <w:szCs w:val="20"/>
              </w:rPr>
              <w:pict>
                <v:shape id="_x0000_i1063" type="#_x0000_t75" style="width:237pt;height:183pt">
                  <v:imagedata r:id="rId56" o:title=""/>
                </v:shape>
              </w:pict>
            </w:r>
          </w:p>
        </w:tc>
      </w:tr>
      <w:tr w:rsidR="002A411D" w:rsidTr="00057F4A">
        <w:trPr>
          <w:gridAfter w:val="2"/>
          <w:wAfter w:w="196" w:type="dxa"/>
          <w:trHeight w:val="437"/>
        </w:trPr>
        <w:tc>
          <w:tcPr>
            <w:tcW w:w="2346" w:type="dxa"/>
            <w:gridSpan w:val="6"/>
            <w:tcMar>
              <w:left w:w="85" w:type="dxa"/>
              <w:right w:w="85" w:type="dxa"/>
            </w:tcMar>
            <w:vAlign w:val="center"/>
          </w:tcPr>
          <w:p w:rsidR="002A411D" w:rsidRPr="00C35058" w:rsidRDefault="002A411D" w:rsidP="00F978CF">
            <w:pPr>
              <w:jc w:val="left"/>
              <w:rPr>
                <w:b/>
                <w:bCs/>
                <w:szCs w:val="20"/>
                <w:highlight w:val="yellow"/>
              </w:rPr>
            </w:pPr>
          </w:p>
        </w:tc>
        <w:tc>
          <w:tcPr>
            <w:tcW w:w="7244" w:type="dxa"/>
            <w:gridSpan w:val="6"/>
            <w:vAlign w:val="center"/>
          </w:tcPr>
          <w:p w:rsidR="002A411D" w:rsidRDefault="002A411D" w:rsidP="00C425B0">
            <w:pPr>
              <w:spacing w:before="60" w:after="60"/>
              <w:rPr>
                <w:bCs/>
                <w:szCs w:val="20"/>
              </w:rPr>
            </w:pPr>
            <w:r w:rsidRPr="00A077F1">
              <w:rPr>
                <w:bCs/>
                <w:szCs w:val="20"/>
              </w:rPr>
              <w:t>V přepočtu trestných činů na tisíc obyvatel za celé pětileté období byl zaznamenán pokles také ve všech okresech. Nejvýraznější byl zachycen v</w:t>
            </w:r>
            <w:r>
              <w:rPr>
                <w:bCs/>
                <w:szCs w:val="20"/>
              </w:rPr>
              <w:t> </w:t>
            </w:r>
            <w:r w:rsidRPr="00A077F1">
              <w:rPr>
                <w:bCs/>
                <w:szCs w:val="20"/>
              </w:rPr>
              <w:t>okrese Kroměříž (o 2,9 zjištěných trestných činů na tis. obyvatel), dále pak v</w:t>
            </w:r>
            <w:r>
              <w:rPr>
                <w:bCs/>
                <w:szCs w:val="20"/>
              </w:rPr>
              <w:t> </w:t>
            </w:r>
            <w:r w:rsidRPr="00A077F1">
              <w:rPr>
                <w:bCs/>
                <w:szCs w:val="20"/>
              </w:rPr>
              <w:t>uherskohradišťském (o 2,4) a vsetínském a zlínském okrese (shodně o 0,4).</w:t>
            </w:r>
          </w:p>
          <w:p w:rsidR="00BC0697" w:rsidRDefault="00BC0697" w:rsidP="00C425B0">
            <w:pPr>
              <w:spacing w:before="60" w:after="60"/>
              <w:rPr>
                <w:bCs/>
                <w:szCs w:val="20"/>
              </w:rPr>
            </w:pPr>
          </w:p>
          <w:p w:rsidR="00BC0697" w:rsidRDefault="00BC0697" w:rsidP="00C425B0">
            <w:pPr>
              <w:spacing w:before="60" w:after="60"/>
              <w:rPr>
                <w:bCs/>
                <w:szCs w:val="20"/>
              </w:rPr>
            </w:pPr>
          </w:p>
          <w:p w:rsidR="00BC0697" w:rsidRDefault="00BC0697" w:rsidP="00C425B0">
            <w:pPr>
              <w:spacing w:before="60" w:after="60"/>
              <w:rPr>
                <w:bCs/>
                <w:szCs w:val="20"/>
              </w:rPr>
            </w:pPr>
          </w:p>
          <w:p w:rsidR="00BC0697" w:rsidRDefault="00BC0697" w:rsidP="00C425B0">
            <w:pPr>
              <w:spacing w:before="60" w:after="60"/>
              <w:rPr>
                <w:bCs/>
                <w:szCs w:val="20"/>
              </w:rPr>
            </w:pPr>
          </w:p>
          <w:p w:rsidR="00BC0697" w:rsidRPr="00A077F1" w:rsidRDefault="00BC0697" w:rsidP="00C425B0">
            <w:pPr>
              <w:spacing w:before="60" w:after="60"/>
              <w:rPr>
                <w:bCs/>
                <w:szCs w:val="20"/>
                <w:highlight w:val="yellow"/>
              </w:rPr>
            </w:pPr>
          </w:p>
        </w:tc>
      </w:tr>
      <w:tr w:rsidR="002A411D" w:rsidTr="00057F4A">
        <w:trPr>
          <w:gridAfter w:val="2"/>
          <w:wAfter w:w="196" w:type="dxa"/>
          <w:trHeight w:val="437"/>
        </w:trPr>
        <w:tc>
          <w:tcPr>
            <w:tcW w:w="4792" w:type="dxa"/>
            <w:gridSpan w:val="8"/>
            <w:tcMar>
              <w:left w:w="85" w:type="dxa"/>
              <w:right w:w="85" w:type="dxa"/>
            </w:tcMar>
            <w:vAlign w:val="center"/>
          </w:tcPr>
          <w:p w:rsidR="00BC0697" w:rsidRDefault="002A411D" w:rsidP="00BC0697">
            <w:pPr>
              <w:spacing w:before="60" w:after="60"/>
              <w:jc w:val="left"/>
              <w:rPr>
                <w:b/>
                <w:bCs/>
                <w:szCs w:val="20"/>
              </w:rPr>
            </w:pPr>
            <w:r w:rsidRPr="00A077F1">
              <w:rPr>
                <w:b/>
                <w:bCs/>
                <w:szCs w:val="20"/>
              </w:rPr>
              <w:lastRenderedPageBreak/>
              <w:t xml:space="preserve">Graf </w:t>
            </w:r>
            <w:r w:rsidR="00BD18F7">
              <w:rPr>
                <w:b/>
                <w:bCs/>
                <w:szCs w:val="20"/>
              </w:rPr>
              <w:t>2.21</w:t>
            </w:r>
            <w:r w:rsidRPr="00A077F1">
              <w:rPr>
                <w:b/>
                <w:bCs/>
                <w:szCs w:val="20"/>
              </w:rPr>
              <w:t xml:space="preserve"> Znásilnění a vraždy v okresech </w:t>
            </w:r>
          </w:p>
          <w:p w:rsidR="002A411D" w:rsidRPr="00C35058" w:rsidRDefault="00BC0697" w:rsidP="00BC0697">
            <w:pPr>
              <w:spacing w:before="60" w:after="60"/>
              <w:jc w:val="left"/>
              <w:rPr>
                <w:b/>
                <w:bCs/>
                <w:szCs w:val="20"/>
                <w:highlight w:val="yellow"/>
              </w:rPr>
            </w:pPr>
            <w:r>
              <w:rPr>
                <w:b/>
                <w:bCs/>
                <w:szCs w:val="20"/>
              </w:rPr>
              <w:t xml:space="preserve">                 </w:t>
            </w:r>
            <w:r w:rsidR="002A411D" w:rsidRPr="00A077F1">
              <w:rPr>
                <w:b/>
                <w:bCs/>
                <w:szCs w:val="20"/>
              </w:rPr>
              <w:t xml:space="preserve">Zlínského </w:t>
            </w:r>
            <w:r w:rsidR="00BD18F7">
              <w:rPr>
                <w:b/>
                <w:bCs/>
                <w:szCs w:val="20"/>
              </w:rPr>
              <w:t>k</w:t>
            </w:r>
            <w:r w:rsidR="002A411D" w:rsidRPr="00A077F1">
              <w:rPr>
                <w:b/>
                <w:bCs/>
                <w:szCs w:val="20"/>
              </w:rPr>
              <w:t>raje</w:t>
            </w:r>
          </w:p>
        </w:tc>
        <w:tc>
          <w:tcPr>
            <w:tcW w:w="4798" w:type="dxa"/>
            <w:gridSpan w:val="4"/>
            <w:vAlign w:val="center"/>
          </w:tcPr>
          <w:p w:rsidR="00BC0697" w:rsidRDefault="002A411D" w:rsidP="00BD18F7">
            <w:pPr>
              <w:spacing w:before="60" w:after="60"/>
              <w:jc w:val="left"/>
              <w:rPr>
                <w:b/>
                <w:bCs/>
                <w:szCs w:val="20"/>
              </w:rPr>
            </w:pPr>
            <w:r w:rsidRPr="00A077F1">
              <w:rPr>
                <w:b/>
                <w:bCs/>
                <w:szCs w:val="20"/>
              </w:rPr>
              <w:t xml:space="preserve">Graf </w:t>
            </w:r>
            <w:r w:rsidR="00BD18F7">
              <w:rPr>
                <w:b/>
                <w:bCs/>
                <w:szCs w:val="20"/>
              </w:rPr>
              <w:t>2.22</w:t>
            </w:r>
            <w:r w:rsidRPr="00A077F1">
              <w:rPr>
                <w:b/>
                <w:bCs/>
                <w:szCs w:val="20"/>
              </w:rPr>
              <w:t xml:space="preserve"> Znásilnění a vraždy v okresech </w:t>
            </w:r>
          </w:p>
          <w:p w:rsidR="002A411D" w:rsidRPr="00C35058" w:rsidRDefault="00BC0697" w:rsidP="00BC0697">
            <w:pPr>
              <w:spacing w:before="60" w:after="60"/>
              <w:jc w:val="left"/>
              <w:rPr>
                <w:b/>
                <w:bCs/>
                <w:szCs w:val="20"/>
                <w:highlight w:val="yellow"/>
              </w:rPr>
            </w:pPr>
            <w:r>
              <w:rPr>
                <w:b/>
                <w:bCs/>
                <w:szCs w:val="20"/>
              </w:rPr>
              <w:t xml:space="preserve">                </w:t>
            </w:r>
            <w:r w:rsidR="002A411D" w:rsidRPr="00A077F1">
              <w:rPr>
                <w:b/>
                <w:bCs/>
                <w:szCs w:val="20"/>
              </w:rPr>
              <w:t>Zlínského kraje</w:t>
            </w:r>
          </w:p>
        </w:tc>
      </w:tr>
      <w:tr w:rsidR="002A411D" w:rsidTr="00057F4A">
        <w:trPr>
          <w:gridAfter w:val="2"/>
          <w:wAfter w:w="196" w:type="dxa"/>
          <w:trHeight w:val="255"/>
        </w:trPr>
        <w:tc>
          <w:tcPr>
            <w:tcW w:w="4792" w:type="dxa"/>
            <w:gridSpan w:val="8"/>
            <w:tcMar>
              <w:left w:w="85" w:type="dxa"/>
              <w:right w:w="85" w:type="dxa"/>
            </w:tcMar>
          </w:tcPr>
          <w:p w:rsidR="002A411D" w:rsidRPr="00C35058" w:rsidRDefault="009956CB" w:rsidP="004120AB">
            <w:pPr>
              <w:rPr>
                <w:b/>
                <w:bCs/>
                <w:szCs w:val="20"/>
                <w:highlight w:val="yellow"/>
              </w:rPr>
            </w:pPr>
            <w:r w:rsidRPr="00286EFA">
              <w:rPr>
                <w:szCs w:val="20"/>
              </w:rPr>
              <w:pict>
                <v:shape id="_x0000_i1064" type="#_x0000_t75" style="width:237pt;height:197.25pt">
                  <v:imagedata r:id="rId57" o:title=""/>
                </v:shape>
              </w:pict>
            </w:r>
          </w:p>
        </w:tc>
        <w:tc>
          <w:tcPr>
            <w:tcW w:w="4798" w:type="dxa"/>
            <w:gridSpan w:val="4"/>
          </w:tcPr>
          <w:p w:rsidR="002A411D" w:rsidRPr="00C35058" w:rsidRDefault="009956CB" w:rsidP="004120AB">
            <w:pPr>
              <w:rPr>
                <w:b/>
                <w:bCs/>
                <w:szCs w:val="20"/>
                <w:highlight w:val="yellow"/>
              </w:rPr>
            </w:pPr>
            <w:r w:rsidRPr="00286EFA">
              <w:rPr>
                <w:b/>
                <w:bCs/>
                <w:szCs w:val="20"/>
              </w:rPr>
              <w:pict>
                <v:shape id="_x0000_i1065" type="#_x0000_t75" style="width:232.5pt;height:194.25pt">
                  <v:imagedata r:id="rId58" o:title=""/>
                </v:shape>
              </w:pict>
            </w:r>
          </w:p>
        </w:tc>
      </w:tr>
      <w:tr w:rsidR="002A411D" w:rsidTr="00057F4A">
        <w:trPr>
          <w:gridAfter w:val="2"/>
          <w:wAfter w:w="196" w:type="dxa"/>
          <w:trHeight w:val="255"/>
        </w:trPr>
        <w:tc>
          <w:tcPr>
            <w:tcW w:w="2346" w:type="dxa"/>
            <w:gridSpan w:val="6"/>
            <w:tcMar>
              <w:left w:w="85" w:type="dxa"/>
              <w:right w:w="85" w:type="dxa"/>
            </w:tcMar>
          </w:tcPr>
          <w:p w:rsidR="002A411D" w:rsidRPr="00C425B0" w:rsidRDefault="002A411D" w:rsidP="00C425B0">
            <w:pPr>
              <w:spacing w:before="60" w:after="60"/>
              <w:jc w:val="left"/>
              <w:rPr>
                <w:b/>
                <w:bCs/>
                <w:szCs w:val="20"/>
              </w:rPr>
            </w:pPr>
          </w:p>
        </w:tc>
        <w:tc>
          <w:tcPr>
            <w:tcW w:w="7244" w:type="dxa"/>
            <w:gridSpan w:val="6"/>
          </w:tcPr>
          <w:p w:rsidR="002A411D" w:rsidRDefault="002A411D" w:rsidP="00C425B0">
            <w:pPr>
              <w:spacing w:before="60" w:after="60"/>
              <w:rPr>
                <w:bCs/>
                <w:szCs w:val="20"/>
              </w:rPr>
            </w:pPr>
          </w:p>
          <w:p w:rsidR="00BC0697" w:rsidRPr="00C425B0" w:rsidRDefault="00BC0697" w:rsidP="00C425B0">
            <w:pPr>
              <w:spacing w:before="60" w:after="60"/>
              <w:rPr>
                <w:bCs/>
                <w:szCs w:val="20"/>
              </w:rPr>
            </w:pPr>
          </w:p>
        </w:tc>
      </w:tr>
      <w:tr w:rsidR="002A411D" w:rsidTr="00057F4A">
        <w:trPr>
          <w:gridAfter w:val="2"/>
          <w:wAfter w:w="196" w:type="dxa"/>
          <w:trHeight w:val="255"/>
        </w:trPr>
        <w:tc>
          <w:tcPr>
            <w:tcW w:w="2346" w:type="dxa"/>
            <w:gridSpan w:val="6"/>
            <w:tcMar>
              <w:left w:w="85" w:type="dxa"/>
              <w:right w:w="85" w:type="dxa"/>
            </w:tcMar>
          </w:tcPr>
          <w:p w:rsidR="002A411D" w:rsidRPr="00411544" w:rsidRDefault="002A411D" w:rsidP="00C425B0">
            <w:pPr>
              <w:spacing w:before="60" w:after="60"/>
              <w:jc w:val="left"/>
              <w:rPr>
                <w:b/>
                <w:bCs/>
                <w:i/>
                <w:szCs w:val="20"/>
                <w:highlight w:val="yellow"/>
              </w:rPr>
            </w:pPr>
            <w:r w:rsidRPr="00411544">
              <w:rPr>
                <w:b/>
                <w:bCs/>
                <w:i/>
                <w:szCs w:val="20"/>
              </w:rPr>
              <w:t>Druhá nejvyšší objasněnost mezi kraji</w:t>
            </w:r>
          </w:p>
        </w:tc>
        <w:tc>
          <w:tcPr>
            <w:tcW w:w="7244" w:type="dxa"/>
            <w:gridSpan w:val="6"/>
          </w:tcPr>
          <w:p w:rsidR="002A411D" w:rsidRDefault="002A411D" w:rsidP="00C425B0">
            <w:pPr>
              <w:spacing w:before="60" w:after="60"/>
              <w:rPr>
                <w:bCs/>
                <w:szCs w:val="20"/>
              </w:rPr>
            </w:pPr>
            <w:r w:rsidRPr="00C425B0">
              <w:rPr>
                <w:bCs/>
                <w:szCs w:val="20"/>
              </w:rPr>
              <w:t>Procento objasněných trestných činů je ve Zlínském kraji ve srovnání s</w:t>
            </w:r>
            <w:r>
              <w:rPr>
                <w:bCs/>
                <w:szCs w:val="20"/>
              </w:rPr>
              <w:t> </w:t>
            </w:r>
            <w:r w:rsidRPr="00C425B0">
              <w:rPr>
                <w:bCs/>
                <w:szCs w:val="20"/>
              </w:rPr>
              <w:t>republikovým průměrem dlouhodobě vyšší. V roce 2014 bylo o 13,8 procentních bodů vyšší než objasněnost celorepubliková a mezi ostatními kraji se Zlínský kraj umístil na druhé pozici za Karlovarským.</w:t>
            </w:r>
          </w:p>
          <w:p w:rsidR="00BC0697" w:rsidRPr="00C425B0" w:rsidRDefault="00BC0697" w:rsidP="00C425B0">
            <w:pPr>
              <w:spacing w:before="60" w:after="60"/>
              <w:rPr>
                <w:bCs/>
                <w:szCs w:val="20"/>
                <w:highlight w:val="yellow"/>
              </w:rPr>
            </w:pPr>
          </w:p>
        </w:tc>
      </w:tr>
      <w:tr w:rsidR="002A411D" w:rsidRPr="007F04FB" w:rsidTr="00057F4A">
        <w:trPr>
          <w:gridAfter w:val="3"/>
          <w:wAfter w:w="207" w:type="dxa"/>
        </w:trPr>
        <w:tc>
          <w:tcPr>
            <w:tcW w:w="2330" w:type="dxa"/>
            <w:gridSpan w:val="5"/>
            <w:tcMar>
              <w:left w:w="85" w:type="dxa"/>
              <w:right w:w="85" w:type="dxa"/>
            </w:tcMar>
          </w:tcPr>
          <w:p w:rsidR="002A411D" w:rsidRPr="00D50BA6" w:rsidRDefault="002A411D" w:rsidP="00D50BA6">
            <w:pPr>
              <w:spacing w:before="60" w:after="60"/>
              <w:jc w:val="left"/>
              <w:rPr>
                <w:b/>
                <w:i/>
                <w:szCs w:val="20"/>
              </w:rPr>
            </w:pPr>
            <w:r w:rsidRPr="00D50BA6">
              <w:rPr>
                <w:b/>
                <w:bCs/>
                <w:i/>
                <w:u w:val="single"/>
              </w:rPr>
              <w:t>Dopravní nehody</w:t>
            </w:r>
          </w:p>
          <w:p w:rsidR="002A411D" w:rsidRPr="00C35058" w:rsidRDefault="002A411D" w:rsidP="00D50BA6">
            <w:pPr>
              <w:spacing w:before="60" w:after="60"/>
              <w:jc w:val="left"/>
              <w:rPr>
                <w:b/>
                <w:i/>
                <w:szCs w:val="20"/>
                <w:highlight w:val="yellow"/>
              </w:rPr>
            </w:pPr>
            <w:r w:rsidRPr="00D50BA6">
              <w:rPr>
                <w:b/>
                <w:i/>
                <w:szCs w:val="20"/>
              </w:rPr>
              <w:t>Zlínský kraj měl čtvrtý nejmenší počet nehod</w:t>
            </w:r>
          </w:p>
        </w:tc>
        <w:tc>
          <w:tcPr>
            <w:tcW w:w="7249" w:type="dxa"/>
            <w:gridSpan w:val="6"/>
            <w:tcMar>
              <w:left w:w="85" w:type="dxa"/>
              <w:right w:w="85" w:type="dxa"/>
            </w:tcMar>
            <w:vAlign w:val="center"/>
          </w:tcPr>
          <w:p w:rsidR="002A411D" w:rsidRDefault="002A411D" w:rsidP="00D50BA6">
            <w:pPr>
              <w:pStyle w:val="Normlnweb"/>
              <w:spacing w:before="60" w:beforeAutospacing="0" w:after="60" w:afterAutospacing="0"/>
              <w:jc w:val="both"/>
              <w:rPr>
                <w:rFonts w:ascii="Arial" w:hAnsi="Arial" w:cs="Arial"/>
                <w:sz w:val="20"/>
                <w:szCs w:val="20"/>
              </w:rPr>
            </w:pPr>
            <w:r w:rsidRPr="00D50BA6">
              <w:rPr>
                <w:rFonts w:ascii="Arial" w:hAnsi="Arial" w:cs="Arial"/>
                <w:sz w:val="20"/>
                <w:szCs w:val="20"/>
              </w:rPr>
              <w:t>Ve Zlínském kraji bylo k 31. 12. 2013 registrováno 235 202 osobních vozidel, 887 autobusů, 29 648 nákladních automobilů, 1 584 speciálních aut, 2 519 návěsů a 366 tahačů. Počet registrovaných vozidel v kraji na konci roku 2014 nebyl do července 2015 v potřebném členění a třídění na internetových stránkách mvcr.cz zveřejněn.</w:t>
            </w:r>
          </w:p>
          <w:p w:rsidR="002A411D" w:rsidRDefault="002A411D" w:rsidP="00D50BA6">
            <w:pPr>
              <w:pStyle w:val="Normlnweb"/>
              <w:spacing w:before="60" w:beforeAutospacing="0" w:after="60" w:afterAutospacing="0"/>
              <w:jc w:val="both"/>
              <w:rPr>
                <w:rFonts w:ascii="Arial" w:hAnsi="Arial" w:cs="Arial"/>
                <w:sz w:val="20"/>
                <w:szCs w:val="20"/>
              </w:rPr>
            </w:pPr>
            <w:r w:rsidRPr="00D50BA6">
              <w:rPr>
                <w:rFonts w:ascii="Arial" w:hAnsi="Arial" w:cs="Arial"/>
                <w:sz w:val="20"/>
                <w:szCs w:val="20"/>
              </w:rPr>
              <w:t xml:space="preserve">Za rok 2014 bylo nahlášeno celkem 3 484 dopravních nehod, což byl čtvrtý nejnižší počet po Karlovarském, Plzeňském a Pardubickém kraji. Proti předchozímu roku se počet nehod v kraji o 170 zvýšil (o 5,1 %). Podíl Zlínského kraje na celkovém počtu nahlášených dopravních nehod v ČR v roce 2014 činil 4,1 %. Proti předchozímu roku se tak podíl zvýšil o 0,1 procentního bodu. </w:t>
            </w:r>
          </w:p>
          <w:p w:rsidR="002A411D" w:rsidRDefault="002A411D" w:rsidP="00D50BA6">
            <w:pPr>
              <w:pStyle w:val="Normlnweb"/>
              <w:spacing w:before="60" w:beforeAutospacing="0" w:after="60" w:afterAutospacing="0"/>
              <w:jc w:val="both"/>
              <w:rPr>
                <w:rFonts w:ascii="Arial" w:hAnsi="Arial" w:cs="Arial"/>
                <w:sz w:val="20"/>
                <w:szCs w:val="20"/>
              </w:rPr>
            </w:pPr>
            <w:r w:rsidRPr="00D50BA6">
              <w:rPr>
                <w:rFonts w:ascii="Arial" w:hAnsi="Arial" w:cs="Arial"/>
                <w:sz w:val="20"/>
                <w:szCs w:val="20"/>
              </w:rPr>
              <w:t>V porovnání s ostatními kraji bylo zjištěno, že u dvou krajů nedošlo k žádným meziročním změnám v podílech nahlášených nehod k republikovému celku, a</w:t>
            </w:r>
            <w:r>
              <w:rPr>
                <w:rFonts w:ascii="Arial" w:hAnsi="Arial" w:cs="Arial"/>
                <w:sz w:val="20"/>
                <w:szCs w:val="20"/>
              </w:rPr>
              <w:t> </w:t>
            </w:r>
            <w:r w:rsidRPr="00D50BA6">
              <w:rPr>
                <w:rFonts w:ascii="Arial" w:hAnsi="Arial" w:cs="Arial"/>
                <w:sz w:val="20"/>
                <w:szCs w:val="20"/>
              </w:rPr>
              <w:t>to v Královéhradeckém a Ústeckém kraji. U šesti krajů se podíl proti předchozímu roku snížil. Nejvýraznější zmenšení podílu o 0,3 procentního bodu bylo zaznamenáno hned u tří krajů, a to u Plzeňského, Pardubického a</w:t>
            </w:r>
            <w:r>
              <w:rPr>
                <w:rFonts w:ascii="Arial" w:hAnsi="Arial" w:cs="Arial"/>
                <w:sz w:val="20"/>
                <w:szCs w:val="20"/>
              </w:rPr>
              <w:t> </w:t>
            </w:r>
            <w:r w:rsidRPr="00D50BA6">
              <w:rPr>
                <w:rFonts w:ascii="Arial" w:hAnsi="Arial" w:cs="Arial"/>
                <w:sz w:val="20"/>
                <w:szCs w:val="20"/>
              </w:rPr>
              <w:t>Libereckého. U zbylých šesti krajů bylo vypočteno zvětšení podílu nehod v</w:t>
            </w:r>
            <w:r>
              <w:rPr>
                <w:rFonts w:ascii="Arial" w:hAnsi="Arial" w:cs="Arial"/>
                <w:sz w:val="20"/>
                <w:szCs w:val="20"/>
              </w:rPr>
              <w:t> </w:t>
            </w:r>
            <w:r w:rsidRPr="00D50BA6">
              <w:rPr>
                <w:rFonts w:ascii="Arial" w:hAnsi="Arial" w:cs="Arial"/>
                <w:sz w:val="20"/>
                <w:szCs w:val="20"/>
              </w:rPr>
              <w:t xml:space="preserve">roce 2014. K největšímu nárůstu podílu došlo v Hlavním městě Praze (0,5 </w:t>
            </w:r>
            <w:proofErr w:type="spellStart"/>
            <w:proofErr w:type="gramStart"/>
            <w:r w:rsidRPr="00D50BA6">
              <w:rPr>
                <w:rFonts w:ascii="Arial" w:hAnsi="Arial" w:cs="Arial"/>
                <w:sz w:val="20"/>
                <w:szCs w:val="20"/>
              </w:rPr>
              <w:t>p.b</w:t>
            </w:r>
            <w:proofErr w:type="spellEnd"/>
            <w:r w:rsidRPr="00D50BA6">
              <w:rPr>
                <w:rFonts w:ascii="Arial" w:hAnsi="Arial" w:cs="Arial"/>
                <w:sz w:val="20"/>
                <w:szCs w:val="20"/>
              </w:rPr>
              <w:t>.) a dále</w:t>
            </w:r>
            <w:proofErr w:type="gramEnd"/>
            <w:r w:rsidRPr="00D50BA6">
              <w:rPr>
                <w:rFonts w:ascii="Arial" w:hAnsi="Arial" w:cs="Arial"/>
                <w:sz w:val="20"/>
                <w:szCs w:val="20"/>
              </w:rPr>
              <w:t xml:space="preserve"> pak o 0,2 </w:t>
            </w:r>
            <w:proofErr w:type="spellStart"/>
            <w:r w:rsidRPr="00D50BA6">
              <w:rPr>
                <w:rFonts w:ascii="Arial" w:hAnsi="Arial" w:cs="Arial"/>
                <w:sz w:val="20"/>
                <w:szCs w:val="20"/>
              </w:rPr>
              <w:t>p.b.u</w:t>
            </w:r>
            <w:proofErr w:type="spellEnd"/>
            <w:r w:rsidRPr="00D50BA6">
              <w:rPr>
                <w:rFonts w:ascii="Arial" w:hAnsi="Arial" w:cs="Arial"/>
                <w:sz w:val="20"/>
                <w:szCs w:val="20"/>
              </w:rPr>
              <w:t xml:space="preserve"> tří krajů (Jihočeského, Jihomoravského a</w:t>
            </w:r>
            <w:r>
              <w:rPr>
                <w:rFonts w:ascii="Arial" w:hAnsi="Arial" w:cs="Arial"/>
                <w:sz w:val="20"/>
                <w:szCs w:val="20"/>
              </w:rPr>
              <w:t> </w:t>
            </w:r>
            <w:r w:rsidRPr="00D50BA6">
              <w:rPr>
                <w:rFonts w:ascii="Arial" w:hAnsi="Arial" w:cs="Arial"/>
                <w:sz w:val="20"/>
                <w:szCs w:val="20"/>
              </w:rPr>
              <w:t xml:space="preserve">Středočeského). U ostatních krajů bylo navýšení podílu do 0,1 </w:t>
            </w:r>
            <w:proofErr w:type="spellStart"/>
            <w:proofErr w:type="gramStart"/>
            <w:r w:rsidRPr="00D50BA6">
              <w:rPr>
                <w:rFonts w:ascii="Arial" w:hAnsi="Arial" w:cs="Arial"/>
                <w:sz w:val="20"/>
                <w:szCs w:val="20"/>
              </w:rPr>
              <w:t>p.b</w:t>
            </w:r>
            <w:proofErr w:type="spellEnd"/>
            <w:r w:rsidRPr="00D50BA6">
              <w:rPr>
                <w:rFonts w:ascii="Arial" w:hAnsi="Arial" w:cs="Arial"/>
                <w:sz w:val="20"/>
                <w:szCs w:val="20"/>
              </w:rPr>
              <w:t>.</w:t>
            </w:r>
            <w:proofErr w:type="gramEnd"/>
            <w:r w:rsidRPr="00D50BA6">
              <w:rPr>
                <w:rFonts w:ascii="Arial" w:hAnsi="Arial" w:cs="Arial"/>
                <w:sz w:val="20"/>
                <w:szCs w:val="20"/>
              </w:rPr>
              <w:t xml:space="preserve"> </w:t>
            </w:r>
          </w:p>
          <w:p w:rsidR="002A411D" w:rsidRDefault="002A411D" w:rsidP="00D50BA6">
            <w:pPr>
              <w:pStyle w:val="Zpat"/>
              <w:tabs>
                <w:tab w:val="clear" w:pos="4536"/>
                <w:tab w:val="clear" w:pos="9072"/>
                <w:tab w:val="left" w:pos="2160"/>
              </w:tabs>
              <w:spacing w:before="60" w:after="60"/>
              <w:rPr>
                <w:rFonts w:cs="Arial"/>
                <w:szCs w:val="20"/>
              </w:rPr>
            </w:pPr>
            <w:r w:rsidRPr="00D50BA6">
              <w:rPr>
                <w:rFonts w:cs="Arial"/>
                <w:szCs w:val="20"/>
              </w:rPr>
              <w:t>Celkem bylo při nehodách v kraji v hodnoceném roce zraněno 184 osob těžce, 1 279 lehce a nehodu nepřežilo 33 osob. Proti předchozímu roku se snížil o</w:t>
            </w:r>
            <w:r w:rsidR="003E1BC5">
              <w:rPr>
                <w:rFonts w:cs="Arial"/>
                <w:szCs w:val="20"/>
              </w:rPr>
              <w:t> </w:t>
            </w:r>
            <w:r w:rsidRPr="00D50BA6">
              <w:rPr>
                <w:rFonts w:cs="Arial"/>
                <w:szCs w:val="20"/>
              </w:rPr>
              <w:t>2</w:t>
            </w:r>
            <w:r w:rsidR="003E1BC5">
              <w:rPr>
                <w:rFonts w:cs="Arial"/>
                <w:szCs w:val="20"/>
              </w:rPr>
              <w:t> </w:t>
            </w:r>
            <w:r w:rsidRPr="00D50BA6">
              <w:rPr>
                <w:rFonts w:cs="Arial"/>
                <w:szCs w:val="20"/>
              </w:rPr>
              <w:t xml:space="preserve">osoby počet usmrcených (o 5,7 %). O 22 osob (10,7 %) poklesl i počet těžce zraněných a naopak o 130 osob (o 11,3 %) se zvýšil počet lehce zraněných. </w:t>
            </w:r>
          </w:p>
          <w:p w:rsidR="00BC0697" w:rsidRDefault="00BC0697" w:rsidP="00D50BA6">
            <w:pPr>
              <w:pStyle w:val="Zpat"/>
              <w:tabs>
                <w:tab w:val="clear" w:pos="4536"/>
                <w:tab w:val="clear" w:pos="9072"/>
                <w:tab w:val="left" w:pos="2160"/>
              </w:tabs>
              <w:spacing w:before="60" w:after="60"/>
              <w:rPr>
                <w:rFonts w:cs="Arial"/>
                <w:szCs w:val="20"/>
              </w:rPr>
            </w:pPr>
          </w:p>
          <w:p w:rsidR="00E31846" w:rsidRDefault="00E31846" w:rsidP="00D50BA6">
            <w:pPr>
              <w:pStyle w:val="Zpat"/>
              <w:tabs>
                <w:tab w:val="clear" w:pos="4536"/>
                <w:tab w:val="clear" w:pos="9072"/>
                <w:tab w:val="left" w:pos="2160"/>
              </w:tabs>
              <w:spacing w:before="60" w:after="60"/>
              <w:rPr>
                <w:rFonts w:cs="Arial"/>
                <w:szCs w:val="20"/>
              </w:rPr>
            </w:pPr>
          </w:p>
          <w:p w:rsidR="00E31846" w:rsidRDefault="00E31846" w:rsidP="00D50BA6">
            <w:pPr>
              <w:pStyle w:val="Zpat"/>
              <w:tabs>
                <w:tab w:val="clear" w:pos="4536"/>
                <w:tab w:val="clear" w:pos="9072"/>
                <w:tab w:val="left" w:pos="2160"/>
              </w:tabs>
              <w:spacing w:before="60" w:after="60"/>
              <w:rPr>
                <w:rFonts w:cs="Arial"/>
                <w:szCs w:val="20"/>
              </w:rPr>
            </w:pPr>
          </w:p>
          <w:p w:rsidR="00E31846" w:rsidRDefault="00E31846" w:rsidP="00D50BA6">
            <w:pPr>
              <w:pStyle w:val="Zpat"/>
              <w:tabs>
                <w:tab w:val="clear" w:pos="4536"/>
                <w:tab w:val="clear" w:pos="9072"/>
                <w:tab w:val="left" w:pos="2160"/>
              </w:tabs>
              <w:spacing w:before="60" w:after="60"/>
              <w:rPr>
                <w:rFonts w:cs="Arial"/>
                <w:szCs w:val="20"/>
              </w:rPr>
            </w:pPr>
          </w:p>
          <w:p w:rsidR="00BC0697" w:rsidRDefault="00BC0697" w:rsidP="00D50BA6">
            <w:pPr>
              <w:pStyle w:val="Zpat"/>
              <w:tabs>
                <w:tab w:val="clear" w:pos="4536"/>
                <w:tab w:val="clear" w:pos="9072"/>
                <w:tab w:val="left" w:pos="2160"/>
              </w:tabs>
              <w:spacing w:before="60" w:after="60"/>
              <w:rPr>
                <w:rFonts w:cs="Arial"/>
                <w:szCs w:val="20"/>
              </w:rPr>
            </w:pPr>
          </w:p>
          <w:p w:rsidR="00BC0697" w:rsidRDefault="00BC0697" w:rsidP="00D50BA6">
            <w:pPr>
              <w:pStyle w:val="Zpat"/>
              <w:tabs>
                <w:tab w:val="clear" w:pos="4536"/>
                <w:tab w:val="clear" w:pos="9072"/>
                <w:tab w:val="left" w:pos="2160"/>
              </w:tabs>
              <w:spacing w:before="60" w:after="60"/>
              <w:rPr>
                <w:rFonts w:cs="Arial"/>
                <w:szCs w:val="20"/>
              </w:rPr>
            </w:pPr>
          </w:p>
          <w:p w:rsidR="002A411D" w:rsidRPr="00C35058" w:rsidRDefault="002A411D" w:rsidP="00D50BA6">
            <w:pPr>
              <w:pStyle w:val="Zpat"/>
              <w:tabs>
                <w:tab w:val="clear" w:pos="4536"/>
                <w:tab w:val="clear" w:pos="9072"/>
                <w:tab w:val="left" w:pos="2160"/>
              </w:tabs>
              <w:spacing w:before="60" w:after="60"/>
              <w:rPr>
                <w:rFonts w:eastAsia="+mn-ea" w:cs="Arial"/>
                <w:iCs/>
                <w:color w:val="000000"/>
                <w:szCs w:val="20"/>
                <w:highlight w:val="yellow"/>
              </w:rPr>
            </w:pPr>
          </w:p>
        </w:tc>
      </w:tr>
      <w:tr w:rsidR="002A411D" w:rsidRPr="007F04FB" w:rsidTr="00057F4A">
        <w:trPr>
          <w:gridAfter w:val="3"/>
          <w:wAfter w:w="207" w:type="dxa"/>
        </w:trPr>
        <w:tc>
          <w:tcPr>
            <w:tcW w:w="4848" w:type="dxa"/>
            <w:gridSpan w:val="9"/>
            <w:tcMar>
              <w:left w:w="85" w:type="dxa"/>
              <w:right w:w="85" w:type="dxa"/>
            </w:tcMar>
          </w:tcPr>
          <w:p w:rsidR="002A411D" w:rsidRPr="00D50BA6" w:rsidRDefault="002A411D" w:rsidP="00D50BA6">
            <w:pPr>
              <w:spacing w:before="60" w:after="60"/>
              <w:jc w:val="left"/>
              <w:rPr>
                <w:b/>
                <w:bCs/>
                <w:szCs w:val="20"/>
              </w:rPr>
            </w:pPr>
            <w:r w:rsidRPr="00D50BA6">
              <w:rPr>
                <w:b/>
                <w:bCs/>
                <w:szCs w:val="20"/>
              </w:rPr>
              <w:lastRenderedPageBreak/>
              <w:t xml:space="preserve">Graf </w:t>
            </w:r>
            <w:r w:rsidR="00BD18F7">
              <w:rPr>
                <w:b/>
                <w:bCs/>
                <w:szCs w:val="20"/>
              </w:rPr>
              <w:t>2.23</w:t>
            </w:r>
            <w:r w:rsidRPr="00D50BA6">
              <w:rPr>
                <w:b/>
                <w:bCs/>
                <w:szCs w:val="20"/>
              </w:rPr>
              <w:t xml:space="preserve"> Republikové podíly dopravních nehod</w:t>
            </w:r>
          </w:p>
          <w:p w:rsidR="002A411D" w:rsidRPr="00C35058" w:rsidRDefault="002A411D" w:rsidP="00D50BA6">
            <w:pPr>
              <w:spacing w:before="60" w:after="60"/>
              <w:jc w:val="left"/>
              <w:rPr>
                <w:b/>
                <w:bCs/>
                <w:szCs w:val="20"/>
                <w:highlight w:val="yellow"/>
              </w:rPr>
            </w:pPr>
            <w:r w:rsidRPr="00D50BA6">
              <w:rPr>
                <w:b/>
                <w:bCs/>
                <w:szCs w:val="20"/>
              </w:rPr>
              <w:t xml:space="preserve">                 podle krajů v % </w:t>
            </w:r>
          </w:p>
        </w:tc>
        <w:tc>
          <w:tcPr>
            <w:tcW w:w="4731" w:type="dxa"/>
            <w:gridSpan w:val="2"/>
            <w:tcMar>
              <w:left w:w="85" w:type="dxa"/>
              <w:right w:w="85" w:type="dxa"/>
            </w:tcMar>
            <w:vAlign w:val="center"/>
          </w:tcPr>
          <w:p w:rsidR="002A411D" w:rsidRPr="00D50BA6" w:rsidRDefault="002A411D" w:rsidP="00D50BA6">
            <w:pPr>
              <w:pStyle w:val="Zpat"/>
              <w:tabs>
                <w:tab w:val="clear" w:pos="4536"/>
                <w:tab w:val="clear" w:pos="9072"/>
                <w:tab w:val="left" w:pos="2160"/>
              </w:tabs>
              <w:spacing w:before="60" w:after="60"/>
              <w:rPr>
                <w:b/>
                <w:bCs/>
                <w:szCs w:val="20"/>
              </w:rPr>
            </w:pPr>
            <w:r w:rsidRPr="00D50BA6">
              <w:rPr>
                <w:b/>
                <w:bCs/>
                <w:szCs w:val="20"/>
              </w:rPr>
              <w:t>Graf 2</w:t>
            </w:r>
            <w:r w:rsidR="00BD18F7">
              <w:rPr>
                <w:b/>
                <w:bCs/>
                <w:szCs w:val="20"/>
              </w:rPr>
              <w:t>.24</w:t>
            </w:r>
            <w:r w:rsidRPr="00D50BA6">
              <w:rPr>
                <w:b/>
                <w:bCs/>
                <w:szCs w:val="20"/>
              </w:rPr>
              <w:t xml:space="preserve"> Dopravní nehody na tisíc obyvatel</w:t>
            </w:r>
          </w:p>
          <w:p w:rsidR="002A411D" w:rsidRPr="00C35058" w:rsidRDefault="002A411D" w:rsidP="00D50BA6">
            <w:pPr>
              <w:pStyle w:val="Zpat"/>
              <w:tabs>
                <w:tab w:val="clear" w:pos="4536"/>
                <w:tab w:val="clear" w:pos="9072"/>
                <w:tab w:val="left" w:pos="2160"/>
              </w:tabs>
              <w:spacing w:before="60" w:after="60"/>
              <w:rPr>
                <w:rFonts w:cs="Arial"/>
                <w:szCs w:val="20"/>
                <w:highlight w:val="yellow"/>
              </w:rPr>
            </w:pPr>
            <w:r w:rsidRPr="00D50BA6">
              <w:rPr>
                <w:b/>
                <w:bCs/>
                <w:szCs w:val="20"/>
              </w:rPr>
              <w:t xml:space="preserve">                podle krajů ČR</w:t>
            </w:r>
          </w:p>
        </w:tc>
      </w:tr>
      <w:tr w:rsidR="002A411D" w:rsidRPr="007F04FB" w:rsidTr="00057F4A">
        <w:trPr>
          <w:gridAfter w:val="3"/>
          <w:wAfter w:w="207" w:type="dxa"/>
        </w:trPr>
        <w:tc>
          <w:tcPr>
            <w:tcW w:w="4848" w:type="dxa"/>
            <w:gridSpan w:val="9"/>
            <w:tcMar>
              <w:left w:w="85" w:type="dxa"/>
              <w:right w:w="85" w:type="dxa"/>
            </w:tcMar>
          </w:tcPr>
          <w:p w:rsidR="002A411D" w:rsidRPr="00C35058" w:rsidRDefault="009956CB" w:rsidP="00D50BA6">
            <w:pPr>
              <w:spacing w:before="60" w:after="60"/>
              <w:jc w:val="center"/>
              <w:rPr>
                <w:b/>
                <w:szCs w:val="20"/>
                <w:highlight w:val="yellow"/>
              </w:rPr>
            </w:pPr>
            <w:r w:rsidRPr="00286EFA">
              <w:rPr>
                <w:b/>
                <w:szCs w:val="20"/>
              </w:rPr>
              <w:pict>
                <v:shape id="_x0000_i1066" type="#_x0000_t75" style="width:236.25pt;height:202.5pt">
                  <v:imagedata r:id="rId59" o:title=""/>
                </v:shape>
              </w:pict>
            </w:r>
          </w:p>
        </w:tc>
        <w:tc>
          <w:tcPr>
            <w:tcW w:w="4731" w:type="dxa"/>
            <w:gridSpan w:val="2"/>
            <w:tcMar>
              <w:left w:w="85" w:type="dxa"/>
              <w:right w:w="85" w:type="dxa"/>
            </w:tcMar>
            <w:vAlign w:val="center"/>
          </w:tcPr>
          <w:p w:rsidR="002A411D" w:rsidRPr="00C35058" w:rsidRDefault="009956CB" w:rsidP="00D50BA6">
            <w:pPr>
              <w:pStyle w:val="Zpat"/>
              <w:tabs>
                <w:tab w:val="clear" w:pos="4536"/>
                <w:tab w:val="clear" w:pos="9072"/>
                <w:tab w:val="left" w:pos="2160"/>
              </w:tabs>
              <w:spacing w:before="60" w:after="60"/>
              <w:jc w:val="center"/>
              <w:rPr>
                <w:rFonts w:cs="Arial"/>
                <w:szCs w:val="20"/>
                <w:highlight w:val="yellow"/>
              </w:rPr>
            </w:pPr>
            <w:r w:rsidRPr="00286EFA">
              <w:rPr>
                <w:rFonts w:cs="Arial"/>
                <w:szCs w:val="20"/>
              </w:rPr>
              <w:pict>
                <v:shape id="_x0000_i1067" type="#_x0000_t75" style="width:235.5pt;height:201pt">
                  <v:imagedata r:id="rId60" o:title=""/>
                </v:shape>
              </w:pict>
            </w:r>
          </w:p>
        </w:tc>
      </w:tr>
      <w:tr w:rsidR="002A411D" w:rsidRPr="007F04FB" w:rsidTr="00057F4A">
        <w:trPr>
          <w:gridAfter w:val="3"/>
          <w:wAfter w:w="207" w:type="dxa"/>
        </w:trPr>
        <w:tc>
          <w:tcPr>
            <w:tcW w:w="2007" w:type="dxa"/>
            <w:gridSpan w:val="2"/>
            <w:tcMar>
              <w:left w:w="85" w:type="dxa"/>
              <w:right w:w="85" w:type="dxa"/>
            </w:tcMar>
          </w:tcPr>
          <w:p w:rsidR="002A411D" w:rsidRPr="00DA6476" w:rsidRDefault="002A411D" w:rsidP="0050767D">
            <w:pPr>
              <w:spacing w:before="60" w:after="60"/>
              <w:jc w:val="left"/>
              <w:rPr>
                <w:b/>
                <w:i/>
                <w:szCs w:val="20"/>
              </w:rPr>
            </w:pPr>
            <w:r w:rsidRPr="00DA6476">
              <w:rPr>
                <w:b/>
                <w:i/>
                <w:szCs w:val="20"/>
              </w:rPr>
              <w:t>Zlínský kraj měl pátý nejmenší počet nehod v</w:t>
            </w:r>
            <w:r w:rsidR="0050767D">
              <w:rPr>
                <w:b/>
                <w:i/>
                <w:szCs w:val="20"/>
              </w:rPr>
              <w:t> </w:t>
            </w:r>
            <w:r w:rsidRPr="00DA6476">
              <w:rPr>
                <w:b/>
                <w:i/>
                <w:szCs w:val="20"/>
              </w:rPr>
              <w:t>přepočtu na tisíc obyvatel</w:t>
            </w:r>
          </w:p>
        </w:tc>
        <w:tc>
          <w:tcPr>
            <w:tcW w:w="7572" w:type="dxa"/>
            <w:gridSpan w:val="9"/>
            <w:tcMar>
              <w:left w:w="85" w:type="dxa"/>
              <w:right w:w="85" w:type="dxa"/>
            </w:tcMar>
            <w:vAlign w:val="center"/>
          </w:tcPr>
          <w:p w:rsidR="002A411D" w:rsidRPr="00DA6476" w:rsidRDefault="002A411D" w:rsidP="00367E73">
            <w:pPr>
              <w:spacing w:before="60" w:after="60"/>
              <w:rPr>
                <w:rFonts w:eastAsia="Arial Unicode MS" w:cs="Arial"/>
                <w:szCs w:val="20"/>
              </w:rPr>
            </w:pPr>
            <w:r w:rsidRPr="00DA6476">
              <w:rPr>
                <w:rFonts w:eastAsia="Arial Unicode MS" w:cs="Arial"/>
                <w:szCs w:val="20"/>
              </w:rPr>
              <w:t>Zlínský kraj v roce 2014 zaujal ze všech krajů pátý nejmenší počet nehod v přepočtu na tisíc obyvatel a proti roku 2013 si pohoršil o jedno místo. Tato hodnota meziročně v kraji vzrostla o 0,3 nehody na tis. obyvatel na celkových 5,95. Nižší a tím lepší hodnoty byly zjištěny v Plzeňském (5,1), Karlovarském (5,8), Jihočeském (5,9) a Jihomoravském (5,9) kraji.</w:t>
            </w:r>
          </w:p>
          <w:p w:rsidR="002A411D" w:rsidRPr="00DA6476" w:rsidRDefault="002A411D" w:rsidP="00367E73">
            <w:pPr>
              <w:pStyle w:val="Normlnweb"/>
              <w:spacing w:before="60" w:beforeAutospacing="0" w:after="60" w:afterAutospacing="0"/>
              <w:jc w:val="both"/>
              <w:rPr>
                <w:rFonts w:ascii="Arial" w:hAnsi="Arial" w:cs="Arial"/>
                <w:sz w:val="20"/>
                <w:szCs w:val="20"/>
              </w:rPr>
            </w:pPr>
            <w:r w:rsidRPr="00DA6476">
              <w:rPr>
                <w:rFonts w:ascii="Arial" w:hAnsi="Arial" w:cs="Arial"/>
                <w:sz w:val="20"/>
                <w:szCs w:val="20"/>
              </w:rPr>
              <w:t xml:space="preserve">. </w:t>
            </w:r>
          </w:p>
        </w:tc>
      </w:tr>
      <w:tr w:rsidR="002A411D" w:rsidRPr="007F04FB" w:rsidTr="00057F4A">
        <w:trPr>
          <w:gridAfter w:val="3"/>
          <w:wAfter w:w="207" w:type="dxa"/>
        </w:trPr>
        <w:tc>
          <w:tcPr>
            <w:tcW w:w="4848" w:type="dxa"/>
            <w:gridSpan w:val="9"/>
            <w:tcMar>
              <w:left w:w="85" w:type="dxa"/>
              <w:right w:w="85" w:type="dxa"/>
            </w:tcMar>
          </w:tcPr>
          <w:p w:rsidR="00BC0697" w:rsidRDefault="002A411D" w:rsidP="00BC0697">
            <w:pPr>
              <w:spacing w:before="60" w:after="60"/>
              <w:jc w:val="left"/>
              <w:rPr>
                <w:rFonts w:cs="Arial"/>
                <w:b/>
                <w:szCs w:val="20"/>
              </w:rPr>
            </w:pPr>
            <w:r w:rsidRPr="00C35058">
              <w:rPr>
                <w:highlight w:val="yellow"/>
              </w:rPr>
              <w:br w:type="page"/>
            </w:r>
            <w:r w:rsidRPr="00367E73">
              <w:rPr>
                <w:rFonts w:cs="Arial"/>
                <w:b/>
                <w:bCs/>
                <w:szCs w:val="20"/>
              </w:rPr>
              <w:t xml:space="preserve">Graf </w:t>
            </w:r>
            <w:r w:rsidR="00BD18F7">
              <w:rPr>
                <w:rFonts w:cs="Arial"/>
                <w:b/>
                <w:bCs/>
                <w:szCs w:val="20"/>
              </w:rPr>
              <w:t>2.25</w:t>
            </w:r>
            <w:r w:rsidRPr="00367E73">
              <w:rPr>
                <w:rFonts w:cs="Arial"/>
                <w:b/>
                <w:szCs w:val="20"/>
              </w:rPr>
              <w:t xml:space="preserve"> Škody vzniklé při dopravních</w:t>
            </w:r>
          </w:p>
          <w:p w:rsidR="002A411D" w:rsidRPr="00C35058" w:rsidRDefault="00BC0697" w:rsidP="00BC0697">
            <w:pPr>
              <w:spacing w:before="60" w:after="60"/>
              <w:jc w:val="left"/>
              <w:rPr>
                <w:rFonts w:cs="Arial"/>
                <w:b/>
                <w:szCs w:val="20"/>
                <w:highlight w:val="yellow"/>
              </w:rPr>
            </w:pPr>
            <w:r>
              <w:rPr>
                <w:rFonts w:cs="Arial"/>
                <w:b/>
                <w:szCs w:val="20"/>
              </w:rPr>
              <w:t xml:space="preserve"> </w:t>
            </w:r>
            <w:r w:rsidR="002A411D" w:rsidRPr="00367E73">
              <w:rPr>
                <w:rFonts w:cs="Arial"/>
                <w:b/>
                <w:szCs w:val="20"/>
              </w:rPr>
              <w:t xml:space="preserve"> </w:t>
            </w:r>
            <w:r>
              <w:rPr>
                <w:rFonts w:cs="Arial"/>
                <w:b/>
                <w:szCs w:val="20"/>
              </w:rPr>
              <w:t xml:space="preserve">               </w:t>
            </w:r>
            <w:proofErr w:type="gramStart"/>
            <w:r w:rsidR="002A411D" w:rsidRPr="00367E73">
              <w:rPr>
                <w:rFonts w:cs="Arial"/>
                <w:b/>
                <w:szCs w:val="20"/>
              </w:rPr>
              <w:t>nehodách</w:t>
            </w:r>
            <w:proofErr w:type="gramEnd"/>
            <w:r w:rsidR="002A411D" w:rsidRPr="00367E73">
              <w:rPr>
                <w:rFonts w:cs="Arial"/>
                <w:b/>
                <w:szCs w:val="20"/>
              </w:rPr>
              <w:t xml:space="preserve"> v krajích ČR (v mil. Kč)</w:t>
            </w:r>
          </w:p>
        </w:tc>
        <w:tc>
          <w:tcPr>
            <w:tcW w:w="4731" w:type="dxa"/>
            <w:gridSpan w:val="2"/>
            <w:tcMar>
              <w:left w:w="85" w:type="dxa"/>
              <w:right w:w="85" w:type="dxa"/>
            </w:tcMar>
            <w:vAlign w:val="center"/>
          </w:tcPr>
          <w:p w:rsidR="002A411D" w:rsidRPr="00C35058" w:rsidRDefault="002A411D" w:rsidP="00BC0697">
            <w:pPr>
              <w:pStyle w:val="Normlnweb"/>
              <w:spacing w:before="0" w:beforeAutospacing="0" w:after="0" w:afterAutospacing="0"/>
              <w:jc w:val="both"/>
              <w:rPr>
                <w:rFonts w:ascii="Arial" w:hAnsi="Arial" w:cs="Arial"/>
                <w:sz w:val="20"/>
                <w:szCs w:val="20"/>
                <w:highlight w:val="yellow"/>
              </w:rPr>
            </w:pPr>
            <w:r w:rsidRPr="00367E73">
              <w:rPr>
                <w:rFonts w:ascii="Arial" w:hAnsi="Arial" w:cs="Arial"/>
                <w:b/>
                <w:sz w:val="20"/>
                <w:szCs w:val="20"/>
              </w:rPr>
              <w:t xml:space="preserve">Graf </w:t>
            </w:r>
            <w:r w:rsidR="00BD18F7">
              <w:rPr>
                <w:rFonts w:ascii="Arial" w:hAnsi="Arial" w:cs="Arial"/>
                <w:b/>
                <w:sz w:val="20"/>
                <w:szCs w:val="20"/>
              </w:rPr>
              <w:t>2.26</w:t>
            </w:r>
            <w:r w:rsidRPr="00367E73">
              <w:rPr>
                <w:rFonts w:ascii="Arial" w:hAnsi="Arial" w:cs="Arial"/>
                <w:b/>
                <w:sz w:val="20"/>
                <w:szCs w:val="20"/>
              </w:rPr>
              <w:t xml:space="preserve"> Krajské podíly na celkových škodách </w:t>
            </w:r>
            <w:r w:rsidRPr="00367E73">
              <w:rPr>
                <w:rFonts w:ascii="Arial" w:hAnsi="Arial" w:cs="Arial"/>
                <w:b/>
                <w:sz w:val="20"/>
                <w:szCs w:val="20"/>
              </w:rPr>
              <w:br/>
              <w:t xml:space="preserve">  </w:t>
            </w:r>
            <w:r w:rsidR="00BC0697">
              <w:rPr>
                <w:rFonts w:ascii="Arial" w:hAnsi="Arial" w:cs="Arial"/>
                <w:b/>
                <w:sz w:val="20"/>
                <w:szCs w:val="20"/>
              </w:rPr>
              <w:t xml:space="preserve">  </w:t>
            </w:r>
            <w:r w:rsidRPr="00367E73">
              <w:rPr>
                <w:rFonts w:ascii="Arial" w:hAnsi="Arial" w:cs="Arial"/>
                <w:b/>
                <w:sz w:val="20"/>
                <w:szCs w:val="20"/>
              </w:rPr>
              <w:t xml:space="preserve">   způsobených při dopravních nehodách v %</w:t>
            </w:r>
          </w:p>
        </w:tc>
      </w:tr>
      <w:tr w:rsidR="002A411D" w:rsidRPr="007F04FB" w:rsidTr="00057F4A">
        <w:trPr>
          <w:gridAfter w:val="3"/>
          <w:wAfter w:w="207" w:type="dxa"/>
        </w:trPr>
        <w:tc>
          <w:tcPr>
            <w:tcW w:w="4848" w:type="dxa"/>
            <w:gridSpan w:val="9"/>
            <w:tcMar>
              <w:left w:w="85" w:type="dxa"/>
              <w:right w:w="85" w:type="dxa"/>
            </w:tcMar>
          </w:tcPr>
          <w:p w:rsidR="002A411D" w:rsidRPr="00C35058" w:rsidRDefault="009956CB" w:rsidP="004E22DA">
            <w:pPr>
              <w:spacing w:before="60" w:after="60"/>
              <w:jc w:val="center"/>
              <w:rPr>
                <w:rFonts w:cs="Arial"/>
                <w:b/>
                <w:i/>
                <w:szCs w:val="20"/>
                <w:highlight w:val="yellow"/>
              </w:rPr>
            </w:pPr>
            <w:r w:rsidRPr="00286EFA">
              <w:rPr>
                <w:rFonts w:cs="Arial"/>
                <w:b/>
                <w:i/>
                <w:szCs w:val="20"/>
              </w:rPr>
              <w:pict>
                <v:shape id="_x0000_i1068" type="#_x0000_t75" style="width:236.25pt;height:188.25pt">
                  <v:imagedata r:id="rId61" o:title=""/>
                </v:shape>
              </w:pict>
            </w:r>
          </w:p>
        </w:tc>
        <w:tc>
          <w:tcPr>
            <w:tcW w:w="4731" w:type="dxa"/>
            <w:gridSpan w:val="2"/>
            <w:tcMar>
              <w:left w:w="85" w:type="dxa"/>
              <w:right w:w="85" w:type="dxa"/>
            </w:tcMar>
            <w:vAlign w:val="center"/>
          </w:tcPr>
          <w:p w:rsidR="002A411D" w:rsidRPr="00C35058" w:rsidRDefault="009956CB" w:rsidP="004E22DA">
            <w:pPr>
              <w:pStyle w:val="Normlnweb"/>
              <w:spacing w:before="0" w:beforeAutospacing="0" w:after="0" w:afterAutospacing="0"/>
              <w:jc w:val="center"/>
              <w:rPr>
                <w:rFonts w:ascii="Arial" w:hAnsi="Arial" w:cs="Arial"/>
                <w:sz w:val="20"/>
                <w:szCs w:val="20"/>
                <w:highlight w:val="yellow"/>
              </w:rPr>
            </w:pPr>
            <w:r w:rsidRPr="00286EFA">
              <w:rPr>
                <w:rFonts w:ascii="Arial" w:hAnsi="Arial" w:cs="Arial"/>
                <w:sz w:val="20"/>
                <w:szCs w:val="20"/>
              </w:rPr>
              <w:pict>
                <v:shape id="_x0000_i1069" type="#_x0000_t75" style="width:235.5pt;height:188.25pt">
                  <v:imagedata r:id="rId62" o:title=""/>
                </v:shape>
              </w:pict>
            </w:r>
          </w:p>
        </w:tc>
      </w:tr>
      <w:tr w:rsidR="002A411D" w:rsidRPr="007F04FB" w:rsidTr="00057F4A">
        <w:trPr>
          <w:gridAfter w:val="3"/>
          <w:wAfter w:w="207" w:type="dxa"/>
          <w:trHeight w:val="286"/>
        </w:trPr>
        <w:tc>
          <w:tcPr>
            <w:tcW w:w="2007" w:type="dxa"/>
            <w:gridSpan w:val="2"/>
            <w:tcMar>
              <w:left w:w="85" w:type="dxa"/>
              <w:right w:w="85" w:type="dxa"/>
            </w:tcMar>
          </w:tcPr>
          <w:p w:rsidR="002A411D" w:rsidRPr="00C35058" w:rsidRDefault="002A411D" w:rsidP="0050767D">
            <w:pPr>
              <w:spacing w:before="60" w:after="60"/>
              <w:jc w:val="left"/>
              <w:rPr>
                <w:b/>
                <w:i/>
                <w:szCs w:val="20"/>
                <w:highlight w:val="yellow"/>
              </w:rPr>
            </w:pPr>
            <w:r w:rsidRPr="00367E73">
              <w:rPr>
                <w:b/>
                <w:i/>
                <w:szCs w:val="20"/>
              </w:rPr>
              <w:t>Škody v kraji způsobené při nehodách v</w:t>
            </w:r>
            <w:r w:rsidR="0050767D">
              <w:rPr>
                <w:b/>
                <w:i/>
                <w:szCs w:val="20"/>
              </w:rPr>
              <w:t> </w:t>
            </w:r>
            <w:r w:rsidRPr="00367E73">
              <w:rPr>
                <w:b/>
                <w:i/>
                <w:szCs w:val="20"/>
              </w:rPr>
              <w:t>průběhu roku mírně klesly</w:t>
            </w:r>
          </w:p>
        </w:tc>
        <w:tc>
          <w:tcPr>
            <w:tcW w:w="7572" w:type="dxa"/>
            <w:gridSpan w:val="9"/>
            <w:tcMar>
              <w:left w:w="85" w:type="dxa"/>
              <w:right w:w="85" w:type="dxa"/>
            </w:tcMar>
            <w:vAlign w:val="center"/>
          </w:tcPr>
          <w:p w:rsidR="002A411D" w:rsidRPr="00C35058" w:rsidRDefault="002A411D" w:rsidP="007F7827">
            <w:pPr>
              <w:pStyle w:val="Zpat"/>
              <w:tabs>
                <w:tab w:val="clear" w:pos="4536"/>
                <w:tab w:val="clear" w:pos="9072"/>
                <w:tab w:val="left" w:pos="2160"/>
              </w:tabs>
              <w:spacing w:before="60" w:after="60"/>
              <w:rPr>
                <w:rFonts w:cs="Arial"/>
                <w:szCs w:val="20"/>
                <w:highlight w:val="yellow"/>
              </w:rPr>
            </w:pPr>
            <w:r w:rsidRPr="00367E73">
              <w:rPr>
                <w:rFonts w:cs="Arial"/>
                <w:szCs w:val="20"/>
              </w:rPr>
              <w:t>Škody způsobené při dopravních nehodách se meziročně v kraji snížily o 0,9 %, tj. o 1,4 mil. Kč, na 164 mil. Kč. Pokles hodnoty způsobených škod byl mezi osmi kraji, ve kterých bylo zjištěno snížení, nejmenší. Nejvýraznější pokles byl zachycen v Libereckém kraji (22 mil. Kč, tj. 13,0 %). Naopak k nárůstu škod způsobených dopravními nehodami došlo v šesti krajích, z nichž největší byl zjištěn v</w:t>
            </w:r>
            <w:r>
              <w:rPr>
                <w:rFonts w:cs="Arial"/>
                <w:szCs w:val="20"/>
              </w:rPr>
              <w:t> </w:t>
            </w:r>
            <w:proofErr w:type="gramStart"/>
            <w:r w:rsidRPr="00367E73">
              <w:rPr>
                <w:rFonts w:cs="Arial"/>
                <w:szCs w:val="20"/>
              </w:rPr>
              <w:t>Karlovarském  (17</w:t>
            </w:r>
            <w:proofErr w:type="gramEnd"/>
            <w:r w:rsidRPr="00367E73">
              <w:rPr>
                <w:rFonts w:cs="Arial"/>
                <w:szCs w:val="20"/>
              </w:rPr>
              <w:t xml:space="preserve"> mil. Kč, tj. 19,8 %) a nejmenší v Pardubickém kraji (370 tis. Kč, tj. 0,2 %). Podíl Zlínského kraje na vyčíslených škodách v celé republice se oproti předchozímu roku nezměnil a zůstal tedy na 3,3 %.</w:t>
            </w:r>
          </w:p>
        </w:tc>
      </w:tr>
      <w:tr w:rsidR="002A411D" w:rsidRPr="007F04FB" w:rsidTr="00057F4A">
        <w:trPr>
          <w:gridAfter w:val="3"/>
          <w:wAfter w:w="207" w:type="dxa"/>
          <w:trHeight w:val="286"/>
        </w:trPr>
        <w:tc>
          <w:tcPr>
            <w:tcW w:w="2007" w:type="dxa"/>
            <w:gridSpan w:val="2"/>
            <w:tcMar>
              <w:left w:w="85" w:type="dxa"/>
              <w:right w:w="85" w:type="dxa"/>
            </w:tcMar>
          </w:tcPr>
          <w:p w:rsidR="002A411D" w:rsidRPr="00C35058" w:rsidRDefault="002A411D" w:rsidP="001A75CA">
            <w:pPr>
              <w:spacing w:before="60" w:after="60"/>
              <w:jc w:val="left"/>
              <w:rPr>
                <w:b/>
                <w:i/>
                <w:szCs w:val="20"/>
                <w:highlight w:val="yellow"/>
              </w:rPr>
            </w:pPr>
            <w:r w:rsidRPr="00367E73">
              <w:rPr>
                <w:b/>
                <w:i/>
                <w:szCs w:val="20"/>
              </w:rPr>
              <w:t>Nehod spáchaných pod vlivem alkoholu ubylo</w:t>
            </w:r>
          </w:p>
        </w:tc>
        <w:tc>
          <w:tcPr>
            <w:tcW w:w="7572" w:type="dxa"/>
            <w:gridSpan w:val="9"/>
            <w:tcMar>
              <w:left w:w="85" w:type="dxa"/>
              <w:right w:w="85" w:type="dxa"/>
            </w:tcMar>
            <w:vAlign w:val="center"/>
          </w:tcPr>
          <w:p w:rsidR="002A411D" w:rsidRPr="00367E73" w:rsidRDefault="002A411D" w:rsidP="00367E73">
            <w:pPr>
              <w:pStyle w:val="Zpat"/>
              <w:tabs>
                <w:tab w:val="left" w:pos="2160"/>
              </w:tabs>
              <w:spacing w:before="60" w:after="60"/>
              <w:rPr>
                <w:rFonts w:cs="Arial"/>
                <w:szCs w:val="20"/>
              </w:rPr>
            </w:pPr>
            <w:r w:rsidRPr="00367E73">
              <w:rPr>
                <w:rFonts w:cs="Arial"/>
                <w:szCs w:val="20"/>
              </w:rPr>
              <w:t>Počet nehod spáchaných pod vlivem alkoholu v kraji meziročně klesl o 8 případů na 300 nehod (o 2,6 %), z toho se zraněním osob 158 (meziroční snížení o 2,5 %). Při těchto nehodách zemřelo pět lidí a 23 osob bylo zraněno těžce a 153 lehce. Hmotné škody byly vyčísleny na 9,8 mil. Kč (meziroční zvýšení o 1,6 %).</w:t>
            </w:r>
          </w:p>
          <w:p w:rsidR="002A411D" w:rsidRDefault="002A411D" w:rsidP="007F7827">
            <w:pPr>
              <w:pStyle w:val="Normlnweb"/>
              <w:spacing w:before="60" w:beforeAutospacing="0" w:after="60" w:afterAutospacing="0"/>
              <w:jc w:val="both"/>
              <w:rPr>
                <w:rFonts w:ascii="Arial" w:hAnsi="Arial" w:cs="Arial"/>
                <w:sz w:val="20"/>
                <w:szCs w:val="20"/>
              </w:rPr>
            </w:pPr>
            <w:r w:rsidRPr="00367E73">
              <w:rPr>
                <w:rFonts w:ascii="Arial" w:hAnsi="Arial" w:cs="Arial"/>
                <w:sz w:val="20"/>
                <w:szCs w:val="20"/>
              </w:rPr>
              <w:t xml:space="preserve">V porovnání se všemi kraji se Zlínský v počtu těchto nehod umístil v pořadí na 9. místě (v roce 2013 byl na 8. pozici). K meziročnímu zvýšení počtu nehod </w:t>
            </w:r>
            <w:r w:rsidRPr="00367E73">
              <w:rPr>
                <w:rFonts w:ascii="Arial" w:hAnsi="Arial" w:cs="Arial"/>
                <w:sz w:val="20"/>
                <w:szCs w:val="20"/>
              </w:rPr>
              <w:lastRenderedPageBreak/>
              <w:t>spáchaných pod vlivem alkoholu došlo v šesti krajích, z toho nejvíce v Plzeňském kraji (o 23 případů), dále pak v krajích Jihomoravském (o 21), Středočeském (o</w:t>
            </w:r>
            <w:r>
              <w:rPr>
                <w:rFonts w:ascii="Arial" w:hAnsi="Arial" w:cs="Arial"/>
                <w:sz w:val="20"/>
                <w:szCs w:val="20"/>
              </w:rPr>
              <w:t> </w:t>
            </w:r>
            <w:r w:rsidRPr="00367E73">
              <w:rPr>
                <w:rFonts w:ascii="Arial" w:hAnsi="Arial" w:cs="Arial"/>
                <w:sz w:val="20"/>
                <w:szCs w:val="20"/>
              </w:rPr>
              <w:t>16), Jihočeském (o 13), Pardubickém (o 8) a Vysočina (o 1 případ). U ostatních osmi krajů se počet těchto nehod snížil. K největšímu absolutnímu poklesu došlo v</w:t>
            </w:r>
            <w:r>
              <w:rPr>
                <w:rFonts w:ascii="Arial" w:hAnsi="Arial" w:cs="Arial"/>
                <w:sz w:val="20"/>
                <w:szCs w:val="20"/>
              </w:rPr>
              <w:t> </w:t>
            </w:r>
            <w:r w:rsidRPr="00367E73">
              <w:rPr>
                <w:rFonts w:ascii="Arial" w:hAnsi="Arial" w:cs="Arial"/>
                <w:sz w:val="20"/>
                <w:szCs w:val="20"/>
              </w:rPr>
              <w:t>Ústeckém kraji (o 34 případů, tj. o 9,6 %). Dále pak počet těchto nehod poklesl v</w:t>
            </w:r>
            <w:r>
              <w:rPr>
                <w:rFonts w:ascii="Arial" w:hAnsi="Arial" w:cs="Arial"/>
                <w:sz w:val="20"/>
                <w:szCs w:val="20"/>
              </w:rPr>
              <w:t> </w:t>
            </w:r>
            <w:r w:rsidRPr="00367E73">
              <w:rPr>
                <w:rFonts w:ascii="Arial" w:hAnsi="Arial" w:cs="Arial"/>
                <w:sz w:val="20"/>
                <w:szCs w:val="20"/>
              </w:rPr>
              <w:t>Moravskoslezském (o 22), v Karlovarském (o 18), Hlavním městě Praze (o 17), Královéhradeckém kraji (o 15). Dále následovaly kraje, jejichž snížení těchto nehod nepřesáhlo deset. Pokles počtu nehod spáchaných pod vlivem alkoholu ve</w:t>
            </w:r>
            <w:r>
              <w:rPr>
                <w:rFonts w:ascii="Arial" w:hAnsi="Arial" w:cs="Arial"/>
                <w:sz w:val="20"/>
                <w:szCs w:val="20"/>
              </w:rPr>
              <w:t> </w:t>
            </w:r>
            <w:r w:rsidRPr="00367E73">
              <w:rPr>
                <w:rFonts w:ascii="Arial" w:hAnsi="Arial" w:cs="Arial"/>
                <w:sz w:val="20"/>
                <w:szCs w:val="20"/>
              </w:rPr>
              <w:t>Zlínském kraji byl druhý nejmenší.</w:t>
            </w:r>
          </w:p>
          <w:p w:rsidR="00BC0697" w:rsidRDefault="00BC0697" w:rsidP="007F7827">
            <w:pPr>
              <w:pStyle w:val="Normlnweb"/>
              <w:spacing w:before="60" w:beforeAutospacing="0" w:after="60" w:afterAutospacing="0"/>
              <w:jc w:val="both"/>
              <w:rPr>
                <w:rFonts w:ascii="Arial" w:hAnsi="Arial" w:cs="Arial"/>
                <w:sz w:val="20"/>
                <w:szCs w:val="20"/>
              </w:rPr>
            </w:pPr>
          </w:p>
          <w:p w:rsidR="00BC0697" w:rsidRPr="00C35058" w:rsidRDefault="00BC0697" w:rsidP="007F7827">
            <w:pPr>
              <w:pStyle w:val="Normlnweb"/>
              <w:spacing w:before="60" w:beforeAutospacing="0" w:after="60" w:afterAutospacing="0"/>
              <w:jc w:val="both"/>
              <w:rPr>
                <w:rFonts w:ascii="Arial" w:eastAsia="+mn-ea" w:hAnsi="Arial" w:cs="Arial"/>
                <w:color w:val="000000"/>
                <w:sz w:val="20"/>
                <w:szCs w:val="20"/>
                <w:highlight w:val="yellow"/>
              </w:rPr>
            </w:pPr>
          </w:p>
        </w:tc>
      </w:tr>
      <w:tr w:rsidR="002A411D" w:rsidRPr="007F04FB" w:rsidTr="00057F4A">
        <w:trPr>
          <w:gridAfter w:val="3"/>
          <w:wAfter w:w="207" w:type="dxa"/>
          <w:trHeight w:val="286"/>
        </w:trPr>
        <w:tc>
          <w:tcPr>
            <w:tcW w:w="4848" w:type="dxa"/>
            <w:gridSpan w:val="9"/>
            <w:tcMar>
              <w:left w:w="85" w:type="dxa"/>
              <w:right w:w="85" w:type="dxa"/>
            </w:tcMar>
          </w:tcPr>
          <w:p w:rsidR="00BC0697" w:rsidRDefault="002A411D" w:rsidP="007F7827">
            <w:pPr>
              <w:spacing w:before="60" w:after="60"/>
              <w:jc w:val="left"/>
              <w:rPr>
                <w:rFonts w:eastAsia="+mn-ea" w:cs="Arial"/>
                <w:b/>
                <w:color w:val="000000"/>
                <w:szCs w:val="20"/>
              </w:rPr>
            </w:pPr>
            <w:r w:rsidRPr="00367E73">
              <w:rPr>
                <w:rFonts w:eastAsia="+mn-ea" w:cs="Arial"/>
                <w:b/>
                <w:color w:val="000000"/>
                <w:szCs w:val="20"/>
              </w:rPr>
              <w:lastRenderedPageBreak/>
              <w:t xml:space="preserve">Graf </w:t>
            </w:r>
            <w:r w:rsidR="00BD18F7">
              <w:rPr>
                <w:rFonts w:eastAsia="+mn-ea" w:cs="Arial"/>
                <w:b/>
                <w:color w:val="000000"/>
                <w:szCs w:val="20"/>
              </w:rPr>
              <w:t>2.27</w:t>
            </w:r>
            <w:r w:rsidRPr="00367E73">
              <w:rPr>
                <w:rFonts w:eastAsia="+mn-ea" w:cs="Arial"/>
                <w:b/>
                <w:color w:val="000000"/>
                <w:szCs w:val="20"/>
              </w:rPr>
              <w:t xml:space="preserve"> Nehody způsobené pod vlivem</w:t>
            </w:r>
          </w:p>
          <w:p w:rsidR="002A411D" w:rsidRPr="00C35058" w:rsidRDefault="00BC0697" w:rsidP="00BC0697">
            <w:pPr>
              <w:spacing w:before="60" w:after="60"/>
              <w:jc w:val="left"/>
              <w:rPr>
                <w:b/>
                <w:i/>
                <w:szCs w:val="20"/>
                <w:highlight w:val="yellow"/>
              </w:rPr>
            </w:pPr>
            <w:r>
              <w:rPr>
                <w:rFonts w:eastAsia="+mn-ea" w:cs="Arial"/>
                <w:b/>
                <w:color w:val="000000"/>
                <w:szCs w:val="20"/>
              </w:rPr>
              <w:t xml:space="preserve">                 </w:t>
            </w:r>
            <w:r w:rsidR="002A411D" w:rsidRPr="00367E73">
              <w:rPr>
                <w:rFonts w:eastAsia="+mn-ea" w:cs="Arial"/>
                <w:b/>
                <w:color w:val="000000"/>
                <w:szCs w:val="20"/>
              </w:rPr>
              <w:t>alkoholu</w:t>
            </w:r>
            <w:r w:rsidR="002A411D" w:rsidRPr="00367E73">
              <w:rPr>
                <w:rFonts w:cs="Arial"/>
                <w:b/>
                <w:szCs w:val="20"/>
              </w:rPr>
              <w:t xml:space="preserve"> </w:t>
            </w:r>
            <w:r w:rsidR="002A411D" w:rsidRPr="00367E73">
              <w:rPr>
                <w:rFonts w:eastAsia="+mn-ea" w:cs="Arial"/>
                <w:b/>
                <w:color w:val="000000"/>
                <w:szCs w:val="20"/>
              </w:rPr>
              <w:t>v krajích ČR</w:t>
            </w:r>
          </w:p>
        </w:tc>
        <w:tc>
          <w:tcPr>
            <w:tcW w:w="4731" w:type="dxa"/>
            <w:gridSpan w:val="2"/>
            <w:tcMar>
              <w:left w:w="85" w:type="dxa"/>
              <w:right w:w="85" w:type="dxa"/>
            </w:tcMar>
            <w:vAlign w:val="center"/>
          </w:tcPr>
          <w:p w:rsidR="002A411D" w:rsidRPr="00C35058" w:rsidRDefault="002A411D" w:rsidP="00BC0697">
            <w:pPr>
              <w:pStyle w:val="Normlnweb"/>
              <w:spacing w:before="60" w:beforeAutospacing="0" w:after="60" w:afterAutospacing="0"/>
              <w:rPr>
                <w:rFonts w:ascii="Arial" w:eastAsia="+mn-ea" w:hAnsi="Arial" w:cs="Arial"/>
                <w:color w:val="000000"/>
                <w:sz w:val="20"/>
                <w:szCs w:val="20"/>
                <w:highlight w:val="yellow"/>
              </w:rPr>
            </w:pPr>
            <w:r w:rsidRPr="00367E73">
              <w:rPr>
                <w:rFonts w:ascii="Arial" w:eastAsia="+mn-ea" w:hAnsi="Arial" w:cs="Arial"/>
                <w:b/>
                <w:color w:val="000000"/>
                <w:sz w:val="20"/>
                <w:szCs w:val="20"/>
              </w:rPr>
              <w:t xml:space="preserve">Graf </w:t>
            </w:r>
            <w:r w:rsidR="00BD18F7">
              <w:rPr>
                <w:rFonts w:ascii="Arial" w:eastAsia="+mn-ea" w:hAnsi="Arial" w:cs="Arial"/>
                <w:b/>
                <w:color w:val="000000"/>
                <w:sz w:val="20"/>
                <w:szCs w:val="20"/>
              </w:rPr>
              <w:t>2.28</w:t>
            </w:r>
            <w:r w:rsidRPr="00367E73">
              <w:rPr>
                <w:rFonts w:ascii="Arial" w:eastAsia="+mn-ea" w:hAnsi="Arial" w:cs="Arial"/>
                <w:b/>
                <w:color w:val="000000"/>
                <w:sz w:val="20"/>
                <w:szCs w:val="20"/>
              </w:rPr>
              <w:t xml:space="preserve"> Krajské podíly na škodách způsobených při dopravních nehodách spáchaných pod vlivem alkoholu</w:t>
            </w:r>
          </w:p>
        </w:tc>
      </w:tr>
      <w:tr w:rsidR="002A411D" w:rsidTr="00057F4A">
        <w:trPr>
          <w:gridAfter w:val="3"/>
          <w:wAfter w:w="207" w:type="dxa"/>
          <w:trHeight w:val="286"/>
        </w:trPr>
        <w:tc>
          <w:tcPr>
            <w:tcW w:w="4848" w:type="dxa"/>
            <w:gridSpan w:val="9"/>
            <w:tcMar>
              <w:left w:w="85" w:type="dxa"/>
              <w:right w:w="85" w:type="dxa"/>
            </w:tcMar>
          </w:tcPr>
          <w:p w:rsidR="00BC0697" w:rsidRDefault="00BC0697" w:rsidP="004E22DA">
            <w:pPr>
              <w:spacing w:before="60" w:after="60"/>
              <w:jc w:val="center"/>
              <w:rPr>
                <w:szCs w:val="20"/>
              </w:rPr>
            </w:pPr>
          </w:p>
          <w:p w:rsidR="002A411D" w:rsidRPr="00C35058" w:rsidRDefault="009956CB" w:rsidP="004E22DA">
            <w:pPr>
              <w:spacing w:before="60" w:after="60"/>
              <w:jc w:val="center"/>
              <w:rPr>
                <w:szCs w:val="20"/>
                <w:highlight w:val="yellow"/>
              </w:rPr>
            </w:pPr>
            <w:r w:rsidRPr="00286EFA">
              <w:rPr>
                <w:szCs w:val="20"/>
              </w:rPr>
              <w:pict>
                <v:shape id="_x0000_i1070" type="#_x0000_t75" style="width:237pt;height:193.5pt">
                  <v:imagedata r:id="rId63" o:title=""/>
                </v:shape>
              </w:pict>
            </w:r>
          </w:p>
        </w:tc>
        <w:tc>
          <w:tcPr>
            <w:tcW w:w="4731" w:type="dxa"/>
            <w:gridSpan w:val="2"/>
            <w:tcMar>
              <w:left w:w="85" w:type="dxa"/>
              <w:right w:w="85" w:type="dxa"/>
            </w:tcMar>
            <w:vAlign w:val="center"/>
          </w:tcPr>
          <w:p w:rsidR="002A411D" w:rsidRPr="00C35058" w:rsidRDefault="009956CB" w:rsidP="004E22DA">
            <w:pPr>
              <w:pStyle w:val="Normlnweb"/>
              <w:spacing w:before="0" w:beforeAutospacing="0" w:after="0" w:afterAutospacing="0"/>
              <w:jc w:val="center"/>
              <w:rPr>
                <w:rFonts w:ascii="Arial" w:eastAsia="+mn-ea" w:hAnsi="Arial" w:cs="Arial"/>
                <w:color w:val="000000"/>
                <w:sz w:val="20"/>
                <w:szCs w:val="20"/>
                <w:highlight w:val="yellow"/>
              </w:rPr>
            </w:pPr>
            <w:r w:rsidRPr="00286EFA">
              <w:rPr>
                <w:rFonts w:ascii="Arial" w:eastAsia="+mn-ea" w:hAnsi="Arial" w:cs="Arial"/>
                <w:color w:val="000000"/>
                <w:sz w:val="20"/>
                <w:szCs w:val="20"/>
              </w:rPr>
              <w:pict>
                <v:shape id="_x0000_i1071" type="#_x0000_t75" style="width:235.5pt;height:195.75pt">
                  <v:imagedata r:id="rId64" o:title=""/>
                </v:shape>
              </w:pict>
            </w:r>
          </w:p>
        </w:tc>
      </w:tr>
      <w:tr w:rsidR="002A411D" w:rsidRPr="009258BE" w:rsidTr="00057F4A">
        <w:tc>
          <w:tcPr>
            <w:tcW w:w="2007" w:type="dxa"/>
            <w:gridSpan w:val="2"/>
            <w:tcMar>
              <w:left w:w="85" w:type="dxa"/>
              <w:right w:w="85" w:type="dxa"/>
            </w:tcMar>
          </w:tcPr>
          <w:p w:rsidR="002A411D" w:rsidRPr="00777025" w:rsidRDefault="002A411D" w:rsidP="007D6507">
            <w:pPr>
              <w:spacing w:before="60"/>
              <w:jc w:val="left"/>
              <w:rPr>
                <w:b/>
                <w:i/>
                <w:szCs w:val="20"/>
                <w:u w:val="single"/>
              </w:rPr>
            </w:pPr>
            <w:r w:rsidRPr="00777025">
              <w:rPr>
                <w:b/>
                <w:i/>
                <w:szCs w:val="20"/>
                <w:u w:val="single"/>
              </w:rPr>
              <w:t>Požáry</w:t>
            </w:r>
          </w:p>
          <w:p w:rsidR="002A411D" w:rsidRPr="00C35058" w:rsidRDefault="002A411D" w:rsidP="00777025">
            <w:pPr>
              <w:spacing w:before="60" w:after="60"/>
              <w:jc w:val="left"/>
              <w:rPr>
                <w:b/>
                <w:i/>
                <w:szCs w:val="20"/>
                <w:highlight w:val="yellow"/>
              </w:rPr>
            </w:pPr>
            <w:r w:rsidRPr="00777025">
              <w:rPr>
                <w:b/>
                <w:i/>
                <w:szCs w:val="20"/>
              </w:rPr>
              <w:t>Z krajů měl Zlínský třetí nejnižší počet požárů</w:t>
            </w:r>
          </w:p>
        </w:tc>
        <w:tc>
          <w:tcPr>
            <w:tcW w:w="7779" w:type="dxa"/>
            <w:gridSpan w:val="12"/>
            <w:tcMar>
              <w:left w:w="85" w:type="dxa"/>
              <w:right w:w="85" w:type="dxa"/>
            </w:tcMar>
            <w:vAlign w:val="center"/>
          </w:tcPr>
          <w:p w:rsidR="002A411D" w:rsidRPr="00777025" w:rsidRDefault="002A411D" w:rsidP="00777025">
            <w:pPr>
              <w:pStyle w:val="Normlnweb"/>
              <w:spacing w:before="60" w:beforeAutospacing="0" w:after="60" w:afterAutospacing="0"/>
              <w:jc w:val="both"/>
              <w:rPr>
                <w:rFonts w:ascii="Arial" w:hAnsi="Arial" w:cs="Arial"/>
                <w:sz w:val="20"/>
                <w:szCs w:val="20"/>
              </w:rPr>
            </w:pPr>
            <w:r w:rsidRPr="00777025">
              <w:rPr>
                <w:rFonts w:ascii="Arial" w:hAnsi="Arial" w:cs="Arial"/>
                <w:sz w:val="20"/>
                <w:szCs w:val="20"/>
              </w:rPr>
              <w:t xml:space="preserve">Celkem v kraji v roce 2014 zasahoval Hasičský záchranný sbor stejně jako v roce 2013 u 640 požárů. Celková přímá škoda v kraji dosáhla ve sledovaném roce 199,6 mil. Kč a byla mezi kraji čtvrtá nejvyšší. Průměrná přímá škoda na jeden požár tedy činila 311,8 tis. Kč a tato hodnota byla mezi kraji druhá nejvyšší. Nejnižší průměrná hodnota na jeden požár byla v roce 2014 vykázána v Hlavním městě Praze (49,2 tis. Kč). Uchráněné hodnoty ve Zlínském kraji dosáhly 1 513,2 mil. Kč. </w:t>
            </w:r>
          </w:p>
          <w:p w:rsidR="00BC0697" w:rsidRDefault="002A411D" w:rsidP="00777025">
            <w:pPr>
              <w:pStyle w:val="Normlnweb"/>
              <w:spacing w:before="60" w:beforeAutospacing="0" w:after="60" w:afterAutospacing="0"/>
              <w:jc w:val="both"/>
              <w:rPr>
                <w:rFonts w:ascii="Arial" w:hAnsi="Arial" w:cs="Arial"/>
                <w:sz w:val="20"/>
                <w:szCs w:val="20"/>
              </w:rPr>
            </w:pPr>
            <w:r w:rsidRPr="00777025">
              <w:rPr>
                <w:rFonts w:ascii="Arial" w:hAnsi="Arial" w:cs="Arial"/>
                <w:sz w:val="20"/>
                <w:szCs w:val="20"/>
              </w:rPr>
              <w:t>Při požárech bylo v hodnoceném roce celkem v kraji usmrceno 11 a zraněno 65 osob.</w:t>
            </w:r>
          </w:p>
          <w:p w:rsidR="00BC0697" w:rsidRDefault="00BC0697" w:rsidP="00777025">
            <w:pPr>
              <w:pStyle w:val="Normlnweb"/>
              <w:spacing w:before="60" w:beforeAutospacing="0" w:after="60" w:afterAutospacing="0"/>
              <w:jc w:val="both"/>
              <w:rPr>
                <w:rFonts w:ascii="Arial" w:hAnsi="Arial" w:cs="Arial"/>
                <w:sz w:val="20"/>
                <w:szCs w:val="20"/>
              </w:rPr>
            </w:pPr>
          </w:p>
          <w:p w:rsidR="002A411D" w:rsidRPr="00C35058" w:rsidRDefault="002A411D" w:rsidP="00777025">
            <w:pPr>
              <w:pStyle w:val="Normlnweb"/>
              <w:spacing w:before="60" w:beforeAutospacing="0" w:after="60" w:afterAutospacing="0"/>
              <w:jc w:val="both"/>
              <w:rPr>
                <w:rFonts w:ascii="Arial" w:hAnsi="Arial" w:cs="Arial"/>
                <w:sz w:val="20"/>
                <w:szCs w:val="20"/>
                <w:highlight w:val="yellow"/>
              </w:rPr>
            </w:pPr>
            <w:r w:rsidRPr="00777025">
              <w:rPr>
                <w:rFonts w:ascii="Arial" w:hAnsi="Arial" w:cs="Arial"/>
                <w:sz w:val="20"/>
                <w:szCs w:val="20"/>
              </w:rPr>
              <w:t xml:space="preserve">  </w:t>
            </w:r>
          </w:p>
        </w:tc>
      </w:tr>
      <w:tr w:rsidR="002A411D" w:rsidRPr="00900638" w:rsidTr="00057F4A">
        <w:tc>
          <w:tcPr>
            <w:tcW w:w="2007" w:type="dxa"/>
            <w:gridSpan w:val="2"/>
            <w:tcMar>
              <w:left w:w="85" w:type="dxa"/>
              <w:right w:w="85" w:type="dxa"/>
            </w:tcMar>
          </w:tcPr>
          <w:p w:rsidR="002A411D" w:rsidRPr="00C35058" w:rsidRDefault="002A411D" w:rsidP="009956CB">
            <w:pPr>
              <w:spacing w:before="60" w:afterLines="60"/>
              <w:jc w:val="left"/>
              <w:rPr>
                <w:rFonts w:cs="Arial"/>
                <w:b/>
                <w:i/>
                <w:szCs w:val="20"/>
                <w:highlight w:val="yellow"/>
              </w:rPr>
            </w:pPr>
            <w:r w:rsidRPr="00C35058">
              <w:rPr>
                <w:highlight w:val="yellow"/>
              </w:rPr>
              <w:br w:type="page"/>
            </w:r>
            <w:r w:rsidRPr="00777025">
              <w:rPr>
                <w:rFonts w:cs="Arial"/>
                <w:b/>
                <w:i/>
                <w:szCs w:val="20"/>
              </w:rPr>
              <w:t>Třetina požárů v</w:t>
            </w:r>
            <w:r>
              <w:rPr>
                <w:rFonts w:cs="Arial"/>
                <w:b/>
                <w:i/>
                <w:szCs w:val="20"/>
              </w:rPr>
              <w:t> </w:t>
            </w:r>
            <w:r w:rsidRPr="00777025">
              <w:rPr>
                <w:rFonts w:cs="Arial"/>
                <w:b/>
                <w:i/>
                <w:szCs w:val="20"/>
              </w:rPr>
              <w:t>kraji se hasila ve</w:t>
            </w:r>
            <w:r>
              <w:rPr>
                <w:rFonts w:cs="Arial"/>
                <w:b/>
                <w:i/>
                <w:szCs w:val="20"/>
              </w:rPr>
              <w:t> </w:t>
            </w:r>
            <w:r w:rsidRPr="00777025">
              <w:rPr>
                <w:rFonts w:cs="Arial"/>
                <w:b/>
                <w:i/>
                <w:szCs w:val="20"/>
              </w:rPr>
              <w:t>zlínském okrese</w:t>
            </w:r>
          </w:p>
        </w:tc>
        <w:tc>
          <w:tcPr>
            <w:tcW w:w="7779" w:type="dxa"/>
            <w:gridSpan w:val="12"/>
            <w:tcMar>
              <w:left w:w="85" w:type="dxa"/>
              <w:right w:w="85" w:type="dxa"/>
            </w:tcMar>
            <w:vAlign w:val="center"/>
          </w:tcPr>
          <w:p w:rsidR="002A411D" w:rsidRDefault="002A411D" w:rsidP="00343695">
            <w:pPr>
              <w:pStyle w:val="Normlnweb"/>
              <w:spacing w:before="60" w:beforeAutospacing="0" w:after="60" w:afterAutospacing="0"/>
              <w:jc w:val="both"/>
              <w:rPr>
                <w:rFonts w:ascii="Arial" w:eastAsia="+mn-ea" w:hAnsi="Arial" w:cs="Arial"/>
                <w:color w:val="000000"/>
                <w:sz w:val="20"/>
                <w:szCs w:val="20"/>
              </w:rPr>
            </w:pPr>
            <w:r w:rsidRPr="00FA3C41">
              <w:rPr>
                <w:rFonts w:ascii="Arial" w:eastAsia="+mn-ea" w:hAnsi="Arial" w:cs="Arial"/>
                <w:color w:val="000000"/>
                <w:sz w:val="20"/>
                <w:szCs w:val="20"/>
              </w:rPr>
              <w:t>Ze všech požárů v kraji zasahoval hasičský záchranný sbor ve 203 případech ve zlínském okrese. Nejméně požárů bylo evidováno v okrese Kroměříž (132). Nejvyšší celkové přímé škody způsobené požáry byly zjištěny v okrese Vsetín (134,2 mil. Kč). Průměrná přímá škoda na jeden požár byla nejvyšší v okrese Vsetín (906,5 tis. Kč) a nejnižší v okrese Uherské Hradiště (</w:t>
            </w:r>
            <w:r>
              <w:rPr>
                <w:rFonts w:ascii="Arial" w:eastAsia="+mn-ea" w:hAnsi="Arial" w:cs="Arial"/>
                <w:color w:val="000000"/>
                <w:sz w:val="20"/>
                <w:szCs w:val="20"/>
              </w:rPr>
              <w:t>89</w:t>
            </w:r>
            <w:r w:rsidRPr="00FA3C41">
              <w:rPr>
                <w:rFonts w:ascii="Arial" w:eastAsia="+mn-ea" w:hAnsi="Arial" w:cs="Arial"/>
                <w:color w:val="000000"/>
                <w:sz w:val="20"/>
                <w:szCs w:val="20"/>
              </w:rPr>
              <w:t>,0 tis. Kč). Nejvyšší uchráněné hodnoty byly vyčísleny ve vsetínském okrese, a to 749,0 mil. Kč., nejnižší v kroměřížském okrese, a to 92,0 mil. Kč.</w:t>
            </w:r>
          </w:p>
          <w:p w:rsidR="002A411D" w:rsidRDefault="002A411D" w:rsidP="00343695">
            <w:pPr>
              <w:pStyle w:val="Normlnweb"/>
              <w:spacing w:before="60" w:beforeAutospacing="0" w:after="60" w:afterAutospacing="0"/>
              <w:jc w:val="both"/>
              <w:rPr>
                <w:rFonts w:ascii="Arial" w:eastAsia="+mn-ea" w:hAnsi="Arial" w:cs="Arial"/>
                <w:color w:val="000000"/>
                <w:sz w:val="20"/>
                <w:szCs w:val="20"/>
              </w:rPr>
            </w:pPr>
          </w:p>
          <w:p w:rsidR="002A411D" w:rsidRDefault="002A411D" w:rsidP="00343695">
            <w:pPr>
              <w:pStyle w:val="Normlnweb"/>
              <w:spacing w:before="60" w:beforeAutospacing="0" w:after="60" w:afterAutospacing="0"/>
              <w:jc w:val="both"/>
              <w:rPr>
                <w:rFonts w:ascii="Arial" w:eastAsia="+mn-ea" w:hAnsi="Arial" w:cs="Arial"/>
                <w:color w:val="000000"/>
                <w:sz w:val="20"/>
                <w:szCs w:val="20"/>
              </w:rPr>
            </w:pPr>
          </w:p>
          <w:p w:rsidR="002A411D" w:rsidRDefault="002A411D" w:rsidP="00343695">
            <w:pPr>
              <w:pStyle w:val="Normlnweb"/>
              <w:spacing w:before="60" w:beforeAutospacing="0" w:after="60" w:afterAutospacing="0"/>
              <w:jc w:val="both"/>
              <w:rPr>
                <w:rFonts w:ascii="Arial" w:eastAsia="+mn-ea" w:hAnsi="Arial" w:cs="Arial"/>
                <w:color w:val="000000"/>
                <w:sz w:val="20"/>
                <w:szCs w:val="20"/>
              </w:rPr>
            </w:pPr>
          </w:p>
          <w:p w:rsidR="00BC0697" w:rsidRDefault="00BC0697" w:rsidP="00343695">
            <w:pPr>
              <w:pStyle w:val="Normlnweb"/>
              <w:spacing w:before="60" w:beforeAutospacing="0" w:after="60" w:afterAutospacing="0"/>
              <w:jc w:val="both"/>
              <w:rPr>
                <w:rFonts w:ascii="Arial" w:eastAsia="+mn-ea" w:hAnsi="Arial" w:cs="Arial"/>
                <w:color w:val="000000"/>
                <w:sz w:val="20"/>
                <w:szCs w:val="20"/>
              </w:rPr>
            </w:pPr>
          </w:p>
          <w:p w:rsidR="00BC0697" w:rsidRDefault="00BC0697" w:rsidP="00343695">
            <w:pPr>
              <w:pStyle w:val="Normlnweb"/>
              <w:spacing w:before="60" w:beforeAutospacing="0" w:after="60" w:afterAutospacing="0"/>
              <w:jc w:val="both"/>
              <w:rPr>
                <w:rFonts w:ascii="Arial" w:eastAsia="+mn-ea" w:hAnsi="Arial" w:cs="Arial"/>
                <w:color w:val="000000"/>
                <w:sz w:val="20"/>
                <w:szCs w:val="20"/>
              </w:rPr>
            </w:pPr>
          </w:p>
          <w:p w:rsidR="00BC0697" w:rsidRDefault="00BC0697" w:rsidP="00343695">
            <w:pPr>
              <w:pStyle w:val="Normlnweb"/>
              <w:spacing w:before="60" w:beforeAutospacing="0" w:after="60" w:afterAutospacing="0"/>
              <w:jc w:val="both"/>
              <w:rPr>
                <w:rFonts w:ascii="Arial" w:eastAsia="+mn-ea" w:hAnsi="Arial" w:cs="Arial"/>
                <w:color w:val="000000"/>
                <w:sz w:val="20"/>
                <w:szCs w:val="20"/>
              </w:rPr>
            </w:pPr>
          </w:p>
          <w:p w:rsidR="00BC0697" w:rsidRDefault="00BC0697" w:rsidP="00343695">
            <w:pPr>
              <w:pStyle w:val="Normlnweb"/>
              <w:spacing w:before="60" w:beforeAutospacing="0" w:after="60" w:afterAutospacing="0"/>
              <w:jc w:val="both"/>
              <w:rPr>
                <w:rFonts w:ascii="Arial" w:eastAsia="+mn-ea" w:hAnsi="Arial" w:cs="Arial"/>
                <w:color w:val="000000"/>
                <w:sz w:val="20"/>
                <w:szCs w:val="20"/>
              </w:rPr>
            </w:pPr>
          </w:p>
          <w:p w:rsidR="002A411D" w:rsidRPr="00C35058" w:rsidRDefault="002A411D" w:rsidP="00343695">
            <w:pPr>
              <w:pStyle w:val="Normlnweb"/>
              <w:spacing w:before="60" w:beforeAutospacing="0" w:after="60" w:afterAutospacing="0"/>
              <w:jc w:val="both"/>
              <w:rPr>
                <w:rFonts w:ascii="Arial" w:eastAsia="+mn-ea" w:hAnsi="Arial" w:cs="Arial"/>
                <w:color w:val="000000"/>
                <w:sz w:val="20"/>
                <w:szCs w:val="20"/>
                <w:highlight w:val="yellow"/>
              </w:rPr>
            </w:pPr>
          </w:p>
        </w:tc>
      </w:tr>
      <w:tr w:rsidR="002A411D" w:rsidRPr="003E5D77" w:rsidTr="00057F4A">
        <w:trPr>
          <w:cantSplit/>
          <w:trHeight w:val="255"/>
        </w:trPr>
        <w:tc>
          <w:tcPr>
            <w:tcW w:w="4878" w:type="dxa"/>
            <w:gridSpan w:val="10"/>
            <w:tcMar>
              <w:left w:w="85" w:type="dxa"/>
              <w:right w:w="85" w:type="dxa"/>
            </w:tcMar>
          </w:tcPr>
          <w:p w:rsidR="002A411D" w:rsidRPr="00343695" w:rsidRDefault="002A411D" w:rsidP="00BD18F7">
            <w:pPr>
              <w:spacing w:before="60" w:after="60"/>
              <w:rPr>
                <w:b/>
                <w:bCs/>
                <w:szCs w:val="20"/>
              </w:rPr>
            </w:pPr>
            <w:r w:rsidRPr="00343695">
              <w:lastRenderedPageBreak/>
              <w:br w:type="page"/>
            </w:r>
            <w:r w:rsidRPr="00343695">
              <w:br w:type="page"/>
            </w:r>
            <w:r w:rsidRPr="00343695">
              <w:br w:type="page"/>
            </w:r>
            <w:r w:rsidRPr="00343695">
              <w:rPr>
                <w:b/>
                <w:bCs/>
                <w:szCs w:val="20"/>
              </w:rPr>
              <w:t xml:space="preserve">Graf </w:t>
            </w:r>
            <w:r w:rsidR="00BD18F7">
              <w:rPr>
                <w:b/>
                <w:bCs/>
                <w:szCs w:val="20"/>
              </w:rPr>
              <w:t xml:space="preserve">2.29 </w:t>
            </w:r>
            <w:r w:rsidRPr="00343695">
              <w:rPr>
                <w:b/>
                <w:bCs/>
                <w:szCs w:val="20"/>
              </w:rPr>
              <w:t>Požáry podle krajů ČR</w:t>
            </w:r>
          </w:p>
        </w:tc>
        <w:tc>
          <w:tcPr>
            <w:tcW w:w="4908" w:type="dxa"/>
            <w:gridSpan w:val="4"/>
          </w:tcPr>
          <w:p w:rsidR="002A411D" w:rsidRPr="00343695" w:rsidRDefault="002A411D" w:rsidP="00343695">
            <w:pPr>
              <w:spacing w:before="60" w:after="60"/>
              <w:rPr>
                <w:b/>
                <w:bCs/>
                <w:szCs w:val="20"/>
              </w:rPr>
            </w:pPr>
            <w:r w:rsidRPr="00343695">
              <w:rPr>
                <w:b/>
                <w:bCs/>
                <w:szCs w:val="20"/>
              </w:rPr>
              <w:t>Graf 2</w:t>
            </w:r>
            <w:r w:rsidR="00BD18F7">
              <w:rPr>
                <w:b/>
                <w:bCs/>
                <w:szCs w:val="20"/>
              </w:rPr>
              <w:t>.30</w:t>
            </w:r>
            <w:r w:rsidRPr="00343695">
              <w:rPr>
                <w:b/>
                <w:bCs/>
                <w:szCs w:val="20"/>
              </w:rPr>
              <w:t xml:space="preserve"> Požáry na tisíc obyvatel podle krajů </w:t>
            </w:r>
          </w:p>
        </w:tc>
      </w:tr>
      <w:tr w:rsidR="002A411D" w:rsidRPr="003E5D77" w:rsidTr="00057F4A">
        <w:trPr>
          <w:trHeight w:val="4044"/>
        </w:trPr>
        <w:tc>
          <w:tcPr>
            <w:tcW w:w="4878" w:type="dxa"/>
            <w:gridSpan w:val="10"/>
            <w:tcMar>
              <w:left w:w="85" w:type="dxa"/>
              <w:right w:w="85" w:type="dxa"/>
            </w:tcMar>
            <w:vAlign w:val="center"/>
          </w:tcPr>
          <w:p w:rsidR="002A411D" w:rsidRPr="00C35058" w:rsidRDefault="009956CB" w:rsidP="00343695">
            <w:pPr>
              <w:spacing w:before="60" w:after="60"/>
              <w:rPr>
                <w:szCs w:val="20"/>
                <w:highlight w:val="yellow"/>
              </w:rPr>
            </w:pPr>
            <w:r w:rsidRPr="00286EFA">
              <w:rPr>
                <w:rFonts w:cs="Arial"/>
                <w:b/>
                <w:szCs w:val="20"/>
              </w:rPr>
              <w:pict>
                <v:shape id="_x0000_i1072" type="#_x0000_t75" style="width:236.25pt;height:213pt">
                  <v:imagedata r:id="rId65" o:title=""/>
                </v:shape>
              </w:pict>
            </w:r>
          </w:p>
        </w:tc>
        <w:tc>
          <w:tcPr>
            <w:tcW w:w="4908" w:type="dxa"/>
            <w:gridSpan w:val="4"/>
            <w:vAlign w:val="center"/>
          </w:tcPr>
          <w:p w:rsidR="002A411D" w:rsidRPr="00C35058" w:rsidRDefault="009956CB" w:rsidP="00343695">
            <w:pPr>
              <w:spacing w:before="60" w:after="60"/>
              <w:rPr>
                <w:szCs w:val="20"/>
                <w:highlight w:val="yellow"/>
              </w:rPr>
            </w:pPr>
            <w:r w:rsidRPr="00286EFA">
              <w:rPr>
                <w:rFonts w:cs="Arial"/>
                <w:b/>
                <w:szCs w:val="20"/>
              </w:rPr>
              <w:pict>
                <v:shape id="_x0000_i1073" type="#_x0000_t75" style="width:237.75pt;height:213.75pt">
                  <v:imagedata r:id="rId66" o:title=""/>
                </v:shape>
              </w:pict>
            </w:r>
          </w:p>
        </w:tc>
      </w:tr>
      <w:tr w:rsidR="002A411D" w:rsidRPr="003E5D77" w:rsidTr="00057F4A">
        <w:trPr>
          <w:trHeight w:val="363"/>
        </w:trPr>
        <w:tc>
          <w:tcPr>
            <w:tcW w:w="4878" w:type="dxa"/>
            <w:gridSpan w:val="10"/>
            <w:tcMar>
              <w:left w:w="85" w:type="dxa"/>
              <w:right w:w="85" w:type="dxa"/>
            </w:tcMar>
          </w:tcPr>
          <w:p w:rsidR="00BC0697" w:rsidRDefault="002A411D" w:rsidP="00BD18F7">
            <w:pPr>
              <w:spacing w:before="60" w:after="60"/>
              <w:jc w:val="left"/>
              <w:rPr>
                <w:rFonts w:cs="Arial"/>
                <w:b/>
                <w:szCs w:val="20"/>
              </w:rPr>
            </w:pPr>
            <w:r w:rsidRPr="00343695">
              <w:rPr>
                <w:rFonts w:cs="Arial"/>
                <w:b/>
                <w:szCs w:val="20"/>
              </w:rPr>
              <w:t xml:space="preserve">Graf </w:t>
            </w:r>
            <w:r w:rsidR="00BD18F7">
              <w:rPr>
                <w:rFonts w:cs="Arial"/>
                <w:b/>
                <w:szCs w:val="20"/>
              </w:rPr>
              <w:t>2.31</w:t>
            </w:r>
            <w:r w:rsidRPr="00343695">
              <w:rPr>
                <w:rFonts w:cs="Arial"/>
                <w:b/>
                <w:szCs w:val="20"/>
              </w:rPr>
              <w:t xml:space="preserve"> Přímá škoda na požár podle krajů </w:t>
            </w:r>
          </w:p>
          <w:p w:rsidR="002A411D" w:rsidRPr="00D47585" w:rsidRDefault="00BC0697" w:rsidP="00BD18F7">
            <w:pPr>
              <w:spacing w:before="60" w:after="60"/>
              <w:jc w:val="left"/>
              <w:rPr>
                <w:rFonts w:cs="Arial"/>
                <w:b/>
                <w:szCs w:val="20"/>
              </w:rPr>
            </w:pPr>
            <w:r>
              <w:rPr>
                <w:rFonts w:cs="Arial"/>
                <w:b/>
                <w:szCs w:val="20"/>
              </w:rPr>
              <w:t xml:space="preserve">                </w:t>
            </w:r>
            <w:r w:rsidR="002A411D" w:rsidRPr="00343695">
              <w:rPr>
                <w:rFonts w:cs="Arial"/>
                <w:b/>
                <w:szCs w:val="20"/>
              </w:rPr>
              <w:t>(tis. Kč)</w:t>
            </w:r>
          </w:p>
        </w:tc>
        <w:tc>
          <w:tcPr>
            <w:tcW w:w="4908" w:type="dxa"/>
            <w:gridSpan w:val="4"/>
          </w:tcPr>
          <w:p w:rsidR="002A411D" w:rsidRPr="00D47585" w:rsidRDefault="002A411D" w:rsidP="00BD18F7">
            <w:pPr>
              <w:spacing w:before="60" w:after="60"/>
              <w:jc w:val="left"/>
              <w:rPr>
                <w:rFonts w:cs="Arial"/>
                <w:b/>
                <w:szCs w:val="20"/>
              </w:rPr>
            </w:pPr>
            <w:r w:rsidRPr="00F8139D">
              <w:rPr>
                <w:rFonts w:cs="Arial"/>
                <w:b/>
                <w:szCs w:val="20"/>
              </w:rPr>
              <w:t xml:space="preserve">Graf </w:t>
            </w:r>
            <w:r w:rsidR="00BD18F7">
              <w:rPr>
                <w:rFonts w:cs="Arial"/>
                <w:b/>
                <w:szCs w:val="20"/>
              </w:rPr>
              <w:t>2.32</w:t>
            </w:r>
            <w:r w:rsidRPr="00F8139D">
              <w:rPr>
                <w:rFonts w:cs="Arial"/>
                <w:b/>
                <w:szCs w:val="20"/>
              </w:rPr>
              <w:t xml:space="preserve"> Uchráněné hodnoty podle krajů (mil. Kč)</w:t>
            </w:r>
          </w:p>
        </w:tc>
      </w:tr>
      <w:tr w:rsidR="002A411D" w:rsidRPr="003E5D77" w:rsidTr="00057F4A">
        <w:trPr>
          <w:trHeight w:val="4044"/>
        </w:trPr>
        <w:tc>
          <w:tcPr>
            <w:tcW w:w="4878" w:type="dxa"/>
            <w:gridSpan w:val="10"/>
            <w:tcMar>
              <w:left w:w="85" w:type="dxa"/>
              <w:right w:w="85" w:type="dxa"/>
            </w:tcMar>
            <w:vAlign w:val="center"/>
          </w:tcPr>
          <w:p w:rsidR="002A411D" w:rsidRPr="00D47585" w:rsidRDefault="009956CB" w:rsidP="00F8139D">
            <w:pPr>
              <w:spacing w:before="60" w:after="60"/>
              <w:jc w:val="center"/>
              <w:rPr>
                <w:rFonts w:cs="Arial"/>
                <w:b/>
                <w:szCs w:val="20"/>
              </w:rPr>
            </w:pPr>
            <w:r w:rsidRPr="00286EFA">
              <w:rPr>
                <w:szCs w:val="20"/>
              </w:rPr>
              <w:pict>
                <v:shape id="_x0000_i1074" type="#_x0000_t75" style="width:236.25pt;height:213.75pt">
                  <v:imagedata r:id="rId67" o:title=""/>
                </v:shape>
              </w:pict>
            </w:r>
          </w:p>
        </w:tc>
        <w:tc>
          <w:tcPr>
            <w:tcW w:w="4908" w:type="dxa"/>
            <w:gridSpan w:val="4"/>
            <w:vAlign w:val="center"/>
          </w:tcPr>
          <w:p w:rsidR="002A411D" w:rsidRPr="00D47585" w:rsidRDefault="009956CB" w:rsidP="00F8139D">
            <w:pPr>
              <w:spacing w:before="60" w:after="60"/>
              <w:jc w:val="center"/>
              <w:rPr>
                <w:rFonts w:cs="Arial"/>
                <w:b/>
                <w:szCs w:val="20"/>
              </w:rPr>
            </w:pPr>
            <w:r w:rsidRPr="00286EFA">
              <w:rPr>
                <w:szCs w:val="20"/>
              </w:rPr>
              <w:pict>
                <v:shape id="_x0000_i1075" type="#_x0000_t75" style="width:237.75pt;height:210.75pt">
                  <v:imagedata r:id="rId68" o:title=""/>
                </v:shape>
              </w:pict>
            </w:r>
          </w:p>
        </w:tc>
      </w:tr>
      <w:tr w:rsidR="002A411D" w:rsidRPr="003E5D77" w:rsidTr="00057F4A">
        <w:trPr>
          <w:trHeight w:val="275"/>
        </w:trPr>
        <w:tc>
          <w:tcPr>
            <w:tcW w:w="4878" w:type="dxa"/>
            <w:gridSpan w:val="10"/>
            <w:tcMar>
              <w:left w:w="85" w:type="dxa"/>
              <w:right w:w="85" w:type="dxa"/>
            </w:tcMar>
            <w:vAlign w:val="center"/>
          </w:tcPr>
          <w:p w:rsidR="002A411D" w:rsidRPr="00B04113" w:rsidRDefault="002A411D" w:rsidP="00F8139D">
            <w:pPr>
              <w:spacing w:before="60" w:after="60"/>
              <w:jc w:val="center"/>
              <w:rPr>
                <w:szCs w:val="20"/>
              </w:rPr>
            </w:pPr>
          </w:p>
        </w:tc>
        <w:tc>
          <w:tcPr>
            <w:tcW w:w="4908" w:type="dxa"/>
            <w:gridSpan w:val="4"/>
            <w:vAlign w:val="center"/>
          </w:tcPr>
          <w:p w:rsidR="002A411D" w:rsidRPr="003B510E" w:rsidRDefault="002A411D" w:rsidP="00F8139D">
            <w:pPr>
              <w:spacing w:before="60" w:after="60"/>
              <w:jc w:val="center"/>
              <w:rPr>
                <w:szCs w:val="20"/>
              </w:rPr>
            </w:pPr>
          </w:p>
        </w:tc>
      </w:tr>
      <w:tr w:rsidR="002A411D" w:rsidRPr="00C35058" w:rsidTr="00057F4A">
        <w:trPr>
          <w:trHeight w:val="80"/>
        </w:trPr>
        <w:tc>
          <w:tcPr>
            <w:tcW w:w="2024" w:type="dxa"/>
            <w:gridSpan w:val="3"/>
            <w:tcMar>
              <w:left w:w="85" w:type="dxa"/>
              <w:right w:w="85" w:type="dxa"/>
            </w:tcMar>
          </w:tcPr>
          <w:p w:rsidR="002A411D" w:rsidRPr="00B16EC7" w:rsidRDefault="002A411D" w:rsidP="00E978BE">
            <w:pPr>
              <w:spacing w:before="60" w:after="60"/>
              <w:jc w:val="left"/>
              <w:rPr>
                <w:b/>
                <w:i/>
                <w:szCs w:val="20"/>
                <w:u w:val="single"/>
              </w:rPr>
            </w:pPr>
            <w:r w:rsidRPr="00B16EC7">
              <w:rPr>
                <w:b/>
                <w:i/>
                <w:szCs w:val="20"/>
                <w:u w:val="single"/>
              </w:rPr>
              <w:t>Pracovní neschopnost</w:t>
            </w:r>
          </w:p>
          <w:p w:rsidR="002A411D" w:rsidRPr="00C35058" w:rsidRDefault="002A411D" w:rsidP="00B16EC7">
            <w:pPr>
              <w:spacing w:before="60" w:after="60"/>
              <w:jc w:val="left"/>
              <w:rPr>
                <w:b/>
                <w:i/>
                <w:szCs w:val="20"/>
                <w:highlight w:val="yellow"/>
              </w:rPr>
            </w:pPr>
            <w:r w:rsidRPr="00B16EC7">
              <w:rPr>
                <w:b/>
                <w:i/>
                <w:szCs w:val="20"/>
              </w:rPr>
              <w:t xml:space="preserve">Počet </w:t>
            </w:r>
            <w:proofErr w:type="spellStart"/>
            <w:r w:rsidRPr="00B16EC7">
              <w:rPr>
                <w:b/>
                <w:i/>
                <w:szCs w:val="20"/>
              </w:rPr>
              <w:t>nemocensky</w:t>
            </w:r>
            <w:proofErr w:type="spellEnd"/>
            <w:r w:rsidRPr="00B16EC7">
              <w:rPr>
                <w:b/>
                <w:i/>
                <w:szCs w:val="20"/>
              </w:rPr>
              <w:t xml:space="preserve"> pojištěných osob meziročně vzrostl</w:t>
            </w:r>
          </w:p>
        </w:tc>
        <w:tc>
          <w:tcPr>
            <w:tcW w:w="7762" w:type="dxa"/>
            <w:gridSpan w:val="11"/>
            <w:tcMar>
              <w:left w:w="85" w:type="dxa"/>
              <w:right w:w="85" w:type="dxa"/>
            </w:tcMar>
            <w:vAlign w:val="center"/>
          </w:tcPr>
          <w:p w:rsidR="002A411D" w:rsidRPr="00B16EC7" w:rsidRDefault="002A411D" w:rsidP="00BE0636">
            <w:pPr>
              <w:pStyle w:val="Normlnweb"/>
              <w:spacing w:before="60" w:beforeAutospacing="0" w:after="60" w:afterAutospacing="0"/>
              <w:jc w:val="both"/>
              <w:rPr>
                <w:rFonts w:ascii="Arial" w:eastAsia="+mn-ea" w:hAnsi="Arial" w:cs="Arial"/>
                <w:color w:val="000000"/>
                <w:sz w:val="20"/>
                <w:szCs w:val="20"/>
              </w:rPr>
            </w:pPr>
            <w:r w:rsidRPr="00B16EC7">
              <w:rPr>
                <w:rFonts w:ascii="Arial" w:eastAsia="+mn-ea" w:hAnsi="Arial" w:cs="Arial"/>
                <w:color w:val="000000"/>
                <w:sz w:val="20"/>
                <w:szCs w:val="20"/>
              </w:rPr>
              <w:t>Od roku 2012 zajišťuje Český statistický úřad (ČSÚ) údaje pro „Statistiku dočasné pracovní neschopnosti pro nemoc a úraz“ zpracováním dat z administrativního zdroje Informačního systému ČSSZ. Informační systém ČSSZ eviduje případy dočasné pracovní neschopnosti v ČR, které byly hlášeny na tiskopise České správy sociálního zabezpečení (ČSSZ) „Rozhodnutí o dočasné pracovní neschopnosti“ vyplňovaného lékařem. Statistika dočasné pracovní neschopnosti zachycuje veškerá onemocnění a</w:t>
            </w:r>
            <w:r>
              <w:rPr>
                <w:rFonts w:ascii="Arial" w:eastAsia="+mn-ea" w:hAnsi="Arial" w:cs="Arial"/>
                <w:color w:val="000000"/>
                <w:sz w:val="20"/>
                <w:szCs w:val="20"/>
              </w:rPr>
              <w:t> </w:t>
            </w:r>
            <w:r w:rsidRPr="00B16EC7">
              <w:rPr>
                <w:rFonts w:ascii="Arial" w:eastAsia="+mn-ea" w:hAnsi="Arial" w:cs="Arial"/>
                <w:color w:val="000000"/>
                <w:sz w:val="20"/>
                <w:szCs w:val="20"/>
              </w:rPr>
              <w:t xml:space="preserve">úrazy, které zapříčinily alespoň jednodenní pracovní neschopnost u </w:t>
            </w:r>
            <w:proofErr w:type="spellStart"/>
            <w:r w:rsidRPr="00B16EC7">
              <w:rPr>
                <w:rFonts w:ascii="Arial" w:eastAsia="+mn-ea" w:hAnsi="Arial" w:cs="Arial"/>
                <w:color w:val="000000"/>
                <w:sz w:val="20"/>
                <w:szCs w:val="20"/>
              </w:rPr>
              <w:t>nemocensky</w:t>
            </w:r>
            <w:proofErr w:type="spellEnd"/>
            <w:r w:rsidRPr="00B16EC7">
              <w:rPr>
                <w:rFonts w:ascii="Arial" w:eastAsia="+mn-ea" w:hAnsi="Arial" w:cs="Arial"/>
                <w:color w:val="000000"/>
                <w:sz w:val="20"/>
                <w:szCs w:val="20"/>
              </w:rPr>
              <w:t xml:space="preserve"> pojištěných osob. Nezahrnuje tedy případy, kdy nebylo vystaveno „Rozhodnutí o</w:t>
            </w:r>
            <w:r>
              <w:rPr>
                <w:rFonts w:ascii="Arial" w:eastAsia="+mn-ea" w:hAnsi="Arial" w:cs="Arial"/>
                <w:color w:val="000000"/>
                <w:sz w:val="20"/>
                <w:szCs w:val="20"/>
              </w:rPr>
              <w:t> </w:t>
            </w:r>
            <w:r w:rsidRPr="00B16EC7">
              <w:rPr>
                <w:rFonts w:ascii="Arial" w:eastAsia="+mn-ea" w:hAnsi="Arial" w:cs="Arial"/>
                <w:color w:val="000000"/>
                <w:sz w:val="20"/>
                <w:szCs w:val="20"/>
              </w:rPr>
              <w:t>dočasné pracovní neschopnosti“. Tato data z administrativního zdroje nenavazují na údaje zjišťované v předchozích letech statistickým úřadem a nejsou proto srovnatelná s časovou řadou do roku 2011.</w:t>
            </w:r>
          </w:p>
          <w:p w:rsidR="002A411D" w:rsidRPr="00B16EC7" w:rsidRDefault="002A411D" w:rsidP="00BE0636">
            <w:pPr>
              <w:pStyle w:val="Normlnweb"/>
              <w:spacing w:before="60" w:beforeAutospacing="0" w:after="60" w:afterAutospacing="0"/>
              <w:jc w:val="both"/>
              <w:rPr>
                <w:rFonts w:ascii="Arial" w:eastAsia="+mn-ea" w:hAnsi="Arial" w:cs="Arial"/>
                <w:color w:val="000000"/>
                <w:sz w:val="20"/>
                <w:szCs w:val="20"/>
              </w:rPr>
            </w:pPr>
          </w:p>
          <w:p w:rsidR="002A411D" w:rsidRPr="00B16EC7" w:rsidRDefault="002A411D" w:rsidP="00BE0636">
            <w:pPr>
              <w:pStyle w:val="Normlnweb"/>
              <w:spacing w:before="60" w:beforeAutospacing="0" w:after="60" w:afterAutospacing="0"/>
              <w:jc w:val="both"/>
              <w:rPr>
                <w:rFonts w:ascii="Arial" w:eastAsia="+mn-ea" w:hAnsi="Arial" w:cs="Arial"/>
                <w:color w:val="000000"/>
                <w:sz w:val="20"/>
                <w:szCs w:val="20"/>
              </w:rPr>
            </w:pPr>
            <w:r w:rsidRPr="00B16EC7">
              <w:rPr>
                <w:rFonts w:ascii="Arial" w:eastAsia="+mn-ea" w:hAnsi="Arial" w:cs="Arial"/>
                <w:color w:val="000000"/>
                <w:sz w:val="20"/>
                <w:szCs w:val="20"/>
              </w:rPr>
              <w:t>V roce 2014 proti předchozímu roku se celkový počet pojištěnců v kraji zvýšil o 1,5 tisíc osob (o 0,7 %). Zvětšení počtu pojištěnců bylo zachyceno ve všech okresech kraje. Největší nárůst byl zaznamenán v okrese Uherské Hradiště (o 485 osob, tj. o</w:t>
            </w:r>
            <w:r>
              <w:rPr>
                <w:rFonts w:ascii="Arial" w:eastAsia="+mn-ea" w:hAnsi="Arial" w:cs="Arial"/>
                <w:color w:val="000000"/>
                <w:sz w:val="20"/>
                <w:szCs w:val="20"/>
              </w:rPr>
              <w:t> </w:t>
            </w:r>
            <w:r w:rsidRPr="00B16EC7">
              <w:rPr>
                <w:rFonts w:ascii="Arial" w:eastAsia="+mn-ea" w:hAnsi="Arial" w:cs="Arial"/>
                <w:color w:val="000000"/>
                <w:sz w:val="20"/>
                <w:szCs w:val="20"/>
              </w:rPr>
              <w:t>1,0 %), dále pak v okrese Zlín (o 423 lidí), Vsetín (o 403) a Kroměříž (o 180 osob).</w:t>
            </w:r>
          </w:p>
          <w:p w:rsidR="002A411D" w:rsidRPr="00B16EC7" w:rsidRDefault="002A411D" w:rsidP="00BE0636">
            <w:pPr>
              <w:pStyle w:val="Normlnweb"/>
              <w:spacing w:before="60" w:beforeAutospacing="0" w:after="60" w:afterAutospacing="0"/>
              <w:jc w:val="both"/>
              <w:rPr>
                <w:rFonts w:ascii="Arial" w:eastAsia="+mn-ea" w:hAnsi="Arial" w:cs="Arial"/>
                <w:color w:val="000000"/>
                <w:sz w:val="20"/>
                <w:szCs w:val="20"/>
              </w:rPr>
            </w:pPr>
            <w:r w:rsidRPr="00B16EC7">
              <w:rPr>
                <w:rFonts w:ascii="Arial" w:eastAsia="+mn-ea" w:hAnsi="Arial" w:cs="Arial"/>
                <w:color w:val="000000"/>
                <w:sz w:val="20"/>
                <w:szCs w:val="20"/>
              </w:rPr>
              <w:t xml:space="preserve">U počtu pojištěnců – žen byla meziroční změna stejná, ve všech okresech se jejich </w:t>
            </w:r>
            <w:r w:rsidRPr="00B16EC7">
              <w:rPr>
                <w:rFonts w:ascii="Arial" w:eastAsia="+mn-ea" w:hAnsi="Arial" w:cs="Arial"/>
                <w:color w:val="000000"/>
                <w:sz w:val="20"/>
                <w:szCs w:val="20"/>
              </w:rPr>
              <w:lastRenderedPageBreak/>
              <w:t>počet zvýšil. Nejvýraznější meziroční zvýšení bylo zjištěno v uherskohradišťském okrese (o 263 žen), dále pak ve zlínském (o 195 osob), vsetínském (o 128) a</w:t>
            </w:r>
            <w:r>
              <w:rPr>
                <w:rFonts w:ascii="Arial" w:eastAsia="+mn-ea" w:hAnsi="Arial" w:cs="Arial"/>
                <w:color w:val="000000"/>
                <w:sz w:val="20"/>
                <w:szCs w:val="20"/>
              </w:rPr>
              <w:t> </w:t>
            </w:r>
            <w:r w:rsidRPr="00B16EC7">
              <w:rPr>
                <w:rFonts w:ascii="Arial" w:eastAsia="+mn-ea" w:hAnsi="Arial" w:cs="Arial"/>
                <w:color w:val="000000"/>
                <w:sz w:val="20"/>
                <w:szCs w:val="20"/>
              </w:rPr>
              <w:t>v</w:t>
            </w:r>
            <w:r>
              <w:rPr>
                <w:rFonts w:ascii="Arial" w:eastAsia="+mn-ea" w:hAnsi="Arial" w:cs="Arial"/>
                <w:color w:val="000000"/>
                <w:sz w:val="20"/>
                <w:szCs w:val="20"/>
              </w:rPr>
              <w:t> </w:t>
            </w:r>
            <w:r w:rsidRPr="00B16EC7">
              <w:rPr>
                <w:rFonts w:ascii="Arial" w:eastAsia="+mn-ea" w:hAnsi="Arial" w:cs="Arial"/>
                <w:color w:val="000000"/>
                <w:sz w:val="20"/>
                <w:szCs w:val="20"/>
              </w:rPr>
              <w:t>kroměřížském (o 49 žen). Celkově tak v kraji přibylo 635 pojištěnců – žen.</w:t>
            </w:r>
          </w:p>
          <w:p w:rsidR="002A411D" w:rsidRPr="00B16EC7" w:rsidRDefault="002A411D" w:rsidP="00BE0636">
            <w:pPr>
              <w:pStyle w:val="Normlnweb"/>
              <w:spacing w:before="60" w:beforeAutospacing="0" w:after="60" w:afterAutospacing="0"/>
              <w:jc w:val="both"/>
              <w:rPr>
                <w:rFonts w:ascii="Arial" w:eastAsia="+mn-ea" w:hAnsi="Arial" w:cs="Arial"/>
                <w:color w:val="000000"/>
                <w:sz w:val="20"/>
                <w:szCs w:val="20"/>
              </w:rPr>
            </w:pPr>
            <w:r w:rsidRPr="00B16EC7">
              <w:rPr>
                <w:rFonts w:ascii="Arial" w:eastAsia="+mn-ea" w:hAnsi="Arial" w:cs="Arial"/>
                <w:color w:val="000000"/>
                <w:sz w:val="20"/>
                <w:szCs w:val="20"/>
              </w:rPr>
              <w:t>Při hodnocení podílů mužů a žen z celkového počtu pojištěnců bylo zjištěno, že se v</w:t>
            </w:r>
            <w:r>
              <w:rPr>
                <w:rFonts w:ascii="Arial" w:eastAsia="+mn-ea" w:hAnsi="Arial" w:cs="Arial"/>
                <w:color w:val="000000"/>
                <w:sz w:val="20"/>
                <w:szCs w:val="20"/>
              </w:rPr>
              <w:t> </w:t>
            </w:r>
            <w:r w:rsidRPr="00B16EC7">
              <w:rPr>
                <w:rFonts w:ascii="Arial" w:eastAsia="+mn-ea" w:hAnsi="Arial" w:cs="Arial"/>
                <w:color w:val="000000"/>
                <w:sz w:val="20"/>
                <w:szCs w:val="20"/>
              </w:rPr>
              <w:t>kraji meziročně podíl pojištěnců – žen a mužů nezměnil a zůstal stejný jako v roce 2013 (ženy 46,9 %, muži 53,1 %). Také ve zlínském okrese zůstaly podíly žen a</w:t>
            </w:r>
            <w:r>
              <w:rPr>
                <w:rFonts w:ascii="Arial" w:eastAsia="+mn-ea" w:hAnsi="Arial" w:cs="Arial"/>
                <w:color w:val="000000"/>
                <w:sz w:val="20"/>
                <w:szCs w:val="20"/>
              </w:rPr>
              <w:t> </w:t>
            </w:r>
            <w:r w:rsidRPr="00B16EC7">
              <w:rPr>
                <w:rFonts w:ascii="Arial" w:eastAsia="+mn-ea" w:hAnsi="Arial" w:cs="Arial"/>
                <w:color w:val="000000"/>
                <w:sz w:val="20"/>
                <w:szCs w:val="20"/>
              </w:rPr>
              <w:t xml:space="preserve">mužů stejné (ženy 44,3 %, muži 55,7 %). </w:t>
            </w:r>
          </w:p>
          <w:p w:rsidR="002A411D" w:rsidRDefault="002A411D" w:rsidP="00BE0636">
            <w:pPr>
              <w:pStyle w:val="Normlnweb"/>
              <w:spacing w:before="60" w:beforeAutospacing="0" w:after="60" w:afterAutospacing="0"/>
              <w:jc w:val="both"/>
              <w:rPr>
                <w:rFonts w:ascii="Arial" w:eastAsia="+mn-ea" w:hAnsi="Arial" w:cs="Arial"/>
                <w:color w:val="000000"/>
                <w:sz w:val="20"/>
                <w:szCs w:val="20"/>
              </w:rPr>
            </w:pPr>
            <w:r w:rsidRPr="00B16EC7">
              <w:rPr>
                <w:rFonts w:ascii="Arial" w:eastAsia="+mn-ea" w:hAnsi="Arial" w:cs="Arial"/>
                <w:color w:val="000000"/>
                <w:sz w:val="20"/>
                <w:szCs w:val="20"/>
              </w:rPr>
              <w:t xml:space="preserve">V okresech Kroměříž a Vsetín vzrostl podíl mužů na úkor žen o 0,1 procentního bodu na 47,9 % a 53,1 %. Naopak v okrese Uherské Hradiště o 0,1 </w:t>
            </w:r>
            <w:proofErr w:type="spellStart"/>
            <w:proofErr w:type="gramStart"/>
            <w:r w:rsidRPr="00B16EC7">
              <w:rPr>
                <w:rFonts w:ascii="Arial" w:eastAsia="+mn-ea" w:hAnsi="Arial" w:cs="Arial"/>
                <w:color w:val="000000"/>
                <w:sz w:val="20"/>
                <w:szCs w:val="20"/>
              </w:rPr>
              <w:t>p.b</w:t>
            </w:r>
            <w:proofErr w:type="spellEnd"/>
            <w:r w:rsidRPr="00B16EC7">
              <w:rPr>
                <w:rFonts w:ascii="Arial" w:eastAsia="+mn-ea" w:hAnsi="Arial" w:cs="Arial"/>
                <w:color w:val="000000"/>
                <w:sz w:val="20"/>
                <w:szCs w:val="20"/>
              </w:rPr>
              <w:t>. poklesl</w:t>
            </w:r>
            <w:proofErr w:type="gramEnd"/>
            <w:r w:rsidRPr="00B16EC7">
              <w:rPr>
                <w:rFonts w:ascii="Arial" w:eastAsia="+mn-ea" w:hAnsi="Arial" w:cs="Arial"/>
                <w:color w:val="000000"/>
                <w:sz w:val="20"/>
                <w:szCs w:val="20"/>
              </w:rPr>
              <w:t xml:space="preserve"> podíl mužů na 52,2 % ve prospěch žen. </w:t>
            </w:r>
          </w:p>
          <w:p w:rsidR="002A411D" w:rsidRPr="00C35058" w:rsidRDefault="002A411D" w:rsidP="00BE0636">
            <w:pPr>
              <w:pStyle w:val="Normlnweb"/>
              <w:spacing w:before="60" w:beforeAutospacing="0" w:after="60" w:afterAutospacing="0"/>
              <w:jc w:val="both"/>
              <w:rPr>
                <w:szCs w:val="20"/>
                <w:highlight w:val="yellow"/>
              </w:rPr>
            </w:pPr>
          </w:p>
        </w:tc>
      </w:tr>
      <w:tr w:rsidR="002A411D" w:rsidRPr="00C35058" w:rsidTr="00057F4A">
        <w:tc>
          <w:tcPr>
            <w:tcW w:w="9786" w:type="dxa"/>
            <w:gridSpan w:val="14"/>
            <w:tcMar>
              <w:left w:w="85" w:type="dxa"/>
              <w:right w:w="85" w:type="dxa"/>
            </w:tcMar>
          </w:tcPr>
          <w:p w:rsidR="002A411D" w:rsidRPr="00C35058" w:rsidRDefault="002A411D" w:rsidP="00BC0697">
            <w:pPr>
              <w:pStyle w:val="Normlnweb"/>
              <w:spacing w:before="60" w:beforeAutospacing="0" w:after="60" w:afterAutospacing="0"/>
              <w:rPr>
                <w:rFonts w:ascii="Arial" w:hAnsi="Arial" w:cs="Arial"/>
                <w:b/>
                <w:sz w:val="20"/>
                <w:szCs w:val="20"/>
                <w:highlight w:val="yellow"/>
              </w:rPr>
            </w:pPr>
            <w:r w:rsidRPr="00C35058">
              <w:rPr>
                <w:rFonts w:ascii="Arial" w:eastAsia="Times New Roman" w:hAnsi="Arial"/>
                <w:sz w:val="20"/>
                <w:highlight w:val="yellow"/>
              </w:rPr>
              <w:lastRenderedPageBreak/>
              <w:br w:type="page"/>
            </w:r>
            <w:proofErr w:type="gramStart"/>
            <w:r w:rsidRPr="003B5C18">
              <w:rPr>
                <w:rFonts w:ascii="Arial" w:hAnsi="Arial" w:cs="Arial"/>
                <w:b/>
                <w:sz w:val="20"/>
                <w:szCs w:val="20"/>
              </w:rPr>
              <w:t>Tab.</w:t>
            </w:r>
            <w:r w:rsidR="00F32217">
              <w:rPr>
                <w:rFonts w:ascii="Arial" w:hAnsi="Arial" w:cs="Arial"/>
                <w:b/>
                <w:sz w:val="20"/>
                <w:szCs w:val="20"/>
              </w:rPr>
              <w:t>2.</w:t>
            </w:r>
            <w:r w:rsidRPr="003B5C18">
              <w:rPr>
                <w:rFonts w:ascii="Arial" w:hAnsi="Arial" w:cs="Arial"/>
                <w:b/>
                <w:sz w:val="20"/>
                <w:szCs w:val="20"/>
              </w:rPr>
              <w:t>1</w:t>
            </w:r>
            <w:proofErr w:type="gramEnd"/>
            <w:r w:rsidRPr="003B5C18">
              <w:rPr>
                <w:rFonts w:ascii="Arial" w:hAnsi="Arial" w:cs="Arial"/>
                <w:b/>
                <w:sz w:val="20"/>
                <w:szCs w:val="20"/>
              </w:rPr>
              <w:t xml:space="preserve"> Dočasná pracovní neschopnost pro nemoc a úraz ve Zlínském kraji jeho okresech v roce 2014 </w:t>
            </w:r>
            <w:r w:rsidR="00BC0697">
              <w:rPr>
                <w:rFonts w:ascii="Arial" w:hAnsi="Arial" w:cs="Arial"/>
                <w:b/>
                <w:sz w:val="20"/>
                <w:szCs w:val="20"/>
              </w:rPr>
              <w:t>-</w:t>
            </w:r>
            <w:r w:rsidRPr="003B5C18">
              <w:rPr>
                <w:rFonts w:ascii="Arial" w:hAnsi="Arial" w:cs="Arial"/>
                <w:b/>
                <w:sz w:val="20"/>
                <w:szCs w:val="20"/>
              </w:rPr>
              <w:t xml:space="preserve"> absolutní údaje, počet případů na 100 pojištěnc</w:t>
            </w:r>
            <w:r>
              <w:rPr>
                <w:rFonts w:ascii="Arial" w:hAnsi="Arial" w:cs="Arial"/>
                <w:b/>
                <w:sz w:val="20"/>
                <w:szCs w:val="20"/>
              </w:rPr>
              <w:t>ů</w:t>
            </w:r>
          </w:p>
        </w:tc>
      </w:tr>
      <w:tr w:rsidR="002A411D" w:rsidRPr="00C35058" w:rsidTr="00057F4A">
        <w:trPr>
          <w:trHeight w:val="141"/>
        </w:trPr>
        <w:tc>
          <w:tcPr>
            <w:tcW w:w="9786" w:type="dxa"/>
            <w:gridSpan w:val="14"/>
            <w:tcMar>
              <w:left w:w="85" w:type="dxa"/>
              <w:right w:w="85" w:type="dxa"/>
            </w:tcMar>
            <w:vAlign w:val="center"/>
          </w:tcPr>
          <w:p w:rsidR="002A411D" w:rsidRDefault="009956CB" w:rsidP="003B5C18">
            <w:pPr>
              <w:spacing w:before="120"/>
              <w:jc w:val="center"/>
              <w:rPr>
                <w:b/>
                <w:szCs w:val="20"/>
              </w:rPr>
            </w:pPr>
            <w:r w:rsidRPr="00286EFA">
              <w:rPr>
                <w:b/>
                <w:szCs w:val="20"/>
              </w:rPr>
              <w:pict>
                <v:shape id="_x0000_i1076" type="#_x0000_t75" style="width:474pt;height:132.75pt">
                  <v:imagedata r:id="rId69" o:title=""/>
                </v:shape>
              </w:pict>
            </w:r>
          </w:p>
          <w:p w:rsidR="002A411D" w:rsidRPr="00C35058" w:rsidRDefault="009956CB" w:rsidP="003B5C18">
            <w:pPr>
              <w:spacing w:before="120"/>
              <w:jc w:val="center"/>
              <w:rPr>
                <w:b/>
                <w:sz w:val="16"/>
                <w:szCs w:val="16"/>
                <w:highlight w:val="yellow"/>
              </w:rPr>
            </w:pPr>
            <w:r w:rsidRPr="00286EFA">
              <w:rPr>
                <w:b/>
                <w:szCs w:val="20"/>
              </w:rPr>
              <w:pict>
                <v:shape id="_x0000_i1077" type="#_x0000_t75" style="width:476.25pt;height:132pt">
                  <v:imagedata r:id="rId70" o:title=""/>
                </v:shape>
              </w:pict>
            </w:r>
          </w:p>
          <w:p w:rsidR="002A411D" w:rsidRPr="00C35058" w:rsidRDefault="002A411D" w:rsidP="000623D0">
            <w:pPr>
              <w:spacing w:before="120"/>
              <w:jc w:val="left"/>
              <w:rPr>
                <w:b/>
                <w:szCs w:val="20"/>
                <w:highlight w:val="yellow"/>
              </w:rPr>
            </w:pPr>
          </w:p>
        </w:tc>
      </w:tr>
      <w:tr w:rsidR="002A411D" w:rsidRPr="00C35058" w:rsidTr="00057F4A">
        <w:tc>
          <w:tcPr>
            <w:tcW w:w="2024" w:type="dxa"/>
            <w:gridSpan w:val="3"/>
            <w:tcMar>
              <w:left w:w="85" w:type="dxa"/>
              <w:right w:w="85" w:type="dxa"/>
            </w:tcMar>
          </w:tcPr>
          <w:p w:rsidR="002A411D" w:rsidRPr="00C35058" w:rsidRDefault="002A411D" w:rsidP="00DE3616">
            <w:pPr>
              <w:spacing w:before="60" w:after="60"/>
              <w:jc w:val="left"/>
              <w:rPr>
                <w:b/>
                <w:i/>
                <w:szCs w:val="20"/>
                <w:highlight w:val="yellow"/>
              </w:rPr>
            </w:pPr>
            <w:r w:rsidRPr="00DE3616">
              <w:rPr>
                <w:b/>
                <w:i/>
                <w:szCs w:val="20"/>
              </w:rPr>
              <w:t>Nově nahlášených případů dočasné pracovní neschopnosti meziročně ubylo</w:t>
            </w:r>
          </w:p>
        </w:tc>
        <w:tc>
          <w:tcPr>
            <w:tcW w:w="7762" w:type="dxa"/>
            <w:gridSpan w:val="11"/>
            <w:tcMar>
              <w:left w:w="85" w:type="dxa"/>
              <w:right w:w="85" w:type="dxa"/>
            </w:tcMar>
            <w:vAlign w:val="center"/>
          </w:tcPr>
          <w:p w:rsidR="002A411D" w:rsidRPr="00DE3616" w:rsidRDefault="002A411D" w:rsidP="00DE3616">
            <w:pPr>
              <w:pStyle w:val="Normlnweb"/>
              <w:spacing w:before="60" w:beforeAutospacing="0" w:after="60" w:afterAutospacing="0"/>
              <w:jc w:val="both"/>
              <w:rPr>
                <w:rFonts w:ascii="Arial" w:eastAsia="+mn-ea" w:hAnsi="Arial" w:cs="Arial"/>
                <w:color w:val="000000"/>
                <w:sz w:val="20"/>
                <w:szCs w:val="20"/>
              </w:rPr>
            </w:pPr>
            <w:r w:rsidRPr="00DE3616">
              <w:rPr>
                <w:rFonts w:ascii="Arial" w:eastAsia="+mn-ea" w:hAnsi="Arial" w:cs="Arial"/>
                <w:color w:val="000000"/>
                <w:sz w:val="20"/>
                <w:szCs w:val="20"/>
              </w:rPr>
              <w:t>Počet nově hlášených případů dočasné pracovní neschopnosti celkem v kraji meziročně poklesl o 1,7 tis. případů (o 2,6 %). Ve všech okresech mimo Uherské Hradiště byl zaznamenán pokles nově hlášených případů. Největší snížení se projevilo ve zlínském okrese, ve kterém meziročně ubylo bezmála tisíc případů (o</w:t>
            </w:r>
            <w:r>
              <w:rPr>
                <w:rFonts w:ascii="Arial" w:eastAsia="+mn-ea" w:hAnsi="Arial" w:cs="Arial"/>
                <w:color w:val="000000"/>
                <w:sz w:val="20"/>
                <w:szCs w:val="20"/>
              </w:rPr>
              <w:t> </w:t>
            </w:r>
            <w:r w:rsidRPr="00DE3616">
              <w:rPr>
                <w:rFonts w:ascii="Arial" w:eastAsia="+mn-ea" w:hAnsi="Arial" w:cs="Arial"/>
                <w:color w:val="000000"/>
                <w:sz w:val="20"/>
                <w:szCs w:val="20"/>
              </w:rPr>
              <w:t>4,0</w:t>
            </w:r>
            <w:r>
              <w:rPr>
                <w:rFonts w:ascii="Arial" w:eastAsia="+mn-ea" w:hAnsi="Arial" w:cs="Arial"/>
                <w:color w:val="000000"/>
                <w:sz w:val="20"/>
                <w:szCs w:val="20"/>
              </w:rPr>
              <w:t> </w:t>
            </w:r>
            <w:r w:rsidRPr="00DE3616">
              <w:rPr>
                <w:rFonts w:ascii="Arial" w:eastAsia="+mn-ea" w:hAnsi="Arial" w:cs="Arial"/>
                <w:color w:val="000000"/>
                <w:sz w:val="20"/>
                <w:szCs w:val="20"/>
              </w:rPr>
              <w:t>%) a nejmenší úbytek o 301 případů byl zjištěn v okrese Kroměříž (o 3,3 %). V</w:t>
            </w:r>
            <w:r>
              <w:rPr>
                <w:rFonts w:ascii="Arial" w:eastAsia="+mn-ea" w:hAnsi="Arial" w:cs="Arial"/>
                <w:color w:val="000000"/>
                <w:sz w:val="20"/>
                <w:szCs w:val="20"/>
              </w:rPr>
              <w:t> </w:t>
            </w:r>
            <w:r w:rsidRPr="00DE3616">
              <w:rPr>
                <w:rFonts w:ascii="Arial" w:eastAsia="+mn-ea" w:hAnsi="Arial" w:cs="Arial"/>
                <w:color w:val="000000"/>
                <w:sz w:val="20"/>
                <w:szCs w:val="20"/>
              </w:rPr>
              <w:t>okrese Uherské Hradiště se počet meziročně zvětšil o 8 případů (o 0,1 %).</w:t>
            </w:r>
          </w:p>
          <w:p w:rsidR="002A411D" w:rsidRDefault="002A411D" w:rsidP="00DE3616">
            <w:pPr>
              <w:pStyle w:val="Normlnweb"/>
              <w:spacing w:before="60" w:beforeAutospacing="0" w:after="60" w:afterAutospacing="0"/>
              <w:jc w:val="both"/>
              <w:rPr>
                <w:rFonts w:ascii="Arial" w:eastAsia="+mn-ea" w:hAnsi="Arial" w:cs="Arial"/>
                <w:color w:val="000000"/>
                <w:sz w:val="20"/>
                <w:szCs w:val="20"/>
              </w:rPr>
            </w:pPr>
            <w:r w:rsidRPr="00DE3616">
              <w:rPr>
                <w:rFonts w:ascii="Arial" w:eastAsia="+mn-ea" w:hAnsi="Arial" w:cs="Arial"/>
                <w:color w:val="000000"/>
                <w:sz w:val="20"/>
                <w:szCs w:val="20"/>
              </w:rPr>
              <w:t xml:space="preserve">Také počet nově hlášených případů dočasné pracovní neschopnosti žen se meziročně snížil v kraji o 563 případy (o 1,8 %). Nejvýraznější pokles nových případů dočasné pracovní neschopnosti celkem o 429 (o 3,9 %) byl ve zlínském okrese, nejmenší úbytek o 156 (o 3,2 %) opět v kroměřížském okrese. V okrese Uherské Hradiště jako v jediném okrese počet nových případů žen proti předchozímu roku vzrostl o 240 případů (o 3,1 %). </w:t>
            </w:r>
          </w:p>
          <w:p w:rsidR="002A411D" w:rsidRPr="00C35058" w:rsidRDefault="002A411D" w:rsidP="00DE3616">
            <w:pPr>
              <w:pStyle w:val="Normlnweb"/>
              <w:spacing w:before="60" w:beforeAutospacing="0" w:after="60" w:afterAutospacing="0"/>
              <w:jc w:val="both"/>
              <w:rPr>
                <w:rFonts w:ascii="Arial" w:hAnsi="Arial" w:cs="Arial"/>
                <w:sz w:val="20"/>
                <w:szCs w:val="20"/>
                <w:highlight w:val="yellow"/>
              </w:rPr>
            </w:pPr>
          </w:p>
        </w:tc>
      </w:tr>
      <w:tr w:rsidR="002A411D" w:rsidRPr="00C35058" w:rsidTr="00057F4A">
        <w:tc>
          <w:tcPr>
            <w:tcW w:w="2024" w:type="dxa"/>
            <w:gridSpan w:val="3"/>
            <w:tcMar>
              <w:left w:w="85" w:type="dxa"/>
              <w:right w:w="85" w:type="dxa"/>
            </w:tcMar>
          </w:tcPr>
          <w:p w:rsidR="002A411D" w:rsidRPr="00DE3616" w:rsidRDefault="002A411D" w:rsidP="00DE3616">
            <w:pPr>
              <w:spacing w:before="60" w:after="60"/>
              <w:jc w:val="left"/>
              <w:rPr>
                <w:b/>
                <w:i/>
                <w:szCs w:val="20"/>
              </w:rPr>
            </w:pPr>
            <w:r w:rsidRPr="00735195">
              <w:rPr>
                <w:b/>
                <w:i/>
                <w:szCs w:val="20"/>
              </w:rPr>
              <w:t>V průměru v roce 2014 v pracovním procesu denně v kraji chybělo 9 496 pracovníků</w:t>
            </w:r>
          </w:p>
        </w:tc>
        <w:tc>
          <w:tcPr>
            <w:tcW w:w="7762" w:type="dxa"/>
            <w:gridSpan w:val="11"/>
            <w:tcMar>
              <w:left w:w="85" w:type="dxa"/>
              <w:right w:w="85" w:type="dxa"/>
            </w:tcMar>
          </w:tcPr>
          <w:p w:rsidR="002A411D" w:rsidRDefault="002A411D" w:rsidP="00363261">
            <w:pPr>
              <w:pStyle w:val="Normlnweb"/>
              <w:spacing w:before="60" w:beforeAutospacing="0" w:after="60" w:afterAutospacing="0"/>
              <w:jc w:val="both"/>
              <w:rPr>
                <w:rFonts w:ascii="Arial" w:eastAsia="+mn-ea" w:hAnsi="Arial" w:cs="Arial"/>
                <w:color w:val="000000"/>
                <w:sz w:val="20"/>
                <w:szCs w:val="20"/>
              </w:rPr>
            </w:pPr>
            <w:r w:rsidRPr="00363261">
              <w:rPr>
                <w:rFonts w:ascii="Arial" w:eastAsia="+mn-ea" w:hAnsi="Arial" w:cs="Arial"/>
                <w:color w:val="000000"/>
                <w:sz w:val="20"/>
                <w:szCs w:val="20"/>
              </w:rPr>
              <w:t>Všechny nahlášené případy ve Zlínském kraji si v roce 2014 si vyžádaly celkem 3 466 tis. dnů pracovní neschopnosti, takže v průměru trval jeden případ dočasné pracovní neschopnosti celkem 55,5 kalendářních dní (v roce 2013 to bylo 53,8 dní), z toho u žen 58,1 dní (o rok dříve 55,6 dní). Průměrná délka jednoho případu dočasné pracovní neschopnosti, a to jak celkově, tak u žen, se v kraji meziročně zvětšila.</w:t>
            </w:r>
          </w:p>
          <w:p w:rsidR="002A411D" w:rsidRPr="00DE3616" w:rsidRDefault="002A411D" w:rsidP="00363261">
            <w:pPr>
              <w:pStyle w:val="Normlnweb"/>
              <w:spacing w:before="60" w:beforeAutospacing="0" w:after="60" w:afterAutospacing="0"/>
              <w:jc w:val="both"/>
              <w:rPr>
                <w:rFonts w:ascii="Arial" w:eastAsia="+mn-ea" w:hAnsi="Arial" w:cs="Arial"/>
                <w:color w:val="000000"/>
                <w:sz w:val="20"/>
                <w:szCs w:val="20"/>
              </w:rPr>
            </w:pPr>
          </w:p>
        </w:tc>
      </w:tr>
      <w:tr w:rsidR="002A411D" w:rsidRPr="008751DD" w:rsidTr="00057F4A">
        <w:trPr>
          <w:cantSplit/>
          <w:trHeight w:val="255"/>
        </w:trPr>
        <w:tc>
          <w:tcPr>
            <w:tcW w:w="9786" w:type="dxa"/>
            <w:gridSpan w:val="14"/>
            <w:tcMar>
              <w:left w:w="85" w:type="dxa"/>
              <w:right w:w="85" w:type="dxa"/>
            </w:tcMar>
          </w:tcPr>
          <w:p w:rsidR="00E54D92" w:rsidRDefault="002A411D" w:rsidP="00F32217">
            <w:pPr>
              <w:pStyle w:val="Normlnweb"/>
              <w:spacing w:before="60" w:beforeAutospacing="0" w:after="60" w:afterAutospacing="0"/>
              <w:jc w:val="both"/>
              <w:rPr>
                <w:rFonts w:ascii="Arial" w:eastAsia="+mn-ea" w:hAnsi="Arial" w:cs="Arial"/>
                <w:b/>
                <w:color w:val="000000"/>
                <w:sz w:val="20"/>
                <w:szCs w:val="20"/>
              </w:rPr>
            </w:pPr>
            <w:r w:rsidRPr="00735195">
              <w:rPr>
                <w:rFonts w:ascii="Arial" w:eastAsia="+mn-ea" w:hAnsi="Arial" w:cs="Arial"/>
                <w:b/>
                <w:color w:val="000000"/>
                <w:sz w:val="20"/>
                <w:szCs w:val="20"/>
              </w:rPr>
              <w:lastRenderedPageBreak/>
              <w:t xml:space="preserve">Graf </w:t>
            </w:r>
            <w:r w:rsidR="00F32217">
              <w:rPr>
                <w:rFonts w:ascii="Arial" w:eastAsia="+mn-ea" w:hAnsi="Arial" w:cs="Arial"/>
                <w:b/>
                <w:color w:val="000000"/>
                <w:sz w:val="20"/>
                <w:szCs w:val="20"/>
              </w:rPr>
              <w:t>2.33</w:t>
            </w:r>
            <w:r w:rsidRPr="00735195">
              <w:rPr>
                <w:rFonts w:ascii="Arial" w:eastAsia="+mn-ea" w:hAnsi="Arial" w:cs="Arial"/>
                <w:b/>
                <w:color w:val="000000"/>
                <w:sz w:val="20"/>
                <w:szCs w:val="20"/>
              </w:rPr>
              <w:t xml:space="preserve"> Nově hlášené případy dočasné pracovní neschopnosti celkem na 100 pojištěnců podle</w:t>
            </w:r>
          </w:p>
          <w:p w:rsidR="002A411D" w:rsidRPr="00735195" w:rsidRDefault="00E54D92" w:rsidP="00F32217">
            <w:pPr>
              <w:pStyle w:val="Normlnweb"/>
              <w:spacing w:before="60" w:beforeAutospacing="0" w:after="60" w:afterAutospacing="0"/>
              <w:jc w:val="both"/>
              <w:rPr>
                <w:rFonts w:ascii="Arial" w:eastAsia="+mn-ea" w:hAnsi="Arial" w:cs="Arial"/>
                <w:b/>
                <w:color w:val="000000"/>
                <w:sz w:val="20"/>
                <w:szCs w:val="20"/>
                <w:highlight w:val="yellow"/>
              </w:rPr>
            </w:pPr>
            <w:r>
              <w:rPr>
                <w:rFonts w:ascii="Arial" w:eastAsia="+mn-ea" w:hAnsi="Arial" w:cs="Arial"/>
                <w:b/>
                <w:color w:val="000000"/>
                <w:sz w:val="20"/>
                <w:szCs w:val="20"/>
              </w:rPr>
              <w:t xml:space="preserve">              </w:t>
            </w:r>
            <w:r w:rsidR="002A411D" w:rsidRPr="00735195">
              <w:rPr>
                <w:rFonts w:ascii="Arial" w:eastAsia="+mn-ea" w:hAnsi="Arial" w:cs="Arial"/>
                <w:b/>
                <w:color w:val="000000"/>
                <w:sz w:val="20"/>
                <w:szCs w:val="20"/>
              </w:rPr>
              <w:t xml:space="preserve"> krajů</w:t>
            </w:r>
          </w:p>
        </w:tc>
      </w:tr>
      <w:tr w:rsidR="002A411D" w:rsidRPr="008751DD" w:rsidTr="00057F4A">
        <w:trPr>
          <w:cantSplit/>
          <w:trHeight w:val="255"/>
        </w:trPr>
        <w:tc>
          <w:tcPr>
            <w:tcW w:w="9786" w:type="dxa"/>
            <w:gridSpan w:val="14"/>
            <w:tcMar>
              <w:left w:w="85" w:type="dxa"/>
              <w:right w:w="85" w:type="dxa"/>
            </w:tcMar>
          </w:tcPr>
          <w:p w:rsidR="002A411D" w:rsidRPr="00C35058" w:rsidRDefault="009956CB" w:rsidP="00735195">
            <w:pPr>
              <w:pStyle w:val="Normlnweb"/>
              <w:spacing w:before="60" w:beforeAutospacing="0" w:after="60" w:afterAutospacing="0"/>
              <w:jc w:val="center"/>
              <w:rPr>
                <w:rFonts w:ascii="Arial" w:eastAsia="+mn-ea" w:hAnsi="Arial" w:cs="Arial"/>
                <w:color w:val="000000"/>
                <w:sz w:val="20"/>
                <w:szCs w:val="20"/>
                <w:highlight w:val="yellow"/>
              </w:rPr>
            </w:pPr>
            <w:r w:rsidRPr="00286EFA">
              <w:rPr>
                <w:rFonts w:ascii="Arial" w:eastAsia="+mn-ea" w:hAnsi="Arial" w:cs="Arial"/>
                <w:color w:val="000000"/>
                <w:sz w:val="20"/>
                <w:szCs w:val="20"/>
              </w:rPr>
              <w:pict>
                <v:shape id="_x0000_i1078" type="#_x0000_t75" style="width:398.25pt;height:227.25pt">
                  <v:imagedata r:id="rId71" o:title=""/>
                </v:shape>
              </w:pict>
            </w:r>
          </w:p>
        </w:tc>
      </w:tr>
      <w:tr w:rsidR="002A411D" w:rsidRPr="008751DD" w:rsidTr="00057F4A">
        <w:trPr>
          <w:cantSplit/>
          <w:trHeight w:val="255"/>
        </w:trPr>
        <w:tc>
          <w:tcPr>
            <w:tcW w:w="9786" w:type="dxa"/>
            <w:gridSpan w:val="14"/>
            <w:tcMar>
              <w:left w:w="85" w:type="dxa"/>
              <w:right w:w="85" w:type="dxa"/>
            </w:tcMar>
          </w:tcPr>
          <w:p w:rsidR="002A411D" w:rsidRPr="00735195" w:rsidRDefault="002A411D" w:rsidP="00735195">
            <w:pPr>
              <w:pStyle w:val="Normlnweb"/>
              <w:spacing w:before="60" w:beforeAutospacing="0" w:after="60" w:afterAutospacing="0"/>
              <w:rPr>
                <w:rFonts w:ascii="Arial" w:eastAsia="+mn-ea" w:hAnsi="Arial" w:cs="Arial"/>
                <w:b/>
                <w:color w:val="000000"/>
                <w:sz w:val="20"/>
                <w:szCs w:val="20"/>
              </w:rPr>
            </w:pPr>
            <w:r w:rsidRPr="00735195">
              <w:rPr>
                <w:rFonts w:ascii="Arial" w:eastAsia="+mn-ea" w:hAnsi="Arial" w:cs="Arial"/>
                <w:b/>
                <w:color w:val="000000"/>
                <w:sz w:val="20"/>
                <w:szCs w:val="20"/>
              </w:rPr>
              <w:t>Graf 2</w:t>
            </w:r>
            <w:r w:rsidR="00F32217">
              <w:rPr>
                <w:rFonts w:ascii="Arial" w:eastAsia="+mn-ea" w:hAnsi="Arial" w:cs="Arial"/>
                <w:b/>
                <w:color w:val="000000"/>
                <w:sz w:val="20"/>
                <w:szCs w:val="20"/>
              </w:rPr>
              <w:t>.34</w:t>
            </w:r>
            <w:r w:rsidRPr="00735195">
              <w:rPr>
                <w:rFonts w:ascii="Arial" w:eastAsia="+mn-ea" w:hAnsi="Arial" w:cs="Arial"/>
                <w:b/>
                <w:color w:val="000000"/>
                <w:sz w:val="20"/>
                <w:szCs w:val="20"/>
              </w:rPr>
              <w:t xml:space="preserve"> Průměrné procento dočasné pracovní neschopnosti celkem podle krajů</w:t>
            </w:r>
          </w:p>
        </w:tc>
      </w:tr>
      <w:tr w:rsidR="002A411D" w:rsidRPr="008751DD" w:rsidTr="00057F4A">
        <w:trPr>
          <w:cantSplit/>
          <w:trHeight w:val="255"/>
        </w:trPr>
        <w:tc>
          <w:tcPr>
            <w:tcW w:w="9786" w:type="dxa"/>
            <w:gridSpan w:val="14"/>
            <w:tcMar>
              <w:left w:w="85" w:type="dxa"/>
              <w:right w:w="85" w:type="dxa"/>
            </w:tcMar>
          </w:tcPr>
          <w:p w:rsidR="002A411D" w:rsidRDefault="009956CB" w:rsidP="00735195">
            <w:pPr>
              <w:pStyle w:val="Normlnweb"/>
              <w:spacing w:before="60" w:beforeAutospacing="0" w:after="60" w:afterAutospacing="0"/>
              <w:jc w:val="center"/>
              <w:rPr>
                <w:rFonts w:ascii="Arial" w:eastAsia="+mn-ea" w:hAnsi="Arial" w:cs="Arial"/>
                <w:color w:val="000000"/>
                <w:sz w:val="20"/>
                <w:szCs w:val="20"/>
              </w:rPr>
            </w:pPr>
            <w:r w:rsidRPr="00286EFA">
              <w:rPr>
                <w:rFonts w:ascii="Arial" w:eastAsia="+mn-ea" w:hAnsi="Arial" w:cs="Arial"/>
                <w:color w:val="000000"/>
                <w:sz w:val="20"/>
                <w:szCs w:val="20"/>
              </w:rPr>
              <w:pict>
                <v:shape id="_x0000_i1079" type="#_x0000_t75" style="width:390.75pt;height:225pt">
                  <v:imagedata r:id="rId72" o:title=""/>
                </v:shape>
              </w:pict>
            </w:r>
          </w:p>
          <w:p w:rsidR="002A411D" w:rsidRPr="00775D64" w:rsidRDefault="002A411D" w:rsidP="00735195">
            <w:pPr>
              <w:pStyle w:val="Normlnweb"/>
              <w:spacing w:before="60" w:beforeAutospacing="0" w:after="60" w:afterAutospacing="0"/>
              <w:jc w:val="center"/>
              <w:rPr>
                <w:rFonts w:ascii="Arial" w:eastAsia="+mn-ea" w:hAnsi="Arial" w:cs="Arial"/>
                <w:color w:val="000000"/>
                <w:sz w:val="20"/>
                <w:szCs w:val="20"/>
              </w:rPr>
            </w:pPr>
          </w:p>
        </w:tc>
      </w:tr>
      <w:tr w:rsidR="002A411D" w:rsidRPr="008751DD" w:rsidTr="00057F4A">
        <w:trPr>
          <w:cantSplit/>
          <w:trHeight w:val="255"/>
        </w:trPr>
        <w:tc>
          <w:tcPr>
            <w:tcW w:w="2063" w:type="dxa"/>
            <w:gridSpan w:val="4"/>
            <w:tcMar>
              <w:left w:w="85" w:type="dxa"/>
              <w:right w:w="85" w:type="dxa"/>
            </w:tcMar>
          </w:tcPr>
          <w:p w:rsidR="002A411D" w:rsidRPr="00C35058" w:rsidRDefault="002A411D" w:rsidP="00AB4D27">
            <w:pPr>
              <w:spacing w:before="60" w:after="60"/>
              <w:jc w:val="left"/>
              <w:rPr>
                <w:b/>
                <w:i/>
                <w:szCs w:val="20"/>
                <w:highlight w:val="yellow"/>
              </w:rPr>
            </w:pPr>
          </w:p>
        </w:tc>
        <w:tc>
          <w:tcPr>
            <w:tcW w:w="7723" w:type="dxa"/>
            <w:gridSpan w:val="10"/>
            <w:vAlign w:val="center"/>
          </w:tcPr>
          <w:p w:rsidR="002A411D" w:rsidRPr="000D0039" w:rsidRDefault="002A411D" w:rsidP="000D0039">
            <w:pPr>
              <w:pStyle w:val="Normlnweb"/>
              <w:spacing w:before="60" w:beforeAutospacing="0" w:after="60" w:afterAutospacing="0"/>
              <w:jc w:val="both"/>
              <w:rPr>
                <w:rFonts w:ascii="Arial" w:eastAsia="+mn-ea" w:hAnsi="Arial" w:cs="Arial"/>
                <w:color w:val="000000"/>
                <w:sz w:val="20"/>
                <w:szCs w:val="20"/>
              </w:rPr>
            </w:pPr>
            <w:r w:rsidRPr="000D0039">
              <w:rPr>
                <w:rFonts w:ascii="Arial" w:eastAsia="+mn-ea" w:hAnsi="Arial" w:cs="Arial"/>
                <w:color w:val="000000"/>
                <w:sz w:val="20"/>
                <w:szCs w:val="20"/>
              </w:rPr>
              <w:t xml:space="preserve">Nárůst byl zaznamenán i u okresů. Nejvýraznější prodloužení trvání jednoho případu dočasné pracovní neschopnosti bylo zjištěno v okrese Zlín, a to celkově o 2,3 kalendářního dne na 51,1 dne. U žen se délka pracovní neschopnosti zkrátila pouze v okrese Uherské </w:t>
            </w:r>
            <w:r w:rsidR="00C11F57">
              <w:rPr>
                <w:rFonts w:ascii="Arial" w:eastAsia="+mn-ea" w:hAnsi="Arial" w:cs="Arial"/>
                <w:color w:val="000000"/>
                <w:sz w:val="20"/>
                <w:szCs w:val="20"/>
              </w:rPr>
              <w:t>H</w:t>
            </w:r>
            <w:r w:rsidRPr="000D0039">
              <w:rPr>
                <w:rFonts w:ascii="Arial" w:eastAsia="+mn-ea" w:hAnsi="Arial" w:cs="Arial"/>
                <w:color w:val="000000"/>
                <w:sz w:val="20"/>
                <w:szCs w:val="20"/>
              </w:rPr>
              <w:t xml:space="preserve">radiště o 0,2 dny na 58,9 dne. V ostatních okresech se délka trvání pracovní neschopnosti žen prodloužila, a to nejvýrazněji v okrese Vsetín (o 4,5 dne) na 64,5 dne.  </w:t>
            </w:r>
          </w:p>
          <w:p w:rsidR="002A411D" w:rsidRPr="00735195" w:rsidRDefault="002A411D" w:rsidP="003D7F45">
            <w:pPr>
              <w:pStyle w:val="Normlnweb"/>
              <w:spacing w:before="60" w:beforeAutospacing="0" w:after="60" w:afterAutospacing="0"/>
              <w:jc w:val="both"/>
              <w:rPr>
                <w:rFonts w:ascii="Arial" w:eastAsia="+mn-ea" w:hAnsi="Arial" w:cs="Arial"/>
                <w:color w:val="000000"/>
                <w:sz w:val="20"/>
                <w:szCs w:val="20"/>
              </w:rPr>
            </w:pPr>
            <w:r w:rsidRPr="000D0039">
              <w:rPr>
                <w:rFonts w:ascii="Arial" w:eastAsia="+mn-ea" w:hAnsi="Arial" w:cs="Arial"/>
                <w:color w:val="000000"/>
                <w:sz w:val="20"/>
                <w:szCs w:val="20"/>
              </w:rPr>
              <w:t>V průměru tak bylo denně z pracovní činnosti v kraji vyřazeno celkem 9 496 lidí (meziroční nárůst průměrného denního stavu práce neschopných o 47 pracovníků, tj. zvýšení o 0,5 %). Z toho bylo 4 806 žen (meziroční zvýšení o 118 žen, tj. o 2,5 %) a mužů 4 690 (snížení o 70 mužů, tj. o 1,5 %). K meziročnímu nárůstu denního stavu práce neschopných došlo v okresech Uherské Hradiště a Zlín. V uherskohradišťském</w:t>
            </w:r>
          </w:p>
        </w:tc>
      </w:tr>
      <w:tr w:rsidR="002A411D" w:rsidRPr="008751DD" w:rsidTr="00057F4A">
        <w:trPr>
          <w:cantSplit/>
          <w:trHeight w:val="255"/>
        </w:trPr>
        <w:tc>
          <w:tcPr>
            <w:tcW w:w="2063" w:type="dxa"/>
            <w:gridSpan w:val="4"/>
            <w:tcMar>
              <w:left w:w="85" w:type="dxa"/>
              <w:right w:w="85" w:type="dxa"/>
            </w:tcMar>
          </w:tcPr>
          <w:p w:rsidR="002A411D" w:rsidRPr="00C35058" w:rsidRDefault="002A411D" w:rsidP="00AB4D27">
            <w:pPr>
              <w:spacing w:before="60" w:after="60"/>
              <w:jc w:val="left"/>
              <w:rPr>
                <w:b/>
                <w:i/>
                <w:szCs w:val="20"/>
                <w:highlight w:val="yellow"/>
              </w:rPr>
            </w:pPr>
          </w:p>
        </w:tc>
        <w:tc>
          <w:tcPr>
            <w:tcW w:w="7723" w:type="dxa"/>
            <w:gridSpan w:val="10"/>
            <w:vAlign w:val="center"/>
          </w:tcPr>
          <w:p w:rsidR="002A411D" w:rsidRPr="008751DD" w:rsidRDefault="002A411D" w:rsidP="00487D33">
            <w:pPr>
              <w:pStyle w:val="Normlnweb"/>
              <w:spacing w:before="60" w:beforeAutospacing="0" w:after="60" w:afterAutospacing="0"/>
              <w:jc w:val="both"/>
              <w:rPr>
                <w:rFonts w:ascii="Arial" w:eastAsia="+mn-ea" w:hAnsi="Arial" w:cs="Arial"/>
                <w:color w:val="000000"/>
                <w:sz w:val="20"/>
                <w:szCs w:val="20"/>
              </w:rPr>
            </w:pPr>
            <w:proofErr w:type="gramStart"/>
            <w:r w:rsidRPr="00C56B4D">
              <w:rPr>
                <w:rFonts w:ascii="Arial" w:eastAsia="+mn-ea" w:hAnsi="Arial" w:cs="Arial"/>
                <w:color w:val="000000"/>
                <w:sz w:val="20"/>
                <w:szCs w:val="20"/>
              </w:rPr>
              <w:t>okrese</w:t>
            </w:r>
            <w:proofErr w:type="gramEnd"/>
            <w:r w:rsidRPr="00C56B4D">
              <w:rPr>
                <w:rFonts w:ascii="Arial" w:eastAsia="+mn-ea" w:hAnsi="Arial" w:cs="Arial"/>
                <w:color w:val="000000"/>
                <w:sz w:val="20"/>
                <w:szCs w:val="20"/>
              </w:rPr>
              <w:t xml:space="preserve"> byl </w:t>
            </w:r>
            <w:proofErr w:type="gramStart"/>
            <w:r w:rsidRPr="00C56B4D">
              <w:rPr>
                <w:rFonts w:ascii="Arial" w:eastAsia="+mn-ea" w:hAnsi="Arial" w:cs="Arial"/>
                <w:color w:val="000000"/>
                <w:sz w:val="20"/>
                <w:szCs w:val="20"/>
              </w:rPr>
              <w:t>zachycen</w:t>
            </w:r>
            <w:proofErr w:type="gramEnd"/>
            <w:r w:rsidRPr="00C56B4D">
              <w:rPr>
                <w:rFonts w:ascii="Arial" w:eastAsia="+mn-ea" w:hAnsi="Arial" w:cs="Arial"/>
                <w:color w:val="000000"/>
                <w:sz w:val="20"/>
                <w:szCs w:val="20"/>
              </w:rPr>
              <w:t xml:space="preserve"> výraznější nárůst celkem o 46 osob, z toho o 11 žen. K poklesu průměrného stavu práce neschopných celkem došlo v okresech Vsetín (o 10 osob) a</w:t>
            </w:r>
            <w:r>
              <w:rPr>
                <w:rFonts w:ascii="Arial" w:eastAsia="+mn-ea" w:hAnsi="Arial" w:cs="Arial"/>
                <w:color w:val="000000"/>
                <w:sz w:val="20"/>
                <w:szCs w:val="20"/>
              </w:rPr>
              <w:t> </w:t>
            </w:r>
            <w:r w:rsidRPr="00C56B4D">
              <w:rPr>
                <w:rFonts w:ascii="Arial" w:eastAsia="+mn-ea" w:hAnsi="Arial" w:cs="Arial"/>
                <w:color w:val="000000"/>
                <w:sz w:val="20"/>
                <w:szCs w:val="20"/>
              </w:rPr>
              <w:t>Kroměříž (o 9 osob). Ve všech okresech kraje došlo ke zvýšení průměrného denního počtu práce neschopných žen, nejvíce v okrese Vsetín o 50 na 1 234 žen. Nejvíce žen v pracovním procesu v roce 2014 denně chybělo z důvodu dočasné pracovní neschopnosti v okrese Zlín, a to 1 543.</w:t>
            </w:r>
          </w:p>
        </w:tc>
      </w:tr>
      <w:tr w:rsidR="002A411D" w:rsidRPr="008751DD" w:rsidTr="00057F4A">
        <w:trPr>
          <w:cantSplit/>
          <w:trHeight w:val="255"/>
        </w:trPr>
        <w:tc>
          <w:tcPr>
            <w:tcW w:w="2063" w:type="dxa"/>
            <w:gridSpan w:val="4"/>
            <w:tcMar>
              <w:left w:w="85" w:type="dxa"/>
              <w:right w:w="85" w:type="dxa"/>
            </w:tcMar>
          </w:tcPr>
          <w:p w:rsidR="002A411D" w:rsidRPr="00735195" w:rsidRDefault="002A411D" w:rsidP="00AB4D27">
            <w:pPr>
              <w:spacing w:before="60" w:after="60"/>
              <w:jc w:val="left"/>
              <w:rPr>
                <w:b/>
                <w:i/>
                <w:szCs w:val="20"/>
              </w:rPr>
            </w:pPr>
          </w:p>
        </w:tc>
        <w:tc>
          <w:tcPr>
            <w:tcW w:w="7723" w:type="dxa"/>
            <w:gridSpan w:val="10"/>
            <w:vAlign w:val="center"/>
          </w:tcPr>
          <w:p w:rsidR="002A411D" w:rsidRPr="00735195" w:rsidRDefault="002A411D" w:rsidP="003D7F45">
            <w:pPr>
              <w:pStyle w:val="Normlnweb"/>
              <w:spacing w:before="60" w:beforeAutospacing="0" w:after="60" w:afterAutospacing="0"/>
              <w:jc w:val="both"/>
              <w:rPr>
                <w:rFonts w:ascii="Arial" w:eastAsia="+mn-ea" w:hAnsi="Arial" w:cs="Arial"/>
                <w:color w:val="000000"/>
                <w:sz w:val="20"/>
                <w:szCs w:val="20"/>
              </w:rPr>
            </w:pPr>
            <w:r w:rsidRPr="003D7F45">
              <w:rPr>
                <w:rFonts w:ascii="Arial" w:eastAsia="+mn-ea" w:hAnsi="Arial" w:cs="Arial"/>
                <w:color w:val="000000"/>
                <w:sz w:val="20"/>
                <w:szCs w:val="20"/>
              </w:rPr>
              <w:t>Nejvýraznější pokles průměrného denního počtu chybějících mužů byl zjištěn v</w:t>
            </w:r>
            <w:r>
              <w:rPr>
                <w:rFonts w:ascii="Arial" w:eastAsia="+mn-ea" w:hAnsi="Arial" w:cs="Arial"/>
                <w:color w:val="000000"/>
                <w:sz w:val="20"/>
                <w:szCs w:val="20"/>
              </w:rPr>
              <w:t> </w:t>
            </w:r>
            <w:r w:rsidRPr="003D7F45">
              <w:rPr>
                <w:rFonts w:ascii="Arial" w:eastAsia="+mn-ea" w:hAnsi="Arial" w:cs="Arial"/>
                <w:color w:val="000000"/>
                <w:sz w:val="20"/>
                <w:szCs w:val="20"/>
              </w:rPr>
              <w:t>okrese Vsetín (o 60 mužů). Ke zvýšení tohoto počtu došlo jenom v okrese Uherské Hradiště (o 11 mužů).</w:t>
            </w:r>
          </w:p>
          <w:p w:rsidR="00487D33" w:rsidRPr="00735195" w:rsidRDefault="00487D33" w:rsidP="00735195">
            <w:pPr>
              <w:pStyle w:val="Normlnweb"/>
              <w:spacing w:before="60" w:beforeAutospacing="0" w:after="60" w:afterAutospacing="0"/>
              <w:jc w:val="both"/>
              <w:rPr>
                <w:rFonts w:ascii="Arial" w:eastAsia="+mn-ea" w:hAnsi="Arial" w:cs="Arial"/>
                <w:color w:val="000000"/>
                <w:sz w:val="20"/>
                <w:szCs w:val="20"/>
              </w:rPr>
            </w:pPr>
          </w:p>
        </w:tc>
      </w:tr>
      <w:tr w:rsidR="002A411D" w:rsidRPr="008751DD" w:rsidTr="00057F4A">
        <w:trPr>
          <w:cantSplit/>
          <w:trHeight w:val="255"/>
        </w:trPr>
        <w:tc>
          <w:tcPr>
            <w:tcW w:w="9786" w:type="dxa"/>
            <w:gridSpan w:val="14"/>
            <w:tcMar>
              <w:left w:w="85" w:type="dxa"/>
              <w:right w:w="85" w:type="dxa"/>
            </w:tcMar>
          </w:tcPr>
          <w:p w:rsidR="002A411D" w:rsidRPr="003D7F45" w:rsidRDefault="002A411D" w:rsidP="00F32217">
            <w:pPr>
              <w:pStyle w:val="Normlnweb"/>
              <w:spacing w:before="60" w:beforeAutospacing="0" w:after="60" w:afterAutospacing="0"/>
              <w:jc w:val="both"/>
              <w:rPr>
                <w:rFonts w:ascii="Arial" w:eastAsia="+mn-ea" w:hAnsi="Arial" w:cs="Arial"/>
                <w:b/>
                <w:color w:val="000000"/>
                <w:sz w:val="20"/>
                <w:szCs w:val="20"/>
              </w:rPr>
            </w:pPr>
            <w:r w:rsidRPr="003D7F45">
              <w:rPr>
                <w:rFonts w:ascii="Arial" w:eastAsia="+mn-ea" w:hAnsi="Arial" w:cs="Arial"/>
                <w:b/>
                <w:color w:val="000000"/>
                <w:sz w:val="20"/>
                <w:szCs w:val="20"/>
              </w:rPr>
              <w:t xml:space="preserve">Graf </w:t>
            </w:r>
            <w:r w:rsidR="00F32217">
              <w:rPr>
                <w:rFonts w:ascii="Arial" w:eastAsia="+mn-ea" w:hAnsi="Arial" w:cs="Arial"/>
                <w:b/>
                <w:color w:val="000000"/>
                <w:sz w:val="20"/>
                <w:szCs w:val="20"/>
              </w:rPr>
              <w:t>2.35</w:t>
            </w:r>
            <w:r w:rsidRPr="003D7F45">
              <w:rPr>
                <w:rFonts w:ascii="Arial" w:eastAsia="+mn-ea" w:hAnsi="Arial" w:cs="Arial"/>
                <w:b/>
                <w:color w:val="000000"/>
                <w:sz w:val="20"/>
                <w:szCs w:val="20"/>
              </w:rPr>
              <w:t xml:space="preserve"> Průměrný denní stav dočasně práce neschopných celkem podle krajů</w:t>
            </w:r>
          </w:p>
        </w:tc>
      </w:tr>
      <w:tr w:rsidR="002A411D" w:rsidRPr="008751DD" w:rsidTr="00057F4A">
        <w:trPr>
          <w:cantSplit/>
          <w:trHeight w:val="255"/>
        </w:trPr>
        <w:tc>
          <w:tcPr>
            <w:tcW w:w="9786" w:type="dxa"/>
            <w:gridSpan w:val="14"/>
            <w:tcMar>
              <w:left w:w="85" w:type="dxa"/>
              <w:right w:w="85" w:type="dxa"/>
            </w:tcMar>
          </w:tcPr>
          <w:p w:rsidR="002A411D" w:rsidRPr="003D7F45" w:rsidRDefault="009956CB" w:rsidP="003D7F45">
            <w:pPr>
              <w:pStyle w:val="Normlnweb"/>
              <w:spacing w:before="60" w:beforeAutospacing="0" w:after="60" w:afterAutospacing="0"/>
              <w:jc w:val="center"/>
              <w:rPr>
                <w:rFonts w:ascii="Arial" w:eastAsia="+mn-ea" w:hAnsi="Arial" w:cs="Arial"/>
                <w:color w:val="000000"/>
                <w:sz w:val="20"/>
                <w:szCs w:val="20"/>
              </w:rPr>
            </w:pPr>
            <w:r w:rsidRPr="00286EFA">
              <w:rPr>
                <w:rFonts w:ascii="Arial" w:eastAsia="+mn-ea" w:hAnsi="Arial" w:cs="Arial"/>
                <w:color w:val="000000"/>
                <w:sz w:val="20"/>
                <w:szCs w:val="20"/>
              </w:rPr>
              <w:pict>
                <v:shape id="_x0000_i1080" type="#_x0000_t75" style="width:390pt;height:226.5pt">
                  <v:imagedata r:id="rId73" o:title=""/>
                </v:shape>
              </w:pict>
            </w:r>
          </w:p>
        </w:tc>
      </w:tr>
    </w:tbl>
    <w:p w:rsidR="00C45941" w:rsidRDefault="00C45941" w:rsidP="00E866F7">
      <w:pPr>
        <w:pStyle w:val="text"/>
      </w:pPr>
    </w:p>
    <w:p w:rsidR="00212BA9" w:rsidRDefault="00212BA9" w:rsidP="00E866F7">
      <w:pPr>
        <w:pStyle w:val="text"/>
        <w:sectPr w:rsidR="00212BA9" w:rsidSect="009671C9">
          <w:footnotePr>
            <w:numRestart w:val="eachPage"/>
          </w:footnotePr>
          <w:pgSz w:w="11906" w:h="16838" w:code="9"/>
          <w:pgMar w:top="1134" w:right="1134" w:bottom="1247" w:left="1134" w:header="567" w:footer="709" w:gutter="0"/>
          <w:cols w:space="708" w:equalWidth="0">
            <w:col w:w="9638"/>
          </w:cols>
          <w:titlePg/>
          <w:docGrid w:linePitch="360"/>
        </w:sectPr>
      </w:pPr>
    </w:p>
    <w:p w:rsidR="0017742A" w:rsidRDefault="007C121A" w:rsidP="00306A8F">
      <w:pPr>
        <w:pStyle w:val="Nadpis1"/>
      </w:pPr>
      <w:r>
        <w:lastRenderedPageBreak/>
        <w:t xml:space="preserve"> </w:t>
      </w:r>
      <w:bookmarkStart w:id="4" w:name="_Toc428351939"/>
      <w:r w:rsidR="0017742A">
        <w:t>Ekonomický vývoj</w:t>
      </w:r>
      <w:bookmarkEnd w:id="4"/>
    </w:p>
    <w:tbl>
      <w:tblPr>
        <w:tblW w:w="9611" w:type="dxa"/>
        <w:tblLayout w:type="fixed"/>
        <w:tblCellMar>
          <w:left w:w="70" w:type="dxa"/>
          <w:right w:w="70" w:type="dxa"/>
        </w:tblCellMar>
        <w:tblLook w:val="0000"/>
      </w:tblPr>
      <w:tblGrid>
        <w:gridCol w:w="16"/>
        <w:gridCol w:w="2480"/>
        <w:gridCol w:w="7115"/>
      </w:tblGrid>
      <w:tr w:rsidR="004B7002" w:rsidRPr="00572B30" w:rsidTr="00DF6178">
        <w:tc>
          <w:tcPr>
            <w:tcW w:w="2496" w:type="dxa"/>
            <w:gridSpan w:val="2"/>
            <w:tcMar>
              <w:left w:w="85" w:type="dxa"/>
              <w:right w:w="85" w:type="dxa"/>
            </w:tcMar>
          </w:tcPr>
          <w:p w:rsidR="004B7002" w:rsidRPr="00891305" w:rsidRDefault="004B7002" w:rsidP="00113757">
            <w:pPr>
              <w:spacing w:before="60" w:after="60"/>
              <w:jc w:val="left"/>
              <w:rPr>
                <w:b/>
                <w:i/>
                <w:szCs w:val="20"/>
                <w:u w:val="single"/>
              </w:rPr>
            </w:pPr>
            <w:r w:rsidRPr="00891305">
              <w:rPr>
                <w:b/>
                <w:i/>
                <w:szCs w:val="20"/>
                <w:u w:val="single"/>
              </w:rPr>
              <w:t>Makroekonomika</w:t>
            </w:r>
          </w:p>
          <w:p w:rsidR="004B7002" w:rsidRPr="00C35058" w:rsidRDefault="00891305" w:rsidP="00113757">
            <w:pPr>
              <w:spacing w:before="60" w:after="60"/>
              <w:jc w:val="left"/>
              <w:rPr>
                <w:b/>
                <w:i/>
                <w:szCs w:val="20"/>
                <w:highlight w:val="yellow"/>
              </w:rPr>
            </w:pPr>
            <w:r w:rsidRPr="00891305">
              <w:rPr>
                <w:b/>
                <w:i/>
                <w:szCs w:val="20"/>
              </w:rPr>
              <w:t>HDP Zlínského kraje se v roce 2013 meziročně zvýšil o 1,4 %</w:t>
            </w:r>
          </w:p>
        </w:tc>
        <w:tc>
          <w:tcPr>
            <w:tcW w:w="7115" w:type="dxa"/>
            <w:tcMar>
              <w:left w:w="85" w:type="dxa"/>
              <w:right w:w="85" w:type="dxa"/>
            </w:tcMar>
            <w:vAlign w:val="center"/>
          </w:tcPr>
          <w:p w:rsidR="00D90075" w:rsidRPr="00C35058" w:rsidRDefault="00891305" w:rsidP="00450086">
            <w:pPr>
              <w:spacing w:before="60" w:after="60"/>
              <w:rPr>
                <w:rFonts w:cs="Arial"/>
                <w:szCs w:val="20"/>
                <w:highlight w:val="yellow"/>
              </w:rPr>
            </w:pPr>
            <w:r w:rsidRPr="00891305">
              <w:t>Ve Zlínském kraji od roku 1995 až do roku 2008 hodnoty HDP každoročně narůstaly. Jeho přírůstky nebyly vyrovnané a pohybovaly se od 1,6 % (v roce 1999) do 13,3 % (1996). V roce 2008 byl zaznamenán meziroční přírůstek 7,7</w:t>
            </w:r>
            <w:r w:rsidR="00450086">
              <w:t> </w:t>
            </w:r>
            <w:r w:rsidRPr="00891305">
              <w:t>% a HDP činilo 191,1 mld. Kč. V roce 2009 došlo k prvnímu poklesu HDP o</w:t>
            </w:r>
            <w:r>
              <w:t> </w:t>
            </w:r>
            <w:r w:rsidRPr="00891305">
              <w:t xml:space="preserve">2,2 % (o 4,2 mld. </w:t>
            </w:r>
            <w:proofErr w:type="gramStart"/>
            <w:r w:rsidRPr="00891305">
              <w:t xml:space="preserve">Kč </w:t>
            </w:r>
            <w:proofErr w:type="spellStart"/>
            <w:r w:rsidRPr="00891305">
              <w:t>b.c</w:t>
            </w:r>
            <w:proofErr w:type="spellEnd"/>
            <w:r w:rsidRPr="00891305">
              <w:t>.</w:t>
            </w:r>
            <w:proofErr w:type="gramEnd"/>
            <w:r w:rsidRPr="00891305">
              <w:t>) a v následujícím roce 2010 bylo zjištěno také meziroční snížení, a to o 1,0 % (o 2,0 mld. Kč). Od roku 2011 docházelo již k</w:t>
            </w:r>
            <w:r>
              <w:t> </w:t>
            </w:r>
            <w:r w:rsidRPr="00891305">
              <w:t>mírnému meziročnímu nárůstu. V roce 2011 vzrostl HDP o 2,3 % (o 4,3 mld. Kč) na 189,2 mld. Kč a v roce 2012 se zvýšil meziročně o 0,7 % (o 1,3 mld. Kč). V roce 2013 dosáhl HDP kraje 193,2 mld. Kč a proti předchozímu roku se tak zvýšil o 1,4 % (o 2,7 mld. Kč). Republikový podíl HDP Zlínského kraje se v</w:t>
            </w:r>
            <w:r>
              <w:t> </w:t>
            </w:r>
            <w:r w:rsidRPr="00891305">
              <w:t xml:space="preserve">delším časovém období pohyboval od 4,5 % (2004) po 5,0 % (1997). V roce 2013 republikový podíl zůstal na úrovni předchozího roku a činil tedy 4,7 %.  </w:t>
            </w:r>
          </w:p>
        </w:tc>
      </w:tr>
      <w:tr w:rsidR="004B7002" w:rsidRPr="00BB6A03" w:rsidTr="00DF6178">
        <w:tc>
          <w:tcPr>
            <w:tcW w:w="9611" w:type="dxa"/>
            <w:gridSpan w:val="3"/>
            <w:tcMar>
              <w:left w:w="85" w:type="dxa"/>
              <w:right w:w="85" w:type="dxa"/>
            </w:tcMar>
          </w:tcPr>
          <w:p w:rsidR="00891305" w:rsidRDefault="00891305" w:rsidP="00891305">
            <w:pPr>
              <w:pStyle w:val="Normlnweb"/>
              <w:spacing w:before="60" w:beforeAutospacing="0" w:after="60" w:afterAutospacing="0"/>
              <w:rPr>
                <w:rFonts w:ascii="Arial" w:hAnsi="Arial" w:cs="Arial"/>
                <w:b/>
                <w:sz w:val="20"/>
                <w:szCs w:val="20"/>
              </w:rPr>
            </w:pPr>
            <w:r w:rsidRPr="00891305">
              <w:rPr>
                <w:rFonts w:ascii="Arial" w:hAnsi="Arial" w:cs="Arial"/>
                <w:b/>
                <w:sz w:val="20"/>
                <w:szCs w:val="20"/>
              </w:rPr>
              <w:t xml:space="preserve">Graf </w:t>
            </w:r>
            <w:r w:rsidR="006911B0">
              <w:rPr>
                <w:rFonts w:ascii="Arial" w:hAnsi="Arial" w:cs="Arial"/>
                <w:b/>
                <w:sz w:val="20"/>
                <w:szCs w:val="20"/>
              </w:rPr>
              <w:t>3.</w:t>
            </w:r>
            <w:r w:rsidRPr="00891305">
              <w:rPr>
                <w:rFonts w:ascii="Arial" w:hAnsi="Arial" w:cs="Arial"/>
                <w:b/>
                <w:sz w:val="20"/>
                <w:szCs w:val="20"/>
              </w:rPr>
              <w:t xml:space="preserve">1 Hrubý domácí produkt (HDP) na obyvatele ve Zlínském kraji (ZLK) a ČR a jeho podíl </w:t>
            </w:r>
          </w:p>
          <w:p w:rsidR="004B7002" w:rsidRPr="00C35058" w:rsidRDefault="00891305" w:rsidP="00891305">
            <w:pPr>
              <w:pStyle w:val="Normlnweb"/>
              <w:spacing w:before="60" w:beforeAutospacing="0" w:after="60" w:afterAutospacing="0"/>
              <w:rPr>
                <w:rFonts w:ascii="Arial" w:hAnsi="Arial" w:cs="Arial"/>
                <w:b/>
                <w:sz w:val="20"/>
                <w:szCs w:val="20"/>
                <w:highlight w:val="yellow"/>
              </w:rPr>
            </w:pPr>
            <w:r>
              <w:rPr>
                <w:rFonts w:ascii="Arial" w:hAnsi="Arial" w:cs="Arial"/>
                <w:b/>
                <w:sz w:val="20"/>
                <w:szCs w:val="20"/>
              </w:rPr>
              <w:t xml:space="preserve"> </w:t>
            </w:r>
            <w:r w:rsidRPr="00891305">
              <w:rPr>
                <w:rFonts w:ascii="Arial" w:hAnsi="Arial" w:cs="Arial"/>
                <w:b/>
                <w:sz w:val="20"/>
                <w:szCs w:val="20"/>
              </w:rPr>
              <w:t xml:space="preserve">            na republikovém celku</w:t>
            </w:r>
          </w:p>
        </w:tc>
      </w:tr>
      <w:tr w:rsidR="004B7002" w:rsidRPr="00BB6A03" w:rsidTr="00DF6178">
        <w:trPr>
          <w:trHeight w:val="402"/>
        </w:trPr>
        <w:tc>
          <w:tcPr>
            <w:tcW w:w="9611" w:type="dxa"/>
            <w:gridSpan w:val="3"/>
            <w:tcMar>
              <w:left w:w="85" w:type="dxa"/>
              <w:right w:w="85" w:type="dxa"/>
            </w:tcMar>
            <w:vAlign w:val="center"/>
          </w:tcPr>
          <w:p w:rsidR="004B7002" w:rsidRPr="00C35058" w:rsidRDefault="009956CB" w:rsidP="00235D2A">
            <w:pPr>
              <w:jc w:val="center"/>
              <w:rPr>
                <w:b/>
                <w:szCs w:val="20"/>
                <w:highlight w:val="yellow"/>
              </w:rPr>
            </w:pPr>
            <w:r w:rsidRPr="00286EFA">
              <w:rPr>
                <w:b/>
                <w:szCs w:val="20"/>
              </w:rPr>
              <w:pict>
                <v:shape id="_x0000_i1081" type="#_x0000_t75" style="width:463.5pt;height:210.75pt">
                  <v:imagedata r:id="rId74" o:title=""/>
                </v:shape>
              </w:pict>
            </w:r>
          </w:p>
        </w:tc>
      </w:tr>
      <w:tr w:rsidR="004B7002" w:rsidRPr="00572B30" w:rsidTr="00DF6178">
        <w:tc>
          <w:tcPr>
            <w:tcW w:w="2496" w:type="dxa"/>
            <w:gridSpan w:val="2"/>
            <w:tcMar>
              <w:left w:w="85" w:type="dxa"/>
              <w:right w:w="85" w:type="dxa"/>
            </w:tcMar>
          </w:tcPr>
          <w:p w:rsidR="004B7002" w:rsidRPr="00C35058" w:rsidRDefault="00B47916" w:rsidP="00E67CB0">
            <w:pPr>
              <w:spacing w:before="60" w:after="60"/>
              <w:jc w:val="left"/>
              <w:rPr>
                <w:b/>
                <w:i/>
                <w:szCs w:val="20"/>
                <w:highlight w:val="yellow"/>
              </w:rPr>
            </w:pPr>
            <w:r w:rsidRPr="00B47916">
              <w:rPr>
                <w:b/>
                <w:i/>
                <w:szCs w:val="20"/>
              </w:rPr>
              <w:t>Hodnota HDP na obyvatele kraje se v</w:t>
            </w:r>
            <w:r w:rsidR="00E67CB0">
              <w:rPr>
                <w:b/>
                <w:i/>
                <w:szCs w:val="20"/>
              </w:rPr>
              <w:t> </w:t>
            </w:r>
            <w:r w:rsidRPr="00B47916">
              <w:rPr>
                <w:b/>
                <w:i/>
                <w:szCs w:val="20"/>
              </w:rPr>
              <w:t>roce 2013 meziročně zvýšila o 1,7 %</w:t>
            </w:r>
          </w:p>
        </w:tc>
        <w:tc>
          <w:tcPr>
            <w:tcW w:w="7115" w:type="dxa"/>
            <w:tcMar>
              <w:left w:w="85" w:type="dxa"/>
              <w:right w:w="85" w:type="dxa"/>
            </w:tcMar>
            <w:vAlign w:val="center"/>
          </w:tcPr>
          <w:p w:rsidR="00FC337B" w:rsidRPr="00FC337B" w:rsidRDefault="00FC337B" w:rsidP="00FC337B">
            <w:pPr>
              <w:spacing w:before="60" w:after="60"/>
              <w:rPr>
                <w:rFonts w:cs="Arial"/>
                <w:szCs w:val="20"/>
              </w:rPr>
            </w:pPr>
            <w:r w:rsidRPr="00FC337B">
              <w:rPr>
                <w:rFonts w:cs="Arial"/>
                <w:szCs w:val="20"/>
              </w:rPr>
              <w:t>Hodnota HDP na obyvatele v kraji rostla stejně jako celková hodnota HDP kraje až do roku 2008</w:t>
            </w:r>
            <w:r w:rsidR="001C45D0">
              <w:rPr>
                <w:rFonts w:cs="Arial"/>
                <w:szCs w:val="20"/>
              </w:rPr>
              <w:t>,</w:t>
            </w:r>
            <w:r w:rsidRPr="00FC337B">
              <w:rPr>
                <w:rFonts w:cs="Arial"/>
                <w:szCs w:val="20"/>
              </w:rPr>
              <w:t xml:space="preserve"> kdy dosáhl hodnoty 323,2 tis. Kč. V následujících dvou letech jeho hodnota klesala a v roce 2010 dosáhl 313,1 tis. Kč. Ke zlepšení došlo od roku 2011, kdy HDP na obyvatele Zlínského kraje dosáhl 320,9 tis. Kč (meziroční nárůst o 2,5 %). Také v dalším roce se HDP na obyvatele zvýšil, a to o 0,9 %. V roce 2013 dosáhl 329,4 tis. Kč a byl tak zaznamenán meziroční nárůst o 1,7 %. </w:t>
            </w:r>
          </w:p>
          <w:p w:rsidR="00FC337B" w:rsidRPr="00FC337B" w:rsidRDefault="00FC337B" w:rsidP="00FC337B">
            <w:pPr>
              <w:spacing w:before="60" w:after="60"/>
              <w:rPr>
                <w:rFonts w:cs="Arial"/>
                <w:szCs w:val="20"/>
              </w:rPr>
            </w:pPr>
            <w:r w:rsidRPr="00FC337B">
              <w:rPr>
                <w:rFonts w:cs="Arial"/>
                <w:szCs w:val="20"/>
              </w:rPr>
              <w:t>Ve srovnání s ostatními kraji se zlínská hodnota HDP na obyvatele v roce 1995 umístila na 12. místě, tedy na třetím nejnižším. V roce 2009 se posunula o pět příček výš, tedy na 7. pozici, v roce 2013 zůstala na 7. příčce. Nejvyšší přepočet HDP na obyvatele v roce 2013 byl zachycen v Hlavním městě Praze (816 350 Kč), nejnižší v Karlovarském kraji (277 280 Kč)</w:t>
            </w:r>
          </w:p>
          <w:p w:rsidR="00FC337B" w:rsidRPr="00FC337B" w:rsidRDefault="00FC337B" w:rsidP="00FC337B">
            <w:pPr>
              <w:spacing w:before="60" w:after="60"/>
              <w:rPr>
                <w:rFonts w:cs="Arial"/>
                <w:szCs w:val="20"/>
              </w:rPr>
            </w:pPr>
            <w:r w:rsidRPr="00FC337B">
              <w:rPr>
                <w:rFonts w:cs="Arial"/>
                <w:szCs w:val="20"/>
              </w:rPr>
              <w:t xml:space="preserve">Ve srovnání s celorepublikovým průměrem byla hodnota zlínského HDP na obyvatele po celé zachycené období nižší. V počátečním roce 2008 sledovaného období </w:t>
            </w:r>
            <w:proofErr w:type="gramStart"/>
            <w:r w:rsidRPr="00FC337B">
              <w:rPr>
                <w:rFonts w:cs="Arial"/>
                <w:szCs w:val="20"/>
              </w:rPr>
              <w:t>tvořila  84,5</w:t>
            </w:r>
            <w:proofErr w:type="gramEnd"/>
            <w:r w:rsidRPr="00FC337B">
              <w:rPr>
                <w:rFonts w:cs="Arial"/>
                <w:szCs w:val="20"/>
              </w:rPr>
              <w:t xml:space="preserve"> % celorepublikového průměru (rozdíl hodnot činil 57,8 tis. Kč). V roce 2013 byla zlínská hodnota menší o 59,4 tis. Kč a</w:t>
            </w:r>
            <w:r>
              <w:rPr>
                <w:rFonts w:cs="Arial"/>
                <w:szCs w:val="20"/>
              </w:rPr>
              <w:t> </w:t>
            </w:r>
            <w:r w:rsidRPr="00FC337B">
              <w:rPr>
                <w:rFonts w:cs="Arial"/>
                <w:szCs w:val="20"/>
              </w:rPr>
              <w:t xml:space="preserve">činila tak 84,7 % republikového průměru. Nutno doplnit, že kromě Hlavního města Prahy, nedosáhl žádný kraj republikové hodnoty v celé zachycené řadě.  </w:t>
            </w:r>
          </w:p>
          <w:p w:rsidR="00FC337B" w:rsidRPr="00FC337B" w:rsidRDefault="00FC337B" w:rsidP="00FC337B">
            <w:pPr>
              <w:spacing w:before="60" w:after="60"/>
              <w:rPr>
                <w:rFonts w:cs="Arial"/>
                <w:szCs w:val="20"/>
              </w:rPr>
            </w:pPr>
            <w:r w:rsidRPr="00FC337B">
              <w:rPr>
                <w:rFonts w:cs="Arial"/>
                <w:szCs w:val="20"/>
              </w:rPr>
              <w:t xml:space="preserve">Také přepočet HDP na zaměstnance (v </w:t>
            </w:r>
            <w:proofErr w:type="gramStart"/>
            <w:r w:rsidRPr="00FC337B">
              <w:rPr>
                <w:rFonts w:cs="Arial"/>
                <w:szCs w:val="20"/>
              </w:rPr>
              <w:t xml:space="preserve">Kč </w:t>
            </w:r>
            <w:proofErr w:type="spellStart"/>
            <w:r w:rsidRPr="00FC337B">
              <w:rPr>
                <w:rFonts w:cs="Arial"/>
                <w:szCs w:val="20"/>
              </w:rPr>
              <w:t>b.c</w:t>
            </w:r>
            <w:proofErr w:type="spellEnd"/>
            <w:r w:rsidRPr="00FC337B">
              <w:rPr>
                <w:rFonts w:cs="Arial"/>
                <w:szCs w:val="20"/>
              </w:rPr>
              <w:t>.</w:t>
            </w:r>
            <w:proofErr w:type="gramEnd"/>
            <w:r w:rsidRPr="00FC337B">
              <w:rPr>
                <w:rFonts w:cs="Arial"/>
                <w:szCs w:val="20"/>
              </w:rPr>
              <w:t>), a to zaměstnance v hlavním pracovním poměru zjišťované podle místa pracoviště, v průběhu pěti let vykázal změny. V roce 2008 bylo zachyceno meziroční zvýšení 6,8 %, v</w:t>
            </w:r>
            <w:r>
              <w:rPr>
                <w:rFonts w:cs="Arial"/>
                <w:szCs w:val="20"/>
              </w:rPr>
              <w:t> </w:t>
            </w:r>
            <w:r w:rsidRPr="00FC337B">
              <w:rPr>
                <w:rFonts w:cs="Arial"/>
                <w:szCs w:val="20"/>
              </w:rPr>
              <w:t>následujících letech došlo k výraznému zpomalení meziročních přírůstků a</w:t>
            </w:r>
            <w:r>
              <w:rPr>
                <w:rFonts w:cs="Arial"/>
                <w:szCs w:val="20"/>
              </w:rPr>
              <w:t> </w:t>
            </w:r>
            <w:r w:rsidRPr="00FC337B">
              <w:rPr>
                <w:rFonts w:cs="Arial"/>
                <w:szCs w:val="20"/>
              </w:rPr>
              <w:t>v</w:t>
            </w:r>
            <w:r>
              <w:rPr>
                <w:rFonts w:cs="Arial"/>
                <w:szCs w:val="20"/>
              </w:rPr>
              <w:t> </w:t>
            </w:r>
            <w:r w:rsidRPr="00FC337B">
              <w:rPr>
                <w:rFonts w:cs="Arial"/>
                <w:szCs w:val="20"/>
              </w:rPr>
              <w:t xml:space="preserve">roce 2012 se již projevilo snížení o 1,1 % (o 9,5 tis. Kč). V následujícím roce 2013 bylo opět zaznamenáno zvýšení o 0,5 % (o 4,1 tis. Kč) na 828 244 Kč. Zatímco Zlínský kraj v porovnání s ostatními kraji v roce 2008 stál v pořadí </w:t>
            </w:r>
            <w:r w:rsidRPr="00FC337B">
              <w:rPr>
                <w:rFonts w:cs="Arial"/>
                <w:szCs w:val="20"/>
              </w:rPr>
              <w:lastRenderedPageBreak/>
              <w:t>na 5. pozici, v roce 2013 se propadl na 10. místo. Ve srovnání s republikovou hodnotou byla zlínská trvale pod její úrovní. V roce 2008 dosáhla 89,2 % a</w:t>
            </w:r>
            <w:r>
              <w:rPr>
                <w:rFonts w:cs="Arial"/>
                <w:szCs w:val="20"/>
              </w:rPr>
              <w:t> </w:t>
            </w:r>
            <w:r w:rsidRPr="00FC337B">
              <w:rPr>
                <w:rFonts w:cs="Arial"/>
                <w:szCs w:val="20"/>
              </w:rPr>
              <w:t>v</w:t>
            </w:r>
            <w:r>
              <w:rPr>
                <w:rFonts w:cs="Arial"/>
                <w:szCs w:val="20"/>
              </w:rPr>
              <w:t> </w:t>
            </w:r>
            <w:r w:rsidRPr="00FC337B">
              <w:rPr>
                <w:rFonts w:cs="Arial"/>
                <w:szCs w:val="20"/>
              </w:rPr>
              <w:t>roce 2009 90,2 % republikové hodnoty, na konci sledovaného období 86,8</w:t>
            </w:r>
            <w:r w:rsidR="00E37662">
              <w:rPr>
                <w:rFonts w:cs="Arial"/>
                <w:szCs w:val="20"/>
              </w:rPr>
              <w:t> </w:t>
            </w:r>
            <w:r w:rsidRPr="00FC337B">
              <w:rPr>
                <w:rFonts w:cs="Arial"/>
                <w:szCs w:val="20"/>
              </w:rPr>
              <w:t>%.</w:t>
            </w:r>
          </w:p>
          <w:p w:rsidR="004B7002" w:rsidRPr="00C35058" w:rsidRDefault="00FC337B" w:rsidP="00BE5491">
            <w:pPr>
              <w:pStyle w:val="Normlnweb"/>
              <w:spacing w:before="60" w:beforeAutospacing="0" w:after="60" w:afterAutospacing="0"/>
              <w:jc w:val="both"/>
              <w:rPr>
                <w:rFonts w:ascii="Arial" w:hAnsi="Arial" w:cs="Arial"/>
                <w:sz w:val="20"/>
                <w:szCs w:val="20"/>
                <w:highlight w:val="yellow"/>
              </w:rPr>
            </w:pPr>
            <w:r w:rsidRPr="00FC337B">
              <w:rPr>
                <w:rFonts w:ascii="Arial" w:hAnsi="Arial" w:cs="Arial"/>
                <w:sz w:val="20"/>
                <w:szCs w:val="20"/>
              </w:rPr>
              <w:t xml:space="preserve">Obdobně se zjišťoval i přepočet HDP na zaměstnaného (v </w:t>
            </w:r>
            <w:proofErr w:type="gramStart"/>
            <w:r w:rsidRPr="00FC337B">
              <w:rPr>
                <w:rFonts w:ascii="Arial" w:hAnsi="Arial" w:cs="Arial"/>
                <w:sz w:val="20"/>
                <w:szCs w:val="20"/>
              </w:rPr>
              <w:t xml:space="preserve">Kč </w:t>
            </w:r>
            <w:proofErr w:type="spellStart"/>
            <w:r w:rsidRPr="00FC337B">
              <w:rPr>
                <w:rFonts w:ascii="Arial" w:hAnsi="Arial" w:cs="Arial"/>
                <w:sz w:val="20"/>
                <w:szCs w:val="20"/>
              </w:rPr>
              <w:t>b.c</w:t>
            </w:r>
            <w:proofErr w:type="spellEnd"/>
            <w:r w:rsidRPr="00FC337B">
              <w:rPr>
                <w:rFonts w:ascii="Arial" w:hAnsi="Arial" w:cs="Arial"/>
                <w:sz w:val="20"/>
                <w:szCs w:val="20"/>
              </w:rPr>
              <w:t>.</w:t>
            </w:r>
            <w:proofErr w:type="gramEnd"/>
            <w:r w:rsidRPr="00FC337B">
              <w:rPr>
                <w:rFonts w:ascii="Arial" w:hAnsi="Arial" w:cs="Arial"/>
                <w:sz w:val="20"/>
                <w:szCs w:val="20"/>
              </w:rPr>
              <w:t xml:space="preserve">), tedy zaměstnaní celkem, včetně </w:t>
            </w:r>
            <w:proofErr w:type="spellStart"/>
            <w:r w:rsidRPr="00FC337B">
              <w:rPr>
                <w:rFonts w:ascii="Arial" w:hAnsi="Arial" w:cs="Arial"/>
                <w:sz w:val="20"/>
                <w:szCs w:val="20"/>
              </w:rPr>
              <w:t>sebezaměstnaných</w:t>
            </w:r>
            <w:proofErr w:type="spellEnd"/>
            <w:r w:rsidRPr="00FC337B">
              <w:rPr>
                <w:rFonts w:ascii="Arial" w:hAnsi="Arial" w:cs="Arial"/>
                <w:sz w:val="20"/>
                <w:szCs w:val="20"/>
              </w:rPr>
              <w:t xml:space="preserve">, také zjišťované podle místa pracoviště. Do roku 2012 byly vykazovány meziroční přírůstky. V roce 2008 vzrostl HDP na zaměstnaného o 7,2 %, v následujícím roce o 3,0 % a v roce 2012 o 1,1 % na 726 184 Kč. V následujícím roce 2013 však byl zaznamenán meziroční pokles o 2,2 % (o 16,1 tis. Kč) na 710 113 Kč. Mezi kraji se Zlínský kraj v roce 2008 umístil na 7. </w:t>
            </w:r>
            <w:r w:rsidR="001C45D0">
              <w:rPr>
                <w:rFonts w:ascii="Arial" w:hAnsi="Arial" w:cs="Arial"/>
                <w:sz w:val="20"/>
                <w:szCs w:val="20"/>
              </w:rPr>
              <w:t>p</w:t>
            </w:r>
            <w:r w:rsidRPr="00FC337B">
              <w:rPr>
                <w:rFonts w:ascii="Arial" w:hAnsi="Arial" w:cs="Arial"/>
                <w:sz w:val="20"/>
                <w:szCs w:val="20"/>
              </w:rPr>
              <w:t>říčce stejně jako v následujícím roce. V roce 2012 obsadil 8. místo a v roce 2013 sestoupil o další příčku na 9. pozici. Také v tomto přepočtu zlínské hodnoty nedosáhl</w:t>
            </w:r>
            <w:r w:rsidR="00BE5491">
              <w:rPr>
                <w:rFonts w:ascii="Arial" w:hAnsi="Arial" w:cs="Arial"/>
                <w:sz w:val="20"/>
                <w:szCs w:val="20"/>
              </w:rPr>
              <w:t>y</w:t>
            </w:r>
            <w:r w:rsidRPr="00FC337B">
              <w:rPr>
                <w:rFonts w:ascii="Arial" w:hAnsi="Arial" w:cs="Arial"/>
                <w:sz w:val="20"/>
                <w:szCs w:val="20"/>
              </w:rPr>
              <w:t xml:space="preserve"> v celé časové řadě celorepublikové hodnoty. V roce 2008 dosahovala zlínská hodnota přepočtu 88,2 % a v roce 2009 91,4 % republikové. V roce 2013, ve kterém byla od</w:t>
            </w:r>
            <w:r w:rsidR="00E37662">
              <w:rPr>
                <w:rFonts w:ascii="Arial" w:hAnsi="Arial" w:cs="Arial"/>
                <w:sz w:val="20"/>
                <w:szCs w:val="20"/>
              </w:rPr>
              <w:t> </w:t>
            </w:r>
            <w:r w:rsidRPr="00FC337B">
              <w:rPr>
                <w:rFonts w:ascii="Arial" w:hAnsi="Arial" w:cs="Arial"/>
                <w:sz w:val="20"/>
                <w:szCs w:val="20"/>
              </w:rPr>
              <w:t>republikové o 93,7 tis. Kč nižší, činila 88,3 % celorepublikové hodnoty.</w:t>
            </w:r>
          </w:p>
        </w:tc>
      </w:tr>
      <w:tr w:rsidR="004B7002" w:rsidRPr="002A2821" w:rsidTr="00DF6178">
        <w:trPr>
          <w:cantSplit/>
          <w:trHeight w:val="255"/>
        </w:trPr>
        <w:tc>
          <w:tcPr>
            <w:tcW w:w="9611" w:type="dxa"/>
            <w:gridSpan w:val="3"/>
            <w:tcMar>
              <w:left w:w="85" w:type="dxa"/>
              <w:right w:w="85" w:type="dxa"/>
            </w:tcMar>
          </w:tcPr>
          <w:p w:rsidR="004B7002" w:rsidRPr="00C35058" w:rsidRDefault="00FC337B" w:rsidP="006911B0">
            <w:pPr>
              <w:spacing w:before="60" w:after="60"/>
              <w:rPr>
                <w:b/>
                <w:bCs/>
                <w:szCs w:val="20"/>
                <w:highlight w:val="yellow"/>
              </w:rPr>
            </w:pPr>
            <w:r w:rsidRPr="00FC337B">
              <w:rPr>
                <w:b/>
                <w:bCs/>
                <w:szCs w:val="20"/>
              </w:rPr>
              <w:lastRenderedPageBreak/>
              <w:t xml:space="preserve">Graf </w:t>
            </w:r>
            <w:r w:rsidR="006911B0">
              <w:rPr>
                <w:b/>
                <w:bCs/>
                <w:szCs w:val="20"/>
              </w:rPr>
              <w:t>3.</w:t>
            </w:r>
            <w:r w:rsidRPr="00FC337B">
              <w:rPr>
                <w:b/>
                <w:bCs/>
                <w:szCs w:val="20"/>
              </w:rPr>
              <w:t>2 Regionální HDP ve stálých cenách (předchozí rok = 100)</w:t>
            </w:r>
          </w:p>
        </w:tc>
      </w:tr>
      <w:tr w:rsidR="004B7002" w:rsidRPr="002A2821" w:rsidTr="00DF6178">
        <w:trPr>
          <w:trHeight w:val="4358"/>
        </w:trPr>
        <w:tc>
          <w:tcPr>
            <w:tcW w:w="9611" w:type="dxa"/>
            <w:gridSpan w:val="3"/>
            <w:tcMar>
              <w:left w:w="85" w:type="dxa"/>
              <w:right w:w="85" w:type="dxa"/>
            </w:tcMar>
            <w:vAlign w:val="center"/>
          </w:tcPr>
          <w:p w:rsidR="004B7002" w:rsidRDefault="009956CB" w:rsidP="00F22FA0">
            <w:pPr>
              <w:rPr>
                <w:szCs w:val="20"/>
              </w:rPr>
            </w:pPr>
            <w:r w:rsidRPr="00286EFA">
              <w:rPr>
                <w:szCs w:val="20"/>
              </w:rPr>
              <w:pict>
                <v:shape id="_x0000_i1082" type="#_x0000_t75" style="width:471.75pt;height:229.5pt">
                  <v:imagedata r:id="rId75" o:title=""/>
                </v:shape>
              </w:pict>
            </w:r>
          </w:p>
          <w:p w:rsidR="00FC337B" w:rsidRPr="00C35058" w:rsidRDefault="00FC337B" w:rsidP="00F22FA0">
            <w:pPr>
              <w:rPr>
                <w:szCs w:val="20"/>
                <w:highlight w:val="yellow"/>
              </w:rPr>
            </w:pPr>
          </w:p>
        </w:tc>
      </w:tr>
      <w:tr w:rsidR="004B7002" w:rsidRPr="00572B30" w:rsidTr="00DF6178">
        <w:tc>
          <w:tcPr>
            <w:tcW w:w="2496" w:type="dxa"/>
            <w:gridSpan w:val="2"/>
            <w:tcMar>
              <w:left w:w="85" w:type="dxa"/>
              <w:right w:w="85" w:type="dxa"/>
            </w:tcMar>
          </w:tcPr>
          <w:p w:rsidR="004B7002" w:rsidRPr="00C35058" w:rsidRDefault="00FC337B" w:rsidP="00FC337B">
            <w:pPr>
              <w:spacing w:before="60" w:after="60"/>
              <w:jc w:val="left"/>
              <w:rPr>
                <w:b/>
                <w:i/>
                <w:szCs w:val="20"/>
                <w:highlight w:val="yellow"/>
              </w:rPr>
            </w:pPr>
            <w:r w:rsidRPr="00FC337B">
              <w:rPr>
                <w:b/>
                <w:i/>
                <w:szCs w:val="20"/>
              </w:rPr>
              <w:t>Vývoj HDP ve stálých cenách vykazuje v</w:t>
            </w:r>
            <w:r>
              <w:rPr>
                <w:b/>
                <w:i/>
                <w:szCs w:val="20"/>
              </w:rPr>
              <w:t> </w:t>
            </w:r>
            <w:r w:rsidRPr="00FC337B">
              <w:rPr>
                <w:b/>
                <w:i/>
                <w:szCs w:val="20"/>
              </w:rPr>
              <w:t>posledních pěti letech klesající trend</w:t>
            </w:r>
          </w:p>
        </w:tc>
        <w:tc>
          <w:tcPr>
            <w:tcW w:w="7115" w:type="dxa"/>
            <w:tcMar>
              <w:left w:w="85" w:type="dxa"/>
              <w:right w:w="85" w:type="dxa"/>
            </w:tcMar>
            <w:vAlign w:val="center"/>
          </w:tcPr>
          <w:p w:rsidR="00953DD0" w:rsidRPr="00953DD0" w:rsidRDefault="00953DD0" w:rsidP="00953DD0">
            <w:pPr>
              <w:pStyle w:val="Normlnweb"/>
              <w:spacing w:before="60" w:beforeAutospacing="0" w:after="60" w:afterAutospacing="0"/>
              <w:jc w:val="both"/>
              <w:rPr>
                <w:rFonts w:ascii="Arial" w:hAnsi="Arial" w:cs="Arial"/>
                <w:sz w:val="20"/>
                <w:szCs w:val="20"/>
              </w:rPr>
            </w:pPr>
            <w:r w:rsidRPr="00953DD0">
              <w:rPr>
                <w:rFonts w:ascii="Arial" w:hAnsi="Arial" w:cs="Arial"/>
                <w:sz w:val="20"/>
                <w:szCs w:val="20"/>
              </w:rPr>
              <w:t xml:space="preserve">Při použití časové řady regionálních HDP ve stálých cenách (předchozí rok = 100) je zřejmý nástup ekonomické recese. K poklesu HDP došlo už v roce 2008 u čtyř </w:t>
            </w:r>
            <w:proofErr w:type="gramStart"/>
            <w:r w:rsidRPr="00953DD0">
              <w:rPr>
                <w:rFonts w:ascii="Arial" w:hAnsi="Arial" w:cs="Arial"/>
                <w:sz w:val="20"/>
                <w:szCs w:val="20"/>
              </w:rPr>
              <w:t>krajů,  a to</w:t>
            </w:r>
            <w:proofErr w:type="gramEnd"/>
            <w:r w:rsidRPr="00953DD0">
              <w:rPr>
                <w:rFonts w:ascii="Arial" w:hAnsi="Arial" w:cs="Arial"/>
                <w:sz w:val="20"/>
                <w:szCs w:val="20"/>
              </w:rPr>
              <w:t xml:space="preserve"> u Jihočeského o 0,6 %, Plzeňského o 2,3 %, Karlovarského o 3,0 % a u Kraje Vysočina o 0,4 %. V tomto zlomovém roce vykázaly Zlínský a Středočeský kraj nejvyšší meziroční nárůst shodně o</w:t>
            </w:r>
            <w:r w:rsidR="00BE5491">
              <w:rPr>
                <w:rFonts w:ascii="Arial" w:hAnsi="Arial" w:cs="Arial"/>
                <w:sz w:val="20"/>
                <w:szCs w:val="20"/>
              </w:rPr>
              <w:t> </w:t>
            </w:r>
            <w:r w:rsidRPr="00953DD0">
              <w:rPr>
                <w:rFonts w:ascii="Arial" w:hAnsi="Arial" w:cs="Arial"/>
                <w:sz w:val="20"/>
                <w:szCs w:val="20"/>
              </w:rPr>
              <w:t>7,6</w:t>
            </w:r>
            <w:r w:rsidR="00BE5491">
              <w:rPr>
                <w:rFonts w:ascii="Arial" w:hAnsi="Arial" w:cs="Arial"/>
                <w:sz w:val="20"/>
                <w:szCs w:val="20"/>
              </w:rPr>
              <w:t> </w:t>
            </w:r>
            <w:r w:rsidRPr="00953DD0">
              <w:rPr>
                <w:rFonts w:ascii="Arial" w:hAnsi="Arial" w:cs="Arial"/>
                <w:sz w:val="20"/>
                <w:szCs w:val="20"/>
              </w:rPr>
              <w:t>%. V následujícím roce 2009 se recese projevila už ve všech krajích. Ve</w:t>
            </w:r>
            <w:r>
              <w:rPr>
                <w:rFonts w:ascii="Arial" w:hAnsi="Arial" w:cs="Arial"/>
                <w:sz w:val="20"/>
                <w:szCs w:val="20"/>
              </w:rPr>
              <w:t> </w:t>
            </w:r>
            <w:r w:rsidRPr="00953DD0">
              <w:rPr>
                <w:rFonts w:ascii="Arial" w:hAnsi="Arial" w:cs="Arial"/>
                <w:sz w:val="20"/>
                <w:szCs w:val="20"/>
              </w:rPr>
              <w:t xml:space="preserve">všech krajích došlo k meziročnímu poklesu HDP ve </w:t>
            </w:r>
            <w:proofErr w:type="gramStart"/>
            <w:r w:rsidRPr="00953DD0">
              <w:rPr>
                <w:rFonts w:ascii="Arial" w:hAnsi="Arial" w:cs="Arial"/>
                <w:sz w:val="20"/>
                <w:szCs w:val="20"/>
              </w:rPr>
              <w:t>s.</w:t>
            </w:r>
            <w:proofErr w:type="spellStart"/>
            <w:r w:rsidRPr="00953DD0">
              <w:rPr>
                <w:rFonts w:ascii="Arial" w:hAnsi="Arial" w:cs="Arial"/>
                <w:sz w:val="20"/>
                <w:szCs w:val="20"/>
              </w:rPr>
              <w:t>c</w:t>
            </w:r>
            <w:proofErr w:type="spellEnd"/>
            <w:r w:rsidRPr="00953DD0">
              <w:rPr>
                <w:rFonts w:ascii="Arial" w:hAnsi="Arial" w:cs="Arial"/>
                <w:sz w:val="20"/>
                <w:szCs w:val="20"/>
              </w:rPr>
              <w:t>.</w:t>
            </w:r>
            <w:proofErr w:type="gramEnd"/>
            <w:r w:rsidRPr="00953DD0">
              <w:rPr>
                <w:rFonts w:ascii="Arial" w:hAnsi="Arial" w:cs="Arial"/>
                <w:sz w:val="20"/>
                <w:szCs w:val="20"/>
              </w:rPr>
              <w:t>, a to v rozmezí od 0,6 % (Plzeňský kraj) po 7,6 % (Moravskoslezský kraj). Zlínský kraj zaznamenal v tomto roce pokles o 3,3 %. V dalším roce meziročně poklesla hodnota HDP jen v Karlovarském (o 1,7 %) a Ústeckém kraji (o 3,2 %). V</w:t>
            </w:r>
            <w:r>
              <w:rPr>
                <w:rFonts w:ascii="Arial" w:hAnsi="Arial" w:cs="Arial"/>
                <w:sz w:val="20"/>
                <w:szCs w:val="20"/>
              </w:rPr>
              <w:t> </w:t>
            </w:r>
            <w:r w:rsidRPr="00953DD0">
              <w:rPr>
                <w:rFonts w:ascii="Arial" w:hAnsi="Arial" w:cs="Arial"/>
                <w:sz w:val="20"/>
                <w:szCs w:val="20"/>
              </w:rPr>
              <w:t xml:space="preserve">ostatních krajích se projevily meziroční přírůstky v rozmezí od 1,1 % (Jihočeský kraj) po 5,2 % (Plzeňský kraj). Zlínský kraj v roce 2010 vykázal meziroční zvýšení HDP ve </w:t>
            </w:r>
            <w:proofErr w:type="gramStart"/>
            <w:r w:rsidRPr="00953DD0">
              <w:rPr>
                <w:rFonts w:ascii="Arial" w:hAnsi="Arial" w:cs="Arial"/>
                <w:sz w:val="20"/>
                <w:szCs w:val="20"/>
              </w:rPr>
              <w:t>s.</w:t>
            </w:r>
            <w:proofErr w:type="spellStart"/>
            <w:r w:rsidRPr="00953DD0">
              <w:rPr>
                <w:rFonts w:ascii="Arial" w:hAnsi="Arial" w:cs="Arial"/>
                <w:sz w:val="20"/>
                <w:szCs w:val="20"/>
              </w:rPr>
              <w:t>c</w:t>
            </w:r>
            <w:proofErr w:type="spellEnd"/>
            <w:r w:rsidRPr="00953DD0">
              <w:rPr>
                <w:rFonts w:ascii="Arial" w:hAnsi="Arial" w:cs="Arial"/>
                <w:sz w:val="20"/>
                <w:szCs w:val="20"/>
              </w:rPr>
              <w:t>.</w:t>
            </w:r>
            <w:proofErr w:type="gramEnd"/>
            <w:r w:rsidRPr="00953DD0">
              <w:rPr>
                <w:rFonts w:ascii="Arial" w:hAnsi="Arial" w:cs="Arial"/>
                <w:sz w:val="20"/>
                <w:szCs w:val="20"/>
              </w:rPr>
              <w:t xml:space="preserve"> o 2,0 % a také i v následujícím roce 2011 nárůst o 2,3 %. V roce 2012 se kromě tří krajů (Jihomoravského, Libereckého a Jihočeského) projevilo snížení, a to od 0,2 % (v Hl. městě Praze) do 6,8 % (v Pardubickém kraji). Ve Zlínském kraji byl v tomto roce zjištěn meziroční pokles o 2,1 %. V roce 2013 byl nárůst proti předchozímu roku zaznamenán v Jihomoravském, Plzeňském, Karlovarském kraji a také v Hl. městě Praze. U</w:t>
            </w:r>
            <w:r>
              <w:rPr>
                <w:rFonts w:ascii="Arial" w:hAnsi="Arial" w:cs="Arial"/>
                <w:sz w:val="20"/>
                <w:szCs w:val="20"/>
              </w:rPr>
              <w:t> </w:t>
            </w:r>
            <w:r w:rsidRPr="00953DD0">
              <w:rPr>
                <w:rFonts w:ascii="Arial" w:hAnsi="Arial" w:cs="Arial"/>
                <w:sz w:val="20"/>
                <w:szCs w:val="20"/>
              </w:rPr>
              <w:t>ostatních krajů byl spočítán meziroční pokles regionálního HDP, z toho ve</w:t>
            </w:r>
            <w:r>
              <w:rPr>
                <w:rFonts w:ascii="Arial" w:hAnsi="Arial" w:cs="Arial"/>
                <w:sz w:val="20"/>
                <w:szCs w:val="20"/>
              </w:rPr>
              <w:t> </w:t>
            </w:r>
            <w:r w:rsidRPr="00953DD0">
              <w:rPr>
                <w:rFonts w:ascii="Arial" w:hAnsi="Arial" w:cs="Arial"/>
                <w:sz w:val="20"/>
                <w:szCs w:val="20"/>
              </w:rPr>
              <w:t>Zlínském kraji o 0,2 %.</w:t>
            </w:r>
          </w:p>
          <w:p w:rsidR="004B7002" w:rsidRPr="00C35058" w:rsidRDefault="00953DD0" w:rsidP="00953DD0">
            <w:pPr>
              <w:pStyle w:val="Normlnweb"/>
              <w:spacing w:before="60" w:beforeAutospacing="0" w:after="60" w:afterAutospacing="0"/>
              <w:jc w:val="both"/>
              <w:rPr>
                <w:rFonts w:ascii="Arial" w:hAnsi="Arial" w:cs="Arial"/>
                <w:sz w:val="20"/>
                <w:szCs w:val="20"/>
                <w:highlight w:val="yellow"/>
              </w:rPr>
            </w:pPr>
            <w:r w:rsidRPr="00953DD0">
              <w:rPr>
                <w:rFonts w:ascii="Arial" w:hAnsi="Arial" w:cs="Arial"/>
                <w:sz w:val="20"/>
                <w:szCs w:val="20"/>
              </w:rPr>
              <w:t>Celkově v celé republice se HDP ve stálých cenách (předchozí rok = 100) snížil v posledním roce sledovaného období o 0,7 %.</w:t>
            </w:r>
          </w:p>
        </w:tc>
      </w:tr>
      <w:tr w:rsidR="004B7002" w:rsidRPr="00572B30" w:rsidTr="00DF6178">
        <w:trPr>
          <w:trHeight w:val="1688"/>
        </w:trPr>
        <w:tc>
          <w:tcPr>
            <w:tcW w:w="2496" w:type="dxa"/>
            <w:gridSpan w:val="2"/>
            <w:tcMar>
              <w:left w:w="85" w:type="dxa"/>
              <w:right w:w="85" w:type="dxa"/>
            </w:tcMar>
          </w:tcPr>
          <w:p w:rsidR="004B7002" w:rsidRPr="00C35058" w:rsidRDefault="004B7002" w:rsidP="004B7002">
            <w:pPr>
              <w:spacing w:before="60" w:after="60"/>
              <w:jc w:val="left"/>
              <w:rPr>
                <w:b/>
                <w:i/>
                <w:szCs w:val="20"/>
                <w:highlight w:val="yellow"/>
              </w:rPr>
            </w:pPr>
          </w:p>
        </w:tc>
        <w:tc>
          <w:tcPr>
            <w:tcW w:w="7115" w:type="dxa"/>
            <w:tcMar>
              <w:left w:w="85" w:type="dxa"/>
              <w:right w:w="85" w:type="dxa"/>
            </w:tcMar>
            <w:vAlign w:val="center"/>
          </w:tcPr>
          <w:p w:rsidR="00953DD0" w:rsidRPr="00953DD0" w:rsidRDefault="00953DD0" w:rsidP="00953DD0">
            <w:pPr>
              <w:pStyle w:val="Normlnweb"/>
              <w:spacing w:before="60" w:beforeAutospacing="0" w:after="60" w:afterAutospacing="0"/>
              <w:jc w:val="both"/>
              <w:rPr>
                <w:rFonts w:ascii="Arial" w:eastAsia="+mn-ea" w:hAnsi="Arial" w:cs="Arial"/>
                <w:color w:val="000000"/>
                <w:sz w:val="20"/>
                <w:szCs w:val="20"/>
              </w:rPr>
            </w:pPr>
            <w:r w:rsidRPr="00953DD0">
              <w:rPr>
                <w:rFonts w:ascii="Arial" w:eastAsia="+mn-ea" w:hAnsi="Arial" w:cs="Arial"/>
                <w:color w:val="000000"/>
                <w:sz w:val="20"/>
                <w:szCs w:val="20"/>
              </w:rPr>
              <w:t>Z časové řady regionálních HDP ve stálých cenách, kdy rok 2000 = 100, je u</w:t>
            </w:r>
            <w:r w:rsidR="000C6D89">
              <w:rPr>
                <w:rFonts w:ascii="Arial" w:eastAsia="+mn-ea" w:hAnsi="Arial" w:cs="Arial"/>
                <w:color w:val="000000"/>
                <w:sz w:val="20"/>
                <w:szCs w:val="20"/>
              </w:rPr>
              <w:t> </w:t>
            </w:r>
            <w:r w:rsidRPr="00953DD0">
              <w:rPr>
                <w:rFonts w:ascii="Arial" w:eastAsia="+mn-ea" w:hAnsi="Arial" w:cs="Arial"/>
                <w:color w:val="000000"/>
                <w:sz w:val="20"/>
                <w:szCs w:val="20"/>
              </w:rPr>
              <w:t>Zlínského kraje zřejmé stálé zvyšování indexu. V roce 2008 dosáhl index 150,3. V roce 2009 bylo zvýšení pouze 45,3 %. Od roku 2010 se přírůstky zvyšovaly a v roce 2011 index dosáhl hodnoty 151,7. V dalších dvou letech se přírůstky zmenšovaly. V roce 2012 dosáhly 48,6 % a v roce 2013 48,3 %.</w:t>
            </w:r>
          </w:p>
          <w:p w:rsidR="004B7002" w:rsidRPr="00C35058" w:rsidRDefault="00953DD0" w:rsidP="00953DD0">
            <w:pPr>
              <w:pStyle w:val="Normlnweb"/>
              <w:spacing w:before="60" w:beforeAutospacing="0" w:after="60" w:afterAutospacing="0"/>
              <w:jc w:val="both"/>
              <w:rPr>
                <w:rFonts w:ascii="Arial" w:eastAsia="+mn-ea" w:hAnsi="Arial" w:cs="Arial"/>
                <w:color w:val="000000"/>
                <w:sz w:val="20"/>
                <w:szCs w:val="20"/>
                <w:highlight w:val="yellow"/>
              </w:rPr>
            </w:pPr>
            <w:r w:rsidRPr="00953DD0">
              <w:rPr>
                <w:rFonts w:ascii="Arial" w:eastAsia="+mn-ea" w:hAnsi="Arial" w:cs="Arial"/>
                <w:color w:val="000000"/>
                <w:sz w:val="20"/>
                <w:szCs w:val="20"/>
              </w:rPr>
              <w:t xml:space="preserve">V roce 2008 byl zlínský přírůstek proti republikovému vyšší o 9,8 </w:t>
            </w:r>
            <w:proofErr w:type="spellStart"/>
            <w:proofErr w:type="gramStart"/>
            <w:r w:rsidRPr="00953DD0">
              <w:rPr>
                <w:rFonts w:ascii="Arial" w:eastAsia="+mn-ea" w:hAnsi="Arial" w:cs="Arial"/>
                <w:color w:val="000000"/>
                <w:sz w:val="20"/>
                <w:szCs w:val="20"/>
              </w:rPr>
              <w:t>p.b</w:t>
            </w:r>
            <w:proofErr w:type="spellEnd"/>
            <w:r w:rsidRPr="00953DD0">
              <w:rPr>
                <w:rFonts w:ascii="Arial" w:eastAsia="+mn-ea" w:hAnsi="Arial" w:cs="Arial"/>
                <w:color w:val="000000"/>
                <w:sz w:val="20"/>
                <w:szCs w:val="20"/>
              </w:rPr>
              <w:t>., v roce</w:t>
            </w:r>
            <w:proofErr w:type="gramEnd"/>
            <w:r w:rsidRPr="00953DD0">
              <w:rPr>
                <w:rFonts w:ascii="Arial" w:eastAsia="+mn-ea" w:hAnsi="Arial" w:cs="Arial"/>
                <w:color w:val="000000"/>
                <w:sz w:val="20"/>
                <w:szCs w:val="20"/>
              </w:rPr>
              <w:t xml:space="preserve"> 2009 o 11,7 </w:t>
            </w:r>
            <w:proofErr w:type="spellStart"/>
            <w:r w:rsidRPr="00953DD0">
              <w:rPr>
                <w:rFonts w:ascii="Arial" w:eastAsia="+mn-ea" w:hAnsi="Arial" w:cs="Arial"/>
                <w:color w:val="000000"/>
                <w:sz w:val="20"/>
                <w:szCs w:val="20"/>
              </w:rPr>
              <w:t>p.b</w:t>
            </w:r>
            <w:proofErr w:type="spellEnd"/>
            <w:r w:rsidRPr="00953DD0">
              <w:rPr>
                <w:rFonts w:ascii="Arial" w:eastAsia="+mn-ea" w:hAnsi="Arial" w:cs="Arial"/>
                <w:color w:val="000000"/>
                <w:sz w:val="20"/>
                <w:szCs w:val="20"/>
              </w:rPr>
              <w:t xml:space="preserve">. a v roce 2013 byl vyšší o 11,0 </w:t>
            </w:r>
            <w:proofErr w:type="spellStart"/>
            <w:r w:rsidRPr="00953DD0">
              <w:rPr>
                <w:rFonts w:ascii="Arial" w:eastAsia="+mn-ea" w:hAnsi="Arial" w:cs="Arial"/>
                <w:color w:val="000000"/>
                <w:sz w:val="20"/>
                <w:szCs w:val="20"/>
              </w:rPr>
              <w:t>p.b</w:t>
            </w:r>
            <w:proofErr w:type="spellEnd"/>
            <w:r w:rsidRPr="00953DD0">
              <w:rPr>
                <w:rFonts w:ascii="Arial" w:eastAsia="+mn-ea" w:hAnsi="Arial" w:cs="Arial"/>
                <w:color w:val="000000"/>
                <w:sz w:val="20"/>
                <w:szCs w:val="20"/>
              </w:rPr>
              <w:t>.</w:t>
            </w:r>
          </w:p>
        </w:tc>
      </w:tr>
      <w:tr w:rsidR="004B7002" w:rsidRPr="00572B30" w:rsidTr="00DF6178">
        <w:tc>
          <w:tcPr>
            <w:tcW w:w="2496" w:type="dxa"/>
            <w:gridSpan w:val="2"/>
            <w:tcMar>
              <w:left w:w="85" w:type="dxa"/>
              <w:right w:w="85" w:type="dxa"/>
            </w:tcMar>
          </w:tcPr>
          <w:p w:rsidR="004B7002" w:rsidRPr="00C35058" w:rsidRDefault="004B7002" w:rsidP="004B7002">
            <w:pPr>
              <w:spacing w:before="60" w:after="60"/>
              <w:jc w:val="left"/>
              <w:rPr>
                <w:b/>
                <w:i/>
                <w:szCs w:val="20"/>
                <w:highlight w:val="yellow"/>
              </w:rPr>
            </w:pPr>
          </w:p>
        </w:tc>
        <w:tc>
          <w:tcPr>
            <w:tcW w:w="7115" w:type="dxa"/>
            <w:tcMar>
              <w:left w:w="85" w:type="dxa"/>
              <w:right w:w="85" w:type="dxa"/>
            </w:tcMar>
            <w:vAlign w:val="center"/>
          </w:tcPr>
          <w:p w:rsidR="004B7002" w:rsidRPr="00C35058" w:rsidRDefault="00953DD0" w:rsidP="000C6D89">
            <w:pPr>
              <w:pStyle w:val="Normlnweb"/>
              <w:spacing w:before="60" w:beforeAutospacing="0" w:after="60" w:afterAutospacing="0"/>
              <w:jc w:val="both"/>
              <w:rPr>
                <w:rFonts w:ascii="Arial" w:hAnsi="Arial" w:cs="Arial"/>
                <w:sz w:val="20"/>
                <w:szCs w:val="20"/>
                <w:highlight w:val="yellow"/>
              </w:rPr>
            </w:pPr>
            <w:r w:rsidRPr="00953DD0">
              <w:rPr>
                <w:rFonts w:ascii="Arial" w:hAnsi="Arial" w:cs="Arial"/>
                <w:sz w:val="20"/>
                <w:szCs w:val="20"/>
              </w:rPr>
              <w:t>Podle zveřejněných údajů přepočtu EU28 HDP na obyvatele v PPS,EU28 = 100 (%) nelze zlínský vývoj hodnotit příznivě. V roce 2011 (starší roky nejsou metodicky dostupné) kraj svým HDP na obyvatele v PPS dosáhl 69 % průměrného HDP na obyvatele EU28=100 (republiková hodnota dosáhla 83</w:t>
            </w:r>
            <w:r w:rsidR="000C6D89">
              <w:rPr>
                <w:rFonts w:ascii="Arial" w:hAnsi="Arial" w:cs="Arial"/>
                <w:sz w:val="20"/>
                <w:szCs w:val="20"/>
              </w:rPr>
              <w:t> </w:t>
            </w:r>
            <w:r w:rsidRPr="00953DD0">
              <w:rPr>
                <w:rFonts w:ascii="Arial" w:hAnsi="Arial" w:cs="Arial"/>
                <w:sz w:val="20"/>
                <w:szCs w:val="20"/>
              </w:rPr>
              <w:t xml:space="preserve">%) a v posledním roce 2013 70 % (republikový podíl činil 82 %). Přepočtený zlínský HDP na obyvatele v PPS vzrostl z 18 075 PPS v roce 2011 na 18 572 PPS v roce 2013. Podle přepočtu HDP na obyvatele v </w:t>
            </w:r>
            <w:proofErr w:type="gramStart"/>
            <w:r w:rsidRPr="00953DD0">
              <w:rPr>
                <w:rFonts w:ascii="Arial" w:hAnsi="Arial" w:cs="Arial"/>
                <w:sz w:val="20"/>
                <w:szCs w:val="20"/>
              </w:rPr>
              <w:t>EUR</w:t>
            </w:r>
            <w:proofErr w:type="gramEnd"/>
            <w:r w:rsidRPr="00953DD0">
              <w:rPr>
                <w:rFonts w:ascii="Arial" w:hAnsi="Arial" w:cs="Arial"/>
                <w:sz w:val="20"/>
                <w:szCs w:val="20"/>
              </w:rPr>
              <w:t xml:space="preserve">, EU28 = 100 (%) dosáhl v roce 2011 zlínský podíl 50 % průměrné hodnoty EU28 (republiková hodnota v roce 2011 dosáhla 60 %) a v roce 2013 48 % (republikový podíl činil 56 %). Zlínský HDP na 1 obyvatele v </w:t>
            </w:r>
            <w:proofErr w:type="gramStart"/>
            <w:r w:rsidRPr="00953DD0">
              <w:rPr>
                <w:rFonts w:ascii="Arial" w:hAnsi="Arial" w:cs="Arial"/>
                <w:sz w:val="20"/>
                <w:szCs w:val="20"/>
              </w:rPr>
              <w:t>EUR</w:t>
            </w:r>
            <w:proofErr w:type="gramEnd"/>
            <w:r w:rsidRPr="00953DD0">
              <w:rPr>
                <w:rFonts w:ascii="Arial" w:hAnsi="Arial" w:cs="Arial"/>
                <w:sz w:val="20"/>
                <w:szCs w:val="20"/>
              </w:rPr>
              <w:t xml:space="preserve"> se snížil z</w:t>
            </w:r>
            <w:r w:rsidR="000C6D89">
              <w:rPr>
                <w:rFonts w:ascii="Arial" w:hAnsi="Arial" w:cs="Arial"/>
                <w:sz w:val="20"/>
                <w:szCs w:val="20"/>
              </w:rPr>
              <w:t> </w:t>
            </w:r>
            <w:r w:rsidRPr="00953DD0">
              <w:rPr>
                <w:rFonts w:ascii="Arial" w:hAnsi="Arial" w:cs="Arial"/>
                <w:sz w:val="20"/>
                <w:szCs w:val="20"/>
              </w:rPr>
              <w:t>13 052 v roce 2011 na 12 679 EUR v roce 2013.</w:t>
            </w:r>
          </w:p>
        </w:tc>
      </w:tr>
      <w:tr w:rsidR="004B7002" w:rsidRPr="006B7F6E" w:rsidTr="00DF6178">
        <w:trPr>
          <w:cantSplit/>
          <w:trHeight w:val="255"/>
        </w:trPr>
        <w:tc>
          <w:tcPr>
            <w:tcW w:w="9611" w:type="dxa"/>
            <w:gridSpan w:val="3"/>
            <w:tcMar>
              <w:left w:w="85" w:type="dxa"/>
              <w:right w:w="85" w:type="dxa"/>
            </w:tcMar>
          </w:tcPr>
          <w:p w:rsidR="004B7002" w:rsidRPr="00C35058" w:rsidRDefault="009956CB" w:rsidP="004B7002">
            <w:pPr>
              <w:spacing w:before="120" w:after="60"/>
              <w:rPr>
                <w:b/>
                <w:bCs/>
                <w:szCs w:val="20"/>
                <w:highlight w:val="yellow"/>
              </w:rPr>
            </w:pPr>
            <w:r w:rsidRPr="00286EFA">
              <w:rPr>
                <w:b/>
                <w:bCs/>
                <w:szCs w:val="20"/>
                <w:highlight w:val="yellow"/>
              </w:rPr>
              <w:pict>
                <v:shape id="_x0000_i1083" type="#_x0000_t75" style="width:480.75pt;height:340.5pt">
                  <v:imagedata r:id="rId76" o:title="hdp_2009_2013"/>
                </v:shape>
              </w:pict>
            </w:r>
          </w:p>
        </w:tc>
      </w:tr>
      <w:tr w:rsidR="004B7002" w:rsidRPr="00572B30" w:rsidTr="00DF6178">
        <w:tc>
          <w:tcPr>
            <w:tcW w:w="2496" w:type="dxa"/>
            <w:gridSpan w:val="2"/>
            <w:tcMar>
              <w:left w:w="85" w:type="dxa"/>
              <w:right w:w="85" w:type="dxa"/>
            </w:tcMar>
          </w:tcPr>
          <w:p w:rsidR="004B7002" w:rsidRPr="00953DD0" w:rsidRDefault="00953DD0" w:rsidP="00953DD0">
            <w:pPr>
              <w:spacing w:before="60" w:after="60"/>
              <w:jc w:val="left"/>
              <w:rPr>
                <w:b/>
                <w:i/>
                <w:szCs w:val="20"/>
                <w:highlight w:val="yellow"/>
              </w:rPr>
            </w:pPr>
            <w:r w:rsidRPr="00953DD0">
              <w:rPr>
                <w:rFonts w:cs="Arial"/>
                <w:b/>
                <w:i/>
                <w:szCs w:val="20"/>
              </w:rPr>
              <w:t>Tvorba hrubého fixního kapitálu (THFK) v roce 2012 meziročně klesla o</w:t>
            </w:r>
            <w:r>
              <w:rPr>
                <w:rFonts w:cs="Arial"/>
                <w:b/>
                <w:i/>
                <w:szCs w:val="20"/>
              </w:rPr>
              <w:t> </w:t>
            </w:r>
            <w:r w:rsidRPr="00953DD0">
              <w:rPr>
                <w:rFonts w:cs="Arial"/>
                <w:b/>
                <w:i/>
                <w:szCs w:val="20"/>
              </w:rPr>
              <w:t>2,9 %</w:t>
            </w:r>
          </w:p>
        </w:tc>
        <w:tc>
          <w:tcPr>
            <w:tcW w:w="7115" w:type="dxa"/>
            <w:tcMar>
              <w:left w:w="85" w:type="dxa"/>
              <w:right w:w="85" w:type="dxa"/>
            </w:tcMar>
            <w:vAlign w:val="center"/>
          </w:tcPr>
          <w:p w:rsidR="004B7002" w:rsidRPr="00C35058" w:rsidRDefault="000B0451" w:rsidP="000B0451">
            <w:pPr>
              <w:pStyle w:val="Normlnweb"/>
              <w:spacing w:before="60" w:beforeAutospacing="0" w:after="60" w:afterAutospacing="0"/>
              <w:jc w:val="both"/>
              <w:rPr>
                <w:szCs w:val="20"/>
                <w:highlight w:val="yellow"/>
              </w:rPr>
            </w:pPr>
            <w:r w:rsidRPr="000B0451">
              <w:rPr>
                <w:rFonts w:ascii="Arial" w:eastAsia="+mn-ea" w:hAnsi="Arial" w:cs="Arial"/>
                <w:color w:val="000000"/>
                <w:sz w:val="20"/>
                <w:szCs w:val="20"/>
              </w:rPr>
              <w:t>Vývoj tvorby hrubého fixního kapitálu ve Zlínském kraji měl do roku 2008 vzrůstající trend. THFK v roce 2008 dosáhla 44 811 mil. Kč a v roce 2009 se meziročně propadla o 9,8 % na hodnotu 40 403 mil. Kč. V roce 2010 se opět projevil meziroční přírůstek o 8,4 % a její hodnota dosáhla 43 795 mil. Kč. V</w:t>
            </w:r>
            <w:r>
              <w:rPr>
                <w:rFonts w:ascii="Arial" w:eastAsia="+mn-ea" w:hAnsi="Arial" w:cs="Arial"/>
                <w:color w:val="000000"/>
                <w:sz w:val="20"/>
                <w:szCs w:val="20"/>
              </w:rPr>
              <w:t> </w:t>
            </w:r>
            <w:r w:rsidRPr="000B0451">
              <w:rPr>
                <w:rFonts w:ascii="Arial" w:eastAsia="+mn-ea" w:hAnsi="Arial" w:cs="Arial"/>
                <w:color w:val="000000"/>
                <w:sz w:val="20"/>
                <w:szCs w:val="20"/>
              </w:rPr>
              <w:t>roce 2011 THFK vzrostla o 2,0 % na 44 678 mil. Kč. Po poklesu 2,9 % v</w:t>
            </w:r>
            <w:r>
              <w:rPr>
                <w:rFonts w:ascii="Arial" w:eastAsia="+mn-ea" w:hAnsi="Arial" w:cs="Arial"/>
                <w:color w:val="000000"/>
                <w:sz w:val="20"/>
                <w:szCs w:val="20"/>
              </w:rPr>
              <w:t> </w:t>
            </w:r>
            <w:r w:rsidRPr="000B0451">
              <w:rPr>
                <w:rFonts w:ascii="Arial" w:eastAsia="+mn-ea" w:hAnsi="Arial" w:cs="Arial"/>
                <w:color w:val="000000"/>
                <w:sz w:val="20"/>
                <w:szCs w:val="20"/>
              </w:rPr>
              <w:t xml:space="preserve">roce 2012 dosáhla konečné výše 43 381 mil. </w:t>
            </w:r>
            <w:proofErr w:type="gramStart"/>
            <w:r w:rsidRPr="000B0451">
              <w:rPr>
                <w:rFonts w:ascii="Arial" w:eastAsia="+mn-ea" w:hAnsi="Arial" w:cs="Arial"/>
                <w:color w:val="000000"/>
                <w:sz w:val="20"/>
                <w:szCs w:val="20"/>
              </w:rPr>
              <w:t xml:space="preserve">Kč v </w:t>
            </w:r>
            <w:proofErr w:type="spellStart"/>
            <w:r w:rsidRPr="000B0451">
              <w:rPr>
                <w:rFonts w:ascii="Arial" w:eastAsia="+mn-ea" w:hAnsi="Arial" w:cs="Arial"/>
                <w:color w:val="000000"/>
                <w:sz w:val="20"/>
                <w:szCs w:val="20"/>
              </w:rPr>
              <w:t>b.c</w:t>
            </w:r>
            <w:proofErr w:type="spellEnd"/>
            <w:r w:rsidRPr="000B0451">
              <w:rPr>
                <w:rFonts w:ascii="Arial" w:eastAsia="+mn-ea" w:hAnsi="Arial" w:cs="Arial"/>
                <w:color w:val="000000"/>
                <w:sz w:val="20"/>
                <w:szCs w:val="20"/>
              </w:rPr>
              <w:t>.</w:t>
            </w:r>
            <w:proofErr w:type="gramEnd"/>
            <w:r w:rsidRPr="000B0451">
              <w:rPr>
                <w:rFonts w:ascii="Arial" w:eastAsia="+mn-ea" w:hAnsi="Arial" w:cs="Arial"/>
                <w:color w:val="000000"/>
                <w:sz w:val="20"/>
                <w:szCs w:val="20"/>
              </w:rPr>
              <w:t xml:space="preserve"> Podíl Zlínského kraje na republikové hodnotě tvorby hrubého fixního kapitálu činil v roce 2008 3,8 % stejně jako v roce 2009 a v roce 2012 dosáhl 4,1 %.</w:t>
            </w:r>
          </w:p>
        </w:tc>
      </w:tr>
      <w:tr w:rsidR="004B7002" w:rsidRPr="00572B30" w:rsidTr="00DF6178">
        <w:tc>
          <w:tcPr>
            <w:tcW w:w="2496" w:type="dxa"/>
            <w:gridSpan w:val="2"/>
            <w:tcMar>
              <w:left w:w="85" w:type="dxa"/>
              <w:right w:w="85" w:type="dxa"/>
            </w:tcMar>
          </w:tcPr>
          <w:p w:rsidR="004B7002" w:rsidRPr="00C35058" w:rsidRDefault="000B0451" w:rsidP="00E67CB0">
            <w:pPr>
              <w:spacing w:before="60" w:after="60"/>
              <w:jc w:val="left"/>
              <w:rPr>
                <w:b/>
                <w:i/>
                <w:szCs w:val="20"/>
                <w:highlight w:val="yellow"/>
              </w:rPr>
            </w:pPr>
            <w:r w:rsidRPr="000B0451">
              <w:rPr>
                <w:b/>
                <w:i/>
                <w:szCs w:val="20"/>
              </w:rPr>
              <w:t>THFK na obyvatele se meziročně snížila o</w:t>
            </w:r>
            <w:r w:rsidR="00E67CB0">
              <w:rPr>
                <w:b/>
                <w:i/>
                <w:szCs w:val="20"/>
              </w:rPr>
              <w:t> </w:t>
            </w:r>
            <w:r w:rsidRPr="000B0451">
              <w:rPr>
                <w:b/>
                <w:i/>
                <w:szCs w:val="20"/>
              </w:rPr>
              <w:t>2,7</w:t>
            </w:r>
            <w:r w:rsidR="00E67CB0">
              <w:rPr>
                <w:b/>
                <w:i/>
                <w:szCs w:val="20"/>
              </w:rPr>
              <w:t> </w:t>
            </w:r>
            <w:r w:rsidRPr="000B0451">
              <w:rPr>
                <w:b/>
                <w:i/>
                <w:szCs w:val="20"/>
              </w:rPr>
              <w:t>%</w:t>
            </w:r>
          </w:p>
        </w:tc>
        <w:tc>
          <w:tcPr>
            <w:tcW w:w="7115" w:type="dxa"/>
            <w:tcMar>
              <w:left w:w="85" w:type="dxa"/>
              <w:right w:w="85" w:type="dxa"/>
            </w:tcMar>
            <w:vAlign w:val="center"/>
          </w:tcPr>
          <w:p w:rsidR="004B7002" w:rsidRPr="00C35058" w:rsidRDefault="000B0451" w:rsidP="00934DD1">
            <w:pPr>
              <w:pStyle w:val="Normlnweb"/>
              <w:spacing w:before="60" w:beforeAutospacing="0" w:after="60" w:afterAutospacing="0"/>
              <w:jc w:val="both"/>
              <w:rPr>
                <w:szCs w:val="20"/>
                <w:highlight w:val="yellow"/>
              </w:rPr>
            </w:pPr>
            <w:r w:rsidRPr="000B0451">
              <w:rPr>
                <w:rFonts w:ascii="Arial" w:eastAsia="+mn-ea" w:hAnsi="Arial" w:cs="Arial"/>
                <w:color w:val="000000"/>
                <w:sz w:val="20"/>
                <w:szCs w:val="20"/>
              </w:rPr>
              <w:t xml:space="preserve">V přepočtu THFK na obyvatele bylo v kraji v roce 2008 dosaženo 75 811 </w:t>
            </w:r>
            <w:proofErr w:type="gramStart"/>
            <w:r w:rsidRPr="000B0451">
              <w:rPr>
                <w:rFonts w:ascii="Arial" w:eastAsia="+mn-ea" w:hAnsi="Arial" w:cs="Arial"/>
                <w:color w:val="000000"/>
                <w:sz w:val="20"/>
                <w:szCs w:val="20"/>
              </w:rPr>
              <w:t xml:space="preserve">Kč </w:t>
            </w:r>
            <w:proofErr w:type="spellStart"/>
            <w:r w:rsidRPr="000B0451">
              <w:rPr>
                <w:rFonts w:ascii="Arial" w:eastAsia="+mn-ea" w:hAnsi="Arial" w:cs="Arial"/>
                <w:color w:val="000000"/>
                <w:sz w:val="20"/>
                <w:szCs w:val="20"/>
              </w:rPr>
              <w:t>b.c</w:t>
            </w:r>
            <w:proofErr w:type="spellEnd"/>
            <w:r w:rsidRPr="000B0451">
              <w:rPr>
                <w:rFonts w:ascii="Arial" w:eastAsia="+mn-ea" w:hAnsi="Arial" w:cs="Arial"/>
                <w:color w:val="000000"/>
                <w:sz w:val="20"/>
                <w:szCs w:val="20"/>
              </w:rPr>
              <w:t>.</w:t>
            </w:r>
            <w:proofErr w:type="gramEnd"/>
            <w:r w:rsidRPr="000B0451">
              <w:rPr>
                <w:rFonts w:ascii="Arial" w:eastAsia="+mn-ea" w:hAnsi="Arial" w:cs="Arial"/>
                <w:color w:val="000000"/>
                <w:sz w:val="20"/>
                <w:szCs w:val="20"/>
              </w:rPr>
              <w:t>, což bylo 67,9 % republikové hodnoty. Hodnota zlínské přepočtené THFK na obyvatele v následujícím roce klesla o 9,9 %, ale v roce 2010 se zvýšila o</w:t>
            </w:r>
            <w:r>
              <w:rPr>
                <w:rFonts w:ascii="Arial" w:eastAsia="+mn-ea" w:hAnsi="Arial" w:cs="Arial"/>
                <w:color w:val="000000"/>
                <w:sz w:val="20"/>
                <w:szCs w:val="20"/>
              </w:rPr>
              <w:t> </w:t>
            </w:r>
            <w:r w:rsidRPr="000B0451">
              <w:rPr>
                <w:rFonts w:ascii="Arial" w:eastAsia="+mn-ea" w:hAnsi="Arial" w:cs="Arial"/>
                <w:color w:val="000000"/>
                <w:sz w:val="20"/>
                <w:szCs w:val="20"/>
              </w:rPr>
              <w:t xml:space="preserve">8,6 % na 74 171 Kč a tvořila 73,2 % republikového průměru, tedy byla </w:t>
            </w:r>
            <w:r w:rsidRPr="000B0451">
              <w:rPr>
                <w:rFonts w:ascii="Arial" w:eastAsia="+mn-ea" w:hAnsi="Arial" w:cs="Arial"/>
                <w:color w:val="000000"/>
                <w:sz w:val="20"/>
                <w:szCs w:val="20"/>
              </w:rPr>
              <w:lastRenderedPageBreak/>
              <w:t>od</w:t>
            </w:r>
            <w:r>
              <w:rPr>
                <w:rFonts w:ascii="Arial" w:eastAsia="+mn-ea" w:hAnsi="Arial" w:cs="Arial"/>
                <w:color w:val="000000"/>
                <w:sz w:val="20"/>
                <w:szCs w:val="20"/>
              </w:rPr>
              <w:t> </w:t>
            </w:r>
            <w:r w:rsidRPr="000B0451">
              <w:rPr>
                <w:rFonts w:ascii="Arial" w:eastAsia="+mn-ea" w:hAnsi="Arial" w:cs="Arial"/>
                <w:color w:val="000000"/>
                <w:sz w:val="20"/>
                <w:szCs w:val="20"/>
              </w:rPr>
              <w:t>republikové o 27 187 Kč nižší.  V roce 2011 se opět zvýšila, tentokrát o</w:t>
            </w:r>
            <w:r>
              <w:rPr>
                <w:rFonts w:ascii="Arial" w:eastAsia="+mn-ea" w:hAnsi="Arial" w:cs="Arial"/>
                <w:color w:val="000000"/>
                <w:sz w:val="20"/>
                <w:szCs w:val="20"/>
              </w:rPr>
              <w:t> </w:t>
            </w:r>
            <w:r w:rsidRPr="000B0451">
              <w:rPr>
                <w:rFonts w:ascii="Arial" w:eastAsia="+mn-ea" w:hAnsi="Arial" w:cs="Arial"/>
                <w:color w:val="000000"/>
                <w:sz w:val="20"/>
                <w:szCs w:val="20"/>
              </w:rPr>
              <w:t>2,2</w:t>
            </w:r>
            <w:r>
              <w:rPr>
                <w:rFonts w:ascii="Arial" w:eastAsia="+mn-ea" w:hAnsi="Arial" w:cs="Arial"/>
                <w:color w:val="000000"/>
                <w:sz w:val="20"/>
                <w:szCs w:val="20"/>
              </w:rPr>
              <w:t> </w:t>
            </w:r>
            <w:r w:rsidRPr="000B0451">
              <w:rPr>
                <w:rFonts w:ascii="Arial" w:eastAsia="+mn-ea" w:hAnsi="Arial" w:cs="Arial"/>
                <w:color w:val="000000"/>
                <w:sz w:val="20"/>
                <w:szCs w:val="20"/>
              </w:rPr>
              <w:t>%, na 75 777 Kč a podíl celkové republikové hodnoty dosáhl 74,4 %. V</w:t>
            </w:r>
            <w:r>
              <w:rPr>
                <w:rFonts w:ascii="Arial" w:eastAsia="+mn-ea" w:hAnsi="Arial" w:cs="Arial"/>
                <w:color w:val="000000"/>
                <w:sz w:val="20"/>
                <w:szCs w:val="20"/>
              </w:rPr>
              <w:t> </w:t>
            </w:r>
            <w:r w:rsidRPr="000B0451">
              <w:rPr>
                <w:rFonts w:ascii="Arial" w:eastAsia="+mn-ea" w:hAnsi="Arial" w:cs="Arial"/>
                <w:color w:val="000000"/>
                <w:sz w:val="20"/>
                <w:szCs w:val="20"/>
              </w:rPr>
              <w:t xml:space="preserve">následujícím roce 2012 došlo ke snížení o 2,7 % na 73 740 Kč. Ve srovnání s ostatními kraji se kraj umístil v roce 2008 na 11. </w:t>
            </w:r>
            <w:r w:rsidR="00934DD1">
              <w:rPr>
                <w:rFonts w:ascii="Arial" w:eastAsia="+mn-ea" w:hAnsi="Arial" w:cs="Arial"/>
                <w:color w:val="000000"/>
                <w:sz w:val="20"/>
                <w:szCs w:val="20"/>
              </w:rPr>
              <w:t>p</w:t>
            </w:r>
            <w:r w:rsidRPr="000B0451">
              <w:rPr>
                <w:rFonts w:ascii="Arial" w:eastAsia="+mn-ea" w:hAnsi="Arial" w:cs="Arial"/>
                <w:color w:val="000000"/>
                <w:sz w:val="20"/>
                <w:szCs w:val="20"/>
              </w:rPr>
              <w:t>ozic</w:t>
            </w:r>
            <w:r w:rsidR="00934DD1">
              <w:rPr>
                <w:rFonts w:ascii="Arial" w:eastAsia="+mn-ea" w:hAnsi="Arial" w:cs="Arial"/>
                <w:color w:val="000000"/>
                <w:sz w:val="20"/>
                <w:szCs w:val="20"/>
              </w:rPr>
              <w:t>i</w:t>
            </w:r>
            <w:r w:rsidRPr="000B0451">
              <w:rPr>
                <w:rFonts w:ascii="Arial" w:eastAsia="+mn-ea" w:hAnsi="Arial" w:cs="Arial"/>
                <w:color w:val="000000"/>
                <w:sz w:val="20"/>
                <w:szCs w:val="20"/>
              </w:rPr>
              <w:t>, v následujícím roce na 12. místě a konci sledovaného období v roce 2012, obsadil opět 12. příčku. Ve srovnání s republikovým průměrem byla zlínská hodnota ukazatele po celé čtyřleté období vždy nižší a v roce 2012 dosáhla 73,5 % republikové hodnoty.</w:t>
            </w:r>
          </w:p>
        </w:tc>
      </w:tr>
      <w:tr w:rsidR="004B7002" w:rsidRPr="00D176E3" w:rsidTr="00DF6178">
        <w:trPr>
          <w:cantSplit/>
          <w:trHeight w:val="255"/>
        </w:trPr>
        <w:tc>
          <w:tcPr>
            <w:tcW w:w="9611" w:type="dxa"/>
            <w:gridSpan w:val="3"/>
            <w:tcMar>
              <w:left w:w="85" w:type="dxa"/>
              <w:right w:w="85" w:type="dxa"/>
            </w:tcMar>
          </w:tcPr>
          <w:p w:rsidR="004B7002" w:rsidRPr="00C35058" w:rsidRDefault="00BB18F9" w:rsidP="00BB18F9">
            <w:pPr>
              <w:spacing w:before="60" w:after="60"/>
              <w:rPr>
                <w:b/>
                <w:bCs/>
                <w:szCs w:val="20"/>
                <w:highlight w:val="yellow"/>
              </w:rPr>
            </w:pPr>
            <w:r w:rsidRPr="00BB18F9">
              <w:rPr>
                <w:b/>
                <w:bCs/>
                <w:szCs w:val="20"/>
              </w:rPr>
              <w:lastRenderedPageBreak/>
              <w:t>Graf 3.</w:t>
            </w:r>
            <w:r w:rsidR="006911B0">
              <w:rPr>
                <w:b/>
                <w:bCs/>
                <w:szCs w:val="20"/>
              </w:rPr>
              <w:t>3</w:t>
            </w:r>
            <w:r w:rsidRPr="00BB18F9">
              <w:rPr>
                <w:b/>
                <w:bCs/>
                <w:szCs w:val="20"/>
              </w:rPr>
              <w:t xml:space="preserve"> Vývoj HDP, THFK, ČDDD na obyvatele ve Zlínském kraji a ČR</w:t>
            </w:r>
          </w:p>
        </w:tc>
      </w:tr>
      <w:tr w:rsidR="004B7002" w:rsidRPr="00D176E3" w:rsidTr="00DF6178">
        <w:trPr>
          <w:cantSplit/>
          <w:trHeight w:val="255"/>
        </w:trPr>
        <w:tc>
          <w:tcPr>
            <w:tcW w:w="9611" w:type="dxa"/>
            <w:gridSpan w:val="3"/>
            <w:tcMar>
              <w:left w:w="85" w:type="dxa"/>
              <w:right w:w="85" w:type="dxa"/>
            </w:tcMar>
          </w:tcPr>
          <w:p w:rsidR="004B7002" w:rsidRPr="00C35058" w:rsidRDefault="009956CB" w:rsidP="004B7002">
            <w:pPr>
              <w:pStyle w:val="Normlnweb"/>
              <w:spacing w:before="0" w:beforeAutospacing="0" w:after="0" w:afterAutospacing="0"/>
              <w:jc w:val="both"/>
              <w:rPr>
                <w:rFonts w:ascii="Arial" w:eastAsia="+mn-ea" w:hAnsi="Arial" w:cs="Arial"/>
                <w:color w:val="000000"/>
                <w:sz w:val="20"/>
                <w:szCs w:val="20"/>
                <w:highlight w:val="yellow"/>
              </w:rPr>
            </w:pPr>
            <w:r w:rsidRPr="00286EFA">
              <w:rPr>
                <w:rFonts w:ascii="Arial" w:eastAsia="+mn-ea" w:hAnsi="Arial" w:cs="Arial"/>
                <w:color w:val="000000"/>
                <w:sz w:val="20"/>
                <w:szCs w:val="20"/>
              </w:rPr>
              <w:pict>
                <v:shape id="_x0000_i1084" type="#_x0000_t75" style="width:453.75pt;height:225pt">
                  <v:imagedata r:id="rId77" o:title=""/>
                </v:shape>
              </w:pict>
            </w:r>
          </w:p>
        </w:tc>
      </w:tr>
      <w:tr w:rsidR="004B7002" w:rsidRPr="00572B30" w:rsidTr="00DF6178">
        <w:trPr>
          <w:cantSplit/>
          <w:trHeight w:val="255"/>
        </w:trPr>
        <w:tc>
          <w:tcPr>
            <w:tcW w:w="2496" w:type="dxa"/>
            <w:gridSpan w:val="2"/>
            <w:tcMar>
              <w:left w:w="85" w:type="dxa"/>
              <w:right w:w="85" w:type="dxa"/>
            </w:tcMar>
          </w:tcPr>
          <w:p w:rsidR="00CD11C9" w:rsidRPr="00934DD1" w:rsidRDefault="00CD11C9" w:rsidP="00CD11C9">
            <w:pPr>
              <w:spacing w:before="60" w:after="60"/>
              <w:jc w:val="left"/>
              <w:rPr>
                <w:rFonts w:cs="Arial"/>
                <w:b/>
                <w:i/>
                <w:szCs w:val="20"/>
              </w:rPr>
            </w:pPr>
            <w:r w:rsidRPr="00934DD1">
              <w:rPr>
                <w:rFonts w:cs="Arial"/>
                <w:b/>
                <w:i/>
                <w:szCs w:val="20"/>
              </w:rPr>
              <w:t xml:space="preserve">Čistý disponibilní důchod domácností </w:t>
            </w:r>
          </w:p>
          <w:p w:rsidR="004B7002" w:rsidRPr="00C35058" w:rsidRDefault="00CD11C9" w:rsidP="00CD11C9">
            <w:pPr>
              <w:spacing w:before="60" w:after="60"/>
              <w:jc w:val="left"/>
              <w:rPr>
                <w:bCs/>
                <w:sz w:val="16"/>
                <w:szCs w:val="16"/>
                <w:highlight w:val="yellow"/>
              </w:rPr>
            </w:pPr>
            <w:r w:rsidRPr="00934DD1">
              <w:rPr>
                <w:rFonts w:cs="Arial"/>
                <w:b/>
                <w:i/>
                <w:szCs w:val="20"/>
              </w:rPr>
              <w:t>(ČDDD) v roce 2013 zaznamenal meziroční 2,0% snížení</w:t>
            </w:r>
          </w:p>
        </w:tc>
        <w:tc>
          <w:tcPr>
            <w:tcW w:w="7115" w:type="dxa"/>
            <w:vAlign w:val="bottom"/>
          </w:tcPr>
          <w:p w:rsidR="00CD11C9" w:rsidRPr="00CD11C9" w:rsidRDefault="00CD11C9" w:rsidP="00CD11C9">
            <w:pPr>
              <w:pStyle w:val="Normlnweb"/>
              <w:spacing w:before="60" w:beforeAutospacing="0" w:after="60" w:afterAutospacing="0"/>
              <w:jc w:val="both"/>
              <w:rPr>
                <w:rFonts w:ascii="Arial" w:eastAsia="+mn-ea" w:hAnsi="Arial" w:cs="Arial"/>
                <w:color w:val="000000"/>
                <w:sz w:val="20"/>
                <w:szCs w:val="20"/>
              </w:rPr>
            </w:pPr>
            <w:r w:rsidRPr="00CD11C9">
              <w:rPr>
                <w:rFonts w:ascii="Arial" w:eastAsia="+mn-ea" w:hAnsi="Arial" w:cs="Arial"/>
                <w:color w:val="000000"/>
                <w:sz w:val="20"/>
                <w:szCs w:val="20"/>
              </w:rPr>
              <w:t>Ve Zlínském kraji byl v počátečním roce sledovaného období 2008 vytvořen čistý disponibilní důchod domácností (ČDDD) v hodnotě 106 300 mil. Kč. V</w:t>
            </w:r>
            <w:r>
              <w:rPr>
                <w:rFonts w:ascii="Arial" w:eastAsia="+mn-ea" w:hAnsi="Arial" w:cs="Arial"/>
                <w:color w:val="000000"/>
                <w:sz w:val="20"/>
                <w:szCs w:val="20"/>
              </w:rPr>
              <w:t> </w:t>
            </w:r>
            <w:r w:rsidRPr="00CD11C9">
              <w:rPr>
                <w:rFonts w:ascii="Arial" w:eastAsia="+mn-ea" w:hAnsi="Arial" w:cs="Arial"/>
                <w:color w:val="000000"/>
                <w:sz w:val="20"/>
                <w:szCs w:val="20"/>
              </w:rPr>
              <w:t>následujícím roce došlo k jeho mírnému nárůstu o 0,8 % na 107 102 mil. Kč. V roce 2010 byl zaznamenán jeho 1,4% meziroční pokles, který byl v roce 2011 vystřídán mírným 1,7 % nárůstem. Zvýšení bylo zaregistrováno i v roce 2012, a to o 1,4 %. V následujícím roce 2013 však bylo zaznamenáno snížení o 2,0 % a zlínský ČDDD dosáhl 106 700 mil. Kč. Dosažené zlínské hodnoty tvořily z celorepublikového ČDDD v roce 2008 podíl 5,3 %, v roce 2009 stejně jako v roce 2013 5,2 %</w:t>
            </w:r>
            <w:r w:rsidR="00EF37C8">
              <w:rPr>
                <w:rFonts w:ascii="Arial" w:eastAsia="+mn-ea" w:hAnsi="Arial" w:cs="Arial"/>
                <w:color w:val="000000"/>
                <w:sz w:val="20"/>
                <w:szCs w:val="20"/>
              </w:rPr>
              <w:t>.</w:t>
            </w:r>
            <w:r w:rsidRPr="00CD11C9">
              <w:rPr>
                <w:rFonts w:ascii="Arial" w:eastAsia="+mn-ea" w:hAnsi="Arial" w:cs="Arial"/>
                <w:color w:val="000000"/>
                <w:sz w:val="20"/>
                <w:szCs w:val="20"/>
              </w:rPr>
              <w:t xml:space="preserve"> </w:t>
            </w:r>
          </w:p>
          <w:p w:rsidR="004B7002" w:rsidRPr="00C35058" w:rsidRDefault="00CD11C9" w:rsidP="00173E95">
            <w:pPr>
              <w:pStyle w:val="Normlnweb"/>
              <w:spacing w:before="60" w:beforeAutospacing="0" w:after="60" w:afterAutospacing="0"/>
              <w:jc w:val="both"/>
              <w:rPr>
                <w:b/>
                <w:bCs/>
                <w:sz w:val="16"/>
                <w:szCs w:val="16"/>
                <w:highlight w:val="yellow"/>
              </w:rPr>
            </w:pPr>
            <w:r w:rsidRPr="00CD11C9">
              <w:rPr>
                <w:rFonts w:ascii="Arial" w:eastAsia="+mn-ea" w:hAnsi="Arial" w:cs="Arial"/>
                <w:color w:val="000000"/>
                <w:sz w:val="20"/>
                <w:szCs w:val="20"/>
              </w:rPr>
              <w:t xml:space="preserve">V přepočtu ČDDD na obyvatele ve </w:t>
            </w:r>
            <w:proofErr w:type="gramStart"/>
            <w:r w:rsidRPr="00CD11C9">
              <w:rPr>
                <w:rFonts w:ascii="Arial" w:eastAsia="+mn-ea" w:hAnsi="Arial" w:cs="Arial"/>
                <w:color w:val="000000"/>
                <w:sz w:val="20"/>
                <w:szCs w:val="20"/>
              </w:rPr>
              <w:t>Zlínském</w:t>
            </w:r>
            <w:proofErr w:type="gramEnd"/>
            <w:r w:rsidRPr="00CD11C9">
              <w:rPr>
                <w:rFonts w:ascii="Arial" w:eastAsia="+mn-ea" w:hAnsi="Arial" w:cs="Arial"/>
                <w:color w:val="000000"/>
                <w:sz w:val="20"/>
                <w:szCs w:val="20"/>
              </w:rPr>
              <w:t xml:space="preserve"> kraj bylo v roce 2008 dosaženo 179 838 Kč a v posledním roce sledovaného období 181 898 Kč. Tyto dosažené zlínské hodnoty byly po celé období nižší než celorepubliková hodnota. V roce 2008 byla zlínská hodnota menší o 5,9 %, v roce 2009 o</w:t>
            </w:r>
            <w:r w:rsidR="00173E95">
              <w:rPr>
                <w:rFonts w:ascii="Arial" w:eastAsia="+mn-ea" w:hAnsi="Arial" w:cs="Arial"/>
                <w:color w:val="000000"/>
                <w:sz w:val="20"/>
                <w:szCs w:val="20"/>
              </w:rPr>
              <w:t> </w:t>
            </w:r>
            <w:r w:rsidRPr="00CD11C9">
              <w:rPr>
                <w:rFonts w:ascii="Arial" w:eastAsia="+mn-ea" w:hAnsi="Arial" w:cs="Arial"/>
                <w:color w:val="000000"/>
                <w:sz w:val="20"/>
                <w:szCs w:val="20"/>
              </w:rPr>
              <w:t>7,5</w:t>
            </w:r>
            <w:r w:rsidR="00173E95">
              <w:rPr>
                <w:rFonts w:ascii="Arial" w:eastAsia="+mn-ea" w:hAnsi="Arial" w:cs="Arial"/>
                <w:color w:val="000000"/>
                <w:sz w:val="20"/>
                <w:szCs w:val="20"/>
              </w:rPr>
              <w:t> </w:t>
            </w:r>
            <w:r w:rsidRPr="00CD11C9">
              <w:rPr>
                <w:rFonts w:ascii="Arial" w:eastAsia="+mn-ea" w:hAnsi="Arial" w:cs="Arial"/>
                <w:color w:val="000000"/>
                <w:sz w:val="20"/>
                <w:szCs w:val="20"/>
              </w:rPr>
              <w:t>% a v roce 2013 o 7,1 %. Mezi kraji se svou hodnotou ČDDD na</w:t>
            </w:r>
            <w:r w:rsidR="00173E95">
              <w:rPr>
                <w:rFonts w:ascii="Arial" w:eastAsia="+mn-ea" w:hAnsi="Arial" w:cs="Arial"/>
                <w:color w:val="000000"/>
                <w:sz w:val="20"/>
                <w:szCs w:val="20"/>
              </w:rPr>
              <w:t> </w:t>
            </w:r>
            <w:r w:rsidRPr="00CD11C9">
              <w:rPr>
                <w:rFonts w:ascii="Arial" w:eastAsia="+mn-ea" w:hAnsi="Arial" w:cs="Arial"/>
                <w:color w:val="000000"/>
                <w:sz w:val="20"/>
                <w:szCs w:val="20"/>
              </w:rPr>
              <w:t>obyvatele Zlínský kraj v roce 2008 umístil na 8. příčce v pořadí, v roce 2009 na 10. pozici a v roce 2013 se posunul o jednu příčku a obsadil 9. místo.</w:t>
            </w:r>
          </w:p>
        </w:tc>
      </w:tr>
      <w:tr w:rsidR="004B7002" w:rsidRPr="00572B30" w:rsidTr="00DF6178">
        <w:tc>
          <w:tcPr>
            <w:tcW w:w="2496" w:type="dxa"/>
            <w:gridSpan w:val="2"/>
            <w:tcMar>
              <w:left w:w="85" w:type="dxa"/>
              <w:right w:w="85" w:type="dxa"/>
            </w:tcMar>
          </w:tcPr>
          <w:p w:rsidR="004B7002" w:rsidRPr="00C35058" w:rsidRDefault="00173E95" w:rsidP="005D6C1B">
            <w:pPr>
              <w:spacing w:before="60" w:after="60"/>
              <w:jc w:val="left"/>
              <w:rPr>
                <w:b/>
                <w:i/>
                <w:szCs w:val="20"/>
                <w:highlight w:val="yellow"/>
              </w:rPr>
            </w:pPr>
            <w:r w:rsidRPr="00173E95">
              <w:rPr>
                <w:b/>
                <w:i/>
                <w:szCs w:val="20"/>
              </w:rPr>
              <w:t>Hrubá přidaná hodnota v kraji meziročně vzrostla</w:t>
            </w:r>
          </w:p>
        </w:tc>
        <w:tc>
          <w:tcPr>
            <w:tcW w:w="7115" w:type="dxa"/>
            <w:tcMar>
              <w:left w:w="85" w:type="dxa"/>
              <w:right w:w="85" w:type="dxa"/>
            </w:tcMar>
            <w:vAlign w:val="center"/>
          </w:tcPr>
          <w:p w:rsidR="004B7002" w:rsidRPr="00C35058" w:rsidRDefault="00173E95" w:rsidP="00173E95">
            <w:pPr>
              <w:pStyle w:val="Normlnweb"/>
              <w:spacing w:before="60" w:beforeAutospacing="0" w:after="60" w:afterAutospacing="0"/>
              <w:jc w:val="both"/>
              <w:rPr>
                <w:szCs w:val="20"/>
                <w:highlight w:val="yellow"/>
              </w:rPr>
            </w:pPr>
            <w:r w:rsidRPr="00173E95">
              <w:rPr>
                <w:rFonts w:ascii="Arial" w:eastAsia="+mn-ea" w:hAnsi="Arial" w:cs="Arial"/>
                <w:color w:val="000000"/>
                <w:sz w:val="20"/>
                <w:szCs w:val="20"/>
              </w:rPr>
              <w:t>Hrubá přidaná hodnota (</w:t>
            </w:r>
            <w:proofErr w:type="gramStart"/>
            <w:r w:rsidRPr="00173E95">
              <w:rPr>
                <w:rFonts w:ascii="Arial" w:eastAsia="+mn-ea" w:hAnsi="Arial" w:cs="Arial"/>
                <w:color w:val="000000"/>
                <w:sz w:val="20"/>
                <w:szCs w:val="20"/>
              </w:rPr>
              <w:t>HPH) (rozdíl</w:t>
            </w:r>
            <w:proofErr w:type="gramEnd"/>
            <w:r w:rsidRPr="00173E95">
              <w:rPr>
                <w:rFonts w:ascii="Arial" w:eastAsia="+mn-ea" w:hAnsi="Arial" w:cs="Arial"/>
                <w:color w:val="000000"/>
                <w:sz w:val="20"/>
                <w:szCs w:val="20"/>
              </w:rPr>
              <w:t xml:space="preserve"> mezi produkcí a </w:t>
            </w:r>
            <w:proofErr w:type="spellStart"/>
            <w:r w:rsidRPr="00173E95">
              <w:rPr>
                <w:rFonts w:ascii="Arial" w:eastAsia="+mn-ea" w:hAnsi="Arial" w:cs="Arial"/>
                <w:color w:val="000000"/>
                <w:sz w:val="20"/>
                <w:szCs w:val="20"/>
              </w:rPr>
              <w:t>mezispotřebou</w:t>
            </w:r>
            <w:proofErr w:type="spellEnd"/>
            <w:r w:rsidRPr="00173E95">
              <w:rPr>
                <w:rFonts w:ascii="Arial" w:eastAsia="+mn-ea" w:hAnsi="Arial" w:cs="Arial"/>
                <w:color w:val="000000"/>
                <w:sz w:val="20"/>
                <w:szCs w:val="20"/>
              </w:rPr>
              <w:t>) ve</w:t>
            </w:r>
            <w:r>
              <w:rPr>
                <w:rFonts w:ascii="Arial" w:eastAsia="+mn-ea" w:hAnsi="Arial" w:cs="Arial"/>
                <w:color w:val="000000"/>
                <w:sz w:val="20"/>
                <w:szCs w:val="20"/>
              </w:rPr>
              <w:t> </w:t>
            </w:r>
            <w:r w:rsidRPr="00173E95">
              <w:rPr>
                <w:rFonts w:ascii="Arial" w:eastAsia="+mn-ea" w:hAnsi="Arial" w:cs="Arial"/>
                <w:color w:val="000000"/>
                <w:sz w:val="20"/>
                <w:szCs w:val="20"/>
              </w:rPr>
              <w:t>Zlínském kraji po sledované pětileté období v podstatě stagnovala a na konci sledovaného období poklesla o 0,1 % (o 249 mil. Kč) a dosáhla 173 293 mil. Kč. HPH ve dvou prvních letech sledovaného období vykazovala pokles. Po 2,4 % snížení v roce 2009 pokračovalo snížení o 1,0 % v roce 2010. V</w:t>
            </w:r>
            <w:r>
              <w:rPr>
                <w:rFonts w:ascii="Arial" w:eastAsia="+mn-ea" w:hAnsi="Arial" w:cs="Arial"/>
                <w:color w:val="000000"/>
                <w:sz w:val="20"/>
                <w:szCs w:val="20"/>
              </w:rPr>
              <w:t> </w:t>
            </w:r>
            <w:r w:rsidRPr="00173E95">
              <w:rPr>
                <w:rFonts w:ascii="Arial" w:eastAsia="+mn-ea" w:hAnsi="Arial" w:cs="Arial"/>
                <w:color w:val="000000"/>
                <w:sz w:val="20"/>
                <w:szCs w:val="20"/>
              </w:rPr>
              <w:t>následujícím roce 2011 došlo k meziročnímu zvýšení HPH o 3,5 mld. Kč (o</w:t>
            </w:r>
            <w:r>
              <w:rPr>
                <w:rFonts w:ascii="Arial" w:eastAsia="+mn-ea" w:hAnsi="Arial" w:cs="Arial"/>
                <w:color w:val="000000"/>
                <w:sz w:val="20"/>
                <w:szCs w:val="20"/>
              </w:rPr>
              <w:t> </w:t>
            </w:r>
            <w:r w:rsidRPr="00173E95">
              <w:rPr>
                <w:rFonts w:ascii="Arial" w:eastAsia="+mn-ea" w:hAnsi="Arial" w:cs="Arial"/>
                <w:color w:val="000000"/>
                <w:sz w:val="20"/>
                <w:szCs w:val="20"/>
              </w:rPr>
              <w:t>2,1 %) a tento nárůst pokračoval i v roce 2012, ve kterém HPH vzrostla o</w:t>
            </w:r>
            <w:r>
              <w:rPr>
                <w:rFonts w:ascii="Arial" w:eastAsia="+mn-ea" w:hAnsi="Arial" w:cs="Arial"/>
                <w:color w:val="000000"/>
                <w:sz w:val="20"/>
                <w:szCs w:val="20"/>
              </w:rPr>
              <w:t> </w:t>
            </w:r>
            <w:r w:rsidRPr="00173E95">
              <w:rPr>
                <w:rFonts w:ascii="Arial" w:eastAsia="+mn-ea" w:hAnsi="Arial" w:cs="Arial"/>
                <w:color w:val="000000"/>
                <w:sz w:val="20"/>
                <w:szCs w:val="20"/>
              </w:rPr>
              <w:t>0,5 mld. Kč (o 0,3 %) a dosáhla 171 571 mil. Kč. V roce 2013 došlo k</w:t>
            </w:r>
            <w:r>
              <w:rPr>
                <w:rFonts w:ascii="Arial" w:eastAsia="+mn-ea" w:hAnsi="Arial" w:cs="Arial"/>
                <w:color w:val="000000"/>
                <w:sz w:val="20"/>
                <w:szCs w:val="20"/>
              </w:rPr>
              <w:t> </w:t>
            </w:r>
            <w:r w:rsidRPr="00173E95">
              <w:rPr>
                <w:rFonts w:ascii="Arial" w:eastAsia="+mn-ea" w:hAnsi="Arial" w:cs="Arial"/>
                <w:color w:val="000000"/>
                <w:sz w:val="20"/>
                <w:szCs w:val="20"/>
              </w:rPr>
              <w:t>mírnému oživení a HPH meziročně vzrostla o 1,7 mld. Kč, tj. o 1,0 %. Tato zlínská hodnota HPH v roce 2013 představovala 4,7 % celorepublikové hodnoty HPH. I přes snížení HPH v letech 2009 a 2010 Zlínský kraj v roce 2013 obsadil v mezikrajském srovnání 8. pozici.</w:t>
            </w:r>
          </w:p>
        </w:tc>
      </w:tr>
      <w:tr w:rsidR="005D1407" w:rsidRPr="00572B30" w:rsidTr="00DF6178">
        <w:tc>
          <w:tcPr>
            <w:tcW w:w="2496" w:type="dxa"/>
            <w:gridSpan w:val="2"/>
            <w:tcMar>
              <w:left w:w="85" w:type="dxa"/>
              <w:right w:w="85" w:type="dxa"/>
            </w:tcMar>
          </w:tcPr>
          <w:p w:rsidR="005D1407" w:rsidRPr="00173E95" w:rsidRDefault="005D1407" w:rsidP="005D6C1B">
            <w:pPr>
              <w:spacing w:before="60" w:after="60"/>
              <w:jc w:val="left"/>
              <w:rPr>
                <w:b/>
                <w:i/>
                <w:szCs w:val="20"/>
              </w:rPr>
            </w:pPr>
            <w:r w:rsidRPr="005D1407">
              <w:rPr>
                <w:b/>
                <w:i/>
                <w:szCs w:val="20"/>
              </w:rPr>
              <w:t>V odvětvové struktuře HPH se v kraji nejvíce podílel sekundární sektor</w:t>
            </w:r>
          </w:p>
        </w:tc>
        <w:tc>
          <w:tcPr>
            <w:tcW w:w="7115" w:type="dxa"/>
            <w:tcMar>
              <w:left w:w="85" w:type="dxa"/>
              <w:right w:w="85" w:type="dxa"/>
            </w:tcMar>
          </w:tcPr>
          <w:p w:rsidR="005D1407" w:rsidRPr="005D1407"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t xml:space="preserve">Na HPH Zlínského kraje se v roce 2013 podílel primární sektor 2,50 % (pokles za sledované pětileté období o 0,60 procentních bodů), sekundární 50,43 % (nárůst o 0,08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 a terciární</w:t>
            </w:r>
            <w:proofErr w:type="gramEnd"/>
            <w:r w:rsidRPr="005D1407">
              <w:rPr>
                <w:rFonts w:ascii="Arial" w:eastAsia="+mn-ea" w:hAnsi="Arial" w:cs="Arial"/>
                <w:color w:val="000000"/>
                <w:sz w:val="20"/>
                <w:szCs w:val="20"/>
              </w:rPr>
              <w:t xml:space="preserve"> 47,07 % (zvětšení podílu během pěti let o 0,52 </w:t>
            </w:r>
            <w:proofErr w:type="spell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w:t>
            </w:r>
          </w:p>
          <w:p w:rsidR="005D1407" w:rsidRPr="005D1407"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lastRenderedPageBreak/>
              <w:t>V porovnání velikostí krajských podílů primárního sektoru se Zlínský kraj v</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roce 2013 dostal až na 10. místo, na které se propadl </w:t>
            </w:r>
            <w:proofErr w:type="gramStart"/>
            <w:r w:rsidRPr="005D1407">
              <w:rPr>
                <w:rFonts w:ascii="Arial" w:eastAsia="+mn-ea" w:hAnsi="Arial" w:cs="Arial"/>
                <w:color w:val="000000"/>
                <w:sz w:val="20"/>
                <w:szCs w:val="20"/>
              </w:rPr>
              <w:t>ze</w:t>
            </w:r>
            <w:proofErr w:type="gramEnd"/>
            <w:r w:rsidRPr="005D1407">
              <w:rPr>
                <w:rFonts w:ascii="Arial" w:eastAsia="+mn-ea" w:hAnsi="Arial" w:cs="Arial"/>
                <w:color w:val="000000"/>
                <w:sz w:val="20"/>
                <w:szCs w:val="20"/>
              </w:rPr>
              <w:t xml:space="preserve"> 6. pozice v roce 2008. V mezikrajském srovnání změn podílů sektorů mezi koncovými roky sledovaného období, jsou mezi kraji odlišnosti. U primárního sektoru došlo ve</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Zlínském kraji k nejvýraznějšímu snížení. Naopak největší nárůst podílu primárního sektoru byl zaznamenán v Karlovarském kraji (o 2,25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w:t>
            </w:r>
            <w:proofErr w:type="gramEnd"/>
            <w:r w:rsidRPr="005D1407">
              <w:rPr>
                <w:rFonts w:ascii="Arial" w:eastAsia="+mn-ea" w:hAnsi="Arial" w:cs="Arial"/>
                <w:color w:val="000000"/>
                <w:sz w:val="20"/>
                <w:szCs w:val="20"/>
              </w:rPr>
              <w:t xml:space="preserve"> U</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sekundárního sektoru došlo v kraji v průběhu pěti let k jeho posílení a s jeho podílem 50,43 % na HPH kraje v roce 2013 vyskočil z druhé pozice mezi kraji v roce 2008 na první místo. Během hodnoceného pětiletého  období nejvíce poklesl sekundární podíl v Kraji Vysočina (o 3,56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 a naopak</w:t>
            </w:r>
            <w:proofErr w:type="gramEnd"/>
            <w:r w:rsidRPr="005D1407">
              <w:rPr>
                <w:rFonts w:ascii="Arial" w:eastAsia="+mn-ea" w:hAnsi="Arial" w:cs="Arial"/>
                <w:color w:val="000000"/>
                <w:sz w:val="20"/>
                <w:szCs w:val="20"/>
              </w:rPr>
              <w:t xml:space="preserve"> nejvíce vzrostl v Jihočeském kraji (o 0,97 </w:t>
            </w:r>
            <w:proofErr w:type="spell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 Tento kraj však i po tomto zvětšení sekundárního sektoru zůstal mezi kraji stejně jako v roce 2008 na 10. místě.</w:t>
            </w:r>
            <w:r>
              <w:t xml:space="preserve"> </w:t>
            </w:r>
            <w:r w:rsidRPr="005D1407">
              <w:rPr>
                <w:rFonts w:ascii="Arial" w:eastAsia="+mn-ea" w:hAnsi="Arial" w:cs="Arial"/>
                <w:color w:val="000000"/>
                <w:sz w:val="20"/>
                <w:szCs w:val="20"/>
              </w:rPr>
              <w:t xml:space="preserve">Ve Zlínském kraji byl zachycen 5. nejvyšší nárůst tohoto podílu, který byl současně i posledním přírůstkem, protože u krajů za ním už následovala pouze zmenšení podílu. U terciárního sektoru se zlínský podíl za pětileté období zvětšil o 0,52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 a i když</w:t>
            </w:r>
            <w:proofErr w:type="gramEnd"/>
            <w:r w:rsidRPr="005D1407">
              <w:rPr>
                <w:rFonts w:ascii="Arial" w:eastAsia="+mn-ea" w:hAnsi="Arial" w:cs="Arial"/>
                <w:color w:val="000000"/>
                <w:sz w:val="20"/>
                <w:szCs w:val="20"/>
              </w:rPr>
              <w:t xml:space="preserve"> byl tento nárůst šestý největší, zůstal mezi kraji v koncových letech sledovaného období s 47,07% podílem na</w:t>
            </w:r>
            <w:r w:rsidR="00DE1A56">
              <w:rPr>
                <w:rFonts w:ascii="Arial" w:eastAsia="+mn-ea" w:hAnsi="Arial" w:cs="Arial"/>
                <w:color w:val="000000"/>
                <w:sz w:val="20"/>
                <w:szCs w:val="20"/>
              </w:rPr>
              <w:t> </w:t>
            </w:r>
            <w:r w:rsidRPr="005D1407">
              <w:rPr>
                <w:rFonts w:ascii="Arial" w:eastAsia="+mn-ea" w:hAnsi="Arial" w:cs="Arial"/>
                <w:color w:val="000000"/>
                <w:sz w:val="20"/>
                <w:szCs w:val="20"/>
              </w:rPr>
              <w:t>předposlední pozici, tedy na 13. místě. Menší podíl terciárního podílu byl, jak v roce 2008, tak i 2013, vypočten v Kraji Vysočina, a to přesto, že byl v</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tomto kraji zaznamenán největší přírůstek podílu (o 2,55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w:t>
            </w:r>
            <w:proofErr w:type="gramEnd"/>
            <w:r w:rsidRPr="005D1407">
              <w:rPr>
                <w:rFonts w:ascii="Arial" w:eastAsia="+mn-ea" w:hAnsi="Arial" w:cs="Arial"/>
                <w:color w:val="000000"/>
                <w:sz w:val="20"/>
                <w:szCs w:val="20"/>
              </w:rPr>
              <w:t xml:space="preserve"> Největší úbytek byl zjištěn v Jihočeském kraji (o 2,13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w:t>
            </w:r>
            <w:proofErr w:type="gramEnd"/>
            <w:r w:rsidRPr="005D1407">
              <w:rPr>
                <w:rFonts w:ascii="Arial" w:eastAsia="+mn-ea" w:hAnsi="Arial" w:cs="Arial"/>
                <w:color w:val="000000"/>
                <w:sz w:val="20"/>
                <w:szCs w:val="20"/>
              </w:rPr>
              <w:t xml:space="preserve"> </w:t>
            </w:r>
          </w:p>
          <w:p w:rsidR="005D1407" w:rsidRPr="005D1407"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t xml:space="preserve">Na HPH Zlínského kraje se výrazně podílela průmyslová odvětví a jejich celkový podíl v průběhu pěti let </w:t>
            </w:r>
            <w:proofErr w:type="gramStart"/>
            <w:r w:rsidRPr="005D1407">
              <w:rPr>
                <w:rFonts w:ascii="Arial" w:eastAsia="+mn-ea" w:hAnsi="Arial" w:cs="Arial"/>
                <w:color w:val="000000"/>
                <w:sz w:val="20"/>
                <w:szCs w:val="20"/>
              </w:rPr>
              <w:t>vzrostl z 42,86</w:t>
            </w:r>
            <w:proofErr w:type="gramEnd"/>
            <w:r w:rsidRPr="005D1407">
              <w:rPr>
                <w:rFonts w:ascii="Arial" w:eastAsia="+mn-ea" w:hAnsi="Arial" w:cs="Arial"/>
                <w:color w:val="000000"/>
                <w:sz w:val="20"/>
                <w:szCs w:val="20"/>
              </w:rPr>
              <w:t xml:space="preserve"> % na 44,04 %. Na hodnotě HPH z průmyslu se nejvíce podílela odvětví zpracovatelského průmyslu, u</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kterých podíl z celkové HPH v kraji </w:t>
            </w:r>
            <w:proofErr w:type="gramStart"/>
            <w:r w:rsidRPr="005D1407">
              <w:rPr>
                <w:rFonts w:ascii="Arial" w:eastAsia="+mn-ea" w:hAnsi="Arial" w:cs="Arial"/>
                <w:color w:val="000000"/>
                <w:sz w:val="20"/>
                <w:szCs w:val="20"/>
              </w:rPr>
              <w:t>vzrostl z 40,36</w:t>
            </w:r>
            <w:proofErr w:type="gramEnd"/>
            <w:r w:rsidRPr="005D1407">
              <w:rPr>
                <w:rFonts w:ascii="Arial" w:eastAsia="+mn-ea" w:hAnsi="Arial" w:cs="Arial"/>
                <w:color w:val="000000"/>
                <w:sz w:val="20"/>
                <w:szCs w:val="20"/>
              </w:rPr>
              <w:t xml:space="preserve"> % v roce 2008 na 40,83</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 v roce 2013. </w:t>
            </w:r>
          </w:p>
          <w:p w:rsidR="005D1407" w:rsidRPr="005D1407"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t xml:space="preserve">Na hrubé přidané hodnotě kraje se dále velkou měrou podílela odvětví služeb, která po zvýšení v průběhu pěti let o 0,52 procentního bodu vykázala v roce 2013 podíl 47,07 %. Nejvýraznějším zástupcem této skupiny byla odvětví skupiny </w:t>
            </w:r>
            <w:r w:rsidR="00EF37C8">
              <w:rPr>
                <w:rFonts w:ascii="Arial" w:eastAsia="+mn-ea" w:hAnsi="Arial" w:cs="Arial"/>
                <w:color w:val="000000"/>
                <w:sz w:val="20"/>
                <w:szCs w:val="20"/>
              </w:rPr>
              <w:t>o</w:t>
            </w:r>
            <w:r w:rsidRPr="005D1407">
              <w:rPr>
                <w:rFonts w:ascii="Arial" w:eastAsia="+mn-ea" w:hAnsi="Arial" w:cs="Arial"/>
                <w:color w:val="000000"/>
                <w:sz w:val="20"/>
                <w:szCs w:val="20"/>
              </w:rPr>
              <w:t xml:space="preserve">bchodu, dopravy, ubytování </w:t>
            </w:r>
            <w:r w:rsidR="00EF37C8">
              <w:rPr>
                <w:rFonts w:ascii="Arial" w:eastAsia="+mn-ea" w:hAnsi="Arial" w:cs="Arial"/>
                <w:color w:val="000000"/>
                <w:sz w:val="20"/>
                <w:szCs w:val="20"/>
              </w:rPr>
              <w:t>a</w:t>
            </w:r>
            <w:r w:rsidRPr="005D1407">
              <w:rPr>
                <w:rFonts w:ascii="Arial" w:eastAsia="+mn-ea" w:hAnsi="Arial" w:cs="Arial"/>
                <w:color w:val="000000"/>
                <w:sz w:val="20"/>
                <w:szCs w:val="20"/>
              </w:rPr>
              <w:t xml:space="preserve"> pohostinství (15,80 % z celkové HPH kraje v r. 2013), Činnosti v oblasti nemovitostí tvořily 8,63 % HPH kraje a</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Veřejná správa, vzdělávání a zdravotní a sociální péče 12,93 %. </w:t>
            </w:r>
          </w:p>
          <w:p w:rsidR="005D1407" w:rsidRPr="005D1407"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t>Nárůst podílu průmyslu (sekundární sektor bez stavebnictví) na HPH kraje v</w:t>
            </w:r>
            <w:r w:rsidR="00DE1A56">
              <w:rPr>
                <w:rFonts w:ascii="Arial" w:eastAsia="+mn-ea" w:hAnsi="Arial" w:cs="Arial"/>
                <w:color w:val="000000"/>
                <w:sz w:val="20"/>
                <w:szCs w:val="20"/>
              </w:rPr>
              <w:t> </w:t>
            </w:r>
            <w:r w:rsidRPr="005D1407">
              <w:rPr>
                <w:rFonts w:ascii="Arial" w:eastAsia="+mn-ea" w:hAnsi="Arial" w:cs="Arial"/>
                <w:color w:val="000000"/>
                <w:sz w:val="20"/>
                <w:szCs w:val="20"/>
              </w:rPr>
              <w:t>roce 2013 během pěti let (od roku 2008) byl zjištěn u devíti krajů. U</w:t>
            </w:r>
            <w:r w:rsidR="00DE1A56">
              <w:rPr>
                <w:rFonts w:ascii="Arial" w:eastAsia="+mn-ea" w:hAnsi="Arial" w:cs="Arial"/>
                <w:color w:val="000000"/>
                <w:sz w:val="20"/>
                <w:szCs w:val="20"/>
              </w:rPr>
              <w:t> </w:t>
            </w:r>
            <w:r w:rsidRPr="005D1407">
              <w:rPr>
                <w:rFonts w:ascii="Arial" w:eastAsia="+mn-ea" w:hAnsi="Arial" w:cs="Arial"/>
                <w:color w:val="000000"/>
                <w:sz w:val="20"/>
                <w:szCs w:val="20"/>
              </w:rPr>
              <w:t>ostatních krajů včetně celé republiky tento podíl klesl. U Zlínského kraje byl zaznamenán šestý nejvyšší nárůst podílu, a to o 1,17 procentního bodu. Přesto, že nárůst podílu nebyl největší, dostal se kraj svým průmyslovým podílem na nejvyšší první místo. V roce 2008 byl Zlínský kraj s podílem z</w:t>
            </w:r>
            <w:r w:rsidR="00DE1A56">
              <w:rPr>
                <w:rFonts w:ascii="Arial" w:eastAsia="+mn-ea" w:hAnsi="Arial" w:cs="Arial"/>
                <w:color w:val="000000"/>
                <w:sz w:val="20"/>
                <w:szCs w:val="20"/>
              </w:rPr>
              <w:t> </w:t>
            </w:r>
            <w:r w:rsidRPr="005D1407">
              <w:rPr>
                <w:rFonts w:ascii="Arial" w:eastAsia="+mn-ea" w:hAnsi="Arial" w:cs="Arial"/>
                <w:color w:val="000000"/>
                <w:sz w:val="20"/>
                <w:szCs w:val="20"/>
              </w:rPr>
              <w:t>průmyslu na třetím místě za Moravskoslezským krajem a Krajem Vysočinou. V roce 2013 tyto dva kraje předstihl.</w:t>
            </w:r>
          </w:p>
          <w:p w:rsidR="005D1407" w:rsidRPr="005D1407"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t>Největší zvýšení podílu HPH z průmyslu po pěti letech bylo vypočítáno v</w:t>
            </w:r>
            <w:r w:rsidR="00DE1A56">
              <w:rPr>
                <w:rFonts w:ascii="Arial" w:eastAsia="+mn-ea" w:hAnsi="Arial" w:cs="Arial"/>
                <w:color w:val="000000"/>
                <w:sz w:val="20"/>
                <w:szCs w:val="20"/>
              </w:rPr>
              <w:t> </w:t>
            </w:r>
            <w:r w:rsidRPr="005D1407">
              <w:rPr>
                <w:rFonts w:ascii="Arial" w:eastAsia="+mn-ea" w:hAnsi="Arial" w:cs="Arial"/>
                <w:color w:val="000000"/>
                <w:sz w:val="20"/>
                <w:szCs w:val="20"/>
              </w:rPr>
              <w:t xml:space="preserve">Plzeňském kraji (o 2,57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 a ten</w:t>
            </w:r>
            <w:proofErr w:type="gramEnd"/>
            <w:r w:rsidRPr="005D1407">
              <w:rPr>
                <w:rFonts w:ascii="Arial" w:eastAsia="+mn-ea" w:hAnsi="Arial" w:cs="Arial"/>
                <w:color w:val="000000"/>
                <w:sz w:val="20"/>
                <w:szCs w:val="20"/>
              </w:rPr>
              <w:t xml:space="preserve"> se tak posunul v pomyslném žebříčku podílových hodnot z 9. místa v roce 2008 na 8. příčku v roce 2013. Naopak největší zmenšení podílu bylo zachyceno v Kraji Vysočina (o 3,45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w:t>
            </w:r>
            <w:proofErr w:type="gramEnd"/>
            <w:r w:rsidRPr="005D1407">
              <w:rPr>
                <w:rFonts w:ascii="Arial" w:eastAsia="+mn-ea" w:hAnsi="Arial" w:cs="Arial"/>
                <w:color w:val="000000"/>
                <w:sz w:val="20"/>
                <w:szCs w:val="20"/>
              </w:rPr>
              <w:t xml:space="preserve"> Tento kraj se posunul z prvního nejvyššího místa v počátečním roce sledovaného období na třetí místo v posledním roce 2013.  </w:t>
            </w:r>
          </w:p>
          <w:p w:rsidR="005D1407" w:rsidRPr="005D1407"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t xml:space="preserve">Republikový podíl během pěti let poklesl o 0,01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 na</w:t>
            </w:r>
            <w:proofErr w:type="gramEnd"/>
            <w:r w:rsidRPr="005D1407">
              <w:rPr>
                <w:rFonts w:ascii="Arial" w:eastAsia="+mn-ea" w:hAnsi="Arial" w:cs="Arial"/>
                <w:color w:val="000000"/>
                <w:sz w:val="20"/>
                <w:szCs w:val="20"/>
              </w:rPr>
              <w:t xml:space="preserve"> 31,12. </w:t>
            </w:r>
          </w:p>
          <w:p w:rsidR="005D1407" w:rsidRPr="00173E95" w:rsidRDefault="005D1407" w:rsidP="005D1407">
            <w:pPr>
              <w:pStyle w:val="Normlnweb"/>
              <w:spacing w:before="60" w:beforeAutospacing="0" w:after="60" w:afterAutospacing="0"/>
              <w:jc w:val="both"/>
              <w:rPr>
                <w:rFonts w:ascii="Arial" w:eastAsia="+mn-ea" w:hAnsi="Arial" w:cs="Arial"/>
                <w:color w:val="000000"/>
                <w:sz w:val="20"/>
                <w:szCs w:val="20"/>
              </w:rPr>
            </w:pPr>
            <w:r w:rsidRPr="005D1407">
              <w:rPr>
                <w:rFonts w:ascii="Arial" w:eastAsia="+mn-ea" w:hAnsi="Arial" w:cs="Arial"/>
                <w:color w:val="000000"/>
                <w:sz w:val="20"/>
                <w:szCs w:val="20"/>
              </w:rPr>
              <w:t xml:space="preserve">Nezanedbatelný byl také v kraji podíl stavebnictví, který se ve sledovaném pětiletém období snížil o 1,09 </w:t>
            </w:r>
            <w:proofErr w:type="spellStart"/>
            <w:proofErr w:type="gramStart"/>
            <w:r w:rsidRPr="005D1407">
              <w:rPr>
                <w:rFonts w:ascii="Arial" w:eastAsia="+mn-ea" w:hAnsi="Arial" w:cs="Arial"/>
                <w:color w:val="000000"/>
                <w:sz w:val="20"/>
                <w:szCs w:val="20"/>
              </w:rPr>
              <w:t>p.b</w:t>
            </w:r>
            <w:proofErr w:type="spellEnd"/>
            <w:r w:rsidRPr="005D1407">
              <w:rPr>
                <w:rFonts w:ascii="Arial" w:eastAsia="+mn-ea" w:hAnsi="Arial" w:cs="Arial"/>
                <w:color w:val="000000"/>
                <w:sz w:val="20"/>
                <w:szCs w:val="20"/>
              </w:rPr>
              <w:t>. na</w:t>
            </w:r>
            <w:proofErr w:type="gramEnd"/>
            <w:r w:rsidRPr="005D1407">
              <w:rPr>
                <w:rFonts w:ascii="Arial" w:eastAsia="+mn-ea" w:hAnsi="Arial" w:cs="Arial"/>
                <w:color w:val="000000"/>
                <w:sz w:val="20"/>
                <w:szCs w:val="20"/>
              </w:rPr>
              <w:t xml:space="preserve"> 6,39 %.</w:t>
            </w:r>
          </w:p>
        </w:tc>
      </w:tr>
      <w:tr w:rsidR="005D1407" w:rsidRPr="00572B30" w:rsidTr="00DF6178">
        <w:tc>
          <w:tcPr>
            <w:tcW w:w="2496" w:type="dxa"/>
            <w:gridSpan w:val="2"/>
            <w:tcMar>
              <w:left w:w="85" w:type="dxa"/>
              <w:right w:w="85" w:type="dxa"/>
            </w:tcMar>
          </w:tcPr>
          <w:p w:rsidR="005D1407" w:rsidRPr="00173E95" w:rsidRDefault="00DE1A56" w:rsidP="005D6C1B">
            <w:pPr>
              <w:spacing w:before="60" w:after="60"/>
              <w:jc w:val="left"/>
              <w:rPr>
                <w:b/>
                <w:i/>
                <w:szCs w:val="20"/>
              </w:rPr>
            </w:pPr>
            <w:r w:rsidRPr="00DE1A56">
              <w:rPr>
                <w:b/>
                <w:i/>
                <w:szCs w:val="20"/>
              </w:rPr>
              <w:lastRenderedPageBreak/>
              <w:t>Na hodnotě HPH ČR se nejvíce podílel terciární sektor</w:t>
            </w:r>
          </w:p>
        </w:tc>
        <w:tc>
          <w:tcPr>
            <w:tcW w:w="7115" w:type="dxa"/>
            <w:tcMar>
              <w:left w:w="85" w:type="dxa"/>
              <w:right w:w="85" w:type="dxa"/>
            </w:tcMar>
            <w:vAlign w:val="center"/>
          </w:tcPr>
          <w:p w:rsidR="00DE1A56" w:rsidRDefault="00DE1A56" w:rsidP="00DE1A56">
            <w:pPr>
              <w:pStyle w:val="Normlnweb"/>
              <w:spacing w:before="60" w:beforeAutospacing="0" w:after="60" w:afterAutospacing="0"/>
              <w:jc w:val="both"/>
              <w:rPr>
                <w:rFonts w:ascii="Arial" w:eastAsia="+mn-ea" w:hAnsi="Arial" w:cs="Arial"/>
                <w:color w:val="000000"/>
                <w:sz w:val="20"/>
                <w:szCs w:val="20"/>
              </w:rPr>
            </w:pPr>
            <w:r w:rsidRPr="00DE1A56">
              <w:rPr>
                <w:rFonts w:ascii="Arial" w:eastAsia="+mn-ea" w:hAnsi="Arial" w:cs="Arial"/>
                <w:color w:val="000000"/>
                <w:sz w:val="20"/>
                <w:szCs w:val="20"/>
              </w:rPr>
              <w:t>V porovnání vývoje HPH ve sledovaném pětiletém období v</w:t>
            </w:r>
            <w:r>
              <w:rPr>
                <w:rFonts w:ascii="Arial" w:eastAsia="+mn-ea" w:hAnsi="Arial" w:cs="Arial"/>
                <w:color w:val="000000"/>
                <w:sz w:val="20"/>
                <w:szCs w:val="20"/>
              </w:rPr>
              <w:t> </w:t>
            </w:r>
            <w:r w:rsidRPr="00DE1A56">
              <w:rPr>
                <w:rFonts w:ascii="Arial" w:eastAsia="+mn-ea" w:hAnsi="Arial" w:cs="Arial"/>
                <w:color w:val="000000"/>
                <w:sz w:val="20"/>
                <w:szCs w:val="20"/>
              </w:rPr>
              <w:t>republice</w:t>
            </w:r>
            <w:r>
              <w:rPr>
                <w:rFonts w:ascii="Arial" w:eastAsia="+mn-ea" w:hAnsi="Arial" w:cs="Arial"/>
                <w:color w:val="000000"/>
                <w:sz w:val="20"/>
                <w:szCs w:val="20"/>
              </w:rPr>
              <w:t xml:space="preserve"> a ve Zlínském</w:t>
            </w:r>
            <w:r w:rsidRPr="00DE1A56">
              <w:rPr>
                <w:rFonts w:ascii="Arial" w:eastAsia="+mn-ea" w:hAnsi="Arial" w:cs="Arial"/>
                <w:color w:val="000000"/>
                <w:sz w:val="20"/>
                <w:szCs w:val="20"/>
              </w:rPr>
              <w:t xml:space="preserve"> kraji byly rozdíly. U primárního sektoru byl vývoj opačný. Ve</w:t>
            </w:r>
            <w:r>
              <w:rPr>
                <w:rFonts w:ascii="Arial" w:eastAsia="+mn-ea" w:hAnsi="Arial" w:cs="Arial"/>
                <w:color w:val="000000"/>
                <w:sz w:val="20"/>
                <w:szCs w:val="20"/>
              </w:rPr>
              <w:t> </w:t>
            </w:r>
            <w:r w:rsidRPr="00DE1A56">
              <w:rPr>
                <w:rFonts w:ascii="Arial" w:eastAsia="+mn-ea" w:hAnsi="Arial" w:cs="Arial"/>
                <w:color w:val="000000"/>
                <w:sz w:val="20"/>
                <w:szCs w:val="20"/>
              </w:rPr>
              <w:t xml:space="preserve">Zlínském kraji se podíl zmenšil (o 0,60 </w:t>
            </w:r>
            <w:proofErr w:type="spellStart"/>
            <w:proofErr w:type="gramStart"/>
            <w:r w:rsidRPr="00DE1A56">
              <w:rPr>
                <w:rFonts w:ascii="Arial" w:eastAsia="+mn-ea" w:hAnsi="Arial" w:cs="Arial"/>
                <w:color w:val="000000"/>
                <w:sz w:val="20"/>
                <w:szCs w:val="20"/>
              </w:rPr>
              <w:t>p.b</w:t>
            </w:r>
            <w:proofErr w:type="spellEnd"/>
            <w:r w:rsidRPr="00DE1A56">
              <w:rPr>
                <w:rFonts w:ascii="Arial" w:eastAsia="+mn-ea" w:hAnsi="Arial" w:cs="Arial"/>
                <w:color w:val="000000"/>
                <w:sz w:val="20"/>
                <w:szCs w:val="20"/>
              </w:rPr>
              <w:t>.), v republice</w:t>
            </w:r>
            <w:proofErr w:type="gramEnd"/>
            <w:r w:rsidRPr="00DE1A56">
              <w:rPr>
                <w:rFonts w:ascii="Arial" w:eastAsia="+mn-ea" w:hAnsi="Arial" w:cs="Arial"/>
                <w:color w:val="000000"/>
                <w:sz w:val="20"/>
                <w:szCs w:val="20"/>
              </w:rPr>
              <w:t xml:space="preserve"> se zvětšil (o 0,47 </w:t>
            </w:r>
            <w:proofErr w:type="spellStart"/>
            <w:r w:rsidRPr="00DE1A56">
              <w:rPr>
                <w:rFonts w:ascii="Arial" w:eastAsia="+mn-ea" w:hAnsi="Arial" w:cs="Arial"/>
                <w:color w:val="000000"/>
                <w:sz w:val="20"/>
                <w:szCs w:val="20"/>
              </w:rPr>
              <w:t>p.b</w:t>
            </w:r>
            <w:proofErr w:type="spellEnd"/>
            <w:r w:rsidRPr="00DE1A56">
              <w:rPr>
                <w:rFonts w:ascii="Arial" w:eastAsia="+mn-ea" w:hAnsi="Arial" w:cs="Arial"/>
                <w:color w:val="000000"/>
                <w:sz w:val="20"/>
                <w:szCs w:val="20"/>
              </w:rPr>
              <w:t xml:space="preserve">.). Sekundární sektor se také vyvíjel rozdílně. Zatím co ve Zlínském kraji posílil, v celé republice se snížil za pět let o 1,00 </w:t>
            </w:r>
            <w:proofErr w:type="spellStart"/>
            <w:proofErr w:type="gramStart"/>
            <w:r w:rsidRPr="00DE1A56">
              <w:rPr>
                <w:rFonts w:ascii="Arial" w:eastAsia="+mn-ea" w:hAnsi="Arial" w:cs="Arial"/>
                <w:color w:val="000000"/>
                <w:sz w:val="20"/>
                <w:szCs w:val="20"/>
              </w:rPr>
              <w:t>p.b</w:t>
            </w:r>
            <w:proofErr w:type="spellEnd"/>
            <w:r w:rsidRPr="00DE1A56">
              <w:rPr>
                <w:rFonts w:ascii="Arial" w:eastAsia="+mn-ea" w:hAnsi="Arial" w:cs="Arial"/>
                <w:color w:val="000000"/>
                <w:sz w:val="20"/>
                <w:szCs w:val="20"/>
              </w:rPr>
              <w:t>.</w:t>
            </w:r>
            <w:proofErr w:type="gramEnd"/>
            <w:r w:rsidRPr="00DE1A56">
              <w:rPr>
                <w:rFonts w:ascii="Arial" w:eastAsia="+mn-ea" w:hAnsi="Arial" w:cs="Arial"/>
                <w:color w:val="000000"/>
                <w:sz w:val="20"/>
                <w:szCs w:val="20"/>
              </w:rPr>
              <w:t xml:space="preserve"> Podíl terciárního sektoru se v průběhu daných let zvýšil jak ve Zlínském kraji tak v celé republice, a to shodně o 0,52 </w:t>
            </w:r>
            <w:proofErr w:type="spellStart"/>
            <w:proofErr w:type="gramStart"/>
            <w:r w:rsidRPr="00DE1A56">
              <w:rPr>
                <w:rFonts w:ascii="Arial" w:eastAsia="+mn-ea" w:hAnsi="Arial" w:cs="Arial"/>
                <w:color w:val="000000"/>
                <w:sz w:val="20"/>
                <w:szCs w:val="20"/>
              </w:rPr>
              <w:t>p.b</w:t>
            </w:r>
            <w:proofErr w:type="spellEnd"/>
            <w:r w:rsidRPr="00DE1A56">
              <w:rPr>
                <w:rFonts w:ascii="Arial" w:eastAsia="+mn-ea" w:hAnsi="Arial" w:cs="Arial"/>
                <w:color w:val="000000"/>
                <w:sz w:val="20"/>
                <w:szCs w:val="20"/>
              </w:rPr>
              <w:t>.</w:t>
            </w:r>
            <w:proofErr w:type="gramEnd"/>
            <w:r w:rsidRPr="00DE1A56">
              <w:rPr>
                <w:rFonts w:ascii="Arial" w:eastAsia="+mn-ea" w:hAnsi="Arial" w:cs="Arial"/>
                <w:color w:val="000000"/>
                <w:sz w:val="20"/>
                <w:szCs w:val="20"/>
              </w:rPr>
              <w:t xml:space="preserve"> K nejvýraznější změně v republice zde došlo u skupin Obchod, doprava, ubytování a pohostinství (pokles v ČR o 1,05 </w:t>
            </w:r>
            <w:proofErr w:type="spellStart"/>
            <w:proofErr w:type="gramStart"/>
            <w:r w:rsidRPr="00DE1A56">
              <w:rPr>
                <w:rFonts w:ascii="Arial" w:eastAsia="+mn-ea" w:hAnsi="Arial" w:cs="Arial"/>
                <w:color w:val="000000"/>
                <w:sz w:val="20"/>
                <w:szCs w:val="20"/>
              </w:rPr>
              <w:t>p.b</w:t>
            </w:r>
            <w:proofErr w:type="spellEnd"/>
            <w:r w:rsidRPr="00DE1A56">
              <w:rPr>
                <w:rFonts w:ascii="Arial" w:eastAsia="+mn-ea" w:hAnsi="Arial" w:cs="Arial"/>
                <w:color w:val="000000"/>
                <w:sz w:val="20"/>
                <w:szCs w:val="20"/>
              </w:rPr>
              <w:t>.), Peněžnictví</w:t>
            </w:r>
            <w:proofErr w:type="gramEnd"/>
            <w:r w:rsidRPr="00DE1A56">
              <w:rPr>
                <w:rFonts w:ascii="Arial" w:eastAsia="+mn-ea" w:hAnsi="Arial" w:cs="Arial"/>
                <w:color w:val="000000"/>
                <w:sz w:val="20"/>
                <w:szCs w:val="20"/>
              </w:rPr>
              <w:t xml:space="preserve"> a pojišťovnictví (zvýšení o 0,68 </w:t>
            </w:r>
            <w:proofErr w:type="spellStart"/>
            <w:r w:rsidRPr="00DE1A56">
              <w:rPr>
                <w:rFonts w:ascii="Arial" w:eastAsia="+mn-ea" w:hAnsi="Arial" w:cs="Arial"/>
                <w:color w:val="000000"/>
                <w:sz w:val="20"/>
                <w:szCs w:val="20"/>
              </w:rPr>
              <w:t>p.b</w:t>
            </w:r>
            <w:proofErr w:type="spellEnd"/>
            <w:r w:rsidRPr="00DE1A56">
              <w:rPr>
                <w:rFonts w:ascii="Arial" w:eastAsia="+mn-ea" w:hAnsi="Arial" w:cs="Arial"/>
                <w:color w:val="000000"/>
                <w:sz w:val="20"/>
                <w:szCs w:val="20"/>
              </w:rPr>
              <w:t xml:space="preserve">.) a Činnosti v oblasti nemovitostí (nárůst o 0,60 </w:t>
            </w:r>
            <w:proofErr w:type="spellStart"/>
            <w:r w:rsidRPr="00DE1A56">
              <w:rPr>
                <w:rFonts w:ascii="Arial" w:eastAsia="+mn-ea" w:hAnsi="Arial" w:cs="Arial"/>
                <w:color w:val="000000"/>
                <w:sz w:val="20"/>
                <w:szCs w:val="20"/>
              </w:rPr>
              <w:t>p.b</w:t>
            </w:r>
            <w:proofErr w:type="spellEnd"/>
            <w:r w:rsidRPr="00DE1A56">
              <w:rPr>
                <w:rFonts w:ascii="Arial" w:eastAsia="+mn-ea" w:hAnsi="Arial" w:cs="Arial"/>
                <w:color w:val="000000"/>
                <w:sz w:val="20"/>
                <w:szCs w:val="20"/>
              </w:rPr>
              <w:t xml:space="preserve">.). </w:t>
            </w:r>
          </w:p>
          <w:p w:rsidR="00DF6178" w:rsidRPr="00DE1A56" w:rsidRDefault="00DF6178" w:rsidP="00DE1A56">
            <w:pPr>
              <w:pStyle w:val="Normlnweb"/>
              <w:spacing w:before="60" w:beforeAutospacing="0" w:after="60" w:afterAutospacing="0"/>
              <w:jc w:val="both"/>
              <w:rPr>
                <w:rFonts w:ascii="Arial" w:eastAsia="+mn-ea" w:hAnsi="Arial" w:cs="Arial"/>
                <w:color w:val="000000"/>
                <w:sz w:val="20"/>
                <w:szCs w:val="20"/>
              </w:rPr>
            </w:pPr>
          </w:p>
          <w:p w:rsidR="005D1407" w:rsidRPr="00173E95" w:rsidRDefault="00DE1A56" w:rsidP="00DE1A56">
            <w:pPr>
              <w:pStyle w:val="Normlnweb"/>
              <w:spacing w:before="60" w:beforeAutospacing="0" w:after="60" w:afterAutospacing="0"/>
              <w:jc w:val="both"/>
              <w:rPr>
                <w:rFonts w:ascii="Arial" w:eastAsia="+mn-ea" w:hAnsi="Arial" w:cs="Arial"/>
                <w:color w:val="000000"/>
                <w:sz w:val="20"/>
                <w:szCs w:val="20"/>
              </w:rPr>
            </w:pPr>
            <w:r w:rsidRPr="00DE1A56">
              <w:rPr>
                <w:rFonts w:ascii="Arial" w:eastAsia="+mn-ea" w:hAnsi="Arial" w:cs="Arial"/>
                <w:color w:val="000000"/>
                <w:sz w:val="20"/>
                <w:szCs w:val="20"/>
              </w:rPr>
              <w:lastRenderedPageBreak/>
              <w:t>Na celkové HPH republiky se v roce 2013 podílel primární sektor 2,61 %, sekundární 36,69 % a terciární 60,70 %.</w:t>
            </w:r>
          </w:p>
        </w:tc>
      </w:tr>
      <w:tr w:rsidR="00DF6178" w:rsidRPr="00572B30" w:rsidTr="00EB6FAC">
        <w:tc>
          <w:tcPr>
            <w:tcW w:w="9611" w:type="dxa"/>
            <w:gridSpan w:val="3"/>
            <w:tcMar>
              <w:left w:w="85" w:type="dxa"/>
              <w:right w:w="85" w:type="dxa"/>
            </w:tcMar>
          </w:tcPr>
          <w:p w:rsidR="00DF6178" w:rsidRPr="00DF6178" w:rsidRDefault="00DF6178" w:rsidP="006911B0">
            <w:pPr>
              <w:pStyle w:val="Normlnweb"/>
              <w:spacing w:before="60" w:beforeAutospacing="0" w:after="60" w:afterAutospacing="0"/>
              <w:jc w:val="both"/>
              <w:rPr>
                <w:rFonts w:ascii="Arial" w:eastAsia="+mn-ea" w:hAnsi="Arial" w:cs="Arial"/>
                <w:b/>
                <w:color w:val="000000"/>
                <w:sz w:val="20"/>
                <w:szCs w:val="20"/>
              </w:rPr>
            </w:pPr>
            <w:r w:rsidRPr="00DF6178">
              <w:rPr>
                <w:rFonts w:ascii="Arial" w:eastAsia="+mn-ea" w:hAnsi="Arial" w:cs="Arial"/>
                <w:b/>
                <w:color w:val="000000"/>
                <w:sz w:val="20"/>
                <w:szCs w:val="20"/>
              </w:rPr>
              <w:lastRenderedPageBreak/>
              <w:t xml:space="preserve">Graf </w:t>
            </w:r>
            <w:r w:rsidR="006911B0">
              <w:rPr>
                <w:rFonts w:ascii="Arial" w:eastAsia="+mn-ea" w:hAnsi="Arial" w:cs="Arial"/>
                <w:b/>
                <w:color w:val="000000"/>
                <w:sz w:val="20"/>
                <w:szCs w:val="20"/>
              </w:rPr>
              <w:t>3.</w:t>
            </w:r>
            <w:r w:rsidRPr="00DF6178">
              <w:rPr>
                <w:rFonts w:ascii="Arial" w:eastAsia="+mn-ea" w:hAnsi="Arial" w:cs="Arial"/>
                <w:b/>
                <w:color w:val="000000"/>
                <w:sz w:val="20"/>
                <w:szCs w:val="20"/>
              </w:rPr>
              <w:t>4 Odvětvová struktura hrubé přidané hodnoty ve Zlínském kraji a ČR</w:t>
            </w:r>
          </w:p>
        </w:tc>
      </w:tr>
      <w:tr w:rsidR="00DF6178" w:rsidRPr="00572B30" w:rsidTr="00EB6FAC">
        <w:tc>
          <w:tcPr>
            <w:tcW w:w="9611" w:type="dxa"/>
            <w:gridSpan w:val="3"/>
            <w:tcMar>
              <w:left w:w="85" w:type="dxa"/>
              <w:right w:w="85" w:type="dxa"/>
            </w:tcMar>
          </w:tcPr>
          <w:p w:rsidR="00DF6178" w:rsidRPr="00173E95" w:rsidRDefault="009956CB" w:rsidP="00DF6178">
            <w:pPr>
              <w:pStyle w:val="Normlnweb"/>
              <w:spacing w:before="60" w:beforeAutospacing="0" w:after="60" w:afterAutospacing="0"/>
              <w:jc w:val="center"/>
              <w:rPr>
                <w:rFonts w:ascii="Arial" w:eastAsia="+mn-ea" w:hAnsi="Arial" w:cs="Arial"/>
                <w:color w:val="000000"/>
                <w:sz w:val="20"/>
                <w:szCs w:val="20"/>
              </w:rPr>
            </w:pPr>
            <w:r w:rsidRPr="00286EFA">
              <w:rPr>
                <w:rFonts w:ascii="Arial" w:eastAsia="+mn-ea" w:hAnsi="Arial" w:cs="Arial"/>
                <w:color w:val="000000"/>
                <w:sz w:val="20"/>
                <w:szCs w:val="20"/>
              </w:rPr>
              <w:pict>
                <v:shape id="_x0000_i1085" type="#_x0000_t75" style="width:473.25pt;height:266.25pt">
                  <v:imagedata r:id="rId78" o:title=""/>
                </v:shape>
              </w:pict>
            </w:r>
          </w:p>
        </w:tc>
      </w:tr>
      <w:tr w:rsidR="007462C4" w:rsidTr="00DF6178">
        <w:trPr>
          <w:gridBefore w:val="1"/>
          <w:wBefore w:w="16" w:type="dxa"/>
        </w:trPr>
        <w:tc>
          <w:tcPr>
            <w:tcW w:w="2480" w:type="dxa"/>
          </w:tcPr>
          <w:p w:rsidR="007462C4" w:rsidRPr="00D41691" w:rsidRDefault="00990274" w:rsidP="007462C4">
            <w:pPr>
              <w:pStyle w:val="text"/>
              <w:jc w:val="left"/>
              <w:rPr>
                <w:b/>
                <w:i/>
                <w:u w:val="single"/>
              </w:rPr>
            </w:pPr>
            <w:r w:rsidRPr="00D41691">
              <w:rPr>
                <w:b/>
                <w:i/>
                <w:u w:val="single"/>
              </w:rPr>
              <w:t>Věda a výzkum</w:t>
            </w:r>
          </w:p>
          <w:p w:rsidR="007462C4" w:rsidRPr="00C35058" w:rsidRDefault="00D41691" w:rsidP="007462C4">
            <w:pPr>
              <w:pStyle w:val="text"/>
              <w:jc w:val="left"/>
              <w:rPr>
                <w:b/>
                <w:bCs/>
                <w:i/>
                <w:iCs/>
                <w:highlight w:val="yellow"/>
              </w:rPr>
            </w:pPr>
            <w:r>
              <w:rPr>
                <w:b/>
                <w:i/>
              </w:rPr>
              <w:t xml:space="preserve">Meziroční pokles výdajů </w:t>
            </w:r>
          </w:p>
        </w:tc>
        <w:tc>
          <w:tcPr>
            <w:tcW w:w="7115" w:type="dxa"/>
          </w:tcPr>
          <w:p w:rsidR="007462C4" w:rsidRPr="00C35058" w:rsidRDefault="00D41691" w:rsidP="00DA4840">
            <w:pPr>
              <w:pStyle w:val="text"/>
              <w:rPr>
                <w:highlight w:val="yellow"/>
              </w:rPr>
            </w:pPr>
            <w:r w:rsidRPr="0018395C">
              <w:t>Růst výdajů na vědu a výzkum se zastavil v roce 2012, v následujícím roce došlo k poklesu o 13,4 %, tedy o 310 tis. Kč. Z celkového objemu výdajů na vědeckou a výzkumnou činnost v ČR představovaly krajské výdaje 2,6 %.</w:t>
            </w:r>
            <w:r>
              <w:t xml:space="preserve"> </w:t>
            </w:r>
            <w:r w:rsidRPr="0018395C">
              <w:t>Ve</w:t>
            </w:r>
            <w:r w:rsidR="00DA4840">
              <w:t> </w:t>
            </w:r>
            <w:r w:rsidRPr="0018395C">
              <w:t xml:space="preserve">vztahu k regionálnímu HDP celkové výdaje na vědu od roku 2010 dosahují úroveň </w:t>
            </w:r>
            <w:r w:rsidR="00DA4840">
              <w:t>jednoho</w:t>
            </w:r>
            <w:r w:rsidRPr="0018395C">
              <w:t xml:space="preserve"> procenta HDP</w:t>
            </w:r>
            <w:r>
              <w:t>.</w:t>
            </w:r>
          </w:p>
        </w:tc>
      </w:tr>
      <w:tr w:rsidR="007462C4" w:rsidTr="00DF6178">
        <w:trPr>
          <w:gridBefore w:val="1"/>
          <w:wBefore w:w="16" w:type="dxa"/>
          <w:cantSplit/>
        </w:trPr>
        <w:tc>
          <w:tcPr>
            <w:tcW w:w="9595" w:type="dxa"/>
            <w:gridSpan w:val="2"/>
          </w:tcPr>
          <w:p w:rsidR="007462C4" w:rsidRPr="00D41691" w:rsidRDefault="00773CE7" w:rsidP="00E55229">
            <w:pPr>
              <w:pStyle w:val="text"/>
              <w:jc w:val="left"/>
            </w:pPr>
            <w:r w:rsidRPr="00D41691">
              <w:rPr>
                <w:b/>
                <w:bCs/>
                <w:szCs w:val="20"/>
              </w:rPr>
              <w:t xml:space="preserve">Graf </w:t>
            </w:r>
            <w:r w:rsidR="006911B0">
              <w:rPr>
                <w:b/>
                <w:bCs/>
                <w:szCs w:val="20"/>
              </w:rPr>
              <w:t xml:space="preserve">3.5 </w:t>
            </w:r>
            <w:r w:rsidR="00D41691" w:rsidRPr="00D41691">
              <w:rPr>
                <w:b/>
              </w:rPr>
              <w:t xml:space="preserve">Výdaje na </w:t>
            </w:r>
            <w:r w:rsidR="00E55229">
              <w:rPr>
                <w:b/>
              </w:rPr>
              <w:t>vědu a výzkum</w:t>
            </w:r>
            <w:r w:rsidR="00D41691" w:rsidRPr="00D41691">
              <w:rPr>
                <w:b/>
              </w:rPr>
              <w:t xml:space="preserve"> podle zdroje jejich financování ve Zlínském kraji</w:t>
            </w:r>
          </w:p>
        </w:tc>
      </w:tr>
      <w:tr w:rsidR="001B164E" w:rsidTr="00DF6178">
        <w:trPr>
          <w:gridBefore w:val="1"/>
          <w:wBefore w:w="16" w:type="dxa"/>
          <w:cantSplit/>
        </w:trPr>
        <w:tc>
          <w:tcPr>
            <w:tcW w:w="9595" w:type="dxa"/>
            <w:gridSpan w:val="2"/>
          </w:tcPr>
          <w:p w:rsidR="001B164E" w:rsidRPr="00D41691" w:rsidRDefault="009956CB" w:rsidP="00804250">
            <w:pPr>
              <w:pStyle w:val="text"/>
              <w:jc w:val="center"/>
            </w:pPr>
            <w:r>
              <w:pict>
                <v:shape id="_x0000_i1086" type="#_x0000_t75" style="width:473.25pt;height:169.5pt">
                  <v:imagedata r:id="rId79" o:title=""/>
                </v:shape>
              </w:pict>
            </w:r>
          </w:p>
        </w:tc>
      </w:tr>
      <w:tr w:rsidR="00D41691" w:rsidTr="00F14A63">
        <w:trPr>
          <w:gridBefore w:val="1"/>
          <w:wBefore w:w="16" w:type="dxa"/>
        </w:trPr>
        <w:tc>
          <w:tcPr>
            <w:tcW w:w="2480" w:type="dxa"/>
          </w:tcPr>
          <w:p w:rsidR="00D41691" w:rsidRPr="00D41691" w:rsidRDefault="00D41691" w:rsidP="00F14A63">
            <w:pPr>
              <w:pStyle w:val="text"/>
              <w:jc w:val="left"/>
              <w:rPr>
                <w:b/>
                <w:bCs/>
                <w:i/>
                <w:iCs/>
              </w:rPr>
            </w:pPr>
            <w:r w:rsidRPr="00D41691">
              <w:rPr>
                <w:b/>
                <w:bCs/>
                <w:i/>
                <w:iCs/>
                <w:szCs w:val="20"/>
              </w:rPr>
              <w:t xml:space="preserve">Podnikatelský sektor je hlavním zdrojem financování </w:t>
            </w:r>
          </w:p>
        </w:tc>
        <w:tc>
          <w:tcPr>
            <w:tcW w:w="7115" w:type="dxa"/>
          </w:tcPr>
          <w:p w:rsidR="00D41691" w:rsidRPr="001F7EB1" w:rsidRDefault="00D41691" w:rsidP="00F14A63">
            <w:pPr>
              <w:spacing w:before="60" w:after="60"/>
            </w:pPr>
            <w:r>
              <w:t>Rozhodujícím</w:t>
            </w:r>
            <w:r w:rsidRPr="0018395C">
              <w:t xml:space="preserve"> zdrojem financování vědy a výzkumu v kraji je podnikatelský sektor, tedy soukromé národní zdroje. V roce 2013 jím bylo financováno 59,3</w:t>
            </w:r>
            <w:r w:rsidR="00F14A63">
              <w:t> </w:t>
            </w:r>
            <w:r w:rsidRPr="0018395C">
              <w:t>% z celkového objemu výdajů.</w:t>
            </w:r>
            <w:r>
              <w:t xml:space="preserve"> </w:t>
            </w:r>
            <w:r w:rsidRPr="0018395C">
              <w:t>Druhým významným je vládní sektor, z něj pocházelo 23,4 % z celkového objemu vynaložených prostředků na vědu a výzkum.</w:t>
            </w:r>
            <w:r w:rsidRPr="0018395C">
              <w:rPr>
                <w:rFonts w:ascii="Calibri" w:eastAsia="+mn-ea" w:hAnsi="Calibri" w:cs="+mn-cs"/>
                <w:color w:val="000000"/>
                <w:sz w:val="22"/>
                <w:szCs w:val="22"/>
              </w:rPr>
              <w:t xml:space="preserve"> </w:t>
            </w:r>
          </w:p>
        </w:tc>
      </w:tr>
      <w:tr w:rsidR="007462C4" w:rsidTr="00DF6178">
        <w:trPr>
          <w:gridBefore w:val="1"/>
          <w:wBefore w:w="16" w:type="dxa"/>
        </w:trPr>
        <w:tc>
          <w:tcPr>
            <w:tcW w:w="2480" w:type="dxa"/>
          </w:tcPr>
          <w:p w:rsidR="007462C4" w:rsidRPr="00C35058" w:rsidRDefault="001B164E" w:rsidP="007462C4">
            <w:pPr>
              <w:pStyle w:val="text"/>
              <w:jc w:val="left"/>
              <w:rPr>
                <w:b/>
                <w:bCs/>
                <w:i/>
                <w:iCs/>
                <w:highlight w:val="yellow"/>
              </w:rPr>
            </w:pPr>
            <w:r w:rsidRPr="00D41691">
              <w:rPr>
                <w:b/>
                <w:bCs/>
                <w:i/>
                <w:iCs/>
              </w:rPr>
              <w:t xml:space="preserve">Výdaje realizovány především v podnikatelském sektoru </w:t>
            </w:r>
          </w:p>
        </w:tc>
        <w:tc>
          <w:tcPr>
            <w:tcW w:w="7115" w:type="dxa"/>
          </w:tcPr>
          <w:p w:rsidR="007462C4" w:rsidRPr="00C35058" w:rsidRDefault="00D41691" w:rsidP="00DA4840">
            <w:pPr>
              <w:pStyle w:val="text"/>
              <w:rPr>
                <w:highlight w:val="yellow"/>
              </w:rPr>
            </w:pPr>
            <w:r w:rsidRPr="00F5741B">
              <w:t xml:space="preserve">Největší část výdajů na </w:t>
            </w:r>
            <w:r w:rsidR="00DA4840">
              <w:t>vědu a výzkum</w:t>
            </w:r>
            <w:r w:rsidRPr="00F5741B">
              <w:t xml:space="preserve"> byla po celé sledované období užita v podnikatelském sektoru, v roce 2013 to bylo 84,4 %, což představovalo 1</w:t>
            </w:r>
            <w:r w:rsidR="00DA4840">
              <w:t> </w:t>
            </w:r>
            <w:r w:rsidRPr="00F5741B">
              <w:t>691 mil. Kč.</w:t>
            </w:r>
            <w:r>
              <w:t xml:space="preserve"> </w:t>
            </w:r>
            <w:r w:rsidRPr="00F5741B">
              <w:t>Ve vysokoškolském sektoru dosáhly realizované výdaje na vědu a výzkum 308,9 mil Kč a ve struktuře celkov</w:t>
            </w:r>
            <w:r>
              <w:t xml:space="preserve">ých výdajů představovaly 15,4 %. </w:t>
            </w:r>
            <w:r w:rsidRPr="00F5741B">
              <w:t>Ve srovnání s rokem 2009 vzrostly celkové výdaje o jednu čtvrtinu, přitom v</w:t>
            </w:r>
            <w:r>
              <w:t> </w:t>
            </w:r>
            <w:r w:rsidRPr="00F5741B">
              <w:t xml:space="preserve">podnikatelském sektoru byl nárůst 20 %, ve vysokoškolském </w:t>
            </w:r>
            <w:r>
              <w:t>72 %.</w:t>
            </w:r>
          </w:p>
        </w:tc>
      </w:tr>
      <w:tr w:rsidR="007462C4" w:rsidRPr="00BB2552" w:rsidTr="00DF6178">
        <w:trPr>
          <w:gridBefore w:val="1"/>
          <w:wBefore w:w="16" w:type="dxa"/>
        </w:trPr>
        <w:tc>
          <w:tcPr>
            <w:tcW w:w="2480" w:type="dxa"/>
          </w:tcPr>
          <w:p w:rsidR="007462C4" w:rsidRPr="00D41691" w:rsidRDefault="001B164E" w:rsidP="007462C4">
            <w:pPr>
              <w:pStyle w:val="text"/>
              <w:jc w:val="left"/>
              <w:rPr>
                <w:b/>
                <w:bCs/>
                <w:i/>
                <w:iCs/>
              </w:rPr>
            </w:pPr>
            <w:r w:rsidRPr="00D41691">
              <w:rPr>
                <w:b/>
                <w:bCs/>
                <w:i/>
                <w:iCs/>
              </w:rPr>
              <w:lastRenderedPageBreak/>
              <w:t>Počet výzkumníků rostl rychleji než zaměstnanců</w:t>
            </w:r>
          </w:p>
        </w:tc>
        <w:tc>
          <w:tcPr>
            <w:tcW w:w="7115" w:type="dxa"/>
          </w:tcPr>
          <w:p w:rsidR="007462C4" w:rsidRPr="00BB2552" w:rsidRDefault="00D41691" w:rsidP="00290B49">
            <w:pPr>
              <w:pStyle w:val="text"/>
              <w:rPr>
                <w:highlight w:val="yellow"/>
              </w:rPr>
            </w:pPr>
            <w:r w:rsidRPr="00475448">
              <w:t xml:space="preserve">Počet osob zaměstnaných ve </w:t>
            </w:r>
            <w:r w:rsidR="00290B49">
              <w:t>vědě a výzkumu</w:t>
            </w:r>
            <w:r>
              <w:t xml:space="preserve"> </w:t>
            </w:r>
            <w:r w:rsidRPr="00475448">
              <w:t>se neustále zvyšuje, proti roku 2009 vzrostl o 11 %, počet výzkumníků o 35 %. Meziroční nárůst v</w:t>
            </w:r>
            <w:r w:rsidR="00290B49">
              <w:t> </w:t>
            </w:r>
            <w:r w:rsidRPr="00475448">
              <w:t>roce</w:t>
            </w:r>
            <w:r w:rsidR="00290B49">
              <w:t xml:space="preserve"> </w:t>
            </w:r>
            <w:r w:rsidRPr="00475448">
              <w:t>2013 byl 1,5 % u</w:t>
            </w:r>
            <w:r>
              <w:t> </w:t>
            </w:r>
            <w:r w:rsidRPr="00475448">
              <w:t>zaměstnanců na 1 998 (</w:t>
            </w:r>
            <w:proofErr w:type="spellStart"/>
            <w:r w:rsidRPr="00475448">
              <w:t>přep</w:t>
            </w:r>
            <w:proofErr w:type="spellEnd"/>
            <w:r w:rsidRPr="00475448">
              <w:t>. osob) a 13,5 % u výzkumníků na</w:t>
            </w:r>
            <w:r w:rsidR="00290B49">
              <w:t> </w:t>
            </w:r>
            <w:r w:rsidRPr="00475448">
              <w:t>1</w:t>
            </w:r>
            <w:r w:rsidR="00290B49">
              <w:t> </w:t>
            </w:r>
            <w:r w:rsidRPr="00475448">
              <w:t>100 (</w:t>
            </w:r>
            <w:proofErr w:type="spellStart"/>
            <w:r w:rsidRPr="00475448">
              <w:t>přep</w:t>
            </w:r>
            <w:proofErr w:type="spellEnd"/>
            <w:r w:rsidRPr="00475448">
              <w:t xml:space="preserve">. osob). </w:t>
            </w:r>
            <w:r w:rsidRPr="00CD3A8A">
              <w:t xml:space="preserve">Na celkovém počtu zaměstnanců ve </w:t>
            </w:r>
            <w:r w:rsidR="00290B49">
              <w:t xml:space="preserve">vědě a </w:t>
            </w:r>
            <w:proofErr w:type="spellStart"/>
            <w:r w:rsidR="00290B49">
              <w:t>výkumu</w:t>
            </w:r>
            <w:proofErr w:type="spellEnd"/>
            <w:r>
              <w:t xml:space="preserve"> </w:t>
            </w:r>
            <w:r w:rsidRPr="00CD3A8A">
              <w:t>v</w:t>
            </w:r>
            <w:r w:rsidR="00290B49">
              <w:t> </w:t>
            </w:r>
            <w:r w:rsidRPr="00CD3A8A">
              <w:t>republice se kraj podílí 3,2</w:t>
            </w:r>
            <w:r>
              <w:t> </w:t>
            </w:r>
            <w:r w:rsidRPr="00CD3A8A">
              <w:t xml:space="preserve">%. </w:t>
            </w:r>
          </w:p>
        </w:tc>
      </w:tr>
    </w:tbl>
    <w:p w:rsidR="00F22FA0" w:rsidRPr="00BB2552" w:rsidRDefault="00F22FA0" w:rsidP="00FF21B4">
      <w:pPr>
        <w:jc w:val="left"/>
        <w:rPr>
          <w:b/>
          <w:i/>
          <w:szCs w:val="20"/>
          <w:highlight w:val="yellow"/>
          <w:u w:val="single"/>
        </w:rPr>
        <w:sectPr w:rsidR="00F22FA0" w:rsidRPr="00BB2552" w:rsidSect="009671C9">
          <w:footnotePr>
            <w:numRestart w:val="eachPage"/>
          </w:footnotePr>
          <w:pgSz w:w="11906" w:h="16838" w:code="9"/>
          <w:pgMar w:top="1134" w:right="1134" w:bottom="1247" w:left="1134" w:header="567" w:footer="709" w:gutter="0"/>
          <w:cols w:space="708" w:equalWidth="0">
            <w:col w:w="9638"/>
          </w:cols>
          <w:titlePg/>
          <w:docGrid w:linePitch="360"/>
        </w:sectPr>
      </w:pPr>
    </w:p>
    <w:tbl>
      <w:tblPr>
        <w:tblW w:w="9611" w:type="dxa"/>
        <w:tblLayout w:type="fixed"/>
        <w:tblCellMar>
          <w:left w:w="70" w:type="dxa"/>
          <w:right w:w="70" w:type="dxa"/>
        </w:tblCellMar>
        <w:tblLook w:val="0000"/>
      </w:tblPr>
      <w:tblGrid>
        <w:gridCol w:w="2409"/>
        <w:gridCol w:w="86"/>
        <w:gridCol w:w="2126"/>
        <w:gridCol w:w="4990"/>
      </w:tblGrid>
      <w:tr w:rsidR="00E567FE" w:rsidRPr="00BB2552" w:rsidTr="00F10615">
        <w:tc>
          <w:tcPr>
            <w:tcW w:w="2409" w:type="dxa"/>
            <w:tcMar>
              <w:left w:w="85" w:type="dxa"/>
              <w:right w:w="85" w:type="dxa"/>
            </w:tcMar>
          </w:tcPr>
          <w:p w:rsidR="00E567FE" w:rsidRPr="007539E4" w:rsidRDefault="00E567FE" w:rsidP="007539E4">
            <w:pPr>
              <w:spacing w:before="60" w:after="60"/>
              <w:jc w:val="left"/>
              <w:rPr>
                <w:b/>
                <w:i/>
                <w:szCs w:val="20"/>
                <w:u w:val="single"/>
              </w:rPr>
            </w:pPr>
            <w:r w:rsidRPr="007539E4">
              <w:rPr>
                <w:b/>
                <w:i/>
                <w:szCs w:val="20"/>
                <w:u w:val="single"/>
              </w:rPr>
              <w:lastRenderedPageBreak/>
              <w:t>Informační technologie</w:t>
            </w:r>
          </w:p>
          <w:p w:rsidR="00E567FE" w:rsidRPr="00BB2552" w:rsidRDefault="007539E4" w:rsidP="00400CE3">
            <w:pPr>
              <w:spacing w:before="60" w:after="60"/>
              <w:jc w:val="left"/>
              <w:rPr>
                <w:b/>
                <w:i/>
                <w:szCs w:val="20"/>
                <w:highlight w:val="yellow"/>
              </w:rPr>
            </w:pPr>
            <w:r w:rsidRPr="007539E4">
              <w:rPr>
                <w:b/>
                <w:i/>
                <w:szCs w:val="20"/>
              </w:rPr>
              <w:t>Podíl domácností vybavených počítačem se opět zv</w:t>
            </w:r>
            <w:r w:rsidR="00400CE3">
              <w:rPr>
                <w:b/>
                <w:i/>
                <w:szCs w:val="20"/>
              </w:rPr>
              <w:t>ý</w:t>
            </w:r>
            <w:r w:rsidRPr="007539E4">
              <w:rPr>
                <w:b/>
                <w:i/>
                <w:szCs w:val="20"/>
              </w:rPr>
              <w:t>šil</w:t>
            </w:r>
          </w:p>
        </w:tc>
        <w:tc>
          <w:tcPr>
            <w:tcW w:w="7202" w:type="dxa"/>
            <w:gridSpan w:val="3"/>
            <w:tcMar>
              <w:left w:w="85" w:type="dxa"/>
              <w:right w:w="85" w:type="dxa"/>
            </w:tcMar>
            <w:vAlign w:val="center"/>
          </w:tcPr>
          <w:p w:rsidR="00BC4A99" w:rsidRPr="00BC4A99" w:rsidRDefault="00BC4A99" w:rsidP="00BC4A99">
            <w:pPr>
              <w:pStyle w:val="Normlnweb"/>
              <w:spacing w:before="60" w:beforeAutospacing="0" w:after="60" w:afterAutospacing="0"/>
              <w:jc w:val="both"/>
              <w:rPr>
                <w:rFonts w:ascii="Arial" w:hAnsi="Arial" w:cs="Arial"/>
                <w:sz w:val="20"/>
                <w:szCs w:val="20"/>
              </w:rPr>
            </w:pPr>
            <w:r w:rsidRPr="00BC4A99">
              <w:rPr>
                <w:rFonts w:ascii="Arial" w:hAnsi="Arial" w:cs="Arial"/>
                <w:sz w:val="20"/>
                <w:szCs w:val="20"/>
              </w:rPr>
              <w:t>V souvislosti s rozvojem informačních a komunikačních technologií (ICT), mezi které patří například počítač, mobilní telefon a internet, sleduje statistický úřad jejich rozšiřování, způsob a míru jejich využívání. Výběrové šetření o využívání těchto technologií v domácnostech a mezi jednotlivci provádí Český statistický úřad pravidelně jednou ročně. Z důvodu vyšší reprezentativnosti jsou údaje v</w:t>
            </w:r>
            <w:r>
              <w:rPr>
                <w:rFonts w:ascii="Arial" w:hAnsi="Arial" w:cs="Arial"/>
                <w:sz w:val="20"/>
                <w:szCs w:val="20"/>
              </w:rPr>
              <w:t> </w:t>
            </w:r>
            <w:r w:rsidRPr="00BC4A99">
              <w:rPr>
                <w:rFonts w:ascii="Arial" w:hAnsi="Arial" w:cs="Arial"/>
                <w:sz w:val="20"/>
                <w:szCs w:val="20"/>
              </w:rPr>
              <w:t>krajském členění publikovány jako tříleté klouzavé průměry. Údaj publikovaný v krajském členění např. za rok 2013, je počítán jako vážený aritmetický průměr z dat za roky 2012, 2013 a 2014.</w:t>
            </w:r>
          </w:p>
          <w:p w:rsidR="00BC4A99" w:rsidRPr="00BC4A99" w:rsidRDefault="00BC4A99" w:rsidP="00BC4A99">
            <w:pPr>
              <w:pStyle w:val="Normlnweb"/>
              <w:spacing w:before="60" w:beforeAutospacing="0" w:after="60" w:afterAutospacing="0"/>
              <w:jc w:val="both"/>
              <w:rPr>
                <w:rFonts w:ascii="Arial" w:hAnsi="Arial" w:cs="Arial"/>
                <w:sz w:val="20"/>
                <w:szCs w:val="20"/>
              </w:rPr>
            </w:pPr>
            <w:r w:rsidRPr="00BC4A99">
              <w:rPr>
                <w:rFonts w:ascii="Arial" w:hAnsi="Arial" w:cs="Arial"/>
                <w:sz w:val="20"/>
                <w:szCs w:val="20"/>
              </w:rPr>
              <w:t xml:space="preserve">Ve Zlínském kraji, stejně jako v celé republice, se podíl domácností vybavených počítačem, případně počítačem s internetem, neustále zvyšuje. Zatímco v roce 2009 byl v kraji podíl domácností vybavených osobním počítačem 56,0 % a byl tak o 1,9 </w:t>
            </w:r>
            <w:proofErr w:type="spellStart"/>
            <w:proofErr w:type="gramStart"/>
            <w:r w:rsidRPr="00BC4A99">
              <w:rPr>
                <w:rFonts w:ascii="Arial" w:hAnsi="Arial" w:cs="Arial"/>
                <w:sz w:val="20"/>
                <w:szCs w:val="20"/>
              </w:rPr>
              <w:t>p.b</w:t>
            </w:r>
            <w:proofErr w:type="spellEnd"/>
            <w:r w:rsidRPr="00BC4A99">
              <w:rPr>
                <w:rFonts w:ascii="Arial" w:hAnsi="Arial" w:cs="Arial"/>
                <w:sz w:val="20"/>
                <w:szCs w:val="20"/>
              </w:rPr>
              <w:t>. vyšší</w:t>
            </w:r>
            <w:proofErr w:type="gramEnd"/>
            <w:r w:rsidRPr="00BC4A99">
              <w:rPr>
                <w:rFonts w:ascii="Arial" w:hAnsi="Arial" w:cs="Arial"/>
                <w:sz w:val="20"/>
                <w:szCs w:val="20"/>
              </w:rPr>
              <w:t xml:space="preserve"> než republiková hodnota, v</w:t>
            </w:r>
            <w:r>
              <w:rPr>
                <w:rFonts w:ascii="Arial" w:hAnsi="Arial" w:cs="Arial"/>
                <w:sz w:val="20"/>
                <w:szCs w:val="20"/>
              </w:rPr>
              <w:t> </w:t>
            </w:r>
            <w:r w:rsidRPr="00BC4A99">
              <w:rPr>
                <w:rFonts w:ascii="Arial" w:hAnsi="Arial" w:cs="Arial"/>
                <w:sz w:val="20"/>
                <w:szCs w:val="20"/>
              </w:rPr>
              <w:t>následujících letech se tempo růstu podílu domácností s PC zpomalilo. V</w:t>
            </w:r>
            <w:r>
              <w:rPr>
                <w:rFonts w:ascii="Arial" w:hAnsi="Arial" w:cs="Arial"/>
                <w:sz w:val="20"/>
                <w:szCs w:val="20"/>
              </w:rPr>
              <w:t> </w:t>
            </w:r>
            <w:r w:rsidRPr="00BC4A99">
              <w:rPr>
                <w:rFonts w:ascii="Arial" w:hAnsi="Arial" w:cs="Arial"/>
                <w:sz w:val="20"/>
                <w:szCs w:val="20"/>
              </w:rPr>
              <w:t xml:space="preserve">roce 2012 podíl dosáhl 63,6 % a byl o 3,2 </w:t>
            </w:r>
            <w:proofErr w:type="spellStart"/>
            <w:proofErr w:type="gramStart"/>
            <w:r w:rsidRPr="00BC4A99">
              <w:rPr>
                <w:rFonts w:ascii="Arial" w:hAnsi="Arial" w:cs="Arial"/>
                <w:sz w:val="20"/>
                <w:szCs w:val="20"/>
              </w:rPr>
              <w:t>p.b</w:t>
            </w:r>
            <w:proofErr w:type="spellEnd"/>
            <w:r w:rsidRPr="00BC4A99">
              <w:rPr>
                <w:rFonts w:ascii="Arial" w:hAnsi="Arial" w:cs="Arial"/>
                <w:sz w:val="20"/>
                <w:szCs w:val="20"/>
              </w:rPr>
              <w:t>. pod</w:t>
            </w:r>
            <w:proofErr w:type="gramEnd"/>
            <w:r w:rsidRPr="00BC4A99">
              <w:rPr>
                <w:rFonts w:ascii="Arial" w:hAnsi="Arial" w:cs="Arial"/>
                <w:sz w:val="20"/>
                <w:szCs w:val="20"/>
              </w:rPr>
              <w:t xml:space="preserve"> republikovou hodnotou. V</w:t>
            </w:r>
            <w:r>
              <w:rPr>
                <w:rFonts w:ascii="Arial" w:hAnsi="Arial" w:cs="Arial"/>
                <w:sz w:val="20"/>
                <w:szCs w:val="20"/>
              </w:rPr>
              <w:t> </w:t>
            </w:r>
            <w:r w:rsidRPr="00BC4A99">
              <w:rPr>
                <w:rFonts w:ascii="Arial" w:hAnsi="Arial" w:cs="Arial"/>
                <w:sz w:val="20"/>
                <w:szCs w:val="20"/>
              </w:rPr>
              <w:t xml:space="preserve">následujícím roce vybavenost domácností počítačem zrychlila a dosažená hodnota podílu domácností s PC v kraji dosáhla 69,7 % a převýšila tak hodnotu za Českou republiku o 0,4 procentních bodů. </w:t>
            </w:r>
          </w:p>
          <w:p w:rsidR="00E567FE" w:rsidRDefault="00BC4A99" w:rsidP="00BC4A99">
            <w:pPr>
              <w:pStyle w:val="Normlnweb"/>
              <w:spacing w:before="60" w:beforeAutospacing="0" w:after="60" w:afterAutospacing="0"/>
              <w:jc w:val="both"/>
              <w:rPr>
                <w:rFonts w:ascii="Arial" w:hAnsi="Arial" w:cs="Arial"/>
                <w:sz w:val="20"/>
                <w:szCs w:val="20"/>
              </w:rPr>
            </w:pPr>
            <w:r w:rsidRPr="00BC4A99">
              <w:rPr>
                <w:rFonts w:ascii="Arial" w:hAnsi="Arial" w:cs="Arial"/>
                <w:sz w:val="20"/>
                <w:szCs w:val="20"/>
              </w:rPr>
              <w:t xml:space="preserve">Stejně jako rozšiřování počítačů v domácnostech, dochází stále k vyššímu využívání internetu. V roce 2009 bylo z celkového počtu domácností v kraji 49,2 % s připojením k internetu (v ČR 49,2 %), V roce 2013 se rozdíl zlínského a republikového podílu prohloubil. Zlínský podíl dosáhl </w:t>
            </w:r>
            <w:proofErr w:type="gramStart"/>
            <w:r w:rsidRPr="00BC4A99">
              <w:rPr>
                <w:rFonts w:ascii="Arial" w:hAnsi="Arial" w:cs="Arial"/>
                <w:sz w:val="20"/>
                <w:szCs w:val="20"/>
              </w:rPr>
              <w:t>67,7 % zatímco</w:t>
            </w:r>
            <w:proofErr w:type="gramEnd"/>
            <w:r w:rsidRPr="00BC4A99">
              <w:rPr>
                <w:rFonts w:ascii="Arial" w:hAnsi="Arial" w:cs="Arial"/>
                <w:sz w:val="20"/>
                <w:szCs w:val="20"/>
              </w:rPr>
              <w:t xml:space="preserve"> republikový byl o 0,5 </w:t>
            </w:r>
            <w:proofErr w:type="spellStart"/>
            <w:r w:rsidRPr="00BC4A99">
              <w:rPr>
                <w:rFonts w:ascii="Arial" w:hAnsi="Arial" w:cs="Arial"/>
                <w:sz w:val="20"/>
                <w:szCs w:val="20"/>
              </w:rPr>
              <w:t>p.b</w:t>
            </w:r>
            <w:proofErr w:type="spellEnd"/>
            <w:r w:rsidRPr="00BC4A99">
              <w:rPr>
                <w:rFonts w:ascii="Arial" w:hAnsi="Arial" w:cs="Arial"/>
                <w:sz w:val="20"/>
                <w:szCs w:val="20"/>
              </w:rPr>
              <w:t>. vyšší. Zajímavé je také rozšiřování připojení k</w:t>
            </w:r>
            <w:r>
              <w:rPr>
                <w:rFonts w:ascii="Arial" w:hAnsi="Arial" w:cs="Arial"/>
                <w:sz w:val="20"/>
                <w:szCs w:val="20"/>
              </w:rPr>
              <w:t> </w:t>
            </w:r>
            <w:r w:rsidRPr="00BC4A99">
              <w:rPr>
                <w:rFonts w:ascii="Arial" w:hAnsi="Arial" w:cs="Arial"/>
                <w:sz w:val="20"/>
                <w:szCs w:val="20"/>
              </w:rPr>
              <w:t xml:space="preserve">vysokorychlostnímu internetu (VRI). Podíl domácností kraje s připojením počítače k VRI </w:t>
            </w:r>
            <w:proofErr w:type="gramStart"/>
            <w:r w:rsidRPr="00BC4A99">
              <w:rPr>
                <w:rFonts w:ascii="Arial" w:hAnsi="Arial" w:cs="Arial"/>
                <w:sz w:val="20"/>
                <w:szCs w:val="20"/>
              </w:rPr>
              <w:t>vzrostl z 41,7</w:t>
            </w:r>
            <w:proofErr w:type="gramEnd"/>
            <w:r w:rsidRPr="00BC4A99">
              <w:rPr>
                <w:rFonts w:ascii="Arial" w:hAnsi="Arial" w:cs="Arial"/>
                <w:sz w:val="20"/>
                <w:szCs w:val="20"/>
              </w:rPr>
              <w:t xml:space="preserve"> % v roce 2009 o 23,7 procentního bodu a v roce 2013 tak dosáhl 65,4 % (v ČR se podíl domácností během čtyř let zvýšil o 21,2 </w:t>
            </w:r>
            <w:proofErr w:type="spellStart"/>
            <w:r w:rsidRPr="00BC4A99">
              <w:rPr>
                <w:rFonts w:ascii="Arial" w:hAnsi="Arial" w:cs="Arial"/>
                <w:sz w:val="20"/>
                <w:szCs w:val="20"/>
              </w:rPr>
              <w:t>p.b</w:t>
            </w:r>
            <w:proofErr w:type="spellEnd"/>
            <w:r w:rsidRPr="00BC4A99">
              <w:rPr>
                <w:rFonts w:ascii="Arial" w:hAnsi="Arial" w:cs="Arial"/>
                <w:sz w:val="20"/>
                <w:szCs w:val="20"/>
              </w:rPr>
              <w:t>. na 65,6 %).</w:t>
            </w:r>
          </w:p>
          <w:p w:rsidR="00487D33" w:rsidRPr="00BB2552" w:rsidRDefault="00487D33" w:rsidP="00BC4A99">
            <w:pPr>
              <w:pStyle w:val="Normlnweb"/>
              <w:spacing w:before="60" w:beforeAutospacing="0" w:after="60" w:afterAutospacing="0"/>
              <w:jc w:val="both"/>
              <w:rPr>
                <w:szCs w:val="20"/>
                <w:highlight w:val="yellow"/>
              </w:rPr>
            </w:pPr>
          </w:p>
        </w:tc>
      </w:tr>
      <w:tr w:rsidR="00E567FE" w:rsidRPr="00BB2552" w:rsidTr="00543DC1">
        <w:tc>
          <w:tcPr>
            <w:tcW w:w="4621" w:type="dxa"/>
            <w:gridSpan w:val="3"/>
            <w:tcMar>
              <w:left w:w="85" w:type="dxa"/>
              <w:right w:w="85" w:type="dxa"/>
            </w:tcMar>
          </w:tcPr>
          <w:p w:rsidR="00E567FE" w:rsidRPr="00BB2552" w:rsidRDefault="00E567FE" w:rsidP="006911B0">
            <w:pPr>
              <w:pStyle w:val="Normlnweb"/>
              <w:spacing w:before="60" w:beforeAutospacing="0" w:after="60" w:afterAutospacing="0"/>
              <w:rPr>
                <w:rFonts w:ascii="Arial" w:hAnsi="Arial" w:cs="Arial"/>
                <w:sz w:val="20"/>
                <w:szCs w:val="20"/>
                <w:highlight w:val="yellow"/>
              </w:rPr>
            </w:pPr>
            <w:r w:rsidRPr="00343108">
              <w:rPr>
                <w:rFonts w:ascii="Arial" w:hAnsi="Arial" w:cs="Arial"/>
                <w:b/>
                <w:sz w:val="20"/>
                <w:szCs w:val="20"/>
              </w:rPr>
              <w:t xml:space="preserve">Graf </w:t>
            </w:r>
            <w:r w:rsidR="006911B0">
              <w:rPr>
                <w:rFonts w:ascii="Arial" w:hAnsi="Arial" w:cs="Arial"/>
                <w:b/>
                <w:sz w:val="20"/>
                <w:szCs w:val="20"/>
              </w:rPr>
              <w:t>3.6</w:t>
            </w:r>
            <w:r w:rsidRPr="00343108">
              <w:rPr>
                <w:rFonts w:ascii="Arial" w:hAnsi="Arial" w:cs="Arial"/>
                <w:b/>
                <w:sz w:val="20"/>
                <w:szCs w:val="20"/>
              </w:rPr>
              <w:t xml:space="preserve"> Podíl domácností vybavených </w:t>
            </w:r>
            <w:r w:rsidR="005D6C1B" w:rsidRPr="00343108">
              <w:rPr>
                <w:rFonts w:ascii="Arial" w:hAnsi="Arial" w:cs="Arial"/>
                <w:b/>
                <w:sz w:val="20"/>
                <w:szCs w:val="20"/>
              </w:rPr>
              <w:t xml:space="preserve"> </w:t>
            </w:r>
            <w:r w:rsidR="005D6C1B" w:rsidRPr="00343108">
              <w:rPr>
                <w:rFonts w:ascii="Arial" w:hAnsi="Arial" w:cs="Arial"/>
                <w:b/>
                <w:sz w:val="20"/>
                <w:szCs w:val="20"/>
              </w:rPr>
              <w:br/>
              <w:t xml:space="preserve">               </w:t>
            </w:r>
            <w:r w:rsidRPr="00343108">
              <w:rPr>
                <w:rFonts w:ascii="Arial" w:hAnsi="Arial" w:cs="Arial"/>
                <w:b/>
                <w:sz w:val="20"/>
                <w:szCs w:val="20"/>
              </w:rPr>
              <w:t>počítačem podle krajů</w:t>
            </w:r>
            <w:r w:rsidR="00343108" w:rsidRPr="00343108">
              <w:rPr>
                <w:rFonts w:ascii="Arial" w:hAnsi="Arial" w:cs="Arial"/>
                <w:b/>
                <w:sz w:val="20"/>
                <w:szCs w:val="20"/>
              </w:rPr>
              <w:t xml:space="preserve"> (%)</w:t>
            </w:r>
          </w:p>
        </w:tc>
        <w:tc>
          <w:tcPr>
            <w:tcW w:w="4990" w:type="dxa"/>
            <w:tcBorders>
              <w:left w:val="nil"/>
            </w:tcBorders>
          </w:tcPr>
          <w:p w:rsidR="00E567FE" w:rsidRPr="00BB2552" w:rsidRDefault="00E567FE" w:rsidP="006911B0">
            <w:pPr>
              <w:pStyle w:val="Normlnweb"/>
              <w:spacing w:before="60" w:beforeAutospacing="0" w:after="60" w:afterAutospacing="0"/>
              <w:rPr>
                <w:rFonts w:ascii="Arial" w:hAnsi="Arial" w:cs="Arial"/>
                <w:sz w:val="20"/>
                <w:szCs w:val="20"/>
                <w:highlight w:val="yellow"/>
              </w:rPr>
            </w:pPr>
            <w:r w:rsidRPr="00343108">
              <w:rPr>
                <w:rFonts w:ascii="Arial" w:hAnsi="Arial" w:cs="Arial"/>
                <w:b/>
                <w:sz w:val="20"/>
                <w:szCs w:val="20"/>
              </w:rPr>
              <w:t xml:space="preserve">Graf </w:t>
            </w:r>
            <w:r w:rsidR="006911B0">
              <w:rPr>
                <w:rFonts w:ascii="Arial" w:hAnsi="Arial" w:cs="Arial"/>
                <w:b/>
                <w:sz w:val="20"/>
                <w:szCs w:val="20"/>
              </w:rPr>
              <w:t>3.7</w:t>
            </w:r>
            <w:r w:rsidRPr="00343108">
              <w:rPr>
                <w:rFonts w:ascii="Arial" w:hAnsi="Arial" w:cs="Arial"/>
                <w:b/>
                <w:sz w:val="20"/>
                <w:szCs w:val="20"/>
              </w:rPr>
              <w:t xml:space="preserve"> Podíl domácností vybavených počítačem</w:t>
            </w:r>
            <w:r w:rsidR="005D6C1B" w:rsidRPr="00343108">
              <w:rPr>
                <w:rFonts w:ascii="Arial" w:hAnsi="Arial" w:cs="Arial"/>
                <w:b/>
                <w:sz w:val="20"/>
                <w:szCs w:val="20"/>
              </w:rPr>
              <w:t xml:space="preserve"> </w:t>
            </w:r>
            <w:r w:rsidR="005D6C1B" w:rsidRPr="00343108">
              <w:rPr>
                <w:rFonts w:ascii="Arial" w:hAnsi="Arial" w:cs="Arial"/>
                <w:b/>
                <w:sz w:val="20"/>
                <w:szCs w:val="20"/>
              </w:rPr>
              <w:br/>
              <w:t xml:space="preserve">    </w:t>
            </w:r>
            <w:r w:rsidRPr="00343108">
              <w:rPr>
                <w:rFonts w:ascii="Arial" w:hAnsi="Arial" w:cs="Arial"/>
                <w:b/>
                <w:sz w:val="20"/>
                <w:szCs w:val="20"/>
              </w:rPr>
              <w:t xml:space="preserve">           s připojením k internetu podle krajů</w:t>
            </w:r>
            <w:r w:rsidR="00343108" w:rsidRPr="00343108">
              <w:rPr>
                <w:rFonts w:ascii="Arial" w:hAnsi="Arial" w:cs="Arial"/>
                <w:b/>
                <w:sz w:val="20"/>
                <w:szCs w:val="20"/>
              </w:rPr>
              <w:t xml:space="preserve"> (%)</w:t>
            </w:r>
          </w:p>
        </w:tc>
      </w:tr>
      <w:tr w:rsidR="00E567FE" w:rsidRPr="00BB2552" w:rsidTr="00543DC1">
        <w:trPr>
          <w:trHeight w:val="402"/>
        </w:trPr>
        <w:tc>
          <w:tcPr>
            <w:tcW w:w="4621" w:type="dxa"/>
            <w:gridSpan w:val="3"/>
            <w:tcMar>
              <w:left w:w="85" w:type="dxa"/>
              <w:right w:w="85" w:type="dxa"/>
            </w:tcMar>
            <w:vAlign w:val="center"/>
          </w:tcPr>
          <w:p w:rsidR="00E567FE" w:rsidRPr="00BB2552" w:rsidRDefault="009956CB" w:rsidP="00343108">
            <w:pPr>
              <w:spacing w:before="60" w:after="60"/>
              <w:jc w:val="left"/>
              <w:rPr>
                <w:b/>
                <w:szCs w:val="20"/>
                <w:highlight w:val="yellow"/>
              </w:rPr>
            </w:pPr>
            <w:r w:rsidRPr="00286EFA">
              <w:rPr>
                <w:b/>
                <w:szCs w:val="20"/>
              </w:rPr>
              <w:pict>
                <v:shape id="_x0000_i1087" type="#_x0000_t75" style="width:222.75pt;height:210.75pt">
                  <v:imagedata r:id="rId80" o:title=""/>
                </v:shape>
              </w:pict>
            </w:r>
          </w:p>
        </w:tc>
        <w:tc>
          <w:tcPr>
            <w:tcW w:w="4990" w:type="dxa"/>
            <w:vAlign w:val="center"/>
          </w:tcPr>
          <w:p w:rsidR="00E567FE" w:rsidRPr="00BB2552" w:rsidRDefault="009956CB" w:rsidP="00343108">
            <w:pPr>
              <w:spacing w:before="60" w:after="60"/>
              <w:jc w:val="left"/>
              <w:rPr>
                <w:b/>
                <w:szCs w:val="20"/>
                <w:highlight w:val="yellow"/>
              </w:rPr>
            </w:pPr>
            <w:r w:rsidRPr="00286EFA">
              <w:rPr>
                <w:b/>
                <w:szCs w:val="20"/>
              </w:rPr>
              <w:pict>
                <v:shape id="_x0000_i1088" type="#_x0000_t75" style="width:228.75pt;height:217.5pt">
                  <v:imagedata r:id="rId81" o:title=""/>
                </v:shape>
              </w:pict>
            </w:r>
          </w:p>
        </w:tc>
      </w:tr>
      <w:tr w:rsidR="00343108" w:rsidRPr="00BB2552" w:rsidTr="00343108">
        <w:trPr>
          <w:trHeight w:val="402"/>
        </w:trPr>
        <w:tc>
          <w:tcPr>
            <w:tcW w:w="2495" w:type="dxa"/>
            <w:gridSpan w:val="2"/>
            <w:tcMar>
              <w:left w:w="85" w:type="dxa"/>
              <w:right w:w="85" w:type="dxa"/>
            </w:tcMar>
          </w:tcPr>
          <w:p w:rsidR="00343108" w:rsidRPr="00600E7E" w:rsidRDefault="00343108" w:rsidP="00896AF0">
            <w:pPr>
              <w:spacing w:before="60" w:after="60"/>
              <w:jc w:val="left"/>
              <w:rPr>
                <w:b/>
                <w:i/>
                <w:szCs w:val="20"/>
                <w:highlight w:val="yellow"/>
              </w:rPr>
            </w:pPr>
            <w:r w:rsidRPr="00600E7E">
              <w:rPr>
                <w:b/>
                <w:i/>
                <w:szCs w:val="20"/>
              </w:rPr>
              <w:t xml:space="preserve">V roce 2013 přes internet nakoupilo </w:t>
            </w:r>
            <w:r w:rsidR="00896AF0">
              <w:rPr>
                <w:b/>
                <w:i/>
                <w:szCs w:val="20"/>
              </w:rPr>
              <w:t>37</w:t>
            </w:r>
            <w:r w:rsidR="00901E08" w:rsidRPr="00600E7E">
              <w:rPr>
                <w:b/>
                <w:i/>
                <w:szCs w:val="20"/>
              </w:rPr>
              <w:t> </w:t>
            </w:r>
            <w:r w:rsidRPr="00600E7E">
              <w:rPr>
                <w:b/>
                <w:i/>
                <w:szCs w:val="20"/>
              </w:rPr>
              <w:t xml:space="preserve">% </w:t>
            </w:r>
            <w:r w:rsidR="00896AF0">
              <w:rPr>
                <w:b/>
                <w:i/>
                <w:szCs w:val="20"/>
              </w:rPr>
              <w:t xml:space="preserve">podíl </w:t>
            </w:r>
            <w:r w:rsidRPr="00600E7E">
              <w:rPr>
                <w:b/>
                <w:i/>
                <w:szCs w:val="20"/>
              </w:rPr>
              <w:t xml:space="preserve">obyvatel kraje </w:t>
            </w:r>
            <w:r w:rsidR="00896AF0">
              <w:rPr>
                <w:b/>
                <w:i/>
                <w:szCs w:val="20"/>
              </w:rPr>
              <w:t>starších</w:t>
            </w:r>
            <w:r w:rsidRPr="00600E7E">
              <w:rPr>
                <w:b/>
                <w:i/>
                <w:szCs w:val="20"/>
              </w:rPr>
              <w:t xml:space="preserve"> 16 let</w:t>
            </w:r>
          </w:p>
        </w:tc>
        <w:tc>
          <w:tcPr>
            <w:tcW w:w="7116" w:type="dxa"/>
            <w:gridSpan w:val="2"/>
          </w:tcPr>
          <w:p w:rsidR="00343108" w:rsidRDefault="00343108" w:rsidP="00343108">
            <w:pPr>
              <w:spacing w:before="60" w:after="60"/>
              <w:rPr>
                <w:szCs w:val="20"/>
              </w:rPr>
            </w:pPr>
            <w:r w:rsidRPr="00343108">
              <w:rPr>
                <w:szCs w:val="20"/>
              </w:rPr>
              <w:t xml:space="preserve">Od počátku sledování v roce 2005 se výrazně zvyšoval počet jednotlivců, </w:t>
            </w:r>
            <w:proofErr w:type="gramStart"/>
            <w:r w:rsidRPr="00343108">
              <w:rPr>
                <w:szCs w:val="20"/>
              </w:rPr>
              <w:t>kteří  využívali</w:t>
            </w:r>
            <w:proofErr w:type="gramEnd"/>
            <w:r w:rsidRPr="00343108">
              <w:rPr>
                <w:szCs w:val="20"/>
              </w:rPr>
              <w:t xml:space="preserve"> možnosti nakupovat přes internet. Již v samém začátku byl největší počet těchto lidí zaznamenán v Hl. městě Praze, kde podíl nakupujících dosáhl takřka 15 %. Nejnižší podíl v tomto roce byl zaznamenán ve Zlínském kraji (3,9 % jednotlivců ve věku 16 let a starších v kraji) a do republikového </w:t>
            </w:r>
            <w:r w:rsidRPr="00343108">
              <w:rPr>
                <w:szCs w:val="20"/>
              </w:rPr>
              <w:lastRenderedPageBreak/>
              <w:t xml:space="preserve">průměru mu scházelo 1,6 </w:t>
            </w:r>
            <w:proofErr w:type="spellStart"/>
            <w:proofErr w:type="gramStart"/>
            <w:r w:rsidRPr="00343108">
              <w:rPr>
                <w:szCs w:val="20"/>
              </w:rPr>
              <w:t>p.b</w:t>
            </w:r>
            <w:proofErr w:type="spellEnd"/>
            <w:r w:rsidRPr="00343108">
              <w:rPr>
                <w:szCs w:val="20"/>
              </w:rPr>
              <w:t>.).</w:t>
            </w:r>
            <w:proofErr w:type="gramEnd"/>
            <w:r w:rsidRPr="00343108">
              <w:rPr>
                <w:szCs w:val="20"/>
              </w:rPr>
              <w:t xml:space="preserve"> V dalších letech se nakupování přes internet více a více využívalo a Zlínský podíl v roce 2009 dosáhl 21,8 % a</w:t>
            </w:r>
            <w:r>
              <w:rPr>
                <w:szCs w:val="20"/>
              </w:rPr>
              <w:t> </w:t>
            </w:r>
            <w:r w:rsidRPr="00343108">
              <w:rPr>
                <w:szCs w:val="20"/>
              </w:rPr>
              <w:t>do</w:t>
            </w:r>
            <w:r>
              <w:rPr>
                <w:szCs w:val="20"/>
              </w:rPr>
              <w:t> </w:t>
            </w:r>
            <w:r w:rsidRPr="00343108">
              <w:rPr>
                <w:szCs w:val="20"/>
              </w:rPr>
              <w:t xml:space="preserve">republikové hodnoty mu scházela pouhá 0,1 </w:t>
            </w:r>
            <w:proofErr w:type="spellStart"/>
            <w:proofErr w:type="gramStart"/>
            <w:r w:rsidRPr="00343108">
              <w:rPr>
                <w:szCs w:val="20"/>
              </w:rPr>
              <w:t>p.b</w:t>
            </w:r>
            <w:proofErr w:type="spellEnd"/>
            <w:r w:rsidRPr="00343108">
              <w:rPr>
                <w:szCs w:val="20"/>
              </w:rPr>
              <w:t>. a zároveň</w:t>
            </w:r>
            <w:proofErr w:type="gramEnd"/>
            <w:r w:rsidRPr="00343108">
              <w:rPr>
                <w:szCs w:val="20"/>
              </w:rPr>
              <w:t xml:space="preserve"> předstihl šest krajů. V roce 2013 hodnotou podílu 36,6 % převýšil republikový podíl o 1,8 procentního bodu a také se dostal mezi kraji celkově na pátou pozici. Na</w:t>
            </w:r>
            <w:r>
              <w:rPr>
                <w:szCs w:val="20"/>
              </w:rPr>
              <w:t> </w:t>
            </w:r>
            <w:r w:rsidRPr="00343108">
              <w:rPr>
                <w:szCs w:val="20"/>
              </w:rPr>
              <w:t>v</w:t>
            </w:r>
            <w:r>
              <w:rPr>
                <w:szCs w:val="20"/>
              </w:rPr>
              <w:t> </w:t>
            </w:r>
            <w:r w:rsidRPr="00343108">
              <w:rPr>
                <w:szCs w:val="20"/>
              </w:rPr>
              <w:t>pořadí první Královéhradecký kraj ztrácel 4,1 procentního bodu.</w:t>
            </w:r>
          </w:p>
          <w:p w:rsidR="00487D33" w:rsidRPr="00343108" w:rsidRDefault="00487D33" w:rsidP="00343108">
            <w:pPr>
              <w:spacing w:before="60" w:after="60"/>
              <w:rPr>
                <w:szCs w:val="20"/>
                <w:highlight w:val="yellow"/>
              </w:rPr>
            </w:pPr>
          </w:p>
        </w:tc>
      </w:tr>
      <w:tr w:rsidR="00E567FE" w:rsidRPr="00BB2552" w:rsidTr="009138FC">
        <w:trPr>
          <w:trHeight w:val="402"/>
        </w:trPr>
        <w:tc>
          <w:tcPr>
            <w:tcW w:w="4621" w:type="dxa"/>
            <w:gridSpan w:val="3"/>
            <w:tcMar>
              <w:left w:w="85" w:type="dxa"/>
              <w:right w:w="85" w:type="dxa"/>
            </w:tcMar>
          </w:tcPr>
          <w:p w:rsidR="00E567FE" w:rsidRPr="00BB2552" w:rsidRDefault="002A1F96" w:rsidP="00487D33">
            <w:pPr>
              <w:pStyle w:val="Normlnweb"/>
              <w:spacing w:before="60" w:beforeAutospacing="0" w:after="0" w:afterAutospacing="0"/>
              <w:jc w:val="both"/>
              <w:rPr>
                <w:b/>
                <w:szCs w:val="20"/>
                <w:highlight w:val="yellow"/>
              </w:rPr>
            </w:pPr>
            <w:r w:rsidRPr="00B322B9">
              <w:rPr>
                <w:rFonts w:ascii="Arial" w:hAnsi="Arial" w:cs="Arial"/>
                <w:b/>
                <w:sz w:val="20"/>
                <w:szCs w:val="20"/>
              </w:rPr>
              <w:lastRenderedPageBreak/>
              <w:t>Graf 3</w:t>
            </w:r>
            <w:r w:rsidR="006911B0">
              <w:rPr>
                <w:rFonts w:ascii="Arial" w:hAnsi="Arial" w:cs="Arial"/>
                <w:b/>
                <w:sz w:val="20"/>
                <w:szCs w:val="20"/>
              </w:rPr>
              <w:t>.8</w:t>
            </w:r>
            <w:r w:rsidRPr="00B322B9">
              <w:rPr>
                <w:rFonts w:ascii="Arial" w:hAnsi="Arial" w:cs="Arial"/>
                <w:b/>
                <w:sz w:val="20"/>
                <w:szCs w:val="20"/>
              </w:rPr>
              <w:t xml:space="preserve"> Podíl domácností </w:t>
            </w:r>
            <w:proofErr w:type="gramStart"/>
            <w:r w:rsidRPr="00B322B9">
              <w:rPr>
                <w:rFonts w:ascii="Arial" w:hAnsi="Arial" w:cs="Arial"/>
                <w:b/>
                <w:sz w:val="20"/>
                <w:szCs w:val="20"/>
              </w:rPr>
              <w:t xml:space="preserve">vybavených </w:t>
            </w:r>
            <w:r w:rsidR="009138FC" w:rsidRPr="00B322B9">
              <w:rPr>
                <w:rFonts w:ascii="Arial" w:hAnsi="Arial" w:cs="Arial"/>
                <w:b/>
                <w:sz w:val="20"/>
                <w:szCs w:val="20"/>
              </w:rPr>
              <w:t xml:space="preserve">            </w:t>
            </w:r>
            <w:r w:rsidRPr="00B322B9">
              <w:rPr>
                <w:rFonts w:ascii="Arial" w:hAnsi="Arial" w:cs="Arial"/>
                <w:b/>
                <w:sz w:val="20"/>
                <w:szCs w:val="20"/>
              </w:rPr>
              <w:t>počítačem</w:t>
            </w:r>
            <w:proofErr w:type="gramEnd"/>
            <w:r w:rsidR="009138FC" w:rsidRPr="00B322B9">
              <w:rPr>
                <w:rFonts w:ascii="Arial" w:hAnsi="Arial" w:cs="Arial"/>
                <w:b/>
                <w:sz w:val="20"/>
                <w:szCs w:val="20"/>
              </w:rPr>
              <w:t xml:space="preserve"> </w:t>
            </w:r>
            <w:r w:rsidRPr="00B322B9">
              <w:rPr>
                <w:rFonts w:ascii="Arial" w:hAnsi="Arial" w:cs="Arial"/>
                <w:b/>
                <w:sz w:val="20"/>
                <w:szCs w:val="20"/>
              </w:rPr>
              <w:t xml:space="preserve">s připojením </w:t>
            </w:r>
            <w:r w:rsidR="00487D33">
              <w:rPr>
                <w:rFonts w:ascii="Arial" w:hAnsi="Arial" w:cs="Arial"/>
                <w:b/>
                <w:sz w:val="20"/>
                <w:szCs w:val="20"/>
              </w:rPr>
              <w:t>k v</w:t>
            </w:r>
            <w:r w:rsidRPr="00B322B9">
              <w:rPr>
                <w:rFonts w:ascii="Arial" w:hAnsi="Arial" w:cs="Arial"/>
                <w:b/>
                <w:sz w:val="20"/>
                <w:szCs w:val="20"/>
              </w:rPr>
              <w:t xml:space="preserve">ysokorychlostnímu         </w:t>
            </w:r>
            <w:r w:rsidR="009138FC" w:rsidRPr="00B322B9">
              <w:rPr>
                <w:rFonts w:ascii="Arial" w:hAnsi="Arial" w:cs="Arial"/>
                <w:b/>
                <w:sz w:val="20"/>
                <w:szCs w:val="20"/>
              </w:rPr>
              <w:t xml:space="preserve">  </w:t>
            </w:r>
            <w:r w:rsidRPr="00B322B9">
              <w:rPr>
                <w:rFonts w:ascii="Arial" w:hAnsi="Arial" w:cs="Arial"/>
                <w:b/>
                <w:sz w:val="20"/>
                <w:szCs w:val="20"/>
              </w:rPr>
              <w:t xml:space="preserve"> internetu podle krajů (%)</w:t>
            </w:r>
          </w:p>
        </w:tc>
        <w:tc>
          <w:tcPr>
            <w:tcW w:w="4990" w:type="dxa"/>
          </w:tcPr>
          <w:p w:rsidR="00E567FE" w:rsidRPr="00BB2552" w:rsidRDefault="009138FC" w:rsidP="00487D33">
            <w:pPr>
              <w:spacing w:before="60"/>
              <w:jc w:val="left"/>
              <w:rPr>
                <w:b/>
                <w:szCs w:val="20"/>
                <w:highlight w:val="yellow"/>
              </w:rPr>
            </w:pPr>
            <w:r w:rsidRPr="009138FC">
              <w:rPr>
                <w:b/>
                <w:szCs w:val="20"/>
              </w:rPr>
              <w:t xml:space="preserve">Graf </w:t>
            </w:r>
            <w:r w:rsidR="006911B0">
              <w:rPr>
                <w:b/>
                <w:szCs w:val="20"/>
              </w:rPr>
              <w:t>3.9</w:t>
            </w:r>
            <w:r w:rsidRPr="009138FC">
              <w:rPr>
                <w:b/>
                <w:szCs w:val="20"/>
              </w:rPr>
              <w:t xml:space="preserve"> Podíly jednotlivců 16 let a starších v kraji nakupujících přes internet (%)</w:t>
            </w:r>
          </w:p>
        </w:tc>
      </w:tr>
    </w:tbl>
    <w:p w:rsidR="00C55F4F" w:rsidRPr="00BB2552" w:rsidRDefault="00C55F4F" w:rsidP="00FF21B4">
      <w:pPr>
        <w:spacing w:before="120"/>
        <w:jc w:val="left"/>
        <w:rPr>
          <w:b/>
          <w:szCs w:val="20"/>
          <w:highlight w:val="yellow"/>
        </w:rPr>
        <w:sectPr w:rsidR="00C55F4F" w:rsidRPr="00BB2552" w:rsidSect="00F22FA0">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611" w:type="dxa"/>
        <w:tblLayout w:type="fixed"/>
        <w:tblCellMar>
          <w:left w:w="70" w:type="dxa"/>
          <w:right w:w="70" w:type="dxa"/>
        </w:tblCellMar>
        <w:tblLook w:val="0000"/>
      </w:tblPr>
      <w:tblGrid>
        <w:gridCol w:w="2353"/>
        <w:gridCol w:w="57"/>
        <w:gridCol w:w="2211"/>
        <w:gridCol w:w="4990"/>
      </w:tblGrid>
      <w:tr w:rsidR="00E567FE" w:rsidRPr="00BB2552" w:rsidTr="009138FC">
        <w:trPr>
          <w:trHeight w:val="402"/>
        </w:trPr>
        <w:tc>
          <w:tcPr>
            <w:tcW w:w="4621" w:type="dxa"/>
            <w:gridSpan w:val="3"/>
            <w:tcMar>
              <w:left w:w="85" w:type="dxa"/>
              <w:right w:w="85" w:type="dxa"/>
            </w:tcMar>
            <w:vAlign w:val="center"/>
          </w:tcPr>
          <w:p w:rsidR="00C55F4F" w:rsidRPr="00BB2552" w:rsidRDefault="009956CB" w:rsidP="009138FC">
            <w:pPr>
              <w:spacing w:before="120"/>
              <w:jc w:val="center"/>
              <w:rPr>
                <w:b/>
                <w:szCs w:val="20"/>
                <w:highlight w:val="yellow"/>
              </w:rPr>
            </w:pPr>
            <w:r w:rsidRPr="00286EFA">
              <w:rPr>
                <w:b/>
                <w:szCs w:val="20"/>
              </w:rPr>
              <w:lastRenderedPageBreak/>
              <w:pict>
                <v:shape id="_x0000_i1089" type="#_x0000_t75" style="width:222.75pt;height:208.5pt">
                  <v:imagedata r:id="rId82" o:title=""/>
                </v:shape>
              </w:pict>
            </w:r>
          </w:p>
        </w:tc>
        <w:tc>
          <w:tcPr>
            <w:tcW w:w="4990" w:type="dxa"/>
            <w:vAlign w:val="center"/>
          </w:tcPr>
          <w:p w:rsidR="00E567FE" w:rsidRDefault="009956CB" w:rsidP="009138FC">
            <w:pPr>
              <w:spacing w:before="120"/>
              <w:jc w:val="center"/>
              <w:rPr>
                <w:b/>
                <w:szCs w:val="20"/>
              </w:rPr>
            </w:pPr>
            <w:r w:rsidRPr="00286EFA">
              <w:rPr>
                <w:b/>
                <w:szCs w:val="20"/>
              </w:rPr>
              <w:pict>
                <v:shape id="_x0000_i1090" type="#_x0000_t75" style="width:229.5pt;height:216.75pt">
                  <v:imagedata r:id="rId83" o:title=""/>
                </v:shape>
              </w:pict>
            </w:r>
          </w:p>
          <w:p w:rsidR="00487D33" w:rsidRPr="00BB2552" w:rsidRDefault="00487D33" w:rsidP="009138FC">
            <w:pPr>
              <w:spacing w:before="120"/>
              <w:jc w:val="center"/>
              <w:rPr>
                <w:b/>
                <w:szCs w:val="20"/>
                <w:highlight w:val="yellow"/>
              </w:rPr>
            </w:pPr>
          </w:p>
        </w:tc>
      </w:tr>
      <w:tr w:rsidR="00FF21B4" w:rsidRPr="00BB2552" w:rsidTr="009138FC">
        <w:tc>
          <w:tcPr>
            <w:tcW w:w="2410" w:type="dxa"/>
            <w:gridSpan w:val="2"/>
            <w:tcMar>
              <w:left w:w="85" w:type="dxa"/>
              <w:right w:w="85" w:type="dxa"/>
            </w:tcMar>
          </w:tcPr>
          <w:p w:rsidR="00FF21B4" w:rsidRPr="003600EE" w:rsidRDefault="00FF21B4" w:rsidP="00F10615">
            <w:pPr>
              <w:spacing w:before="60" w:after="60"/>
              <w:jc w:val="left"/>
              <w:rPr>
                <w:b/>
                <w:i/>
                <w:szCs w:val="20"/>
                <w:u w:val="single"/>
              </w:rPr>
            </w:pPr>
            <w:r w:rsidRPr="003600EE">
              <w:rPr>
                <w:b/>
                <w:i/>
                <w:szCs w:val="20"/>
                <w:u w:val="single"/>
              </w:rPr>
              <w:t>Organizační statistika</w:t>
            </w:r>
          </w:p>
          <w:p w:rsidR="00FF21B4" w:rsidRPr="00BB2552" w:rsidRDefault="003600EE" w:rsidP="00F10615">
            <w:pPr>
              <w:spacing w:before="60" w:after="60"/>
              <w:jc w:val="left"/>
              <w:rPr>
                <w:b/>
                <w:i/>
                <w:szCs w:val="20"/>
                <w:highlight w:val="yellow"/>
              </w:rPr>
            </w:pPr>
            <w:r w:rsidRPr="003600EE">
              <w:rPr>
                <w:b/>
                <w:i/>
                <w:szCs w:val="20"/>
              </w:rPr>
              <w:t xml:space="preserve">Počet podnikatel- </w:t>
            </w:r>
            <w:proofErr w:type="spellStart"/>
            <w:r w:rsidRPr="003600EE">
              <w:rPr>
                <w:b/>
                <w:i/>
                <w:szCs w:val="20"/>
              </w:rPr>
              <w:t>ských</w:t>
            </w:r>
            <w:proofErr w:type="spellEnd"/>
            <w:r w:rsidRPr="003600EE">
              <w:rPr>
                <w:b/>
                <w:i/>
                <w:szCs w:val="20"/>
              </w:rPr>
              <w:t xml:space="preserve"> subjektů se meziročně zvýšil</w:t>
            </w:r>
          </w:p>
        </w:tc>
        <w:tc>
          <w:tcPr>
            <w:tcW w:w="7201" w:type="dxa"/>
            <w:gridSpan w:val="2"/>
            <w:tcMar>
              <w:left w:w="85" w:type="dxa"/>
              <w:right w:w="85" w:type="dxa"/>
            </w:tcMar>
          </w:tcPr>
          <w:p w:rsidR="00FF21B4" w:rsidRDefault="003600EE" w:rsidP="003600EE">
            <w:pPr>
              <w:pStyle w:val="Normlnweb"/>
              <w:spacing w:before="60" w:beforeAutospacing="0" w:after="60" w:afterAutospacing="0"/>
              <w:jc w:val="both"/>
              <w:rPr>
                <w:rFonts w:ascii="Arial" w:hAnsi="Arial" w:cs="Arial"/>
                <w:sz w:val="20"/>
                <w:szCs w:val="20"/>
              </w:rPr>
            </w:pPr>
            <w:r w:rsidRPr="003600EE">
              <w:rPr>
                <w:rFonts w:ascii="Arial" w:hAnsi="Arial" w:cs="Arial"/>
                <w:sz w:val="20"/>
                <w:szCs w:val="20"/>
              </w:rPr>
              <w:t>Na konci roku 2014 bylo ve statistickém Registru ekonomických subjektů (RES) evidováno celkem 138 832 subjektů se sídlem ve Zlínském kraji. Meziročně se jejich počet zvýšil o 635 subjektů (o 0,5 %). Vzhledem ke</w:t>
            </w:r>
            <w:r>
              <w:rPr>
                <w:rFonts w:ascii="Arial" w:hAnsi="Arial" w:cs="Arial"/>
                <w:sz w:val="20"/>
                <w:szCs w:val="20"/>
              </w:rPr>
              <w:t> </w:t>
            </w:r>
            <w:r w:rsidRPr="003600EE">
              <w:rPr>
                <w:rFonts w:ascii="Arial" w:hAnsi="Arial" w:cs="Arial"/>
                <w:sz w:val="20"/>
                <w:szCs w:val="20"/>
              </w:rPr>
              <w:t xml:space="preserve">zpřesnění dat statistického Registru ekonomických subjektů podle Registru osob (ROS) nejsou údaje od roku 2013 plně srovnatelné s předchozími roky. </w:t>
            </w:r>
          </w:p>
          <w:p w:rsidR="003600EE" w:rsidRPr="00BB2552" w:rsidRDefault="003600EE" w:rsidP="003600EE">
            <w:pPr>
              <w:pStyle w:val="Normlnweb"/>
              <w:spacing w:before="60" w:beforeAutospacing="0" w:after="60" w:afterAutospacing="0"/>
              <w:jc w:val="both"/>
              <w:rPr>
                <w:szCs w:val="20"/>
                <w:highlight w:val="yellow"/>
              </w:rPr>
            </w:pPr>
          </w:p>
        </w:tc>
      </w:tr>
      <w:tr w:rsidR="00FF21B4" w:rsidRPr="00BB2552" w:rsidTr="009138FC">
        <w:tc>
          <w:tcPr>
            <w:tcW w:w="9611" w:type="dxa"/>
            <w:gridSpan w:val="4"/>
            <w:tcMar>
              <w:left w:w="85" w:type="dxa"/>
              <w:right w:w="85" w:type="dxa"/>
            </w:tcMar>
          </w:tcPr>
          <w:p w:rsidR="00FF21B4" w:rsidRPr="00BB2552" w:rsidRDefault="003600EE" w:rsidP="006911B0">
            <w:pPr>
              <w:pStyle w:val="Normlnweb"/>
              <w:spacing w:before="60" w:beforeAutospacing="0" w:after="60" w:afterAutospacing="0"/>
              <w:jc w:val="both"/>
              <w:rPr>
                <w:rFonts w:ascii="Arial" w:hAnsi="Arial" w:cs="Arial"/>
                <w:b/>
                <w:sz w:val="20"/>
                <w:szCs w:val="20"/>
                <w:highlight w:val="yellow"/>
              </w:rPr>
            </w:pPr>
            <w:r w:rsidRPr="003600EE">
              <w:rPr>
                <w:rFonts w:ascii="Arial" w:hAnsi="Arial" w:cs="Arial"/>
                <w:b/>
                <w:sz w:val="20"/>
                <w:szCs w:val="20"/>
              </w:rPr>
              <w:t xml:space="preserve">Graf </w:t>
            </w:r>
            <w:r w:rsidR="006911B0">
              <w:rPr>
                <w:rFonts w:ascii="Arial" w:hAnsi="Arial" w:cs="Arial"/>
                <w:b/>
                <w:sz w:val="20"/>
                <w:szCs w:val="20"/>
              </w:rPr>
              <w:t>3.</w:t>
            </w:r>
            <w:r w:rsidRPr="003600EE">
              <w:rPr>
                <w:rFonts w:ascii="Arial" w:hAnsi="Arial" w:cs="Arial"/>
                <w:b/>
                <w:sz w:val="20"/>
                <w:szCs w:val="20"/>
              </w:rPr>
              <w:t>1</w:t>
            </w:r>
            <w:r w:rsidR="006911B0">
              <w:rPr>
                <w:rFonts w:ascii="Arial" w:hAnsi="Arial" w:cs="Arial"/>
                <w:b/>
                <w:sz w:val="20"/>
                <w:szCs w:val="20"/>
              </w:rPr>
              <w:t>0</w:t>
            </w:r>
            <w:r w:rsidRPr="003600EE">
              <w:rPr>
                <w:rFonts w:ascii="Arial" w:hAnsi="Arial" w:cs="Arial"/>
                <w:b/>
                <w:sz w:val="20"/>
                <w:szCs w:val="20"/>
              </w:rPr>
              <w:t xml:space="preserve"> Fyzické a právnické osoby se sídlem ve Zlínském kraji k 31. 12.</w:t>
            </w:r>
          </w:p>
        </w:tc>
      </w:tr>
      <w:tr w:rsidR="00FF21B4" w:rsidRPr="00BB2552" w:rsidTr="009138FC">
        <w:trPr>
          <w:trHeight w:val="402"/>
        </w:trPr>
        <w:tc>
          <w:tcPr>
            <w:tcW w:w="9611" w:type="dxa"/>
            <w:gridSpan w:val="4"/>
            <w:tcMar>
              <w:left w:w="85" w:type="dxa"/>
              <w:right w:w="85" w:type="dxa"/>
            </w:tcMar>
            <w:vAlign w:val="center"/>
          </w:tcPr>
          <w:p w:rsidR="00FF21B4" w:rsidRPr="00BB2552" w:rsidRDefault="009956CB" w:rsidP="003600EE">
            <w:pPr>
              <w:spacing w:before="120" w:after="120"/>
              <w:jc w:val="center"/>
              <w:rPr>
                <w:b/>
                <w:szCs w:val="20"/>
                <w:highlight w:val="yellow"/>
              </w:rPr>
            </w:pPr>
            <w:r w:rsidRPr="00286EFA">
              <w:rPr>
                <w:b/>
                <w:szCs w:val="20"/>
              </w:rPr>
              <w:pict>
                <v:shape id="_x0000_i1091" type="#_x0000_t75" style="width:455.25pt;height:174pt">
                  <v:imagedata r:id="rId84" o:title=""/>
                </v:shape>
              </w:pict>
            </w:r>
          </w:p>
        </w:tc>
      </w:tr>
      <w:tr w:rsidR="00FF21B4" w:rsidRPr="00BB2552" w:rsidTr="009138FC">
        <w:tc>
          <w:tcPr>
            <w:tcW w:w="2410" w:type="dxa"/>
            <w:gridSpan w:val="2"/>
            <w:tcMar>
              <w:left w:w="85" w:type="dxa"/>
              <w:right w:w="85" w:type="dxa"/>
            </w:tcMar>
          </w:tcPr>
          <w:p w:rsidR="00FF21B4" w:rsidRPr="00BB2552" w:rsidRDefault="003A775E" w:rsidP="003A775E">
            <w:pPr>
              <w:spacing w:before="60" w:after="60"/>
              <w:jc w:val="left"/>
              <w:rPr>
                <w:b/>
                <w:i/>
                <w:szCs w:val="20"/>
                <w:highlight w:val="yellow"/>
              </w:rPr>
            </w:pPr>
            <w:r w:rsidRPr="003A775E">
              <w:rPr>
                <w:b/>
                <w:i/>
                <w:szCs w:val="20"/>
              </w:rPr>
              <w:t>Počet živnostníků se meziročně zvýšil téměř o 2 tisíce</w:t>
            </w:r>
          </w:p>
        </w:tc>
        <w:tc>
          <w:tcPr>
            <w:tcW w:w="7201" w:type="dxa"/>
            <w:gridSpan w:val="2"/>
            <w:tcMar>
              <w:left w:w="85" w:type="dxa"/>
              <w:right w:w="85" w:type="dxa"/>
            </w:tcMar>
            <w:vAlign w:val="center"/>
          </w:tcPr>
          <w:p w:rsidR="00FF21B4" w:rsidRDefault="003A775E" w:rsidP="003A775E">
            <w:pPr>
              <w:pStyle w:val="Normlnweb"/>
              <w:spacing w:before="60" w:beforeAutospacing="0" w:after="60" w:afterAutospacing="0"/>
              <w:jc w:val="both"/>
              <w:rPr>
                <w:rFonts w:ascii="Arial" w:eastAsia="+mn-ea" w:hAnsi="Arial" w:cs="Arial"/>
                <w:color w:val="000000"/>
                <w:sz w:val="20"/>
                <w:szCs w:val="20"/>
              </w:rPr>
            </w:pPr>
            <w:r w:rsidRPr="003A775E">
              <w:rPr>
                <w:rFonts w:ascii="Arial" w:eastAsia="+mn-ea" w:hAnsi="Arial" w:cs="Arial"/>
                <w:color w:val="000000"/>
                <w:sz w:val="20"/>
                <w:szCs w:val="20"/>
              </w:rPr>
              <w:t xml:space="preserve">V rozdělení subjektů podle právní formy (PF) připadá největší podíl na fyzické osoby (právní forma 101 až 108). V roce 2014 jejich počet tvořilo 112,2 tis. subjektů, tj. 80,9 % z celkového počtu zlínských subjektů v registru. Z nich bylo 99,4 tisíc živnostníků (71,6 % z celkového počtu subjektů v kraji), zhruba 10,8 tisíc osob ve svobodném povolání (7,8 %) a 2 tis. zemědělských podnikatelů </w:t>
            </w:r>
            <w:r w:rsidRPr="003A775E">
              <w:rPr>
                <w:rFonts w:ascii="Arial" w:eastAsia="+mn-ea" w:hAnsi="Arial" w:cs="Arial"/>
                <w:color w:val="000000"/>
                <w:sz w:val="20"/>
                <w:szCs w:val="20"/>
              </w:rPr>
              <w:lastRenderedPageBreak/>
              <w:t>(1,4 %). Druhou nejpočetnější skupinou byly obchodní společnosti. Tuto skupinu tvoří společnosti veřejné obchodní, s ručením omezeným, komanditní, akciové a evropské. Tato skupina zahrnovala na konci roku 2014 celkem 14</w:t>
            </w:r>
            <w:r>
              <w:rPr>
                <w:rFonts w:ascii="Arial" w:eastAsia="+mn-ea" w:hAnsi="Arial" w:cs="Arial"/>
                <w:color w:val="000000"/>
                <w:sz w:val="20"/>
                <w:szCs w:val="20"/>
              </w:rPr>
              <w:t> </w:t>
            </w:r>
            <w:r w:rsidRPr="003A775E">
              <w:rPr>
                <w:rFonts w:ascii="Arial" w:eastAsia="+mn-ea" w:hAnsi="Arial" w:cs="Arial"/>
                <w:color w:val="000000"/>
                <w:sz w:val="20"/>
                <w:szCs w:val="20"/>
              </w:rPr>
              <w:t>352 subjektů, tj. 10,3 % z celkového počtu subjektů se sídlem v kraji.</w:t>
            </w:r>
          </w:p>
          <w:p w:rsidR="00554B55" w:rsidRPr="00BB2552" w:rsidRDefault="003A775E" w:rsidP="00554B55">
            <w:pPr>
              <w:pStyle w:val="Normlnweb"/>
              <w:spacing w:before="60" w:beforeAutospacing="0" w:after="60" w:afterAutospacing="0"/>
              <w:jc w:val="both"/>
              <w:rPr>
                <w:rFonts w:ascii="Arial" w:hAnsi="Arial" w:cs="Arial"/>
                <w:sz w:val="20"/>
                <w:szCs w:val="20"/>
                <w:highlight w:val="yellow"/>
              </w:rPr>
            </w:pPr>
            <w:r w:rsidRPr="003A775E">
              <w:rPr>
                <w:rFonts w:ascii="Arial" w:hAnsi="Arial" w:cs="Arial"/>
                <w:sz w:val="20"/>
                <w:szCs w:val="20"/>
              </w:rPr>
              <w:t xml:space="preserve">Vzhledem k předchozímu roku byly změny počtu subjektů ve skupinách právních forem nevelké. K nejvýraznější meziroční změně došlo u skupiny fyzických osob ne jako celku, ale u dvou konkrétních právních forem. Byli to jednak živnostníci (PF 101), jejichž počet se zvýšil o bezmála 2 tis, osob (o 2,0 %) a podnikatelé svobodných povolání (PF 105), jejichž počet poklesl o 1,9 tisíc (o 14,7 %). Další méně výrazná změna byla zjištěna u druhé nejpočetnější skupiny, tedy u skupiny obchodních společností. Celkem v této skupině během roku přibylo 303 právnických osob (nárůst o 2,2 %). Její zastoupení na celkovém počtu zlínských subjektů se během roku zvýšilo o 0,1 </w:t>
            </w:r>
            <w:proofErr w:type="spellStart"/>
            <w:proofErr w:type="gramStart"/>
            <w:r w:rsidRPr="003A775E">
              <w:rPr>
                <w:rFonts w:ascii="Arial" w:hAnsi="Arial" w:cs="Arial"/>
                <w:sz w:val="20"/>
                <w:szCs w:val="20"/>
              </w:rPr>
              <w:t>p.b</w:t>
            </w:r>
            <w:proofErr w:type="spellEnd"/>
            <w:r w:rsidRPr="003A775E">
              <w:rPr>
                <w:rFonts w:ascii="Arial" w:hAnsi="Arial" w:cs="Arial"/>
                <w:sz w:val="20"/>
                <w:szCs w:val="20"/>
              </w:rPr>
              <w:t>. na</w:t>
            </w:r>
            <w:proofErr w:type="gramEnd"/>
            <w:r w:rsidRPr="003A775E">
              <w:rPr>
                <w:rFonts w:ascii="Arial" w:hAnsi="Arial" w:cs="Arial"/>
                <w:sz w:val="20"/>
                <w:szCs w:val="20"/>
              </w:rPr>
              <w:t xml:space="preserve"> 10,3% podíl. V této skupině byl největší pohyb zaznamenán u společností s ručením omezeným (PF 112), jejichž počet vzrostl o 319 subjektů (o 2,4 %). V souvislosti s novým Občanským zákoníkem došlo od 1. 1. 2014 k rozšíření počtu právních forem – jedná se především o subjekty typu spolek, sdružení. Zatím co v roce 2013 bylo v registru sdružení a jejich organizačních jednotek (PF 701 a 731) celkem 5 878, na konci roku 2014 počet spolků (PF 706), a pobočných spolků (PF 736) činil celkem 5 738 subjektů. Tedy meziročně těchto subjektů ubylo 140 (o 2,4 %). Další změny počtu jednotek v ostatních skupinách právních forem nebo v konkrétních právních formách byly nevýrazné</w:t>
            </w:r>
            <w:r>
              <w:rPr>
                <w:rFonts w:ascii="Arial" w:hAnsi="Arial" w:cs="Arial"/>
                <w:sz w:val="20"/>
                <w:szCs w:val="20"/>
              </w:rPr>
              <w:t>.</w:t>
            </w:r>
          </w:p>
        </w:tc>
      </w:tr>
      <w:tr w:rsidR="00554B55" w:rsidRPr="00BB2552" w:rsidTr="00554B55">
        <w:tc>
          <w:tcPr>
            <w:tcW w:w="2410" w:type="dxa"/>
            <w:gridSpan w:val="2"/>
            <w:tcMar>
              <w:left w:w="85" w:type="dxa"/>
              <w:right w:w="85" w:type="dxa"/>
            </w:tcMar>
          </w:tcPr>
          <w:p w:rsidR="00554B55" w:rsidRPr="003A775E" w:rsidRDefault="00554B55" w:rsidP="00554B55">
            <w:pPr>
              <w:spacing w:before="60" w:after="60"/>
              <w:jc w:val="left"/>
              <w:rPr>
                <w:b/>
                <w:i/>
                <w:szCs w:val="20"/>
              </w:rPr>
            </w:pPr>
            <w:r w:rsidRPr="00554B55">
              <w:rPr>
                <w:b/>
                <w:i/>
                <w:szCs w:val="20"/>
              </w:rPr>
              <w:lastRenderedPageBreak/>
              <w:t xml:space="preserve">Meziročně se zvýšil nejvíce počet jednotek s </w:t>
            </w:r>
            <w:proofErr w:type="spellStart"/>
            <w:r w:rsidRPr="00554B55">
              <w:rPr>
                <w:b/>
                <w:i/>
                <w:szCs w:val="20"/>
              </w:rPr>
              <w:t>velko</w:t>
            </w:r>
            <w:proofErr w:type="spellEnd"/>
            <w:r w:rsidRPr="00554B55">
              <w:rPr>
                <w:b/>
                <w:i/>
                <w:szCs w:val="20"/>
              </w:rPr>
              <w:t xml:space="preserve">- a </w:t>
            </w:r>
            <w:proofErr w:type="spellStart"/>
            <w:r w:rsidRPr="00554B55">
              <w:rPr>
                <w:b/>
                <w:i/>
                <w:szCs w:val="20"/>
              </w:rPr>
              <w:t>malo</w:t>
            </w:r>
            <w:proofErr w:type="spellEnd"/>
            <w:r>
              <w:rPr>
                <w:b/>
                <w:i/>
                <w:szCs w:val="20"/>
              </w:rPr>
              <w:t xml:space="preserve">- </w:t>
            </w:r>
            <w:r w:rsidRPr="00554B55">
              <w:rPr>
                <w:b/>
                <w:i/>
                <w:szCs w:val="20"/>
              </w:rPr>
              <w:t>obchodní činností</w:t>
            </w:r>
          </w:p>
        </w:tc>
        <w:tc>
          <w:tcPr>
            <w:tcW w:w="7201" w:type="dxa"/>
            <w:gridSpan w:val="2"/>
            <w:tcMar>
              <w:left w:w="85" w:type="dxa"/>
              <w:right w:w="85" w:type="dxa"/>
            </w:tcMar>
          </w:tcPr>
          <w:p w:rsidR="00554B55" w:rsidRDefault="00554B55" w:rsidP="00554B55">
            <w:pPr>
              <w:pStyle w:val="Normlnweb"/>
              <w:spacing w:before="60" w:beforeAutospacing="0" w:after="60" w:afterAutospacing="0"/>
              <w:jc w:val="both"/>
              <w:rPr>
                <w:rFonts w:ascii="Arial" w:eastAsia="+mn-ea" w:hAnsi="Arial" w:cs="Arial"/>
                <w:color w:val="000000"/>
                <w:sz w:val="20"/>
                <w:szCs w:val="20"/>
              </w:rPr>
            </w:pPr>
            <w:r w:rsidRPr="00554B55">
              <w:rPr>
                <w:rFonts w:ascii="Arial" w:eastAsia="+mn-ea" w:hAnsi="Arial" w:cs="Arial"/>
                <w:color w:val="000000"/>
                <w:sz w:val="20"/>
                <w:szCs w:val="20"/>
              </w:rPr>
              <w:t>Z hlediska třídění podle odvětví převažující činnosti CZ-NACE nedošlo v</w:t>
            </w:r>
            <w:r>
              <w:rPr>
                <w:rFonts w:ascii="Arial" w:eastAsia="+mn-ea" w:hAnsi="Arial" w:cs="Arial"/>
                <w:color w:val="000000"/>
                <w:sz w:val="20"/>
                <w:szCs w:val="20"/>
              </w:rPr>
              <w:t> </w:t>
            </w:r>
            <w:r w:rsidRPr="00554B55">
              <w:rPr>
                <w:rFonts w:ascii="Arial" w:eastAsia="+mn-ea" w:hAnsi="Arial" w:cs="Arial"/>
                <w:color w:val="000000"/>
                <w:sz w:val="20"/>
                <w:szCs w:val="20"/>
              </w:rPr>
              <w:t xml:space="preserve">hodnoceném roce 2014 proti předchozím rokům k žádným výraznějším změnám. Stejně jako v předchozím roce se nejvíce podnikatelských subjektů se sídlem ve Zlínském kraji zabývalo velkoobchodem, maloobchodem; opravami a údržbou motorových vozidel (20,4 % ze všech registrovaných subjektů se sídlem ve Zlínském kraji v </w:t>
            </w:r>
            <w:proofErr w:type="gramStart"/>
            <w:r w:rsidRPr="00554B55">
              <w:rPr>
                <w:rFonts w:ascii="Arial" w:eastAsia="+mn-ea" w:hAnsi="Arial" w:cs="Arial"/>
                <w:color w:val="000000"/>
                <w:sz w:val="20"/>
                <w:szCs w:val="20"/>
              </w:rPr>
              <w:t>RES</w:t>
            </w:r>
            <w:proofErr w:type="gramEnd"/>
            <w:r w:rsidRPr="00554B55">
              <w:rPr>
                <w:rFonts w:ascii="Arial" w:eastAsia="+mn-ea" w:hAnsi="Arial" w:cs="Arial"/>
                <w:color w:val="000000"/>
                <w:sz w:val="20"/>
                <w:szCs w:val="20"/>
              </w:rPr>
              <w:t>), stavebnictvím (13,0 %) a také profesními, vědeckými a technickými činnostmi (10,1 %). Z podniků zpracovatelského průmyslu se stejně jako v předchozím roce nejvíce subjektů zabývalo výrobou kovových konstrukcí a kovodělných výrobků kromě výroby strojů a zařízení (4,7 % ze všech registrovaných subjektů ve Zlínském kraji), zpracováním dřeva, výrobou dřevařských, korkových, proutěných a slaměných výrobků kromě nábytku (2,0 %), výrobou oděvů (1,5 %), výrobou nábytku (0,9</w:t>
            </w:r>
            <w:r>
              <w:rPr>
                <w:rFonts w:ascii="Arial" w:eastAsia="+mn-ea" w:hAnsi="Arial" w:cs="Arial"/>
                <w:color w:val="000000"/>
                <w:sz w:val="20"/>
                <w:szCs w:val="20"/>
              </w:rPr>
              <w:t> </w:t>
            </w:r>
            <w:r w:rsidRPr="00554B55">
              <w:rPr>
                <w:rFonts w:ascii="Arial" w:eastAsia="+mn-ea" w:hAnsi="Arial" w:cs="Arial"/>
                <w:color w:val="000000"/>
                <w:sz w:val="20"/>
                <w:szCs w:val="20"/>
              </w:rPr>
              <w:t>%) a výrobou elektrických zařízení (0,9 %).</w:t>
            </w:r>
          </w:p>
          <w:p w:rsidR="00554B55" w:rsidRDefault="00554B55"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Default="00901E08" w:rsidP="00554B55">
            <w:pPr>
              <w:pStyle w:val="Normlnweb"/>
              <w:spacing w:before="60" w:beforeAutospacing="0" w:after="60" w:afterAutospacing="0"/>
              <w:jc w:val="both"/>
              <w:rPr>
                <w:rFonts w:ascii="Arial" w:eastAsia="+mn-ea" w:hAnsi="Arial" w:cs="Arial"/>
                <w:color w:val="000000"/>
                <w:sz w:val="20"/>
                <w:szCs w:val="20"/>
              </w:rPr>
            </w:pPr>
          </w:p>
          <w:p w:rsidR="00901E08" w:rsidRPr="003A775E" w:rsidRDefault="00901E08" w:rsidP="00554B55">
            <w:pPr>
              <w:pStyle w:val="Normlnweb"/>
              <w:spacing w:before="60" w:beforeAutospacing="0" w:after="60" w:afterAutospacing="0"/>
              <w:jc w:val="both"/>
              <w:rPr>
                <w:rFonts w:ascii="Arial" w:eastAsia="+mn-ea" w:hAnsi="Arial" w:cs="Arial"/>
                <w:color w:val="000000"/>
                <w:sz w:val="20"/>
                <w:szCs w:val="20"/>
              </w:rPr>
            </w:pPr>
          </w:p>
        </w:tc>
      </w:tr>
      <w:tr w:rsidR="00FF21B4" w:rsidRPr="00BB2552" w:rsidTr="009138FC">
        <w:trPr>
          <w:cantSplit/>
          <w:trHeight w:val="255"/>
        </w:trPr>
        <w:tc>
          <w:tcPr>
            <w:tcW w:w="9611" w:type="dxa"/>
            <w:gridSpan w:val="4"/>
            <w:tcMar>
              <w:left w:w="85" w:type="dxa"/>
              <w:right w:w="85" w:type="dxa"/>
            </w:tcMar>
          </w:tcPr>
          <w:p w:rsidR="00FF21B4" w:rsidRPr="00BB2552" w:rsidRDefault="00F75569" w:rsidP="00F75569">
            <w:pPr>
              <w:spacing w:before="60" w:after="60"/>
              <w:rPr>
                <w:b/>
                <w:bCs/>
                <w:szCs w:val="20"/>
                <w:highlight w:val="yellow"/>
              </w:rPr>
            </w:pPr>
            <w:r w:rsidRPr="00F75569">
              <w:rPr>
                <w:b/>
                <w:bCs/>
                <w:szCs w:val="20"/>
              </w:rPr>
              <w:lastRenderedPageBreak/>
              <w:t>Graf 3</w:t>
            </w:r>
            <w:r w:rsidR="006911B0">
              <w:rPr>
                <w:b/>
                <w:bCs/>
                <w:szCs w:val="20"/>
              </w:rPr>
              <w:t>.11</w:t>
            </w:r>
            <w:r w:rsidRPr="00F75569">
              <w:rPr>
                <w:b/>
                <w:bCs/>
                <w:szCs w:val="20"/>
              </w:rPr>
              <w:t xml:space="preserve"> Subjekty ve Zlínském kraji podle činnostních skupin CZ-NACE k 31. 12. 2014 v %</w:t>
            </w:r>
          </w:p>
        </w:tc>
      </w:tr>
      <w:tr w:rsidR="00FF21B4" w:rsidRPr="00671992" w:rsidTr="009138FC">
        <w:trPr>
          <w:trHeight w:val="5814"/>
        </w:trPr>
        <w:tc>
          <w:tcPr>
            <w:tcW w:w="9611" w:type="dxa"/>
            <w:gridSpan w:val="4"/>
            <w:tcMar>
              <w:left w:w="85" w:type="dxa"/>
              <w:right w:w="85" w:type="dxa"/>
            </w:tcMar>
            <w:vAlign w:val="center"/>
          </w:tcPr>
          <w:p w:rsidR="00FF21B4" w:rsidRPr="00930622" w:rsidRDefault="009956CB" w:rsidP="00F75569">
            <w:pPr>
              <w:spacing w:after="240"/>
              <w:jc w:val="center"/>
              <w:rPr>
                <w:szCs w:val="20"/>
              </w:rPr>
            </w:pPr>
            <w:r w:rsidRPr="00286EFA">
              <w:rPr>
                <w:rFonts w:eastAsia="+mn-ea" w:cs="Arial"/>
                <w:color w:val="000000"/>
                <w:szCs w:val="20"/>
              </w:rPr>
              <w:pict>
                <v:shape id="_x0000_i1092" type="#_x0000_t75" style="width:471.75pt;height:336pt">
                  <v:imagedata r:id="rId85" o:title=""/>
                </v:shape>
              </w:pict>
            </w:r>
          </w:p>
        </w:tc>
      </w:tr>
      <w:tr w:rsidR="00FF21B4" w:rsidRPr="00671992" w:rsidTr="009138FC">
        <w:tc>
          <w:tcPr>
            <w:tcW w:w="2410" w:type="dxa"/>
            <w:gridSpan w:val="2"/>
            <w:tcMar>
              <w:left w:w="85" w:type="dxa"/>
              <w:right w:w="85" w:type="dxa"/>
            </w:tcMar>
          </w:tcPr>
          <w:p w:rsidR="00FF21B4" w:rsidRPr="00BB2552" w:rsidRDefault="00FF21B4" w:rsidP="00BC4EB4">
            <w:pPr>
              <w:jc w:val="left"/>
              <w:rPr>
                <w:b/>
                <w:i/>
                <w:szCs w:val="20"/>
                <w:highlight w:val="yellow"/>
              </w:rPr>
            </w:pPr>
          </w:p>
        </w:tc>
        <w:tc>
          <w:tcPr>
            <w:tcW w:w="7201" w:type="dxa"/>
            <w:gridSpan w:val="2"/>
            <w:tcMar>
              <w:left w:w="85" w:type="dxa"/>
              <w:right w:w="85" w:type="dxa"/>
            </w:tcMar>
            <w:vAlign w:val="center"/>
          </w:tcPr>
          <w:p w:rsidR="00FF21B4" w:rsidRPr="00DD5327" w:rsidRDefault="00F75569" w:rsidP="00D46A30">
            <w:pPr>
              <w:pStyle w:val="Normlnweb"/>
              <w:spacing w:before="60" w:beforeAutospacing="0" w:after="60" w:afterAutospacing="0"/>
              <w:jc w:val="both"/>
              <w:rPr>
                <w:rFonts w:ascii="Arial" w:eastAsia="+mn-ea" w:hAnsi="Arial" w:cs="Arial"/>
                <w:color w:val="000000"/>
                <w:sz w:val="20"/>
                <w:szCs w:val="20"/>
              </w:rPr>
            </w:pPr>
            <w:r w:rsidRPr="00F75569">
              <w:rPr>
                <w:rFonts w:ascii="Arial" w:eastAsia="+mn-ea" w:hAnsi="Arial" w:cs="Arial"/>
                <w:color w:val="000000"/>
                <w:sz w:val="20"/>
                <w:szCs w:val="20"/>
              </w:rPr>
              <w:t xml:space="preserve">Nejvýraznější meziroční změny byly zaznamenány u skupiny činností Peněžnictví a pojišťovnictví. V této skupině meziročně ubylo 1 083 jednotek (14,0 %). Naopak ve skupině </w:t>
            </w:r>
            <w:proofErr w:type="spellStart"/>
            <w:r w:rsidRPr="00F75569">
              <w:rPr>
                <w:rFonts w:ascii="Arial" w:eastAsia="+mn-ea" w:hAnsi="Arial" w:cs="Arial"/>
                <w:color w:val="000000"/>
                <w:sz w:val="20"/>
                <w:szCs w:val="20"/>
              </w:rPr>
              <w:t>Velko</w:t>
            </w:r>
            <w:proofErr w:type="spellEnd"/>
            <w:r w:rsidRPr="00F75569">
              <w:rPr>
                <w:rFonts w:ascii="Arial" w:eastAsia="+mn-ea" w:hAnsi="Arial" w:cs="Arial"/>
                <w:color w:val="000000"/>
                <w:sz w:val="20"/>
                <w:szCs w:val="20"/>
              </w:rPr>
              <w:t>- a maloobchodu vzrostl počet subjektů o</w:t>
            </w:r>
            <w:r>
              <w:rPr>
                <w:rFonts w:ascii="Arial" w:eastAsia="+mn-ea" w:hAnsi="Arial" w:cs="Arial"/>
                <w:color w:val="000000"/>
                <w:sz w:val="20"/>
                <w:szCs w:val="20"/>
              </w:rPr>
              <w:t> </w:t>
            </w:r>
            <w:r w:rsidRPr="00F75569">
              <w:rPr>
                <w:rFonts w:ascii="Arial" w:eastAsia="+mn-ea" w:hAnsi="Arial" w:cs="Arial"/>
                <w:color w:val="000000"/>
                <w:sz w:val="20"/>
                <w:szCs w:val="20"/>
              </w:rPr>
              <w:t>418, tj. o 1,5 %. Nižší meziroční přírůstky byly zachyceny v činnostních skupinách Stavebnictví (o 250 subjektů, tj. o 1,4 %), Zemědělství, lesnictví a</w:t>
            </w:r>
            <w:r w:rsidR="00D46A30">
              <w:rPr>
                <w:rFonts w:ascii="Arial" w:eastAsia="+mn-ea" w:hAnsi="Arial" w:cs="Arial"/>
                <w:color w:val="000000"/>
                <w:sz w:val="20"/>
                <w:szCs w:val="20"/>
              </w:rPr>
              <w:t> </w:t>
            </w:r>
            <w:r w:rsidRPr="00F75569">
              <w:rPr>
                <w:rFonts w:ascii="Arial" w:eastAsia="+mn-ea" w:hAnsi="Arial" w:cs="Arial"/>
                <w:color w:val="000000"/>
                <w:sz w:val="20"/>
                <w:szCs w:val="20"/>
              </w:rPr>
              <w:t xml:space="preserve">rybářství (o 239 subjektů, tj. o 4,1 %) a Profesní, vědecké a technické činnosti (o 181 jednotek, tj. o 1,3 %).  </w:t>
            </w:r>
          </w:p>
        </w:tc>
      </w:tr>
      <w:tr w:rsidR="00FF21B4" w:rsidRPr="00671992" w:rsidTr="009138FC">
        <w:trPr>
          <w:trHeight w:val="3345"/>
        </w:trPr>
        <w:tc>
          <w:tcPr>
            <w:tcW w:w="2410" w:type="dxa"/>
            <w:gridSpan w:val="2"/>
            <w:tcMar>
              <w:left w:w="85" w:type="dxa"/>
              <w:right w:w="85" w:type="dxa"/>
            </w:tcMar>
          </w:tcPr>
          <w:p w:rsidR="00FF21B4" w:rsidRPr="00BB2552" w:rsidRDefault="00AF6FB0" w:rsidP="00901E08">
            <w:pPr>
              <w:spacing w:before="60"/>
              <w:jc w:val="left"/>
              <w:rPr>
                <w:b/>
                <w:i/>
                <w:szCs w:val="20"/>
                <w:highlight w:val="yellow"/>
              </w:rPr>
            </w:pPr>
            <w:r w:rsidRPr="00AF6FB0">
              <w:rPr>
                <w:b/>
                <w:i/>
                <w:szCs w:val="20"/>
              </w:rPr>
              <w:t>Nejvíce meziročně v</w:t>
            </w:r>
            <w:r w:rsidR="00901E08">
              <w:rPr>
                <w:b/>
                <w:i/>
                <w:szCs w:val="20"/>
              </w:rPr>
              <w:t> </w:t>
            </w:r>
            <w:r w:rsidRPr="00AF6FB0">
              <w:rPr>
                <w:b/>
                <w:i/>
                <w:szCs w:val="20"/>
              </w:rPr>
              <w:t>kraji přibylo firem bez zaměstnanců</w:t>
            </w:r>
          </w:p>
        </w:tc>
        <w:tc>
          <w:tcPr>
            <w:tcW w:w="7201" w:type="dxa"/>
            <w:gridSpan w:val="2"/>
            <w:tcMar>
              <w:left w:w="85" w:type="dxa"/>
              <w:right w:w="85" w:type="dxa"/>
            </w:tcMar>
            <w:vAlign w:val="center"/>
          </w:tcPr>
          <w:p w:rsidR="00AF6FB0" w:rsidRPr="00AF6FB0" w:rsidRDefault="00AF6FB0" w:rsidP="003F5758">
            <w:pPr>
              <w:pStyle w:val="Normlnweb"/>
              <w:spacing w:before="60" w:beforeAutospacing="0" w:after="60" w:afterAutospacing="0"/>
              <w:jc w:val="both"/>
              <w:rPr>
                <w:rFonts w:ascii="Arial" w:eastAsia="+mn-ea" w:hAnsi="Arial" w:cs="Arial"/>
                <w:color w:val="000000"/>
                <w:sz w:val="20"/>
                <w:szCs w:val="20"/>
              </w:rPr>
            </w:pPr>
            <w:r w:rsidRPr="00AF6FB0">
              <w:rPr>
                <w:rFonts w:ascii="Arial" w:eastAsia="+mn-ea" w:hAnsi="Arial" w:cs="Arial"/>
                <w:color w:val="000000"/>
                <w:sz w:val="20"/>
                <w:szCs w:val="20"/>
              </w:rPr>
              <w:t xml:space="preserve">V členění podle kategorie počtu zaměstnanců bylo v registru ekonomických subjektů na konci roku 2014 evidováno nejvíce těch, které počet zaměstnanců neuváděly (56,6 %) – s </w:t>
            </w:r>
            <w:proofErr w:type="gramStart"/>
            <w:r w:rsidRPr="00AF6FB0">
              <w:rPr>
                <w:rFonts w:ascii="Arial" w:eastAsia="+mn-ea" w:hAnsi="Arial" w:cs="Arial"/>
                <w:color w:val="000000"/>
                <w:sz w:val="20"/>
                <w:szCs w:val="20"/>
              </w:rPr>
              <w:t>meziroční</w:t>
            </w:r>
            <w:proofErr w:type="gramEnd"/>
            <w:r w:rsidRPr="00AF6FB0">
              <w:rPr>
                <w:rFonts w:ascii="Arial" w:eastAsia="+mn-ea" w:hAnsi="Arial" w:cs="Arial"/>
                <w:color w:val="000000"/>
                <w:sz w:val="20"/>
                <w:szCs w:val="20"/>
              </w:rPr>
              <w:t xml:space="preserve"> poklesem podílu o 0,5 procentního bodu. Dále pak subjektů, které zaměstnance neměly (33,3 %) – podíl meziročně vzrostl o 0,6 </w:t>
            </w:r>
            <w:proofErr w:type="spellStart"/>
            <w:proofErr w:type="gramStart"/>
            <w:r w:rsidRPr="00AF6FB0">
              <w:rPr>
                <w:rFonts w:ascii="Arial" w:eastAsia="+mn-ea" w:hAnsi="Arial" w:cs="Arial"/>
                <w:color w:val="000000"/>
                <w:sz w:val="20"/>
                <w:szCs w:val="20"/>
              </w:rPr>
              <w:t>p.b</w:t>
            </w:r>
            <w:proofErr w:type="spellEnd"/>
            <w:r w:rsidRPr="00AF6FB0">
              <w:rPr>
                <w:rFonts w:ascii="Arial" w:eastAsia="+mn-ea" w:hAnsi="Arial" w:cs="Arial"/>
                <w:color w:val="000000"/>
                <w:sz w:val="20"/>
                <w:szCs w:val="20"/>
              </w:rPr>
              <w:t>.</w:t>
            </w:r>
            <w:proofErr w:type="gramEnd"/>
            <w:r w:rsidRPr="00AF6FB0">
              <w:rPr>
                <w:rFonts w:ascii="Arial" w:eastAsia="+mn-ea" w:hAnsi="Arial" w:cs="Arial"/>
                <w:color w:val="000000"/>
                <w:sz w:val="20"/>
                <w:szCs w:val="20"/>
              </w:rPr>
              <w:t xml:space="preserve"> Vznik nových firem, stejně jako přesuny firem do jiných velikostních skupin, se projevily i v dalších velikostních kategoriích.</w:t>
            </w:r>
          </w:p>
          <w:p w:rsidR="003F5758" w:rsidRDefault="00AF6FB0" w:rsidP="003F5758">
            <w:pPr>
              <w:pStyle w:val="Normlnweb"/>
              <w:spacing w:before="60" w:beforeAutospacing="0" w:after="60" w:afterAutospacing="0"/>
              <w:jc w:val="both"/>
              <w:rPr>
                <w:rFonts w:ascii="Arial" w:eastAsia="+mn-ea" w:hAnsi="Arial" w:cs="Arial"/>
                <w:color w:val="000000"/>
                <w:sz w:val="20"/>
                <w:szCs w:val="20"/>
              </w:rPr>
            </w:pPr>
            <w:r w:rsidRPr="00AF6FB0">
              <w:rPr>
                <w:rFonts w:ascii="Arial" w:eastAsia="+mn-ea" w:hAnsi="Arial" w:cs="Arial"/>
                <w:color w:val="000000"/>
                <w:sz w:val="20"/>
                <w:szCs w:val="20"/>
              </w:rPr>
              <w:t>Meziroční nejvýraznější nárůst byl zachycen v podnicích ve velikostní skupině se 100 až 199 zaměstnanců (nárůst o 20 podniků, o 12,0 %), s 1 až 5 pracovníky (přibylo 15 subjektů, zvýšení o 0,2 %) a s 250 až 499 zaměstnanci (zvýšení o 11 podniků, o 16,9 %). Naopak nejvýraznější pokles byl zaznamenán u skupiny se 6 až 9 zaměstnanci (o 48 subjektů, o 3,2 %) a</w:t>
            </w:r>
            <w:r w:rsidR="003F5758">
              <w:rPr>
                <w:rFonts w:ascii="Arial" w:eastAsia="+mn-ea" w:hAnsi="Arial" w:cs="Arial"/>
                <w:color w:val="000000"/>
                <w:sz w:val="20"/>
                <w:szCs w:val="20"/>
              </w:rPr>
              <w:t> </w:t>
            </w:r>
            <w:r w:rsidRPr="00AF6FB0">
              <w:rPr>
                <w:rFonts w:ascii="Arial" w:eastAsia="+mn-ea" w:hAnsi="Arial" w:cs="Arial"/>
                <w:color w:val="000000"/>
                <w:sz w:val="20"/>
                <w:szCs w:val="20"/>
              </w:rPr>
              <w:t>u</w:t>
            </w:r>
            <w:r w:rsidR="003F5758">
              <w:rPr>
                <w:rFonts w:ascii="Arial" w:eastAsia="+mn-ea" w:hAnsi="Arial" w:cs="Arial"/>
                <w:color w:val="000000"/>
                <w:sz w:val="20"/>
                <w:szCs w:val="20"/>
              </w:rPr>
              <w:t> </w:t>
            </w:r>
            <w:r w:rsidRPr="00AF6FB0">
              <w:rPr>
                <w:rFonts w:ascii="Arial" w:eastAsia="+mn-ea" w:hAnsi="Arial" w:cs="Arial"/>
                <w:color w:val="000000"/>
                <w:sz w:val="20"/>
                <w:szCs w:val="20"/>
              </w:rPr>
              <w:t xml:space="preserve">podniků se 200 až 250 zaměstnanci (o 13 subjektů, pokles o 33,3 %) Poklesy nebo přírůstky v ostatních </w:t>
            </w:r>
            <w:proofErr w:type="spellStart"/>
            <w:r w:rsidRPr="00AF6FB0">
              <w:rPr>
                <w:rFonts w:ascii="Arial" w:eastAsia="+mn-ea" w:hAnsi="Arial" w:cs="Arial"/>
                <w:color w:val="000000"/>
                <w:sz w:val="20"/>
                <w:szCs w:val="20"/>
              </w:rPr>
              <w:t>početnostních</w:t>
            </w:r>
            <w:proofErr w:type="spellEnd"/>
            <w:r w:rsidRPr="00AF6FB0">
              <w:rPr>
                <w:rFonts w:ascii="Arial" w:eastAsia="+mn-ea" w:hAnsi="Arial" w:cs="Arial"/>
                <w:color w:val="000000"/>
                <w:sz w:val="20"/>
                <w:szCs w:val="20"/>
              </w:rPr>
              <w:t xml:space="preserve"> skupinách se pohybovaly pod 4 subjekty.</w:t>
            </w:r>
          </w:p>
          <w:p w:rsidR="0092173C" w:rsidRPr="00671992" w:rsidRDefault="00AF6FB0" w:rsidP="003F5758">
            <w:pPr>
              <w:pStyle w:val="Normlnweb"/>
              <w:spacing w:before="60" w:beforeAutospacing="0" w:after="60" w:afterAutospacing="0"/>
              <w:jc w:val="both"/>
              <w:rPr>
                <w:rFonts w:ascii="Arial" w:eastAsia="+mn-ea" w:hAnsi="Arial" w:cs="Arial"/>
                <w:color w:val="000000"/>
                <w:sz w:val="20"/>
                <w:szCs w:val="20"/>
                <w:highlight w:val="yellow"/>
              </w:rPr>
            </w:pPr>
            <w:r w:rsidRPr="00AF6FB0">
              <w:rPr>
                <w:rFonts w:ascii="Arial" w:eastAsia="+mn-ea" w:hAnsi="Arial" w:cs="Arial"/>
                <w:color w:val="000000"/>
                <w:sz w:val="20"/>
                <w:szCs w:val="20"/>
              </w:rPr>
              <w:t xml:space="preserve"> </w:t>
            </w:r>
          </w:p>
        </w:tc>
      </w:tr>
      <w:tr w:rsidR="003F5758" w:rsidRPr="00671992" w:rsidTr="003F5758">
        <w:trPr>
          <w:trHeight w:val="2977"/>
        </w:trPr>
        <w:tc>
          <w:tcPr>
            <w:tcW w:w="2410" w:type="dxa"/>
            <w:gridSpan w:val="2"/>
            <w:tcMar>
              <w:left w:w="85" w:type="dxa"/>
              <w:right w:w="85" w:type="dxa"/>
            </w:tcMar>
          </w:tcPr>
          <w:p w:rsidR="003F5758" w:rsidRPr="00AF6FB0" w:rsidRDefault="003F5758" w:rsidP="003F5758">
            <w:pPr>
              <w:spacing w:before="60"/>
              <w:jc w:val="left"/>
              <w:rPr>
                <w:b/>
                <w:i/>
                <w:szCs w:val="20"/>
              </w:rPr>
            </w:pPr>
            <w:r w:rsidRPr="003F5758">
              <w:rPr>
                <w:b/>
                <w:i/>
                <w:szCs w:val="20"/>
              </w:rPr>
              <w:lastRenderedPageBreak/>
              <w:t xml:space="preserve">Nejvíce podnikatelských subjektů bylo </w:t>
            </w:r>
            <w:r>
              <w:rPr>
                <w:b/>
                <w:i/>
                <w:szCs w:val="20"/>
              </w:rPr>
              <w:t xml:space="preserve">registrováno </w:t>
            </w:r>
            <w:r w:rsidRPr="003F5758">
              <w:rPr>
                <w:b/>
                <w:i/>
                <w:szCs w:val="20"/>
              </w:rPr>
              <w:t>v okrese Zlín</w:t>
            </w:r>
          </w:p>
        </w:tc>
        <w:tc>
          <w:tcPr>
            <w:tcW w:w="7201" w:type="dxa"/>
            <w:gridSpan w:val="2"/>
            <w:tcMar>
              <w:left w:w="85" w:type="dxa"/>
              <w:right w:w="85" w:type="dxa"/>
            </w:tcMar>
          </w:tcPr>
          <w:p w:rsidR="003F5758" w:rsidRPr="003F5758" w:rsidRDefault="003F5758" w:rsidP="003F5758">
            <w:pPr>
              <w:pStyle w:val="Normlnweb"/>
              <w:spacing w:before="60" w:beforeAutospacing="0" w:after="60" w:afterAutospacing="0"/>
              <w:jc w:val="both"/>
              <w:rPr>
                <w:rFonts w:ascii="Arial" w:eastAsia="+mn-ea" w:hAnsi="Arial" w:cs="Arial"/>
                <w:color w:val="000000"/>
                <w:sz w:val="20"/>
                <w:szCs w:val="20"/>
              </w:rPr>
            </w:pPr>
            <w:r w:rsidRPr="003F5758">
              <w:rPr>
                <w:rFonts w:ascii="Arial" w:eastAsia="+mn-ea" w:hAnsi="Arial" w:cs="Arial"/>
                <w:color w:val="000000"/>
                <w:sz w:val="20"/>
                <w:szCs w:val="20"/>
              </w:rPr>
              <w:t>Z celkového počtu ekonomických subjektů se sídlem ve Zlínském v roce 2014 patřilo do okresu Zlín (52 tis. subjektů, tj. 37,4 %), dále pak do okresů Uherské Hradiště a Vsetín (shodně po 23,1 %) a nejméně do kroměřížského okresu (23 tis., tj. 16,4 %).</w:t>
            </w:r>
          </w:p>
          <w:p w:rsidR="003F5758" w:rsidRPr="003F5758" w:rsidRDefault="003F5758" w:rsidP="003F5758">
            <w:pPr>
              <w:pStyle w:val="Normlnweb"/>
              <w:spacing w:before="60" w:beforeAutospacing="0" w:after="60" w:afterAutospacing="0"/>
              <w:jc w:val="both"/>
              <w:rPr>
                <w:rFonts w:ascii="Arial" w:eastAsia="+mn-ea" w:hAnsi="Arial" w:cs="Arial"/>
                <w:color w:val="000000"/>
                <w:sz w:val="20"/>
                <w:szCs w:val="20"/>
              </w:rPr>
            </w:pPr>
            <w:r w:rsidRPr="003F5758">
              <w:rPr>
                <w:rFonts w:ascii="Arial" w:eastAsia="+mn-ea" w:hAnsi="Arial" w:cs="Arial"/>
                <w:color w:val="000000"/>
                <w:sz w:val="20"/>
                <w:szCs w:val="20"/>
              </w:rPr>
              <w:t>Stejně jako v kraji, tak i v jednotlivých okresech nejvíce subjektů připadla na fyzické osoby, z toho bylo nejvíce živnostníků. U právnických osob byly nejpočetnější skupinou obchodní společnosti, u kterých převažovaly společnosti s ručením omezeným.</w:t>
            </w:r>
          </w:p>
          <w:p w:rsidR="003F5758" w:rsidRDefault="003F5758" w:rsidP="003F5758">
            <w:pPr>
              <w:pStyle w:val="Normlnweb"/>
              <w:spacing w:before="60" w:beforeAutospacing="0" w:after="60" w:afterAutospacing="0"/>
              <w:jc w:val="both"/>
              <w:rPr>
                <w:rFonts w:ascii="Arial" w:eastAsia="+mn-ea" w:hAnsi="Arial" w:cs="Arial"/>
                <w:color w:val="000000"/>
                <w:sz w:val="20"/>
                <w:szCs w:val="20"/>
              </w:rPr>
            </w:pPr>
            <w:r w:rsidRPr="003F5758">
              <w:rPr>
                <w:rFonts w:ascii="Arial" w:eastAsia="+mn-ea" w:hAnsi="Arial" w:cs="Arial"/>
                <w:color w:val="000000"/>
                <w:sz w:val="20"/>
                <w:szCs w:val="20"/>
              </w:rPr>
              <w:t>Během roku 2014 poklesl počet subjektů pouze v okrese Kroměříž (o 19 subjektů, o 0,1 %. V ostatních okresech se jejich počet zvýšil (nejvíce v okrese Zlín o 290 podnikatelských osob, o 0,6 %).</w:t>
            </w:r>
          </w:p>
          <w:p w:rsidR="003F5758" w:rsidRPr="00AF6FB0" w:rsidRDefault="003F5758" w:rsidP="003F5758">
            <w:pPr>
              <w:pStyle w:val="Normlnweb"/>
              <w:spacing w:before="60" w:beforeAutospacing="0" w:after="60" w:afterAutospacing="0"/>
              <w:jc w:val="both"/>
              <w:rPr>
                <w:rFonts w:ascii="Arial" w:eastAsia="+mn-ea" w:hAnsi="Arial" w:cs="Arial"/>
                <w:color w:val="000000"/>
                <w:sz w:val="20"/>
                <w:szCs w:val="20"/>
              </w:rPr>
            </w:pPr>
          </w:p>
        </w:tc>
      </w:tr>
      <w:tr w:rsidR="003F5758" w:rsidRPr="00671992" w:rsidTr="003F5758">
        <w:trPr>
          <w:trHeight w:val="481"/>
        </w:trPr>
        <w:tc>
          <w:tcPr>
            <w:tcW w:w="9611" w:type="dxa"/>
            <w:gridSpan w:val="4"/>
            <w:tcMar>
              <w:left w:w="85" w:type="dxa"/>
              <w:right w:w="85" w:type="dxa"/>
            </w:tcMar>
          </w:tcPr>
          <w:p w:rsidR="003F5758" w:rsidRPr="003F5758" w:rsidRDefault="003F5758" w:rsidP="006911B0">
            <w:pPr>
              <w:pStyle w:val="Normlnweb"/>
              <w:spacing w:before="60" w:beforeAutospacing="0" w:after="60" w:afterAutospacing="0"/>
              <w:jc w:val="both"/>
              <w:rPr>
                <w:rFonts w:ascii="Arial" w:eastAsia="+mn-ea" w:hAnsi="Arial" w:cs="Arial"/>
                <w:b/>
                <w:color w:val="000000"/>
                <w:sz w:val="20"/>
                <w:szCs w:val="20"/>
              </w:rPr>
            </w:pPr>
            <w:r w:rsidRPr="003F5758">
              <w:rPr>
                <w:rFonts w:ascii="Arial" w:eastAsia="+mn-ea" w:hAnsi="Arial" w:cs="Arial"/>
                <w:b/>
                <w:color w:val="000000"/>
                <w:sz w:val="20"/>
                <w:szCs w:val="20"/>
              </w:rPr>
              <w:t xml:space="preserve">Graf </w:t>
            </w:r>
            <w:r w:rsidR="006911B0">
              <w:rPr>
                <w:rFonts w:ascii="Arial" w:eastAsia="+mn-ea" w:hAnsi="Arial" w:cs="Arial"/>
                <w:b/>
                <w:color w:val="000000"/>
                <w:sz w:val="20"/>
                <w:szCs w:val="20"/>
              </w:rPr>
              <w:t>3.12</w:t>
            </w:r>
            <w:r w:rsidRPr="003F5758">
              <w:rPr>
                <w:rFonts w:ascii="Arial" w:eastAsia="+mn-ea" w:hAnsi="Arial" w:cs="Arial"/>
                <w:b/>
                <w:color w:val="000000"/>
                <w:sz w:val="20"/>
                <w:szCs w:val="20"/>
              </w:rPr>
              <w:t xml:space="preserve"> Podnikatelské subjekty v okresech Zlínského kraje k 31. 12.</w:t>
            </w:r>
          </w:p>
        </w:tc>
      </w:tr>
      <w:tr w:rsidR="003F5758" w:rsidRPr="00671992" w:rsidTr="00EB6FAC">
        <w:trPr>
          <w:trHeight w:val="2977"/>
        </w:trPr>
        <w:tc>
          <w:tcPr>
            <w:tcW w:w="9611" w:type="dxa"/>
            <w:gridSpan w:val="4"/>
            <w:tcMar>
              <w:left w:w="85" w:type="dxa"/>
              <w:right w:w="85" w:type="dxa"/>
            </w:tcMar>
          </w:tcPr>
          <w:p w:rsidR="003F5758" w:rsidRPr="003F5758" w:rsidRDefault="009956CB" w:rsidP="00440D68">
            <w:pPr>
              <w:pStyle w:val="Normlnweb"/>
              <w:spacing w:before="60" w:beforeAutospacing="0" w:after="60" w:afterAutospacing="0"/>
              <w:jc w:val="center"/>
              <w:rPr>
                <w:rFonts w:ascii="Arial" w:eastAsia="+mn-ea" w:hAnsi="Arial" w:cs="Arial"/>
                <w:color w:val="000000"/>
                <w:sz w:val="20"/>
                <w:szCs w:val="20"/>
              </w:rPr>
            </w:pPr>
            <w:r w:rsidRPr="00286EFA">
              <w:rPr>
                <w:rFonts w:ascii="Arial" w:eastAsia="+mn-ea" w:hAnsi="Arial" w:cs="Arial"/>
                <w:color w:val="000000"/>
                <w:sz w:val="20"/>
                <w:szCs w:val="20"/>
              </w:rPr>
              <w:pict>
                <v:shape id="_x0000_i1093" type="#_x0000_t75" style="width:471.75pt;height:186pt">
                  <v:imagedata r:id="rId86" o:title=""/>
                </v:shape>
              </w:pict>
            </w:r>
          </w:p>
        </w:tc>
      </w:tr>
      <w:tr w:rsidR="003F5758" w:rsidRPr="00671992" w:rsidTr="00440D68">
        <w:trPr>
          <w:trHeight w:val="1408"/>
        </w:trPr>
        <w:tc>
          <w:tcPr>
            <w:tcW w:w="2410" w:type="dxa"/>
            <w:gridSpan w:val="2"/>
            <w:tcMar>
              <w:left w:w="85" w:type="dxa"/>
              <w:right w:w="85" w:type="dxa"/>
            </w:tcMar>
          </w:tcPr>
          <w:p w:rsidR="003F5758" w:rsidRPr="003F5758" w:rsidRDefault="003F5758" w:rsidP="003F5758">
            <w:pPr>
              <w:spacing w:before="60"/>
              <w:jc w:val="left"/>
              <w:rPr>
                <w:b/>
                <w:i/>
                <w:szCs w:val="20"/>
              </w:rPr>
            </w:pPr>
          </w:p>
        </w:tc>
        <w:tc>
          <w:tcPr>
            <w:tcW w:w="7201" w:type="dxa"/>
            <w:gridSpan w:val="2"/>
            <w:tcMar>
              <w:left w:w="85" w:type="dxa"/>
              <w:right w:w="85" w:type="dxa"/>
            </w:tcMar>
          </w:tcPr>
          <w:p w:rsidR="003F5758" w:rsidRPr="003F5758" w:rsidRDefault="00440D68" w:rsidP="00440D68">
            <w:pPr>
              <w:pStyle w:val="Normlnweb"/>
              <w:spacing w:before="60" w:beforeAutospacing="0" w:after="60" w:afterAutospacing="0"/>
              <w:jc w:val="both"/>
              <w:rPr>
                <w:rFonts w:ascii="Arial" w:eastAsia="+mn-ea" w:hAnsi="Arial" w:cs="Arial"/>
                <w:color w:val="000000"/>
                <w:sz w:val="20"/>
                <w:szCs w:val="20"/>
              </w:rPr>
            </w:pPr>
            <w:r w:rsidRPr="00440D68">
              <w:rPr>
                <w:rFonts w:ascii="Arial" w:eastAsia="+mn-ea" w:hAnsi="Arial" w:cs="Arial"/>
                <w:color w:val="000000"/>
                <w:sz w:val="20"/>
                <w:szCs w:val="20"/>
              </w:rPr>
              <w:t xml:space="preserve">Ve všech okresech kraje se nejvíce subjektů zabývalo </w:t>
            </w:r>
            <w:proofErr w:type="spellStart"/>
            <w:r w:rsidRPr="00440D68">
              <w:rPr>
                <w:rFonts w:ascii="Arial" w:eastAsia="+mn-ea" w:hAnsi="Arial" w:cs="Arial"/>
                <w:color w:val="000000"/>
                <w:sz w:val="20"/>
                <w:szCs w:val="20"/>
              </w:rPr>
              <w:t>velko</w:t>
            </w:r>
            <w:proofErr w:type="spellEnd"/>
            <w:r w:rsidRPr="00440D68">
              <w:rPr>
                <w:rFonts w:ascii="Arial" w:eastAsia="+mn-ea" w:hAnsi="Arial" w:cs="Arial"/>
                <w:color w:val="000000"/>
                <w:sz w:val="20"/>
                <w:szCs w:val="20"/>
              </w:rPr>
              <w:t>- a maloobchodem; opravami a údržbou motorových vozidel (přibližně 20 %). Druhé nejčastější činnosti byly z okruhu zpracovatelského průmyslu (13 až 16 %). Následovaly stavební činnosti (kolem 13 %) a dále pak profesní, vědecké a technické činnosti (8 až 12 %).</w:t>
            </w:r>
          </w:p>
        </w:tc>
      </w:tr>
      <w:tr w:rsidR="00BC4EB4" w:rsidRPr="00671992" w:rsidTr="009138FC">
        <w:trPr>
          <w:trHeight w:val="389"/>
        </w:trPr>
        <w:tc>
          <w:tcPr>
            <w:tcW w:w="9611" w:type="dxa"/>
            <w:gridSpan w:val="4"/>
            <w:tcMar>
              <w:left w:w="85" w:type="dxa"/>
              <w:right w:w="85" w:type="dxa"/>
            </w:tcMar>
          </w:tcPr>
          <w:p w:rsidR="00BC4EB4" w:rsidRPr="00BB2552" w:rsidRDefault="0092173C" w:rsidP="006911B0">
            <w:pPr>
              <w:pStyle w:val="Normlnweb"/>
              <w:spacing w:before="60" w:beforeAutospacing="0" w:after="60" w:afterAutospacing="0"/>
              <w:jc w:val="both"/>
              <w:rPr>
                <w:rFonts w:ascii="Arial" w:eastAsia="+mn-ea" w:hAnsi="Arial" w:cs="Arial"/>
                <w:color w:val="000000"/>
                <w:sz w:val="20"/>
                <w:szCs w:val="20"/>
                <w:highlight w:val="yellow"/>
              </w:rPr>
            </w:pPr>
            <w:r w:rsidRPr="00440D68">
              <w:rPr>
                <w:rFonts w:ascii="Arial" w:hAnsi="Arial" w:cs="Arial"/>
                <w:b/>
                <w:bCs/>
                <w:sz w:val="20"/>
                <w:szCs w:val="20"/>
              </w:rPr>
              <w:t xml:space="preserve">Graf </w:t>
            </w:r>
            <w:r w:rsidR="006911B0">
              <w:rPr>
                <w:rFonts w:ascii="Arial" w:hAnsi="Arial" w:cs="Arial"/>
                <w:b/>
                <w:bCs/>
                <w:sz w:val="20"/>
                <w:szCs w:val="20"/>
              </w:rPr>
              <w:t>3.13</w:t>
            </w:r>
            <w:r w:rsidRPr="00440D68">
              <w:rPr>
                <w:rFonts w:ascii="Arial" w:hAnsi="Arial" w:cs="Arial"/>
                <w:b/>
                <w:sz w:val="20"/>
                <w:szCs w:val="20"/>
              </w:rPr>
              <w:t xml:space="preserve"> </w:t>
            </w:r>
            <w:r w:rsidRPr="00440D68">
              <w:rPr>
                <w:rFonts w:ascii="Arial" w:hAnsi="Arial" w:cs="Arial"/>
                <w:b/>
                <w:bCs/>
                <w:sz w:val="20"/>
                <w:szCs w:val="20"/>
              </w:rPr>
              <w:t>Vznik a zánik subjektů se sídlem ve Zlínském kraji k 31. 12.</w:t>
            </w:r>
          </w:p>
        </w:tc>
      </w:tr>
      <w:tr w:rsidR="00BC4EB4" w:rsidRPr="00671992" w:rsidTr="009138FC">
        <w:trPr>
          <w:trHeight w:val="531"/>
        </w:trPr>
        <w:tc>
          <w:tcPr>
            <w:tcW w:w="9611" w:type="dxa"/>
            <w:gridSpan w:val="4"/>
            <w:tcMar>
              <w:left w:w="85" w:type="dxa"/>
              <w:right w:w="85" w:type="dxa"/>
            </w:tcMar>
          </w:tcPr>
          <w:p w:rsidR="00BC4EB4" w:rsidRPr="00BB2552" w:rsidRDefault="009956CB" w:rsidP="00BC4EB4">
            <w:pPr>
              <w:pStyle w:val="Normlnweb"/>
              <w:spacing w:before="0" w:beforeAutospacing="0" w:after="0" w:afterAutospacing="0"/>
              <w:jc w:val="both"/>
              <w:rPr>
                <w:rFonts w:ascii="Arial" w:eastAsia="+mn-ea" w:hAnsi="Arial" w:cs="Arial"/>
                <w:color w:val="000000"/>
                <w:sz w:val="20"/>
                <w:szCs w:val="20"/>
                <w:highlight w:val="yellow"/>
              </w:rPr>
            </w:pPr>
            <w:r w:rsidRPr="00286EFA">
              <w:rPr>
                <w:szCs w:val="20"/>
              </w:rPr>
              <w:pict>
                <v:shape id="_x0000_i1094" type="#_x0000_t75" style="width:471.75pt;height:187.5pt">
                  <v:imagedata r:id="rId87" o:title=""/>
                </v:shape>
              </w:pict>
            </w:r>
          </w:p>
        </w:tc>
      </w:tr>
      <w:tr w:rsidR="00FF21B4" w:rsidRPr="00BB2552" w:rsidTr="009138FC">
        <w:tc>
          <w:tcPr>
            <w:tcW w:w="2410" w:type="dxa"/>
            <w:gridSpan w:val="2"/>
            <w:tcMar>
              <w:left w:w="85" w:type="dxa"/>
              <w:right w:w="85" w:type="dxa"/>
            </w:tcMar>
          </w:tcPr>
          <w:p w:rsidR="0061224A" w:rsidRPr="00BB2552" w:rsidRDefault="00440D68" w:rsidP="00440D68">
            <w:pPr>
              <w:spacing w:before="60" w:after="60"/>
              <w:jc w:val="left"/>
              <w:rPr>
                <w:b/>
                <w:i/>
                <w:szCs w:val="20"/>
                <w:highlight w:val="yellow"/>
              </w:rPr>
            </w:pPr>
            <w:r w:rsidRPr="00440D68">
              <w:rPr>
                <w:b/>
                <w:i/>
                <w:szCs w:val="20"/>
              </w:rPr>
              <w:t>Počet nově vzniklých podnikatelských subjektů klesl</w:t>
            </w:r>
            <w:r w:rsidRPr="00440D68">
              <w:rPr>
                <w:b/>
                <w:i/>
                <w:szCs w:val="20"/>
                <w:highlight w:val="yellow"/>
              </w:rPr>
              <w:t xml:space="preserve"> </w:t>
            </w:r>
          </w:p>
          <w:p w:rsidR="001C51DE" w:rsidRPr="00BB2552" w:rsidRDefault="001C51DE" w:rsidP="001C51DE">
            <w:pPr>
              <w:spacing w:before="60" w:after="60"/>
              <w:jc w:val="left"/>
              <w:rPr>
                <w:b/>
                <w:i/>
                <w:szCs w:val="20"/>
                <w:highlight w:val="yellow"/>
              </w:rPr>
            </w:pPr>
          </w:p>
          <w:p w:rsidR="0061224A" w:rsidRPr="00BB2552" w:rsidRDefault="0061224A" w:rsidP="001C51DE">
            <w:pPr>
              <w:spacing w:before="60" w:after="60"/>
              <w:jc w:val="left"/>
              <w:rPr>
                <w:b/>
                <w:i/>
                <w:szCs w:val="20"/>
                <w:highlight w:val="yellow"/>
              </w:rPr>
            </w:pPr>
          </w:p>
          <w:p w:rsidR="0061224A" w:rsidRPr="00BB2552" w:rsidRDefault="0061224A" w:rsidP="001C51DE">
            <w:pPr>
              <w:spacing w:before="60" w:after="60"/>
              <w:jc w:val="left"/>
              <w:rPr>
                <w:b/>
                <w:i/>
                <w:szCs w:val="20"/>
                <w:highlight w:val="yellow"/>
              </w:rPr>
            </w:pPr>
          </w:p>
          <w:p w:rsidR="0061224A" w:rsidRPr="00BB2552" w:rsidRDefault="0061224A" w:rsidP="001C51DE">
            <w:pPr>
              <w:spacing w:before="60" w:after="60"/>
              <w:jc w:val="left"/>
              <w:rPr>
                <w:b/>
                <w:i/>
                <w:szCs w:val="20"/>
                <w:highlight w:val="yellow"/>
              </w:rPr>
            </w:pPr>
          </w:p>
          <w:p w:rsidR="0061224A" w:rsidRPr="00BB2552" w:rsidRDefault="0061224A" w:rsidP="001C51DE">
            <w:pPr>
              <w:spacing w:before="60" w:after="60"/>
              <w:jc w:val="left"/>
              <w:rPr>
                <w:b/>
                <w:i/>
                <w:szCs w:val="20"/>
                <w:highlight w:val="yellow"/>
              </w:rPr>
            </w:pPr>
          </w:p>
        </w:tc>
        <w:tc>
          <w:tcPr>
            <w:tcW w:w="7201" w:type="dxa"/>
            <w:gridSpan w:val="2"/>
            <w:tcMar>
              <w:left w:w="85" w:type="dxa"/>
              <w:right w:w="85" w:type="dxa"/>
            </w:tcMar>
            <w:vAlign w:val="center"/>
          </w:tcPr>
          <w:p w:rsidR="00FF21B4" w:rsidRPr="00523719" w:rsidRDefault="00440D68" w:rsidP="00075C01">
            <w:pPr>
              <w:pStyle w:val="Normlnweb"/>
              <w:spacing w:before="60" w:beforeAutospacing="0" w:after="60" w:afterAutospacing="0"/>
              <w:jc w:val="both"/>
              <w:rPr>
                <w:rFonts w:ascii="Arial" w:eastAsia="+mn-ea" w:hAnsi="Arial" w:cs="Arial"/>
                <w:color w:val="000000"/>
                <w:sz w:val="20"/>
                <w:szCs w:val="20"/>
              </w:rPr>
            </w:pPr>
            <w:r w:rsidRPr="00440D68">
              <w:rPr>
                <w:rFonts w:ascii="Arial" w:eastAsia="+mn-ea" w:hAnsi="Arial" w:cs="Arial"/>
                <w:color w:val="000000"/>
                <w:sz w:val="20"/>
                <w:szCs w:val="20"/>
              </w:rPr>
              <w:lastRenderedPageBreak/>
              <w:t>Proti předchozím pěti letům počet nově vzniklých subjektů klesl. Ve srovnání s</w:t>
            </w:r>
            <w:r w:rsidR="00D07831">
              <w:rPr>
                <w:rFonts w:ascii="Arial" w:eastAsia="+mn-ea" w:hAnsi="Arial" w:cs="Arial"/>
                <w:color w:val="000000"/>
                <w:sz w:val="20"/>
                <w:szCs w:val="20"/>
              </w:rPr>
              <w:t> </w:t>
            </w:r>
            <w:r w:rsidRPr="00440D68">
              <w:rPr>
                <w:rFonts w:ascii="Arial" w:eastAsia="+mn-ea" w:hAnsi="Arial" w:cs="Arial"/>
                <w:color w:val="000000"/>
                <w:sz w:val="20"/>
                <w:szCs w:val="20"/>
              </w:rPr>
              <w:t xml:space="preserve">rokem 2013 se snížil o 9,2 % na 3 842. Nejčastější činností nově vzniklých subjektů byl stejně jako v předchozím roce velkoobchod kromě motorových vozidel (18,5 %). Nejvyšší okresní podíl subjektů s touto činností z celkových okresních nově vzniklých subjektů 23,4 % byl zjištěn v okrese Vsetín. Dalšími nejčastějšími činnostmi nově vzniklých subjektů se sídlem v kraji v roce 2014 </w:t>
            </w:r>
            <w:r w:rsidRPr="00440D68">
              <w:rPr>
                <w:rFonts w:ascii="Arial" w:eastAsia="+mn-ea" w:hAnsi="Arial" w:cs="Arial"/>
                <w:color w:val="000000"/>
                <w:sz w:val="20"/>
                <w:szCs w:val="20"/>
              </w:rPr>
              <w:lastRenderedPageBreak/>
              <w:t>byla specializovaná stavební činnost (8,2 % v kraji, nejvyšší okresní podíl 9,0</w:t>
            </w:r>
            <w:r w:rsidR="00D07831">
              <w:rPr>
                <w:rFonts w:ascii="Arial" w:eastAsia="+mn-ea" w:hAnsi="Arial" w:cs="Arial"/>
                <w:color w:val="000000"/>
                <w:sz w:val="20"/>
                <w:szCs w:val="20"/>
              </w:rPr>
              <w:t> </w:t>
            </w:r>
            <w:r w:rsidRPr="00440D68">
              <w:rPr>
                <w:rFonts w:ascii="Arial" w:eastAsia="+mn-ea" w:hAnsi="Arial" w:cs="Arial"/>
                <w:color w:val="000000"/>
                <w:sz w:val="20"/>
                <w:szCs w:val="20"/>
              </w:rPr>
              <w:t>% byl ve vsetínském okrese), výstavba budov (3,4 % v kraji, okresní největší podíl 4,1 % opět zaznamenal vsetínský okres), ostatní profesní, vědecké a</w:t>
            </w:r>
            <w:r w:rsidR="00AD3826">
              <w:rPr>
                <w:rFonts w:ascii="Arial" w:eastAsia="+mn-ea" w:hAnsi="Arial" w:cs="Arial"/>
                <w:color w:val="000000"/>
                <w:sz w:val="20"/>
                <w:szCs w:val="20"/>
              </w:rPr>
              <w:t> </w:t>
            </w:r>
            <w:r w:rsidRPr="00440D68">
              <w:rPr>
                <w:rFonts w:ascii="Arial" w:eastAsia="+mn-ea" w:hAnsi="Arial" w:cs="Arial"/>
                <w:color w:val="000000"/>
                <w:sz w:val="20"/>
                <w:szCs w:val="20"/>
              </w:rPr>
              <w:t>technické činnosti (5,1 % v kraji, největší podíl 7,7 % ve zlínském okrese), finanční zprostředkování kromě pojišťovnictví a penzijního financování (2,7 % v</w:t>
            </w:r>
            <w:r w:rsidR="00AD3826">
              <w:rPr>
                <w:rFonts w:ascii="Arial" w:eastAsia="+mn-ea" w:hAnsi="Arial" w:cs="Arial"/>
                <w:color w:val="000000"/>
                <w:sz w:val="20"/>
                <w:szCs w:val="20"/>
              </w:rPr>
              <w:t> </w:t>
            </w:r>
            <w:r w:rsidRPr="00440D68">
              <w:rPr>
                <w:rFonts w:ascii="Arial" w:eastAsia="+mn-ea" w:hAnsi="Arial" w:cs="Arial"/>
                <w:color w:val="000000"/>
                <w:sz w:val="20"/>
                <w:szCs w:val="20"/>
              </w:rPr>
              <w:t>kraji, největší podíl 5,7 % v okrese Uherské Hradiště), poskytování ostatních osobních služeb (4,0 % v kraji, nejvyšší podíl 5,5 % v okrese Kroměříž) a</w:t>
            </w:r>
            <w:r w:rsidR="00AD3826">
              <w:rPr>
                <w:rFonts w:ascii="Arial" w:eastAsia="+mn-ea" w:hAnsi="Arial" w:cs="Arial"/>
                <w:color w:val="000000"/>
                <w:sz w:val="20"/>
                <w:szCs w:val="20"/>
              </w:rPr>
              <w:t> </w:t>
            </w:r>
            <w:r w:rsidRPr="00440D68">
              <w:rPr>
                <w:rFonts w:ascii="Arial" w:eastAsia="+mn-ea" w:hAnsi="Arial" w:cs="Arial"/>
                <w:color w:val="000000"/>
                <w:sz w:val="20"/>
                <w:szCs w:val="20"/>
              </w:rPr>
              <w:t>stravování a pohostinství (4,8 % v kraji, největší podíl 6,1 % v</w:t>
            </w:r>
            <w:r w:rsidR="007F12DB">
              <w:rPr>
                <w:rFonts w:ascii="Arial" w:eastAsia="+mn-ea" w:hAnsi="Arial" w:cs="Arial"/>
                <w:color w:val="000000"/>
                <w:sz w:val="20"/>
                <w:szCs w:val="20"/>
              </w:rPr>
              <w:t> </w:t>
            </w:r>
            <w:r w:rsidRPr="00440D68">
              <w:rPr>
                <w:rFonts w:ascii="Arial" w:eastAsia="+mn-ea" w:hAnsi="Arial" w:cs="Arial"/>
                <w:color w:val="000000"/>
                <w:sz w:val="20"/>
                <w:szCs w:val="20"/>
              </w:rPr>
              <w:t>kroměřížském okrese). Z oborů zpracovatelského průmyslu šlo především o</w:t>
            </w:r>
            <w:r w:rsidR="007F12DB">
              <w:rPr>
                <w:rFonts w:ascii="Arial" w:eastAsia="+mn-ea" w:hAnsi="Arial" w:cs="Arial"/>
                <w:color w:val="000000"/>
                <w:sz w:val="20"/>
                <w:szCs w:val="20"/>
              </w:rPr>
              <w:t> </w:t>
            </w:r>
            <w:r w:rsidRPr="00440D68">
              <w:rPr>
                <w:rFonts w:ascii="Arial" w:eastAsia="+mn-ea" w:hAnsi="Arial" w:cs="Arial"/>
                <w:color w:val="000000"/>
                <w:sz w:val="20"/>
                <w:szCs w:val="20"/>
              </w:rPr>
              <w:t>výrobu kovových konstrukcí a kovodělných výrobků, kromě strojů a zařízení (4,3 % v kraji, nejvyšší okresní podíl 5,9 % byl zjištěn v okrese Uherské Hradiště), výroba oděvů (2,6 % v kraji, největší byl uherskohradišťský podíl 3,1</w:t>
            </w:r>
            <w:r w:rsidR="007F12DB">
              <w:rPr>
                <w:rFonts w:ascii="Arial" w:eastAsia="+mn-ea" w:hAnsi="Arial" w:cs="Arial"/>
                <w:color w:val="000000"/>
                <w:sz w:val="20"/>
                <w:szCs w:val="20"/>
              </w:rPr>
              <w:t> </w:t>
            </w:r>
            <w:r w:rsidRPr="00440D68">
              <w:rPr>
                <w:rFonts w:ascii="Arial" w:eastAsia="+mn-ea" w:hAnsi="Arial" w:cs="Arial"/>
                <w:color w:val="000000"/>
                <w:sz w:val="20"/>
                <w:szCs w:val="20"/>
              </w:rPr>
              <w:t>%) a opravy a</w:t>
            </w:r>
            <w:r w:rsidR="00AD3826">
              <w:rPr>
                <w:rFonts w:ascii="Arial" w:eastAsia="+mn-ea" w:hAnsi="Arial" w:cs="Arial"/>
                <w:color w:val="000000"/>
                <w:sz w:val="20"/>
                <w:szCs w:val="20"/>
              </w:rPr>
              <w:t> </w:t>
            </w:r>
            <w:r w:rsidRPr="00440D68">
              <w:rPr>
                <w:rFonts w:ascii="Arial" w:eastAsia="+mn-ea" w:hAnsi="Arial" w:cs="Arial"/>
                <w:color w:val="000000"/>
                <w:sz w:val="20"/>
                <w:szCs w:val="20"/>
              </w:rPr>
              <w:t>instalace strojů a zařízení (1,7 % v k</w:t>
            </w:r>
            <w:r w:rsidR="00146640">
              <w:rPr>
                <w:rFonts w:ascii="Arial" w:eastAsia="+mn-ea" w:hAnsi="Arial" w:cs="Arial"/>
                <w:color w:val="000000"/>
                <w:sz w:val="20"/>
                <w:szCs w:val="20"/>
              </w:rPr>
              <w:t>r</w:t>
            </w:r>
            <w:r w:rsidRPr="00440D68">
              <w:rPr>
                <w:rFonts w:ascii="Arial" w:eastAsia="+mn-ea" w:hAnsi="Arial" w:cs="Arial"/>
                <w:color w:val="000000"/>
                <w:sz w:val="20"/>
                <w:szCs w:val="20"/>
              </w:rPr>
              <w:t>aji, zlínský podíl 2,4 % byl největší).</w:t>
            </w:r>
            <w:r w:rsidR="00FF21B4" w:rsidRPr="00523719">
              <w:rPr>
                <w:rFonts w:ascii="Arial" w:eastAsia="+mn-ea" w:hAnsi="Arial" w:cs="Arial"/>
                <w:color w:val="000000"/>
                <w:sz w:val="20"/>
                <w:szCs w:val="20"/>
              </w:rPr>
              <w:t xml:space="preserve"> </w:t>
            </w:r>
          </w:p>
          <w:p w:rsidR="00901E08" w:rsidRPr="00523719" w:rsidRDefault="00901E08" w:rsidP="00075C01">
            <w:pPr>
              <w:pStyle w:val="Normlnweb"/>
              <w:spacing w:before="60" w:beforeAutospacing="0" w:after="60" w:afterAutospacing="0"/>
              <w:jc w:val="both"/>
              <w:rPr>
                <w:rFonts w:ascii="Arial" w:eastAsia="+mn-ea" w:hAnsi="Arial" w:cs="Arial"/>
                <w:color w:val="000000"/>
                <w:sz w:val="20"/>
                <w:szCs w:val="20"/>
              </w:rPr>
            </w:pPr>
          </w:p>
        </w:tc>
      </w:tr>
      <w:tr w:rsidR="00AD3826" w:rsidRPr="00BB2552" w:rsidTr="00AD3826">
        <w:tc>
          <w:tcPr>
            <w:tcW w:w="2410" w:type="dxa"/>
            <w:gridSpan w:val="2"/>
            <w:tcMar>
              <w:left w:w="85" w:type="dxa"/>
              <w:right w:w="85" w:type="dxa"/>
            </w:tcMar>
          </w:tcPr>
          <w:p w:rsidR="00AD3826" w:rsidRPr="00440D68" w:rsidRDefault="00AD3826" w:rsidP="00901E08">
            <w:pPr>
              <w:spacing w:before="60" w:after="60"/>
              <w:jc w:val="left"/>
              <w:rPr>
                <w:b/>
                <w:i/>
                <w:szCs w:val="20"/>
              </w:rPr>
            </w:pPr>
            <w:r w:rsidRPr="00AD3826">
              <w:rPr>
                <w:b/>
                <w:i/>
                <w:szCs w:val="20"/>
              </w:rPr>
              <w:lastRenderedPageBreak/>
              <w:t>Počet zaniklých subjektů meziročně poklesl zhruba o</w:t>
            </w:r>
            <w:r w:rsidR="00901E08">
              <w:rPr>
                <w:b/>
                <w:i/>
                <w:szCs w:val="20"/>
              </w:rPr>
              <w:t> </w:t>
            </w:r>
            <w:r w:rsidRPr="00AD3826">
              <w:rPr>
                <w:b/>
                <w:i/>
                <w:szCs w:val="20"/>
              </w:rPr>
              <w:t>polovinu</w:t>
            </w:r>
          </w:p>
        </w:tc>
        <w:tc>
          <w:tcPr>
            <w:tcW w:w="7201" w:type="dxa"/>
            <w:gridSpan w:val="2"/>
            <w:tcMar>
              <w:left w:w="85" w:type="dxa"/>
              <w:right w:w="85" w:type="dxa"/>
            </w:tcMar>
          </w:tcPr>
          <w:p w:rsidR="00AD3826" w:rsidRPr="00AD3826" w:rsidRDefault="00AD3826" w:rsidP="00AD3826">
            <w:pPr>
              <w:pStyle w:val="Normlnweb"/>
              <w:spacing w:before="60" w:beforeAutospacing="0" w:after="60" w:afterAutospacing="0"/>
              <w:jc w:val="both"/>
              <w:rPr>
                <w:rFonts w:ascii="Arial" w:eastAsia="+mn-ea" w:hAnsi="Arial" w:cs="Arial"/>
                <w:color w:val="000000"/>
                <w:sz w:val="20"/>
                <w:szCs w:val="20"/>
              </w:rPr>
            </w:pPr>
            <w:r w:rsidRPr="00AD3826">
              <w:rPr>
                <w:rFonts w:ascii="Arial" w:eastAsia="+mn-ea" w:hAnsi="Arial" w:cs="Arial"/>
                <w:color w:val="000000"/>
                <w:sz w:val="20"/>
                <w:szCs w:val="20"/>
              </w:rPr>
              <w:t xml:space="preserve">Počty zaniklých subjektů byly v jednotlivých letech rozkolísané. V roce 2009 byl jejich počet navýšen ještě administrativním zásahem (změna právních forem zemědělských subjektů). V roce 2013 zanikl proti předchozímu roku více jak dvojnásobek subjektů (o 110,1 %, a to na celkových 5 411). V následujícím roce se počet zaniklých subjektů snížil o 42 % na 3 133. </w:t>
            </w:r>
          </w:p>
          <w:p w:rsidR="00AD3826" w:rsidRPr="00AD3826" w:rsidRDefault="00AD3826" w:rsidP="00AD3826">
            <w:pPr>
              <w:pStyle w:val="Normlnweb"/>
              <w:spacing w:before="60" w:beforeAutospacing="0" w:after="60" w:afterAutospacing="0"/>
              <w:jc w:val="both"/>
              <w:rPr>
                <w:rFonts w:ascii="Arial" w:eastAsia="+mn-ea" w:hAnsi="Arial" w:cs="Arial"/>
                <w:color w:val="000000"/>
                <w:sz w:val="20"/>
                <w:szCs w:val="20"/>
              </w:rPr>
            </w:pPr>
            <w:r w:rsidRPr="00AD3826">
              <w:rPr>
                <w:rFonts w:ascii="Arial" w:eastAsia="+mn-ea" w:hAnsi="Arial" w:cs="Arial"/>
                <w:color w:val="000000"/>
                <w:sz w:val="20"/>
                <w:szCs w:val="20"/>
              </w:rPr>
              <w:t>Největší počet zaniklých subjektů v roce 2014 podnikalo podle živnostenského zákona (83,1 %) a dále pak společností s ručením omezeným (6,5 %).</w:t>
            </w:r>
          </w:p>
          <w:p w:rsidR="00075C01" w:rsidRPr="00440D68" w:rsidRDefault="00AD3826" w:rsidP="003A7671">
            <w:pPr>
              <w:pStyle w:val="Normlnweb"/>
              <w:spacing w:before="60" w:beforeAutospacing="0" w:after="60" w:afterAutospacing="0"/>
              <w:jc w:val="both"/>
              <w:rPr>
                <w:rFonts w:ascii="Arial" w:eastAsia="+mn-ea" w:hAnsi="Arial" w:cs="Arial"/>
                <w:color w:val="000000"/>
                <w:sz w:val="20"/>
                <w:szCs w:val="20"/>
              </w:rPr>
            </w:pPr>
            <w:r w:rsidRPr="00AD3826">
              <w:rPr>
                <w:rFonts w:ascii="Arial" w:eastAsia="+mn-ea" w:hAnsi="Arial" w:cs="Arial"/>
                <w:color w:val="000000"/>
                <w:sz w:val="20"/>
                <w:szCs w:val="20"/>
              </w:rPr>
              <w:t>Nejčastěji se jednalo o subjekty, které počet zaměstnanců buď neuvedly (</w:t>
            </w:r>
            <w:proofErr w:type="gramStart"/>
            <w:r w:rsidRPr="00AD3826">
              <w:rPr>
                <w:rFonts w:ascii="Arial" w:eastAsia="+mn-ea" w:hAnsi="Arial" w:cs="Arial"/>
                <w:color w:val="000000"/>
                <w:sz w:val="20"/>
                <w:szCs w:val="20"/>
              </w:rPr>
              <w:t>78,3</w:t>
            </w:r>
            <w:r w:rsidR="00F15EFA">
              <w:rPr>
                <w:rFonts w:ascii="Arial" w:eastAsia="+mn-ea" w:hAnsi="Arial" w:cs="Arial"/>
                <w:color w:val="000000"/>
                <w:sz w:val="20"/>
                <w:szCs w:val="20"/>
              </w:rPr>
              <w:t> </w:t>
            </w:r>
            <w:r w:rsidRPr="00AD3826">
              <w:rPr>
                <w:rFonts w:ascii="Arial" w:eastAsia="+mn-ea" w:hAnsi="Arial" w:cs="Arial"/>
                <w:color w:val="000000"/>
                <w:sz w:val="20"/>
                <w:szCs w:val="20"/>
              </w:rPr>
              <w:t>%) a nebo zaměstnance</w:t>
            </w:r>
            <w:proofErr w:type="gramEnd"/>
            <w:r w:rsidRPr="00AD3826">
              <w:rPr>
                <w:rFonts w:ascii="Arial" w:eastAsia="+mn-ea" w:hAnsi="Arial" w:cs="Arial"/>
                <w:color w:val="000000"/>
                <w:sz w:val="20"/>
                <w:szCs w:val="20"/>
              </w:rPr>
              <w:t xml:space="preserve"> neměly (18,9 %).</w:t>
            </w:r>
          </w:p>
        </w:tc>
      </w:tr>
      <w:tr w:rsidR="00075C01" w:rsidRPr="00BB2552" w:rsidTr="009138FC">
        <w:trPr>
          <w:cantSplit/>
          <w:trHeight w:val="255"/>
        </w:trPr>
        <w:tc>
          <w:tcPr>
            <w:tcW w:w="9611" w:type="dxa"/>
            <w:gridSpan w:val="4"/>
            <w:tcMar>
              <w:left w:w="85" w:type="dxa"/>
              <w:right w:w="85" w:type="dxa"/>
            </w:tcMar>
          </w:tcPr>
          <w:p w:rsidR="00075C01" w:rsidRPr="00F15EFA" w:rsidRDefault="00075C01" w:rsidP="00A40B60">
            <w:pPr>
              <w:pStyle w:val="Normlnweb"/>
              <w:spacing w:before="60" w:beforeAutospacing="0" w:after="60" w:afterAutospacing="0"/>
              <w:jc w:val="both"/>
              <w:rPr>
                <w:rFonts w:cs="Arial"/>
                <w:b/>
                <w:bCs/>
                <w:szCs w:val="20"/>
              </w:rPr>
            </w:pPr>
            <w:r w:rsidRPr="00901E08">
              <w:rPr>
                <w:rFonts w:ascii="Arial" w:eastAsia="+mn-ea" w:hAnsi="Arial" w:cs="Arial"/>
                <w:b/>
                <w:color w:val="000000"/>
                <w:sz w:val="20"/>
                <w:szCs w:val="20"/>
              </w:rPr>
              <w:t xml:space="preserve">Graf </w:t>
            </w:r>
            <w:r w:rsidR="006911B0" w:rsidRPr="00901E08">
              <w:rPr>
                <w:rFonts w:ascii="Arial" w:eastAsia="+mn-ea" w:hAnsi="Arial" w:cs="Arial"/>
                <w:b/>
                <w:color w:val="000000"/>
                <w:sz w:val="20"/>
                <w:szCs w:val="20"/>
              </w:rPr>
              <w:t>3.1</w:t>
            </w:r>
            <w:r w:rsidR="00A40B60">
              <w:rPr>
                <w:rFonts w:ascii="Arial" w:eastAsia="+mn-ea" w:hAnsi="Arial" w:cs="Arial"/>
                <w:b/>
                <w:color w:val="000000"/>
                <w:sz w:val="20"/>
                <w:szCs w:val="20"/>
              </w:rPr>
              <w:t>4</w:t>
            </w:r>
            <w:r w:rsidRPr="00901E08">
              <w:rPr>
                <w:rFonts w:ascii="Arial" w:eastAsia="+mn-ea" w:hAnsi="Arial" w:cs="Arial"/>
                <w:b/>
                <w:color w:val="000000"/>
                <w:sz w:val="20"/>
                <w:szCs w:val="20"/>
              </w:rPr>
              <w:t xml:space="preserve"> Vzniklé subjekty v okresech Zlínského kraje k 31. 12.</w:t>
            </w:r>
          </w:p>
        </w:tc>
      </w:tr>
      <w:tr w:rsidR="00FF21B4" w:rsidRPr="00BB2552" w:rsidTr="009138FC">
        <w:trPr>
          <w:cantSplit/>
          <w:trHeight w:val="255"/>
        </w:trPr>
        <w:tc>
          <w:tcPr>
            <w:tcW w:w="9611" w:type="dxa"/>
            <w:gridSpan w:val="4"/>
            <w:tcMar>
              <w:left w:w="85" w:type="dxa"/>
              <w:right w:w="85" w:type="dxa"/>
            </w:tcMar>
          </w:tcPr>
          <w:p w:rsidR="00FF21B4" w:rsidRPr="00BB2552" w:rsidRDefault="009956CB" w:rsidP="00FF21B4">
            <w:pPr>
              <w:rPr>
                <w:rFonts w:cs="Arial"/>
                <w:b/>
                <w:bCs/>
                <w:szCs w:val="20"/>
                <w:highlight w:val="yellow"/>
              </w:rPr>
            </w:pPr>
            <w:r w:rsidRPr="00286EFA">
              <w:rPr>
                <w:szCs w:val="20"/>
              </w:rPr>
              <w:pict>
                <v:shape id="_x0000_i1095" type="#_x0000_t75" style="width:480.75pt;height:197.25pt">
                  <v:imagedata r:id="rId88" o:title=""/>
                </v:shape>
              </w:pict>
            </w:r>
          </w:p>
          <w:p w:rsidR="00901E08" w:rsidRPr="00BB2552" w:rsidRDefault="00901E08" w:rsidP="00F15EFA">
            <w:pPr>
              <w:spacing w:before="60" w:after="60"/>
              <w:rPr>
                <w:b/>
                <w:bCs/>
                <w:szCs w:val="20"/>
                <w:highlight w:val="yellow"/>
              </w:rPr>
            </w:pPr>
          </w:p>
        </w:tc>
      </w:tr>
      <w:tr w:rsidR="001D2347" w:rsidRPr="00BB2552" w:rsidTr="001D2347">
        <w:trPr>
          <w:cantSplit/>
          <w:trHeight w:val="255"/>
        </w:trPr>
        <w:tc>
          <w:tcPr>
            <w:tcW w:w="2353" w:type="dxa"/>
            <w:tcMar>
              <w:left w:w="85" w:type="dxa"/>
              <w:right w:w="85" w:type="dxa"/>
            </w:tcMar>
          </w:tcPr>
          <w:p w:rsidR="001D2347" w:rsidRPr="00F15EFA" w:rsidRDefault="001D2347" w:rsidP="00F15EFA">
            <w:pPr>
              <w:rPr>
                <w:rFonts w:cs="Arial"/>
                <w:b/>
                <w:bCs/>
                <w:szCs w:val="20"/>
              </w:rPr>
            </w:pPr>
          </w:p>
        </w:tc>
        <w:tc>
          <w:tcPr>
            <w:tcW w:w="7258" w:type="dxa"/>
            <w:gridSpan w:val="3"/>
          </w:tcPr>
          <w:p w:rsidR="001D2347" w:rsidRPr="00075C01" w:rsidRDefault="001D2347" w:rsidP="001D2347">
            <w:pPr>
              <w:pStyle w:val="Normlnweb"/>
              <w:spacing w:before="60" w:beforeAutospacing="0" w:after="60" w:afterAutospacing="0"/>
              <w:jc w:val="both"/>
              <w:rPr>
                <w:rFonts w:ascii="Arial" w:eastAsia="+mn-ea" w:hAnsi="Arial" w:cs="Arial"/>
                <w:color w:val="000000"/>
                <w:sz w:val="20"/>
                <w:szCs w:val="20"/>
              </w:rPr>
            </w:pPr>
            <w:r w:rsidRPr="00075C01">
              <w:rPr>
                <w:rFonts w:ascii="Arial" w:eastAsia="+mn-ea" w:hAnsi="Arial" w:cs="Arial"/>
                <w:color w:val="000000"/>
                <w:sz w:val="20"/>
                <w:szCs w:val="20"/>
              </w:rPr>
              <w:t xml:space="preserve">Zaniklé subjekty se nejčastěji zabývaly velkoobchodem, kromě motorových vozidel (13,1 % z celkového počtu zaniklých subjektů), maloobchodem kromě motorových vozidel (12,5 %), specializovanými stavebními činnostmi (9,2 %), výstavbou budov (5,7 %), stravováním a pohostinstvím (6,4 %), ostatními profesními, vědeckými a technickými činnostmi (3,3 %) a poskytováním ostatních osobních služeb (3,2 %). Z oborů zpracovatelského průmyslu ukončily svou činnost nejvíce subjekty s výrobou kovových konstrukcí a kovodělných výrobků, kromě strojů a zařízení (5,4 %) a se zpracováním dřeva, výrobou dřevěných, korkových, proutěných a slaměných výrobků kromě nábytku (2,3 %). </w:t>
            </w:r>
          </w:p>
          <w:p w:rsidR="001D2347" w:rsidRDefault="001D2347" w:rsidP="001D2347">
            <w:pPr>
              <w:rPr>
                <w:rFonts w:eastAsia="+mn-ea" w:cs="Arial"/>
                <w:color w:val="000000"/>
                <w:szCs w:val="20"/>
              </w:rPr>
            </w:pPr>
            <w:r w:rsidRPr="00075C01">
              <w:rPr>
                <w:rFonts w:eastAsia="+mn-ea" w:cs="Arial"/>
                <w:color w:val="000000"/>
                <w:szCs w:val="20"/>
              </w:rPr>
              <w:t>Nejvíce zaniklých subjektů z okresních celků bylo z činnostních oblastí velkoobchodu (17,4 % z okresu Uherské Hradiště), maloobchodu (13,5 % ve zlínském okrese), specializovaných stavebních činností (10,1 % na </w:t>
            </w:r>
            <w:proofErr w:type="spellStart"/>
            <w:r w:rsidRPr="00075C01">
              <w:rPr>
                <w:rFonts w:eastAsia="+mn-ea" w:cs="Arial"/>
                <w:color w:val="000000"/>
                <w:szCs w:val="20"/>
              </w:rPr>
              <w:t>uherskohradišťsku</w:t>
            </w:r>
            <w:proofErr w:type="spellEnd"/>
            <w:r w:rsidRPr="00075C01">
              <w:rPr>
                <w:rFonts w:eastAsia="+mn-ea" w:cs="Arial"/>
                <w:color w:val="000000"/>
                <w:szCs w:val="20"/>
              </w:rPr>
              <w:t xml:space="preserve">), výstavby budov (7,1 % na </w:t>
            </w:r>
            <w:proofErr w:type="spellStart"/>
            <w:r w:rsidRPr="00075C01">
              <w:rPr>
                <w:rFonts w:eastAsia="+mn-ea" w:cs="Arial"/>
                <w:color w:val="000000"/>
                <w:szCs w:val="20"/>
              </w:rPr>
              <w:t>kroměřížsku</w:t>
            </w:r>
            <w:proofErr w:type="spellEnd"/>
            <w:r w:rsidRPr="00075C01">
              <w:rPr>
                <w:rFonts w:eastAsia="+mn-ea" w:cs="Arial"/>
                <w:color w:val="000000"/>
                <w:szCs w:val="20"/>
              </w:rPr>
              <w:t>) a výroby kovových konstrukcí a kovodělných výrobků, kromě strojů a zařízení (7,4 % v okrese Uherské Hradiště).</w:t>
            </w:r>
          </w:p>
          <w:p w:rsidR="00E37662" w:rsidRPr="00F15EFA" w:rsidRDefault="00E37662" w:rsidP="001D2347">
            <w:pPr>
              <w:rPr>
                <w:rFonts w:cs="Arial"/>
                <w:b/>
                <w:bCs/>
                <w:szCs w:val="20"/>
              </w:rPr>
            </w:pPr>
          </w:p>
        </w:tc>
      </w:tr>
      <w:tr w:rsidR="001D2347" w:rsidRPr="00BB2552" w:rsidTr="009138FC">
        <w:trPr>
          <w:cantSplit/>
          <w:trHeight w:val="255"/>
        </w:trPr>
        <w:tc>
          <w:tcPr>
            <w:tcW w:w="9611" w:type="dxa"/>
            <w:gridSpan w:val="4"/>
            <w:tcMar>
              <w:left w:w="85" w:type="dxa"/>
              <w:right w:w="85" w:type="dxa"/>
            </w:tcMar>
          </w:tcPr>
          <w:p w:rsidR="001D2347" w:rsidRDefault="001D2347" w:rsidP="00A40B60">
            <w:pPr>
              <w:spacing w:before="60" w:after="60"/>
              <w:jc w:val="left"/>
              <w:rPr>
                <w:rFonts w:cs="Arial"/>
                <w:b/>
                <w:bCs/>
                <w:szCs w:val="20"/>
              </w:rPr>
            </w:pPr>
            <w:r w:rsidRPr="001D2347">
              <w:rPr>
                <w:rFonts w:cs="Arial"/>
                <w:b/>
                <w:bCs/>
                <w:szCs w:val="20"/>
              </w:rPr>
              <w:lastRenderedPageBreak/>
              <w:t xml:space="preserve">Graf </w:t>
            </w:r>
            <w:r w:rsidR="006911B0">
              <w:rPr>
                <w:rFonts w:cs="Arial"/>
                <w:b/>
                <w:bCs/>
                <w:szCs w:val="20"/>
              </w:rPr>
              <w:t>3.1</w:t>
            </w:r>
            <w:r w:rsidR="00A40B60">
              <w:rPr>
                <w:rFonts w:cs="Arial"/>
                <w:b/>
                <w:bCs/>
                <w:szCs w:val="20"/>
              </w:rPr>
              <w:t>5</w:t>
            </w:r>
            <w:r w:rsidRPr="001D2347">
              <w:rPr>
                <w:rFonts w:cs="Arial"/>
                <w:b/>
                <w:bCs/>
                <w:szCs w:val="20"/>
              </w:rPr>
              <w:t xml:space="preserve"> Zaniklé subjekty v okresech Zlínského kraje k 31. 12.</w:t>
            </w:r>
          </w:p>
        </w:tc>
      </w:tr>
      <w:tr w:rsidR="001D2347" w:rsidRPr="00BB2552" w:rsidTr="009138FC">
        <w:trPr>
          <w:cantSplit/>
          <w:trHeight w:val="255"/>
        </w:trPr>
        <w:tc>
          <w:tcPr>
            <w:tcW w:w="9611" w:type="dxa"/>
            <w:gridSpan w:val="4"/>
            <w:tcMar>
              <w:left w:w="85" w:type="dxa"/>
              <w:right w:w="85" w:type="dxa"/>
            </w:tcMar>
          </w:tcPr>
          <w:p w:rsidR="00901E08" w:rsidRPr="002C6826" w:rsidRDefault="009956CB" w:rsidP="001D2347">
            <w:pPr>
              <w:spacing w:before="60" w:after="60"/>
              <w:jc w:val="center"/>
              <w:rPr>
                <w:rFonts w:cs="Arial"/>
                <w:b/>
                <w:bCs/>
                <w:szCs w:val="20"/>
              </w:rPr>
            </w:pPr>
            <w:r w:rsidRPr="00286EFA">
              <w:rPr>
                <w:rFonts w:cs="Arial"/>
                <w:b/>
                <w:bCs/>
                <w:szCs w:val="20"/>
              </w:rPr>
              <w:pict>
                <v:shape id="_x0000_i1096" type="#_x0000_t75" style="width:480pt;height:197.25pt">
                  <v:imagedata r:id="rId89" o:title=""/>
                </v:shape>
              </w:pict>
            </w:r>
          </w:p>
          <w:p w:rsidR="001D2347" w:rsidRDefault="001D2347" w:rsidP="001D2347">
            <w:pPr>
              <w:spacing w:before="60" w:after="60"/>
              <w:jc w:val="center"/>
              <w:rPr>
                <w:rFonts w:cs="Arial"/>
                <w:b/>
                <w:bCs/>
                <w:szCs w:val="20"/>
              </w:rPr>
            </w:pPr>
          </w:p>
          <w:p w:rsidR="00901E08" w:rsidRDefault="00901E08" w:rsidP="001D2347">
            <w:pPr>
              <w:spacing w:before="60" w:after="60"/>
              <w:jc w:val="center"/>
              <w:rPr>
                <w:rFonts w:cs="Arial"/>
                <w:b/>
                <w:bCs/>
                <w:szCs w:val="20"/>
              </w:rPr>
            </w:pPr>
          </w:p>
          <w:p w:rsidR="00901E08" w:rsidRDefault="00901E08" w:rsidP="001D2347">
            <w:pPr>
              <w:spacing w:before="60" w:after="60"/>
              <w:jc w:val="center"/>
              <w:rPr>
                <w:rFonts w:cs="Arial"/>
                <w:b/>
                <w:bCs/>
                <w:szCs w:val="20"/>
              </w:rPr>
            </w:pPr>
          </w:p>
        </w:tc>
      </w:tr>
      <w:tr w:rsidR="00102A42" w:rsidRPr="00BB2552" w:rsidTr="009138FC">
        <w:trPr>
          <w:cantSplit/>
          <w:trHeight w:val="255"/>
        </w:trPr>
        <w:tc>
          <w:tcPr>
            <w:tcW w:w="9611" w:type="dxa"/>
            <w:gridSpan w:val="4"/>
            <w:tcMar>
              <w:left w:w="85" w:type="dxa"/>
              <w:right w:w="85" w:type="dxa"/>
            </w:tcMar>
          </w:tcPr>
          <w:p w:rsidR="00102A42" w:rsidRPr="00BB2552" w:rsidRDefault="001D2347" w:rsidP="00A40B60">
            <w:pPr>
              <w:spacing w:before="60" w:after="60"/>
              <w:jc w:val="left"/>
              <w:rPr>
                <w:rFonts w:cs="Arial"/>
                <w:b/>
                <w:bCs/>
                <w:szCs w:val="20"/>
                <w:highlight w:val="yellow"/>
              </w:rPr>
            </w:pPr>
            <w:r>
              <w:rPr>
                <w:rFonts w:cs="Arial"/>
                <w:b/>
                <w:bCs/>
                <w:szCs w:val="20"/>
              </w:rPr>
              <w:t xml:space="preserve">Graf </w:t>
            </w:r>
            <w:r w:rsidR="006911B0">
              <w:rPr>
                <w:rFonts w:cs="Arial"/>
                <w:b/>
                <w:bCs/>
                <w:szCs w:val="20"/>
              </w:rPr>
              <w:t>3.1</w:t>
            </w:r>
            <w:r w:rsidR="00A40B60">
              <w:rPr>
                <w:rFonts w:cs="Arial"/>
                <w:b/>
                <w:bCs/>
                <w:szCs w:val="20"/>
              </w:rPr>
              <w:t>6</w:t>
            </w:r>
            <w:r>
              <w:rPr>
                <w:rFonts w:cs="Arial"/>
                <w:b/>
                <w:bCs/>
                <w:szCs w:val="20"/>
              </w:rPr>
              <w:t xml:space="preserve"> Subjekty se sídlem ve Zlínském kraji podle správních obvodů obcí s rozšířenou působností – stav k 31. 12. 2014</w:t>
            </w:r>
          </w:p>
        </w:tc>
      </w:tr>
      <w:tr w:rsidR="00146494" w:rsidRPr="00BB2552" w:rsidTr="009138FC">
        <w:trPr>
          <w:cantSplit/>
          <w:trHeight w:val="255"/>
        </w:trPr>
        <w:tc>
          <w:tcPr>
            <w:tcW w:w="9611" w:type="dxa"/>
            <w:gridSpan w:val="4"/>
            <w:tcMar>
              <w:left w:w="85" w:type="dxa"/>
              <w:right w:w="85" w:type="dxa"/>
            </w:tcMar>
          </w:tcPr>
          <w:p w:rsidR="00146494" w:rsidRPr="00BB2552" w:rsidRDefault="009956CB" w:rsidP="001D2347">
            <w:pPr>
              <w:jc w:val="center"/>
              <w:rPr>
                <w:rFonts w:cs="Arial"/>
                <w:b/>
                <w:bCs/>
                <w:szCs w:val="20"/>
                <w:highlight w:val="yellow"/>
              </w:rPr>
            </w:pPr>
            <w:r w:rsidRPr="00286EFA">
              <w:rPr>
                <w:rFonts w:cs="Arial"/>
                <w:b/>
                <w:bCs/>
                <w:szCs w:val="20"/>
              </w:rPr>
              <w:pict>
                <v:shape id="_x0000_i1097" type="#_x0000_t75" style="width:471.75pt;height:260.25pt">
                  <v:imagedata r:id="rId90" o:title=""/>
                </v:shape>
              </w:pict>
            </w:r>
          </w:p>
        </w:tc>
      </w:tr>
      <w:tr w:rsidR="00102A42" w:rsidRPr="00BB2552" w:rsidTr="009138FC">
        <w:trPr>
          <w:cantSplit/>
          <w:trHeight w:val="255"/>
        </w:trPr>
        <w:tc>
          <w:tcPr>
            <w:tcW w:w="9611" w:type="dxa"/>
            <w:gridSpan w:val="4"/>
            <w:tcMar>
              <w:left w:w="85" w:type="dxa"/>
              <w:right w:w="85" w:type="dxa"/>
            </w:tcMar>
          </w:tcPr>
          <w:p w:rsidR="00102A42" w:rsidRPr="00BB2552" w:rsidRDefault="00102A42" w:rsidP="00FF21B4">
            <w:pPr>
              <w:rPr>
                <w:rFonts w:cs="Arial"/>
                <w:b/>
                <w:bCs/>
                <w:szCs w:val="20"/>
                <w:highlight w:val="yellow"/>
              </w:rPr>
            </w:pPr>
          </w:p>
        </w:tc>
      </w:tr>
      <w:tr w:rsidR="00102A42" w:rsidRPr="00BB2552" w:rsidTr="009138FC">
        <w:trPr>
          <w:cantSplit/>
          <w:trHeight w:val="255"/>
        </w:trPr>
        <w:tc>
          <w:tcPr>
            <w:tcW w:w="9611" w:type="dxa"/>
            <w:gridSpan w:val="4"/>
            <w:tcMar>
              <w:left w:w="85" w:type="dxa"/>
              <w:right w:w="85" w:type="dxa"/>
            </w:tcMar>
          </w:tcPr>
          <w:p w:rsidR="00102A42" w:rsidRPr="00BB2552" w:rsidRDefault="009956CB" w:rsidP="00FF21B4">
            <w:pPr>
              <w:rPr>
                <w:rFonts w:cs="Arial"/>
                <w:b/>
                <w:bCs/>
                <w:szCs w:val="20"/>
                <w:highlight w:val="yellow"/>
              </w:rPr>
            </w:pPr>
            <w:r w:rsidRPr="00286EFA">
              <w:rPr>
                <w:rFonts w:cs="Arial"/>
                <w:b/>
                <w:bCs/>
                <w:szCs w:val="20"/>
              </w:rPr>
              <w:lastRenderedPageBreak/>
              <w:pict>
                <v:shape id="_x0000_i1098" type="#_x0000_t75" style="width:480pt;height:349.5pt">
                  <v:imagedata r:id="rId91" o:title="zivnostnici2014"/>
                </v:shape>
              </w:pict>
            </w:r>
          </w:p>
        </w:tc>
      </w:tr>
    </w:tbl>
    <w:p w:rsidR="00901E08" w:rsidRDefault="00901E08" w:rsidP="00FF21B4">
      <w:pPr>
        <w:rPr>
          <w:highlight w:val="yellow"/>
        </w:rPr>
      </w:pPr>
    </w:p>
    <w:p w:rsidR="00901E08" w:rsidRPr="00BB2552" w:rsidRDefault="00901E08" w:rsidP="00FF21B4">
      <w:pPr>
        <w:rPr>
          <w:highlight w:val="yellow"/>
        </w:rPr>
        <w:sectPr w:rsidR="00901E08" w:rsidRPr="00BB2552" w:rsidSect="00F22FA0">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568" w:type="dxa"/>
        <w:tblLayout w:type="fixed"/>
        <w:tblCellMar>
          <w:left w:w="70" w:type="dxa"/>
          <w:right w:w="70" w:type="dxa"/>
        </w:tblCellMar>
        <w:tblLook w:val="0000"/>
      </w:tblPr>
      <w:tblGrid>
        <w:gridCol w:w="2474"/>
        <w:gridCol w:w="2450"/>
        <w:gridCol w:w="4644"/>
      </w:tblGrid>
      <w:tr w:rsidR="008A6FE9" w:rsidRPr="00BB2552" w:rsidTr="008B5006">
        <w:tc>
          <w:tcPr>
            <w:tcW w:w="2474" w:type="dxa"/>
          </w:tcPr>
          <w:p w:rsidR="00B85BEF" w:rsidRPr="001157EB" w:rsidRDefault="00B85BEF" w:rsidP="00B85BEF">
            <w:pPr>
              <w:spacing w:before="60" w:after="60"/>
              <w:jc w:val="left"/>
              <w:rPr>
                <w:b/>
                <w:i/>
                <w:szCs w:val="20"/>
                <w:u w:val="single"/>
              </w:rPr>
            </w:pPr>
            <w:r w:rsidRPr="001157EB">
              <w:rPr>
                <w:b/>
                <w:i/>
                <w:szCs w:val="20"/>
                <w:u w:val="single"/>
              </w:rPr>
              <w:lastRenderedPageBreak/>
              <w:t xml:space="preserve">Zemědělství </w:t>
            </w:r>
          </w:p>
          <w:p w:rsidR="00B85BEF" w:rsidRPr="001157EB" w:rsidRDefault="00B85BEF" w:rsidP="00B85BEF">
            <w:pPr>
              <w:spacing w:before="60" w:after="60"/>
              <w:jc w:val="left"/>
              <w:rPr>
                <w:b/>
                <w:i/>
                <w:szCs w:val="20"/>
              </w:rPr>
            </w:pPr>
            <w:r w:rsidRPr="001157EB">
              <w:rPr>
                <w:b/>
                <w:i/>
                <w:szCs w:val="20"/>
              </w:rPr>
              <w:t>V roce 2013 opět třetí nejnižší zemědělská produkce v ČR</w:t>
            </w:r>
          </w:p>
          <w:p w:rsidR="008A6FE9" w:rsidRPr="00BB2552" w:rsidRDefault="008A6FE9" w:rsidP="008A6FE9">
            <w:pPr>
              <w:pStyle w:val="text"/>
              <w:jc w:val="left"/>
              <w:rPr>
                <w:b/>
                <w:bCs/>
                <w:i/>
                <w:iCs/>
                <w:highlight w:val="yellow"/>
              </w:rPr>
            </w:pPr>
          </w:p>
        </w:tc>
        <w:tc>
          <w:tcPr>
            <w:tcW w:w="7094" w:type="dxa"/>
            <w:gridSpan w:val="2"/>
          </w:tcPr>
          <w:p w:rsidR="008A6FE9" w:rsidRPr="00BB2552" w:rsidRDefault="00B85BEF" w:rsidP="00B85BEF">
            <w:pPr>
              <w:pStyle w:val="text"/>
              <w:rPr>
                <w:highlight w:val="yellow"/>
              </w:rPr>
            </w:pPr>
            <w:r w:rsidRPr="00724527">
              <w:rPr>
                <w:rFonts w:eastAsia="+mn-ea" w:cs="Arial"/>
                <w:color w:val="000000"/>
                <w:szCs w:val="20"/>
              </w:rPr>
              <w:t xml:space="preserve">Produkce zemědělského odvětví reprezentuje celkovou finální produkci zemědělství. Ze </w:t>
            </w:r>
            <w:proofErr w:type="spellStart"/>
            <w:r w:rsidRPr="00724527">
              <w:rPr>
                <w:rFonts w:eastAsia="+mn-ea" w:cs="Arial"/>
                <w:color w:val="000000"/>
                <w:szCs w:val="20"/>
              </w:rPr>
              <w:t>semidefinitivních</w:t>
            </w:r>
            <w:proofErr w:type="spellEnd"/>
            <w:r w:rsidRPr="00724527">
              <w:rPr>
                <w:rFonts w:eastAsia="+mn-ea" w:cs="Arial"/>
                <w:color w:val="000000"/>
                <w:szCs w:val="20"/>
              </w:rPr>
              <w:t xml:space="preserve"> výsledků v roce 2013 vyplývá, že produkce Zlínského kraje vzrostla proti roku 2012 o 6,9 % a proti roku 2009 vzrostla o</w:t>
            </w:r>
            <w:r>
              <w:rPr>
                <w:rFonts w:eastAsia="+mn-ea" w:cs="Arial"/>
                <w:color w:val="000000"/>
                <w:szCs w:val="20"/>
              </w:rPr>
              <w:t> </w:t>
            </w:r>
            <w:r w:rsidRPr="00724527">
              <w:rPr>
                <w:rFonts w:eastAsia="+mn-ea" w:cs="Arial"/>
                <w:color w:val="000000"/>
                <w:szCs w:val="20"/>
              </w:rPr>
              <w:t>37,6 %. Z celkové produkce zemědělství ČR tvořila zlínská produkce v roce 2013 4,4 % a po krajích Karlovarském a Libereckém byla opět třetí nejnižší. Naopak nejvyšší měli v Hlavním městě Praha spolu se Středočeským krajem a v Jihomoravském kraji. Na celkové produkci v kraji se podílela rostlinná produkce 53,4 %, živočišná 42,8 % a produkce zemědělských služeb 1,4 %.</w:t>
            </w:r>
          </w:p>
        </w:tc>
      </w:tr>
      <w:tr w:rsidR="008A6FE9" w:rsidRPr="00BB2552" w:rsidTr="008B5006">
        <w:tc>
          <w:tcPr>
            <w:tcW w:w="2474" w:type="dxa"/>
          </w:tcPr>
          <w:p w:rsidR="008A6FE9" w:rsidRPr="00BB2552" w:rsidRDefault="00B85BEF" w:rsidP="00CC03EA">
            <w:pPr>
              <w:pStyle w:val="text"/>
              <w:jc w:val="left"/>
              <w:rPr>
                <w:b/>
                <w:bCs/>
                <w:i/>
                <w:iCs/>
                <w:highlight w:val="yellow"/>
              </w:rPr>
            </w:pPr>
            <w:r w:rsidRPr="006647D3">
              <w:rPr>
                <w:b/>
                <w:i/>
                <w:szCs w:val="20"/>
              </w:rPr>
              <w:t>Snižování osevních ploch celkem se zastavil</w:t>
            </w:r>
            <w:r>
              <w:rPr>
                <w:b/>
                <w:i/>
                <w:szCs w:val="20"/>
              </w:rPr>
              <w:t>o</w:t>
            </w:r>
          </w:p>
        </w:tc>
        <w:tc>
          <w:tcPr>
            <w:tcW w:w="7094" w:type="dxa"/>
            <w:gridSpan w:val="2"/>
          </w:tcPr>
          <w:p w:rsidR="00B85BEF" w:rsidRPr="002A53D0" w:rsidRDefault="00B85BEF" w:rsidP="00B85BEF">
            <w:pPr>
              <w:pStyle w:val="Default"/>
              <w:spacing w:before="60" w:after="60"/>
              <w:jc w:val="both"/>
              <w:rPr>
                <w:color w:val="auto"/>
                <w:sz w:val="20"/>
                <w:szCs w:val="20"/>
                <w:highlight w:val="yellow"/>
              </w:rPr>
            </w:pPr>
            <w:r w:rsidRPr="00E25159">
              <w:rPr>
                <w:color w:val="auto"/>
                <w:sz w:val="20"/>
                <w:szCs w:val="20"/>
              </w:rPr>
              <w:t>Pro zemědělství v kraji byl charakteristický trend snižování zemědělské půdy. V roce 2014 její velikost činila 192 967 ha a v celém pětiletém období došlo ke snížení o necelé jedno procento. Orná půda v roce 2014 tvořila 63,0 % a</w:t>
            </w:r>
            <w:r w:rsidR="001744B4">
              <w:rPr>
                <w:color w:val="auto"/>
                <w:sz w:val="20"/>
                <w:szCs w:val="20"/>
              </w:rPr>
              <w:t> </w:t>
            </w:r>
            <w:r w:rsidRPr="00E25159">
              <w:rPr>
                <w:color w:val="auto"/>
                <w:sz w:val="20"/>
                <w:szCs w:val="20"/>
              </w:rPr>
              <w:t xml:space="preserve">oproti roku 2009 se snížila o 2,3 </w:t>
            </w:r>
            <w:r w:rsidRPr="00667071">
              <w:rPr>
                <w:color w:val="auto"/>
                <w:sz w:val="20"/>
                <w:szCs w:val="20"/>
              </w:rPr>
              <w:t>%. Naopak nezemědělská půda se od počátku sledovaného období zvětšila</w:t>
            </w:r>
            <w:r>
              <w:rPr>
                <w:color w:val="auto"/>
                <w:sz w:val="20"/>
                <w:szCs w:val="20"/>
              </w:rPr>
              <w:t xml:space="preserve">, a to </w:t>
            </w:r>
            <w:r w:rsidRPr="00667071">
              <w:rPr>
                <w:color w:val="auto"/>
                <w:sz w:val="20"/>
                <w:szCs w:val="20"/>
              </w:rPr>
              <w:t xml:space="preserve">o necelé jedno procento.    </w:t>
            </w:r>
          </w:p>
          <w:p w:rsidR="00B85BEF" w:rsidRPr="004E6AE5" w:rsidRDefault="00B85BEF" w:rsidP="00B85BEF">
            <w:pPr>
              <w:pStyle w:val="Default"/>
              <w:spacing w:before="60" w:after="60"/>
              <w:jc w:val="both"/>
              <w:rPr>
                <w:color w:val="auto"/>
                <w:sz w:val="20"/>
                <w:szCs w:val="20"/>
              </w:rPr>
            </w:pPr>
            <w:r w:rsidRPr="006647D3">
              <w:rPr>
                <w:color w:val="auto"/>
                <w:sz w:val="20"/>
                <w:szCs w:val="20"/>
              </w:rPr>
              <w:t xml:space="preserve">V dlouhodobém horizontu se celkové osevní plochy v kraji snižovaly. Ve </w:t>
            </w:r>
            <w:proofErr w:type="gramStart"/>
            <w:r w:rsidRPr="006647D3">
              <w:rPr>
                <w:color w:val="auto"/>
                <w:sz w:val="20"/>
                <w:szCs w:val="20"/>
              </w:rPr>
              <w:t>sledovaném 5-</w:t>
            </w:r>
            <w:proofErr w:type="spellStart"/>
            <w:r w:rsidRPr="006647D3">
              <w:rPr>
                <w:color w:val="auto"/>
                <w:sz w:val="20"/>
                <w:szCs w:val="20"/>
              </w:rPr>
              <w:t>letém</w:t>
            </w:r>
            <w:proofErr w:type="spellEnd"/>
            <w:proofErr w:type="gramEnd"/>
            <w:r w:rsidRPr="006647D3">
              <w:rPr>
                <w:color w:val="auto"/>
                <w:sz w:val="20"/>
                <w:szCs w:val="20"/>
              </w:rPr>
              <w:t xml:space="preserve"> období se toto snížení takřka neprojevilo, protože stav osevní plochy v roce 2014 se snížil na úroveň osevní plochy v roce 2009. </w:t>
            </w:r>
            <w:r w:rsidRPr="004E6AE5">
              <w:rPr>
                <w:color w:val="auto"/>
                <w:sz w:val="20"/>
                <w:szCs w:val="20"/>
              </w:rPr>
              <w:t>Snížení 32,5 % bylo zaznamenáno u osevních ploch brambor</w:t>
            </w:r>
            <w:r>
              <w:rPr>
                <w:color w:val="auto"/>
                <w:sz w:val="20"/>
                <w:szCs w:val="20"/>
              </w:rPr>
              <w:t xml:space="preserve"> a</w:t>
            </w:r>
            <w:r w:rsidRPr="00803A41">
              <w:rPr>
                <w:color w:val="auto"/>
                <w:sz w:val="20"/>
                <w:szCs w:val="20"/>
              </w:rPr>
              <w:t xml:space="preserve"> dále pak </w:t>
            </w:r>
            <w:r>
              <w:rPr>
                <w:color w:val="auto"/>
                <w:sz w:val="20"/>
                <w:szCs w:val="20"/>
              </w:rPr>
              <w:t>u</w:t>
            </w:r>
            <w:r w:rsidR="001744B4">
              <w:rPr>
                <w:color w:val="auto"/>
                <w:sz w:val="20"/>
                <w:szCs w:val="20"/>
              </w:rPr>
              <w:t> </w:t>
            </w:r>
            <w:r w:rsidRPr="00803A41">
              <w:rPr>
                <w:color w:val="auto"/>
                <w:sz w:val="20"/>
                <w:szCs w:val="20"/>
              </w:rPr>
              <w:t xml:space="preserve">obilovin o 4,6 </w:t>
            </w:r>
            <w:r>
              <w:rPr>
                <w:color w:val="auto"/>
                <w:sz w:val="20"/>
                <w:szCs w:val="20"/>
              </w:rPr>
              <w:t xml:space="preserve">%. </w:t>
            </w:r>
            <w:r w:rsidRPr="004E6AE5">
              <w:rPr>
                <w:color w:val="auto"/>
                <w:sz w:val="20"/>
                <w:szCs w:val="20"/>
              </w:rPr>
              <w:t xml:space="preserve">Naopak nárůst byl zaznamenán u osevních ploch luskovin a to o 1,6 </w:t>
            </w:r>
            <w:r w:rsidRPr="00803A41">
              <w:rPr>
                <w:color w:val="auto"/>
                <w:sz w:val="20"/>
                <w:szCs w:val="20"/>
              </w:rPr>
              <w:t xml:space="preserve">%, řepky o 22,4 % a u cukrovky technické o 65,9 %. </w:t>
            </w:r>
            <w:r w:rsidRPr="004E6AE5">
              <w:rPr>
                <w:color w:val="auto"/>
                <w:sz w:val="20"/>
                <w:szCs w:val="20"/>
              </w:rPr>
              <w:t>Osevní plochy olejnin v roce 2014 zůstaly na úrovni roku 2009.</w:t>
            </w:r>
          </w:p>
          <w:p w:rsidR="008A6FE9" w:rsidRDefault="00B85BEF" w:rsidP="00B85BEF">
            <w:pPr>
              <w:pStyle w:val="text"/>
              <w:rPr>
                <w:szCs w:val="20"/>
              </w:rPr>
            </w:pPr>
            <w:r w:rsidRPr="006E70BA">
              <w:rPr>
                <w:szCs w:val="20"/>
              </w:rPr>
              <w:t xml:space="preserve">Z šetření osevů v roce 2014 bylo ve Zlínském kraji zjištěno, že z jednotlivých skupin plodin patřil největší podíl obilovinám (57,5 %), dále olejninám (18,9 %) </w:t>
            </w:r>
            <w:r w:rsidRPr="00807934">
              <w:rPr>
                <w:szCs w:val="20"/>
              </w:rPr>
              <w:t>a pícninám na orné půdě (19,1 %). Z obilovin největší podíl připadl na pšenici (61,4 %) a z olejnin na řepku (82,8 %).</w:t>
            </w:r>
          </w:p>
          <w:p w:rsidR="00901E08" w:rsidRDefault="00901E08" w:rsidP="00B85BEF">
            <w:pPr>
              <w:pStyle w:val="text"/>
              <w:rPr>
                <w:highlight w:val="yellow"/>
              </w:rPr>
            </w:pPr>
          </w:p>
          <w:p w:rsidR="003A7671" w:rsidRDefault="003A7671" w:rsidP="00B85BEF">
            <w:pPr>
              <w:pStyle w:val="text"/>
              <w:rPr>
                <w:highlight w:val="yellow"/>
              </w:rPr>
            </w:pPr>
          </w:p>
          <w:p w:rsidR="003A7671" w:rsidRDefault="003A7671" w:rsidP="00B85BEF">
            <w:pPr>
              <w:pStyle w:val="text"/>
              <w:rPr>
                <w:highlight w:val="yellow"/>
              </w:rPr>
            </w:pPr>
          </w:p>
          <w:p w:rsidR="003A7671" w:rsidRPr="00BB2552" w:rsidRDefault="003A7671" w:rsidP="00B85BEF">
            <w:pPr>
              <w:pStyle w:val="text"/>
              <w:rPr>
                <w:highlight w:val="yellow"/>
              </w:rPr>
            </w:pPr>
          </w:p>
        </w:tc>
      </w:tr>
      <w:tr w:rsidR="008A6FE9" w:rsidRPr="00BB2552" w:rsidTr="008B5006">
        <w:tc>
          <w:tcPr>
            <w:tcW w:w="9568" w:type="dxa"/>
            <w:gridSpan w:val="3"/>
          </w:tcPr>
          <w:p w:rsidR="008A6FE9" w:rsidRPr="00BB2552" w:rsidRDefault="008A6FE9" w:rsidP="00A40B60">
            <w:pPr>
              <w:pStyle w:val="text"/>
              <w:jc w:val="left"/>
              <w:rPr>
                <w:highlight w:val="yellow"/>
              </w:rPr>
            </w:pPr>
            <w:r w:rsidRPr="00C62CEB">
              <w:rPr>
                <w:b/>
                <w:bCs/>
                <w:szCs w:val="20"/>
              </w:rPr>
              <w:lastRenderedPageBreak/>
              <w:t xml:space="preserve">Graf </w:t>
            </w:r>
            <w:r w:rsidR="00543DC1" w:rsidRPr="00C62CEB">
              <w:rPr>
                <w:b/>
                <w:bCs/>
                <w:szCs w:val="20"/>
              </w:rPr>
              <w:t>3.1</w:t>
            </w:r>
            <w:r w:rsidR="00A40B60">
              <w:rPr>
                <w:b/>
                <w:bCs/>
                <w:szCs w:val="20"/>
              </w:rPr>
              <w:t>7</w:t>
            </w:r>
            <w:r w:rsidR="00543DC1" w:rsidRPr="00C62CEB">
              <w:rPr>
                <w:b/>
                <w:bCs/>
                <w:szCs w:val="20"/>
              </w:rPr>
              <w:t xml:space="preserve"> </w:t>
            </w:r>
            <w:r w:rsidRPr="00C62CEB">
              <w:rPr>
                <w:b/>
                <w:bCs/>
                <w:szCs w:val="20"/>
              </w:rPr>
              <w:t>Sklizně, osevní plochy a hektarový výnos obilovin ve Zlínském kraji</w:t>
            </w:r>
          </w:p>
        </w:tc>
      </w:tr>
      <w:tr w:rsidR="008A6FE9" w:rsidRPr="00BB2552" w:rsidTr="008B5006">
        <w:trPr>
          <w:trHeight w:val="5155"/>
        </w:trPr>
        <w:tc>
          <w:tcPr>
            <w:tcW w:w="9568" w:type="dxa"/>
            <w:gridSpan w:val="3"/>
          </w:tcPr>
          <w:p w:rsidR="008A6FE9" w:rsidRPr="00BB2552" w:rsidRDefault="009956CB" w:rsidP="00530345">
            <w:pPr>
              <w:pStyle w:val="text"/>
              <w:rPr>
                <w:highlight w:val="yellow"/>
              </w:rPr>
            </w:pPr>
            <w:r>
              <w:pict>
                <v:shape id="_x0000_i1099" type="#_x0000_t75" style="width:471pt;height:123pt">
                  <v:imagedata r:id="rId92" o:title=""/>
                </v:shape>
              </w:pict>
            </w:r>
          </w:p>
          <w:p w:rsidR="001474CD" w:rsidRPr="00BB2552" w:rsidRDefault="001474CD" w:rsidP="00530345">
            <w:pPr>
              <w:pStyle w:val="text"/>
              <w:rPr>
                <w:sz w:val="10"/>
                <w:szCs w:val="10"/>
                <w:highlight w:val="yellow"/>
              </w:rPr>
            </w:pPr>
          </w:p>
          <w:p w:rsidR="001474CD" w:rsidRPr="00BB2552" w:rsidRDefault="009956CB" w:rsidP="00530345">
            <w:pPr>
              <w:pStyle w:val="text"/>
              <w:rPr>
                <w:highlight w:val="yellow"/>
              </w:rPr>
            </w:pPr>
            <w:r>
              <w:pict>
                <v:shape id="_x0000_i1100" type="#_x0000_t75" style="width:471pt;height:132.75pt">
                  <v:imagedata r:id="rId93" o:title=""/>
                </v:shape>
              </w:pict>
            </w:r>
          </w:p>
        </w:tc>
      </w:tr>
      <w:tr w:rsidR="008A6FE9" w:rsidTr="008B5006">
        <w:tc>
          <w:tcPr>
            <w:tcW w:w="2474" w:type="dxa"/>
          </w:tcPr>
          <w:p w:rsidR="008A6FE9" w:rsidRPr="00BB2552" w:rsidRDefault="00C62CEB" w:rsidP="007B740D">
            <w:pPr>
              <w:pStyle w:val="text"/>
              <w:jc w:val="left"/>
              <w:rPr>
                <w:b/>
                <w:bCs/>
                <w:i/>
                <w:iCs/>
                <w:highlight w:val="yellow"/>
              </w:rPr>
            </w:pPr>
            <w:r w:rsidRPr="00D82F77">
              <w:rPr>
                <w:b/>
                <w:i/>
                <w:szCs w:val="20"/>
              </w:rPr>
              <w:t>Oproti roku 2009 se zvedla sklizeň brambor o 30,1 %</w:t>
            </w:r>
          </w:p>
        </w:tc>
        <w:tc>
          <w:tcPr>
            <w:tcW w:w="7094" w:type="dxa"/>
            <w:gridSpan w:val="2"/>
          </w:tcPr>
          <w:p w:rsidR="008A6FE9" w:rsidRPr="00BB2552" w:rsidRDefault="00C62CEB" w:rsidP="00C62CEB">
            <w:pPr>
              <w:pStyle w:val="Default"/>
              <w:spacing w:before="60" w:after="60"/>
              <w:jc w:val="both"/>
              <w:rPr>
                <w:highlight w:val="yellow"/>
              </w:rPr>
            </w:pPr>
            <w:r w:rsidRPr="000E2E3B">
              <w:rPr>
                <w:color w:val="auto"/>
                <w:sz w:val="20"/>
                <w:szCs w:val="20"/>
              </w:rPr>
              <w:t>Přestože se osevní plochy obilovin v roce 2014 oproti roku 2009 v kraji snížily, tak došlo k nárůstu sklizně o 9,7 %. V loňském roce bylo sklizeno 357 tis. t obilí, což je o 47 tis. t obilí více, než v roce 2013</w:t>
            </w:r>
            <w:r>
              <w:rPr>
                <w:color w:val="auto"/>
                <w:sz w:val="20"/>
                <w:szCs w:val="20"/>
              </w:rPr>
              <w:t xml:space="preserve"> a o 32 tis. t obilí než v roce 2009.</w:t>
            </w:r>
            <w:r w:rsidRPr="00C62CEB">
              <w:rPr>
                <w:color w:val="auto"/>
                <w:sz w:val="20"/>
                <w:szCs w:val="20"/>
              </w:rPr>
              <w:t xml:space="preserve"> </w:t>
            </w:r>
            <w:r w:rsidRPr="00BC7F15">
              <w:rPr>
                <w:color w:val="auto"/>
                <w:sz w:val="20"/>
                <w:szCs w:val="20"/>
              </w:rPr>
              <w:t xml:space="preserve">Výnosy v roce 2014 vzrostly na 6,61 t/ha, což </w:t>
            </w:r>
            <w:r>
              <w:rPr>
                <w:color w:val="auto"/>
                <w:sz w:val="20"/>
                <w:szCs w:val="20"/>
              </w:rPr>
              <w:t>bylo</w:t>
            </w:r>
            <w:r w:rsidRPr="00BC7F15">
              <w:rPr>
                <w:color w:val="auto"/>
                <w:sz w:val="20"/>
                <w:szCs w:val="20"/>
              </w:rPr>
              <w:t xml:space="preserve"> </w:t>
            </w:r>
            <w:r>
              <w:rPr>
                <w:color w:val="auto"/>
                <w:sz w:val="20"/>
                <w:szCs w:val="20"/>
              </w:rPr>
              <w:t xml:space="preserve">ve sledovaném období </w:t>
            </w:r>
            <w:r w:rsidRPr="00BC7F15">
              <w:rPr>
                <w:color w:val="auto"/>
                <w:sz w:val="20"/>
                <w:szCs w:val="20"/>
              </w:rPr>
              <w:t>o 18 % více</w:t>
            </w:r>
            <w:r w:rsidRPr="00161CEC">
              <w:rPr>
                <w:color w:val="auto"/>
                <w:sz w:val="20"/>
                <w:szCs w:val="20"/>
              </w:rPr>
              <w:t xml:space="preserve">. Z obilovin v roce 2014 bylo sklizeno nejvíce pšenice a to 223 tis. </w:t>
            </w:r>
            <w:proofErr w:type="spellStart"/>
            <w:r w:rsidRPr="00161CEC">
              <w:rPr>
                <w:color w:val="auto"/>
                <w:sz w:val="20"/>
                <w:szCs w:val="20"/>
              </w:rPr>
              <w:t>t</w:t>
            </w:r>
            <w:proofErr w:type="spellEnd"/>
            <w:r w:rsidRPr="00161CEC">
              <w:rPr>
                <w:color w:val="auto"/>
                <w:sz w:val="20"/>
                <w:szCs w:val="20"/>
              </w:rPr>
              <w:t>. a její výnos byl v celém pětiletém období</w:t>
            </w:r>
            <w:r>
              <w:rPr>
                <w:color w:val="auto"/>
                <w:sz w:val="20"/>
                <w:szCs w:val="20"/>
              </w:rPr>
              <w:t xml:space="preserve"> </w:t>
            </w:r>
            <w:r w:rsidRPr="00161CEC">
              <w:rPr>
                <w:color w:val="auto"/>
                <w:sz w:val="20"/>
                <w:szCs w:val="20"/>
              </w:rPr>
              <w:t xml:space="preserve">nejvyšší. </w:t>
            </w:r>
            <w:r>
              <w:rPr>
                <w:color w:val="auto"/>
                <w:sz w:val="20"/>
                <w:szCs w:val="20"/>
              </w:rPr>
              <w:t xml:space="preserve">V loni taktéž se dařilo luskovinám. Sklizeno jich bylo 1 385 t, což bylo opět nejvíce za pět let (nárůst o 13,6 %). </w:t>
            </w:r>
            <w:r w:rsidRPr="00F51B35">
              <w:rPr>
                <w:color w:val="auto"/>
                <w:sz w:val="20"/>
                <w:szCs w:val="20"/>
              </w:rPr>
              <w:t>V roce 2013 byla nejnižší sklizeň brambor od roku 2000. Loni se sice zvýšila o 30,1 %, ovšem ani to nestačilo a za sledované období klesla bezmála o 27 %.</w:t>
            </w:r>
            <w:r>
              <w:rPr>
                <w:color w:val="auto"/>
                <w:sz w:val="20"/>
                <w:szCs w:val="20"/>
              </w:rPr>
              <w:t xml:space="preserve"> Naopak výnos brambor byl vyšší o 8,41 %. Velmi se dařilo řepce</w:t>
            </w:r>
            <w:r w:rsidRPr="00C62CEB">
              <w:rPr>
                <w:color w:val="auto"/>
                <w:sz w:val="20"/>
                <w:szCs w:val="20"/>
              </w:rPr>
              <w:t>, s</w:t>
            </w:r>
            <w:r w:rsidRPr="00B01144">
              <w:rPr>
                <w:color w:val="auto"/>
                <w:sz w:val="20"/>
                <w:szCs w:val="20"/>
              </w:rPr>
              <w:t xml:space="preserve">klizeno bylo o 51,1 % více než v roce 2009 a výnos byl v loni za celé období nejvyšší (nárůst o 23,5 %). </w:t>
            </w:r>
          </w:p>
        </w:tc>
      </w:tr>
      <w:tr w:rsidR="009706E0" w:rsidTr="00D951BA">
        <w:tc>
          <w:tcPr>
            <w:tcW w:w="4924" w:type="dxa"/>
            <w:gridSpan w:val="2"/>
          </w:tcPr>
          <w:p w:rsidR="009706E0" w:rsidRPr="00C62CEB" w:rsidRDefault="009706E0" w:rsidP="00A40B60">
            <w:pPr>
              <w:pStyle w:val="text"/>
              <w:jc w:val="left"/>
            </w:pPr>
            <w:r w:rsidRPr="00C62CEB">
              <w:rPr>
                <w:b/>
                <w:bCs/>
                <w:szCs w:val="20"/>
              </w:rPr>
              <w:t xml:space="preserve">Graf </w:t>
            </w:r>
            <w:r w:rsidR="00543DC1" w:rsidRPr="00C62CEB">
              <w:rPr>
                <w:b/>
                <w:bCs/>
                <w:szCs w:val="20"/>
              </w:rPr>
              <w:t>3.1</w:t>
            </w:r>
            <w:r w:rsidR="00A40B60">
              <w:rPr>
                <w:b/>
                <w:bCs/>
                <w:szCs w:val="20"/>
              </w:rPr>
              <w:t>8</w:t>
            </w:r>
            <w:r w:rsidR="00543DC1" w:rsidRPr="00C62CEB">
              <w:rPr>
                <w:b/>
                <w:bCs/>
                <w:szCs w:val="20"/>
              </w:rPr>
              <w:t xml:space="preserve"> </w:t>
            </w:r>
            <w:r w:rsidRPr="00C62CEB">
              <w:rPr>
                <w:b/>
                <w:bCs/>
                <w:szCs w:val="20"/>
              </w:rPr>
              <w:t>Obiloviny celkem</w:t>
            </w:r>
          </w:p>
        </w:tc>
        <w:tc>
          <w:tcPr>
            <w:tcW w:w="4644" w:type="dxa"/>
          </w:tcPr>
          <w:p w:rsidR="009706E0" w:rsidRPr="00C62CEB" w:rsidRDefault="009706E0" w:rsidP="00A40B60">
            <w:pPr>
              <w:pStyle w:val="text"/>
              <w:jc w:val="left"/>
            </w:pPr>
            <w:r w:rsidRPr="00C62CEB">
              <w:rPr>
                <w:b/>
                <w:bCs/>
                <w:szCs w:val="20"/>
              </w:rPr>
              <w:t xml:space="preserve">Graf </w:t>
            </w:r>
            <w:r w:rsidR="00543DC1" w:rsidRPr="00C62CEB">
              <w:rPr>
                <w:b/>
                <w:bCs/>
                <w:szCs w:val="20"/>
              </w:rPr>
              <w:t>3.</w:t>
            </w:r>
            <w:r w:rsidR="00A40B60">
              <w:rPr>
                <w:b/>
                <w:bCs/>
                <w:szCs w:val="20"/>
              </w:rPr>
              <w:t>19</w:t>
            </w:r>
            <w:r w:rsidR="00543DC1" w:rsidRPr="00C62CEB">
              <w:rPr>
                <w:b/>
                <w:bCs/>
                <w:szCs w:val="20"/>
              </w:rPr>
              <w:t xml:space="preserve"> </w:t>
            </w:r>
            <w:r w:rsidRPr="00C62CEB">
              <w:rPr>
                <w:b/>
                <w:bCs/>
                <w:szCs w:val="20"/>
              </w:rPr>
              <w:t>Řepka</w:t>
            </w:r>
          </w:p>
        </w:tc>
      </w:tr>
      <w:tr w:rsidR="009706E0" w:rsidTr="00D951BA">
        <w:tc>
          <w:tcPr>
            <w:tcW w:w="4924" w:type="dxa"/>
            <w:gridSpan w:val="2"/>
          </w:tcPr>
          <w:p w:rsidR="009706E0" w:rsidRPr="00BB2552" w:rsidRDefault="009956CB" w:rsidP="008B5006">
            <w:pPr>
              <w:pStyle w:val="text"/>
              <w:jc w:val="center"/>
              <w:rPr>
                <w:highlight w:val="yellow"/>
              </w:rPr>
            </w:pPr>
            <w:r>
              <w:pict>
                <v:shape id="_x0000_i1101" type="#_x0000_t75" style="width:239.25pt;height:177.75pt">
                  <v:imagedata r:id="rId94" o:title=""/>
                </v:shape>
              </w:pict>
            </w:r>
          </w:p>
        </w:tc>
        <w:tc>
          <w:tcPr>
            <w:tcW w:w="4644" w:type="dxa"/>
          </w:tcPr>
          <w:p w:rsidR="009706E0" w:rsidRPr="00BB2552" w:rsidRDefault="009956CB" w:rsidP="008B5006">
            <w:pPr>
              <w:pStyle w:val="text"/>
              <w:jc w:val="center"/>
              <w:rPr>
                <w:highlight w:val="yellow"/>
              </w:rPr>
            </w:pPr>
            <w:r>
              <w:pict>
                <v:shape id="_x0000_i1102" type="#_x0000_t75" style="width:225pt;height:169.5pt">
                  <v:imagedata r:id="rId95" o:title=""/>
                </v:shape>
              </w:pict>
            </w:r>
          </w:p>
        </w:tc>
      </w:tr>
      <w:tr w:rsidR="008A6FE9" w:rsidRPr="00BB2552" w:rsidTr="008B5006">
        <w:tc>
          <w:tcPr>
            <w:tcW w:w="2474" w:type="dxa"/>
          </w:tcPr>
          <w:p w:rsidR="008A6FE9" w:rsidRPr="00BB2552" w:rsidRDefault="005C5117" w:rsidP="008A6FE9">
            <w:pPr>
              <w:pStyle w:val="text"/>
              <w:jc w:val="left"/>
              <w:rPr>
                <w:b/>
                <w:bCs/>
                <w:i/>
                <w:iCs/>
                <w:highlight w:val="yellow"/>
              </w:rPr>
            </w:pPr>
            <w:r>
              <w:rPr>
                <w:b/>
                <w:i/>
                <w:szCs w:val="20"/>
              </w:rPr>
              <w:t xml:space="preserve">V pětiletém období </w:t>
            </w:r>
            <w:r w:rsidRPr="005C74DC">
              <w:rPr>
                <w:b/>
                <w:i/>
                <w:szCs w:val="20"/>
              </w:rPr>
              <w:t>došlo k nárůstu počtu prasat o 106,0 %</w:t>
            </w:r>
          </w:p>
        </w:tc>
        <w:tc>
          <w:tcPr>
            <w:tcW w:w="7094" w:type="dxa"/>
            <w:gridSpan w:val="2"/>
          </w:tcPr>
          <w:p w:rsidR="003C7958" w:rsidRDefault="003C7958" w:rsidP="005C5117">
            <w:pPr>
              <w:pStyle w:val="Default"/>
              <w:spacing w:before="60" w:after="60"/>
              <w:jc w:val="both"/>
              <w:rPr>
                <w:color w:val="auto"/>
                <w:sz w:val="20"/>
                <w:szCs w:val="20"/>
              </w:rPr>
            </w:pPr>
            <w:r w:rsidRPr="003C7958">
              <w:rPr>
                <w:color w:val="auto"/>
                <w:sz w:val="20"/>
                <w:szCs w:val="20"/>
              </w:rPr>
              <w:t>Ze soupisů hospodářských zvířat, které jsou prováděny každoročně k 1. 4., vyplývá, že snižování stavů, které bylo v posledních letech, se v roce 2014 zastavil</w:t>
            </w:r>
            <w:r w:rsidR="00503DB3">
              <w:rPr>
                <w:color w:val="auto"/>
                <w:sz w:val="20"/>
                <w:szCs w:val="20"/>
              </w:rPr>
              <w:t>o</w:t>
            </w:r>
            <w:r w:rsidRPr="003C7958">
              <w:rPr>
                <w:color w:val="auto"/>
                <w:sz w:val="20"/>
                <w:szCs w:val="20"/>
              </w:rPr>
              <w:t>. Stav skotu byl v roce 2014 nejvyšší. Celkově za pětileté období došlo k nárůstu o 5,2 %. V roce 2014 se v kraji chovalo přes 60 tis. kusů skotu a</w:t>
            </w:r>
            <w:r>
              <w:rPr>
                <w:color w:val="auto"/>
                <w:sz w:val="20"/>
                <w:szCs w:val="20"/>
              </w:rPr>
              <w:t> </w:t>
            </w:r>
            <w:r w:rsidRPr="003C7958">
              <w:rPr>
                <w:color w:val="auto"/>
                <w:sz w:val="20"/>
                <w:szCs w:val="20"/>
              </w:rPr>
              <w:t xml:space="preserve">jeho podíl činil 4,4 % z republikového celku. Stavy krav za toto období vzrostly o 2,2 %. Průměrný stav krav v roce 2014 činil ve Zlínském kraji 26,9 tis. kusů a meziročně se tak zvýšil o 632 kusů (o 2,4 %). Objem vyrobeného </w:t>
            </w:r>
            <w:r w:rsidRPr="003C7958">
              <w:rPr>
                <w:color w:val="auto"/>
                <w:sz w:val="20"/>
                <w:szCs w:val="20"/>
              </w:rPr>
              <w:lastRenderedPageBreak/>
              <w:t>mléka se zvýšil o 5,2 % na 152,2 mil. l. Průměrná denní dojivost v kraji se zvýšila z 21,95 l v roce 2013 na 22,59 l mléka v roce 2014. V loni se v kraji narodilo celkem 25,8 tis. telat, což bylo o 2,9 % více než v předchozím roce. Odchováno bylo 24,6 tis. telat (nárůst o 4,0 %). V přepočtu na 100 krav se v kraji narodilo 95,8 telat a bylo tak zaznamenáno meziroční zvýšení o 0,5 %. Nárůst byl zaznamenán také u odchovaných telat na 100 krav, a to o 1,5 % na 91,7 telat.</w:t>
            </w:r>
          </w:p>
          <w:p w:rsidR="005C5117" w:rsidRDefault="005C5117" w:rsidP="005C5117">
            <w:pPr>
              <w:pStyle w:val="Default"/>
              <w:spacing w:before="60" w:after="60"/>
              <w:jc w:val="both"/>
              <w:rPr>
                <w:color w:val="auto"/>
                <w:sz w:val="20"/>
                <w:szCs w:val="20"/>
              </w:rPr>
            </w:pPr>
            <w:r w:rsidRPr="00A05180">
              <w:rPr>
                <w:color w:val="auto"/>
                <w:sz w:val="20"/>
                <w:szCs w:val="20"/>
              </w:rPr>
              <w:t>Nejvýrazněji se během posledních let snižovaly počty drůbeže. V roce 2011 byl jejich stav nejnižší. Od roku 2012 se každým rokem počet drůbeže zvyšuje. Přesto během pětiletého sledovaného období jejich počet klesl o 5,6 %</w:t>
            </w:r>
            <w:r>
              <w:rPr>
                <w:color w:val="auto"/>
                <w:sz w:val="20"/>
                <w:szCs w:val="20"/>
              </w:rPr>
              <w:t>.</w:t>
            </w:r>
            <w:r w:rsidRPr="00A05180">
              <w:rPr>
                <w:color w:val="auto"/>
                <w:sz w:val="20"/>
                <w:szCs w:val="20"/>
              </w:rPr>
              <w:t xml:space="preserve">  </w:t>
            </w:r>
            <w:r w:rsidRPr="007E0ED9">
              <w:rPr>
                <w:color w:val="auto"/>
                <w:sz w:val="20"/>
                <w:szCs w:val="20"/>
              </w:rPr>
              <w:t>Stav drůbeže ve Zlínském kraji k 31. prosinci 2014 se proti srovnatelnému období předchozího roku zvýšil téměř o čtvrtinu, tj. o 148,7 tis. kusů (o 24,1 %) na 765,6 tis. kusů. Podíl kraje na celkovém stavu drůbeže v celé republice ke stejnému termínu meziročně vzrostl o 0,7 procentního bodu a dosáhl 3,6 %. V žebříčku republikových podílů mezi kraji se tak Zlínský kraj posunul z 9. místa v roce 2013 na 8. pozici v</w:t>
            </w:r>
            <w:r>
              <w:rPr>
                <w:color w:val="auto"/>
                <w:sz w:val="20"/>
                <w:szCs w:val="20"/>
              </w:rPr>
              <w:t> </w:t>
            </w:r>
            <w:r w:rsidRPr="007E0ED9">
              <w:rPr>
                <w:color w:val="auto"/>
                <w:sz w:val="20"/>
                <w:szCs w:val="20"/>
              </w:rPr>
              <w:t>roce</w:t>
            </w:r>
            <w:r>
              <w:rPr>
                <w:color w:val="auto"/>
                <w:sz w:val="20"/>
                <w:szCs w:val="20"/>
              </w:rPr>
              <w:t xml:space="preserve"> 2014.</w:t>
            </w:r>
          </w:p>
          <w:p w:rsidR="005C5117" w:rsidRPr="002A53D0" w:rsidRDefault="005C5117" w:rsidP="005C5117">
            <w:pPr>
              <w:pStyle w:val="Default"/>
              <w:spacing w:before="60" w:after="60"/>
              <w:jc w:val="both"/>
              <w:rPr>
                <w:color w:val="auto"/>
                <w:sz w:val="20"/>
                <w:szCs w:val="20"/>
                <w:highlight w:val="yellow"/>
              </w:rPr>
            </w:pPr>
            <w:r>
              <w:rPr>
                <w:color w:val="auto"/>
                <w:sz w:val="20"/>
                <w:szCs w:val="20"/>
              </w:rPr>
              <w:t xml:space="preserve">Stav prasat v roce 2009 byl nejmenší od roku 2000 a dosáhl počtu 54,5 tis. </w:t>
            </w:r>
            <w:r w:rsidRPr="001F2D8D">
              <w:rPr>
                <w:color w:val="auto"/>
                <w:sz w:val="20"/>
                <w:szCs w:val="20"/>
              </w:rPr>
              <w:t>V roce 2010 se stav prasat v kraji sice zvýšil na 75 tisíc, ale v roce 2011 a 2012 byl opět zaznamenán pokles na konečných 59,5 tis. kusů. V roce 2013 došlo k výraznému přírůstku. Stavy prasat se meziročně takřka zdvojnásobily.</w:t>
            </w:r>
            <w:r>
              <w:rPr>
                <w:color w:val="auto"/>
                <w:sz w:val="20"/>
                <w:szCs w:val="20"/>
              </w:rPr>
              <w:t xml:space="preserve"> V loňském roce došlo opět ke snížení (meziroční pokles </w:t>
            </w:r>
            <w:r w:rsidRPr="001F2D8D">
              <w:rPr>
                <w:color w:val="auto"/>
                <w:sz w:val="20"/>
                <w:szCs w:val="20"/>
              </w:rPr>
              <w:t>o 10,2 tis. kusů tj. o 9,8 %)</w:t>
            </w:r>
            <w:r>
              <w:rPr>
                <w:color w:val="auto"/>
                <w:sz w:val="20"/>
                <w:szCs w:val="20"/>
              </w:rPr>
              <w:t xml:space="preserve">. </w:t>
            </w:r>
            <w:r w:rsidRPr="004E358E">
              <w:rPr>
                <w:color w:val="auto"/>
                <w:sz w:val="20"/>
                <w:szCs w:val="20"/>
              </w:rPr>
              <w:t>Tento pokles byl mezi kraji nejvýraznější. V kraji se chovalo 94,1 tis. kusů prasat, což je 5,9 % z chovu v celé republice.</w:t>
            </w:r>
            <w:r>
              <w:rPr>
                <w:color w:val="auto"/>
                <w:sz w:val="20"/>
                <w:szCs w:val="20"/>
              </w:rPr>
              <w:t xml:space="preserve"> Ve sledovaném pětiletém období došlo k nárůstu počtu prasat o 106,0 %. </w:t>
            </w:r>
          </w:p>
          <w:p w:rsidR="005C5117" w:rsidRPr="00747616" w:rsidRDefault="005C5117" w:rsidP="005C5117">
            <w:pPr>
              <w:pStyle w:val="Default"/>
              <w:spacing w:before="60" w:after="60"/>
              <w:jc w:val="both"/>
              <w:rPr>
                <w:color w:val="auto"/>
                <w:sz w:val="20"/>
                <w:szCs w:val="20"/>
              </w:rPr>
            </w:pPr>
            <w:r w:rsidRPr="00747616">
              <w:rPr>
                <w:color w:val="auto"/>
                <w:sz w:val="20"/>
                <w:szCs w:val="20"/>
              </w:rPr>
              <w:t xml:space="preserve">Počty koní a hříbat byly během sledovaných pěti let velmi kolísavé. V roce 2012 byl jejich počet nejvyšší (2 072). </w:t>
            </w:r>
            <w:r>
              <w:rPr>
                <w:color w:val="auto"/>
                <w:sz w:val="20"/>
                <w:szCs w:val="20"/>
              </w:rPr>
              <w:t xml:space="preserve">V dalších letech </w:t>
            </w:r>
            <w:r w:rsidRPr="00747616">
              <w:rPr>
                <w:color w:val="auto"/>
                <w:sz w:val="20"/>
                <w:szCs w:val="20"/>
              </w:rPr>
              <w:t>už docházelo jen k jejich snižování. V roce 2014 bylo v kraji 1 657 koní a hříbat (meziroční snížení o</w:t>
            </w:r>
            <w:r>
              <w:rPr>
                <w:color w:val="auto"/>
                <w:sz w:val="20"/>
                <w:szCs w:val="20"/>
              </w:rPr>
              <w:t> </w:t>
            </w:r>
            <w:r w:rsidRPr="00747616">
              <w:rPr>
                <w:color w:val="auto"/>
                <w:sz w:val="20"/>
                <w:szCs w:val="20"/>
              </w:rPr>
              <w:t>6,6</w:t>
            </w:r>
            <w:r>
              <w:rPr>
                <w:color w:val="auto"/>
                <w:sz w:val="20"/>
                <w:szCs w:val="20"/>
              </w:rPr>
              <w:t> </w:t>
            </w:r>
            <w:r w:rsidRPr="00747616">
              <w:rPr>
                <w:color w:val="auto"/>
                <w:sz w:val="20"/>
                <w:szCs w:val="20"/>
              </w:rPr>
              <w:t xml:space="preserve">%). Přesto se celkově jejich stavy za hodnocené období zvýšily o 3,7 %. Republikový podíl na počtu koní byl mezi kraji pátým nejnižším a dosáhl 5,6 %. </w:t>
            </w:r>
          </w:p>
          <w:p w:rsidR="005C5117" w:rsidRPr="001F32C1" w:rsidRDefault="005C5117" w:rsidP="005C5117">
            <w:pPr>
              <w:pStyle w:val="Default"/>
              <w:spacing w:before="60" w:after="60"/>
              <w:jc w:val="both"/>
              <w:rPr>
                <w:color w:val="auto"/>
                <w:sz w:val="20"/>
                <w:szCs w:val="20"/>
              </w:rPr>
            </w:pPr>
            <w:r w:rsidRPr="001F32C1">
              <w:rPr>
                <w:color w:val="auto"/>
                <w:sz w:val="20"/>
                <w:szCs w:val="20"/>
              </w:rPr>
              <w:t>Počet ovcí a beranů od roku 2009 až do roku 2013 byl neustále na vzestupu. Loni došlo k jejich mírnému snížení o 61 kusů tj. o 0,3 %. Republikový podíl ovcí a beranů tak v roce 2014 dosáhl v kraji 9,8 %. Vyšší podíl ovcí a beranů byl v tomto roce zjištěn jen v Jihočeském kraji (podíl 12,9 %) a ve společně hodnocené Praze a Středočeském kraji (11,3 %). Za sledované období byl vypočten přírůstek ovcí a beranů o 18,2 %.</w:t>
            </w:r>
          </w:p>
          <w:p w:rsidR="00901E08" w:rsidRDefault="005C5117" w:rsidP="006B39BF">
            <w:pPr>
              <w:pStyle w:val="text"/>
              <w:rPr>
                <w:szCs w:val="20"/>
              </w:rPr>
            </w:pPr>
            <w:r w:rsidRPr="00890C67">
              <w:rPr>
                <w:szCs w:val="20"/>
              </w:rPr>
              <w:t xml:space="preserve">Výroba mléka, která má podle situace na trhu dlouhodobě výkyvy, byla v roce 2014 nejvyšší. Celkově ve sledovaném období vzrostla o 12,1 %. Průměrná roční dojivost krávy v litrech v jednotlivých letech stoupala. V roce 2014 činila 8 245,9 l a byla nejvyšší v ČR. </w:t>
            </w:r>
            <w:r w:rsidRPr="00CD6709">
              <w:rPr>
                <w:szCs w:val="20"/>
              </w:rPr>
              <w:t>Snáška konzumních vajec od roku 2010 v kraji neustále klesala (pokles o 30,8 %). V roce 2013 byla nejnižší. Dalším rokem stoupla o 4,3 % na 39 026 tis. kusů. Na celorepublikové úrovni se Zlínský kraj podílel 3,0 % a byl to sedmý nejnižší podíl mezi kraji.</w:t>
            </w:r>
          </w:p>
          <w:p w:rsidR="006B39BF" w:rsidRDefault="006B39BF"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Default="009D7C1D" w:rsidP="006B39BF">
            <w:pPr>
              <w:pStyle w:val="text"/>
              <w:rPr>
                <w:highlight w:val="yellow"/>
              </w:rPr>
            </w:pPr>
          </w:p>
          <w:p w:rsidR="009D7C1D" w:rsidRPr="00BB2552" w:rsidRDefault="009D7C1D" w:rsidP="006B39BF">
            <w:pPr>
              <w:pStyle w:val="text"/>
              <w:rPr>
                <w:highlight w:val="yellow"/>
              </w:rPr>
            </w:pPr>
          </w:p>
        </w:tc>
      </w:tr>
      <w:tr w:rsidR="00530345" w:rsidRPr="00BB2552" w:rsidTr="008B5006">
        <w:tc>
          <w:tcPr>
            <w:tcW w:w="9568" w:type="dxa"/>
            <w:gridSpan w:val="3"/>
          </w:tcPr>
          <w:p w:rsidR="00530345" w:rsidRPr="00BB2552" w:rsidRDefault="005C5117" w:rsidP="00A40B60">
            <w:pPr>
              <w:pStyle w:val="text"/>
              <w:jc w:val="left"/>
              <w:rPr>
                <w:highlight w:val="yellow"/>
              </w:rPr>
            </w:pPr>
            <w:r w:rsidRPr="00CA3E87">
              <w:rPr>
                <w:b/>
                <w:bCs/>
                <w:szCs w:val="20"/>
              </w:rPr>
              <w:lastRenderedPageBreak/>
              <w:t>Graf</w:t>
            </w:r>
            <w:r w:rsidR="006911B0">
              <w:rPr>
                <w:b/>
                <w:bCs/>
                <w:szCs w:val="20"/>
              </w:rPr>
              <w:t xml:space="preserve"> 3.2</w:t>
            </w:r>
            <w:r w:rsidR="00A40B60">
              <w:rPr>
                <w:b/>
                <w:bCs/>
                <w:szCs w:val="20"/>
              </w:rPr>
              <w:t>0</w:t>
            </w:r>
            <w:r w:rsidR="006911B0">
              <w:rPr>
                <w:b/>
                <w:bCs/>
                <w:szCs w:val="20"/>
              </w:rPr>
              <w:t xml:space="preserve"> </w:t>
            </w:r>
            <w:r w:rsidRPr="00CA3E87">
              <w:rPr>
                <w:b/>
                <w:bCs/>
                <w:szCs w:val="20"/>
              </w:rPr>
              <w:t>Výroba masa ve Zlínském kraji v letech 200</w:t>
            </w:r>
            <w:r>
              <w:rPr>
                <w:b/>
                <w:bCs/>
                <w:szCs w:val="20"/>
              </w:rPr>
              <w:t>7</w:t>
            </w:r>
            <w:r w:rsidRPr="00CA3E87">
              <w:rPr>
                <w:b/>
                <w:bCs/>
                <w:szCs w:val="20"/>
              </w:rPr>
              <w:t xml:space="preserve"> až 201</w:t>
            </w:r>
            <w:r>
              <w:rPr>
                <w:b/>
                <w:bCs/>
                <w:szCs w:val="20"/>
              </w:rPr>
              <w:t>4</w:t>
            </w:r>
          </w:p>
        </w:tc>
      </w:tr>
      <w:tr w:rsidR="008B5006" w:rsidRPr="00BB2552" w:rsidTr="008B5006">
        <w:tc>
          <w:tcPr>
            <w:tcW w:w="9568" w:type="dxa"/>
            <w:gridSpan w:val="3"/>
          </w:tcPr>
          <w:p w:rsidR="006B39BF" w:rsidRDefault="009956CB" w:rsidP="00CE3C9C">
            <w:pPr>
              <w:pStyle w:val="text"/>
              <w:spacing w:before="0" w:after="0"/>
              <w:jc w:val="center"/>
              <w:rPr>
                <w:rFonts w:ascii="Times New Roman" w:hAnsi="Times New Roman"/>
                <w:szCs w:val="20"/>
                <w:highlight w:val="yellow"/>
              </w:rPr>
            </w:pPr>
            <w:r w:rsidRPr="00286EFA">
              <w:rPr>
                <w:rFonts w:ascii="Times New Roman" w:hAnsi="Times New Roman"/>
                <w:szCs w:val="20"/>
                <w:highlight w:val="yellow"/>
              </w:rPr>
              <w:pict>
                <v:shape id="_x0000_i1103" type="#_x0000_t75" style="width:462pt;height:220.5pt">
                  <v:imagedata r:id="rId96" o:title=""/>
                </v:shape>
              </w:pict>
            </w:r>
          </w:p>
          <w:p w:rsidR="008B5006" w:rsidRPr="00BB2552" w:rsidRDefault="008B5006" w:rsidP="00CE3C9C">
            <w:pPr>
              <w:pStyle w:val="text"/>
              <w:spacing w:before="0" w:after="0"/>
              <w:jc w:val="center"/>
              <w:rPr>
                <w:highlight w:val="yellow"/>
              </w:rPr>
            </w:pPr>
          </w:p>
        </w:tc>
      </w:tr>
    </w:tbl>
    <w:p w:rsidR="008B5006" w:rsidRPr="00BB2552" w:rsidRDefault="008B5006" w:rsidP="00FF21B4">
      <w:pPr>
        <w:rPr>
          <w:highlight w:val="yellow"/>
        </w:rPr>
        <w:sectPr w:rsidR="008B5006" w:rsidRPr="00BB2552"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568" w:type="dxa"/>
        <w:tblLayout w:type="fixed"/>
        <w:tblCellMar>
          <w:left w:w="70" w:type="dxa"/>
          <w:right w:w="70" w:type="dxa"/>
        </w:tblCellMar>
        <w:tblLook w:val="0000"/>
      </w:tblPr>
      <w:tblGrid>
        <w:gridCol w:w="2318"/>
        <w:gridCol w:w="7250"/>
      </w:tblGrid>
      <w:tr w:rsidR="00CB62F6" w:rsidTr="00054AFA">
        <w:tc>
          <w:tcPr>
            <w:tcW w:w="2268" w:type="dxa"/>
          </w:tcPr>
          <w:p w:rsidR="00CB62F6" w:rsidRPr="00BB2552" w:rsidRDefault="005C5117" w:rsidP="00CB62F6">
            <w:pPr>
              <w:pStyle w:val="text"/>
              <w:jc w:val="left"/>
              <w:rPr>
                <w:b/>
                <w:bCs/>
                <w:i/>
                <w:iCs/>
                <w:highlight w:val="yellow"/>
              </w:rPr>
            </w:pPr>
            <w:r w:rsidRPr="007E7CDA">
              <w:rPr>
                <w:b/>
                <w:i/>
                <w:szCs w:val="20"/>
              </w:rPr>
              <w:lastRenderedPageBreak/>
              <w:t>V roce 2014 zaznamenala produkce masa opět mírné snížení</w:t>
            </w:r>
          </w:p>
        </w:tc>
        <w:tc>
          <w:tcPr>
            <w:tcW w:w="7094" w:type="dxa"/>
          </w:tcPr>
          <w:p w:rsidR="005C5117" w:rsidRPr="002B3443" w:rsidRDefault="005C5117" w:rsidP="005C5117">
            <w:pPr>
              <w:pStyle w:val="Default"/>
              <w:spacing w:before="60" w:after="60"/>
              <w:jc w:val="both"/>
              <w:rPr>
                <w:color w:val="auto"/>
                <w:sz w:val="20"/>
                <w:szCs w:val="20"/>
              </w:rPr>
            </w:pPr>
            <w:r w:rsidRPr="007E7CDA">
              <w:rPr>
                <w:color w:val="auto"/>
                <w:sz w:val="20"/>
                <w:szCs w:val="20"/>
              </w:rPr>
              <w:t xml:space="preserve">Od roku 2009 do roku 2012 výroba masa v kraji trvale klesala. V roce 2013 zaznamenala mírné zvýšení, ale v dalším roce došlo opět ke snížení. Během pětiletého období došlo k celkovému snížení o 22,1 %. </w:t>
            </w:r>
            <w:r w:rsidRPr="002B3443">
              <w:rPr>
                <w:color w:val="auto"/>
                <w:sz w:val="20"/>
                <w:szCs w:val="20"/>
              </w:rPr>
              <w:t>Nejvýraznější, 23,1% propad, byl zaznamenán u vepřového masa.</w:t>
            </w:r>
          </w:p>
          <w:p w:rsidR="005C5117" w:rsidRPr="004D3548" w:rsidRDefault="005C5117" w:rsidP="005C5117">
            <w:r w:rsidRPr="004D3548">
              <w:rPr>
                <w:szCs w:val="20"/>
              </w:rPr>
              <w:t>V produkci masa zaznamenal kraj v roce 2014 mírný pokles (o 4,0 %). Podíl Zlínského kraje na celorepublikové produkci během pěti let klesl o 0,2 procentního bodu, a to z 3,6 % v roce 2009 na 3,4 % v roce 2014</w:t>
            </w:r>
            <w:r w:rsidRPr="004D3548">
              <w:t xml:space="preserve">. </w:t>
            </w:r>
          </w:p>
          <w:p w:rsidR="005C5117" w:rsidRPr="00AF42C0" w:rsidRDefault="005C5117" w:rsidP="005C5117">
            <w:r w:rsidRPr="00AF42C0">
              <w:t>Během roku 2014 bylo v kraji celkem poraženo 16,4 tis. kusů skotu. Proti předchozímu roku to bylo o 72 kusů, tj. o 0,4 %, méně. Pokles porážek byl zaznamenán u všech kategorií</w:t>
            </w:r>
            <w:r>
              <w:t xml:space="preserve"> skotu</w:t>
            </w:r>
            <w:r w:rsidRPr="00AF42C0">
              <w:t>.</w:t>
            </w:r>
            <w:r>
              <w:t xml:space="preserve"> Nejvýraznější snížení bylo zachyceno u</w:t>
            </w:r>
            <w:r w:rsidR="006B39BF">
              <w:t> </w:t>
            </w:r>
            <w:r>
              <w:t>býků (o 4,2 %) a nejnižší u krav (0,2 %). K meziročnímu úbytku došlo i u prasat (o 7,3 %). K nárůstu poražených kusů došlo u ovcí včetně jehňat (o</w:t>
            </w:r>
            <w:r w:rsidR="006B39BF">
              <w:t> </w:t>
            </w:r>
            <w:r>
              <w:t>37,8 %).</w:t>
            </w:r>
          </w:p>
          <w:p w:rsidR="005C5117" w:rsidRPr="00441B92" w:rsidRDefault="005C5117" w:rsidP="005C5117">
            <w:pPr>
              <w:rPr>
                <w:highlight w:val="yellow"/>
              </w:rPr>
            </w:pPr>
            <w:r w:rsidRPr="007C2D2E">
              <w:t xml:space="preserve">Celkem bylo v kraji </w:t>
            </w:r>
            <w:r>
              <w:t>za rok</w:t>
            </w:r>
            <w:r w:rsidRPr="007C2D2E">
              <w:t xml:space="preserve"> 2014 vyprodukováno 3 901 tun hovězího masa (vč. telecího) v jatečné hmotnosti, což v porovnání s předchozím rokem znamená pokles o 1,3 %. Průměrná živá hmotnost jednoho poraženého kusu skotu v kraji v tomto roce činila 454,3 kg</w:t>
            </w:r>
            <w:r>
              <w:t xml:space="preserve"> (republikový průměr poraženého kusu skotu 549,7 kg)</w:t>
            </w:r>
            <w:r w:rsidRPr="007C2D2E">
              <w:t>. Podíl výroby hovězího masa na celkové produkci masa v kraji ve sledovaném období vzrostl z 37,5 % v roce 2013 na 38,5 % v roce 2014. Podíl Zlínského kraje na republikové produkci hovězího masa se mírně snížil, a to z 6,1</w:t>
            </w:r>
            <w:r>
              <w:t> </w:t>
            </w:r>
            <w:r w:rsidRPr="007C2D2E">
              <w:t xml:space="preserve">% v roce 2013 na 6,0 % ve sledovaném roce. </w:t>
            </w:r>
          </w:p>
          <w:p w:rsidR="005C5117" w:rsidRPr="00571171" w:rsidRDefault="005C5117" w:rsidP="005C5117">
            <w:r w:rsidRPr="00C51A82">
              <w:t>V </w:t>
            </w:r>
            <w:r>
              <w:t>loni</w:t>
            </w:r>
            <w:r w:rsidRPr="00C51A82">
              <w:t xml:space="preserve"> bylo v kraji poraženo 71,7 tis. kusů prasat (bez prasnic a kanců), což znamená pokles proti předchozímu roku o 5,6 tis. kusů (o 7,3 </w:t>
            </w:r>
            <w:r w:rsidRPr="005954F7">
              <w:t xml:space="preserve">%). Celkem bylo vyprodukováno 6,2 tis. tun vepřového masa v jatečné hmotnosti, tj. meziroční snížení o 372 t (o 5,7 </w:t>
            </w:r>
            <w:r w:rsidRPr="00F51EDC">
              <w:t>%). Průměrná živá hmotnost prasete (bez prasnic a kanců) dosáhla 108,0 kg</w:t>
            </w:r>
            <w:r>
              <w:t xml:space="preserve"> (průměrná živá hmotnost prasete v ČR 112,5 kg)</w:t>
            </w:r>
            <w:r w:rsidRPr="00F51EDC">
              <w:t xml:space="preserve">. Podíl vyrobeného vepřového masa na celkovém množství masa za celý rok 2014 ve Zlínském kraji se snížil z 62,3 % v roce 2013 na 61,2 %. Zlínský podíl </w:t>
            </w:r>
            <w:r w:rsidRPr="00F77086">
              <w:t xml:space="preserve">na republikové výrobě vepřového masa se za sledované období snížil o 0,2 procentního bodu na </w:t>
            </w:r>
            <w:r w:rsidRPr="00571171">
              <w:t xml:space="preserve">2,6 %. </w:t>
            </w:r>
          </w:p>
          <w:p w:rsidR="00CB62F6" w:rsidRPr="00BB2552" w:rsidRDefault="005C5117" w:rsidP="005C5117">
            <w:pPr>
              <w:pStyle w:val="text"/>
              <w:rPr>
                <w:highlight w:val="yellow"/>
              </w:rPr>
            </w:pPr>
            <w:r w:rsidRPr="00571171">
              <w:t xml:space="preserve">V průběhu roku </w:t>
            </w:r>
            <w:r>
              <w:t xml:space="preserve">2014 </w:t>
            </w:r>
            <w:r w:rsidRPr="00571171">
              <w:t>bylo v kraji poraženo 718 ovcí včetně jehňat (meziroční nárůst o 37,8 %). Proti minulému roku došlo ve výrobě skopového masa ke zvýšení o 16,9 %.</w:t>
            </w:r>
          </w:p>
        </w:tc>
      </w:tr>
    </w:tbl>
    <w:p w:rsidR="00123032" w:rsidRDefault="00123032" w:rsidP="00FF21B4">
      <w:pPr>
        <w:sectPr w:rsidR="00123032"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610" w:type="dxa"/>
        <w:tblCellMar>
          <w:left w:w="70" w:type="dxa"/>
          <w:right w:w="70" w:type="dxa"/>
        </w:tblCellMar>
        <w:tblLook w:val="0000"/>
      </w:tblPr>
      <w:tblGrid>
        <w:gridCol w:w="2328"/>
        <w:gridCol w:w="7282"/>
      </w:tblGrid>
      <w:tr w:rsidR="00254A12" w:rsidRPr="007A1746" w:rsidTr="00162196">
        <w:tc>
          <w:tcPr>
            <w:tcW w:w="2328" w:type="dxa"/>
          </w:tcPr>
          <w:p w:rsidR="00254A12" w:rsidRPr="005B4E84" w:rsidRDefault="00254A12" w:rsidP="005C5117">
            <w:pPr>
              <w:spacing w:before="60" w:after="60"/>
              <w:jc w:val="left"/>
              <w:rPr>
                <w:b/>
                <w:i/>
                <w:szCs w:val="20"/>
                <w:u w:val="single"/>
              </w:rPr>
            </w:pPr>
            <w:r w:rsidRPr="005B4E84">
              <w:rPr>
                <w:b/>
                <w:i/>
                <w:szCs w:val="20"/>
                <w:u w:val="single"/>
              </w:rPr>
              <w:lastRenderedPageBreak/>
              <w:t>Lesnictví</w:t>
            </w:r>
          </w:p>
          <w:p w:rsidR="00254A12" w:rsidRPr="007A1746" w:rsidRDefault="00254A12" w:rsidP="005C5117">
            <w:pPr>
              <w:pStyle w:val="text"/>
              <w:jc w:val="left"/>
              <w:rPr>
                <w:b/>
                <w:bCs/>
                <w:i/>
                <w:iCs/>
                <w:highlight w:val="yellow"/>
              </w:rPr>
            </w:pPr>
            <w:r w:rsidRPr="005B4E84">
              <w:rPr>
                <w:b/>
                <w:i/>
                <w:szCs w:val="20"/>
              </w:rPr>
              <w:t>Těžba dřeva od roku 2009 stoupla o 16,1 %</w:t>
            </w:r>
          </w:p>
        </w:tc>
        <w:tc>
          <w:tcPr>
            <w:tcW w:w="7282" w:type="dxa"/>
            <w:vAlign w:val="center"/>
          </w:tcPr>
          <w:p w:rsidR="00254A12" w:rsidRPr="009D09C7" w:rsidRDefault="00254A12" w:rsidP="00162196">
            <w:pPr>
              <w:autoSpaceDE w:val="0"/>
              <w:autoSpaceDN w:val="0"/>
              <w:adjustRightInd w:val="0"/>
              <w:spacing w:before="60" w:after="60"/>
              <w:rPr>
                <w:szCs w:val="20"/>
                <w:lang w:eastAsia="en-US"/>
              </w:rPr>
            </w:pPr>
            <w:r w:rsidRPr="003D2D7D">
              <w:rPr>
                <w:szCs w:val="20"/>
                <w:lang w:eastAsia="en-US"/>
              </w:rPr>
              <w:t xml:space="preserve">Zlínský kraj měl v roce 2014 zalesněno celkem 157 701 ha půdy, což je na stejné úrovni jako v roce 2013 a zařadil se tak na deváté místo mezi kraji. </w:t>
            </w:r>
            <w:r w:rsidRPr="00C468A1">
              <w:rPr>
                <w:szCs w:val="20"/>
                <w:lang w:eastAsia="en-US"/>
              </w:rPr>
              <w:t xml:space="preserve">Obnova lesů, tzv. zalesňování, bylo v roce 2014 proti roku 2013 nižší o 19,5 %. Provedeno bylo na ploše 937 ha, což bylo třetí nejmenší zalesnění mezi kraji ČR. Od roku 2009 se snížila obnova lesů o 8,5 %. </w:t>
            </w:r>
            <w:r>
              <w:rPr>
                <w:szCs w:val="20"/>
                <w:lang w:eastAsia="en-US"/>
              </w:rPr>
              <w:t>Loni se z</w:t>
            </w:r>
            <w:r w:rsidRPr="00C468A1">
              <w:rPr>
                <w:szCs w:val="20"/>
                <w:lang w:eastAsia="en-US"/>
              </w:rPr>
              <w:t>alesňovalo z 54,9</w:t>
            </w:r>
            <w:r>
              <w:rPr>
                <w:szCs w:val="20"/>
                <w:lang w:eastAsia="en-US"/>
              </w:rPr>
              <w:t> </w:t>
            </w:r>
            <w:r w:rsidRPr="00C468A1">
              <w:rPr>
                <w:szCs w:val="20"/>
                <w:lang w:eastAsia="en-US"/>
              </w:rPr>
              <w:t xml:space="preserve">% jehličnany (z toho 89,3 % smrky, </w:t>
            </w:r>
            <w:r w:rsidRPr="009D09C7">
              <w:rPr>
                <w:szCs w:val="20"/>
                <w:lang w:eastAsia="en-US"/>
              </w:rPr>
              <w:t>1,6 % borovicemi a 6,2 % jedlemi) a</w:t>
            </w:r>
            <w:r>
              <w:rPr>
                <w:szCs w:val="20"/>
                <w:lang w:eastAsia="en-US"/>
              </w:rPr>
              <w:t> </w:t>
            </w:r>
            <w:r w:rsidRPr="009D09C7">
              <w:rPr>
                <w:szCs w:val="20"/>
                <w:lang w:eastAsia="en-US"/>
              </w:rPr>
              <w:t xml:space="preserve">ze 45,1 % </w:t>
            </w:r>
            <w:r w:rsidRPr="009D09C7">
              <w:rPr>
                <w:szCs w:val="20"/>
                <w:lang w:eastAsia="en-US"/>
              </w:rPr>
              <w:lastRenderedPageBreak/>
              <w:t>listnatými stromy (z 54,1 % buky a 35,7 % duby).</w:t>
            </w:r>
          </w:p>
          <w:p w:rsidR="00254A12" w:rsidRPr="002A53D0" w:rsidRDefault="00254A12" w:rsidP="00162196">
            <w:pPr>
              <w:autoSpaceDE w:val="0"/>
              <w:autoSpaceDN w:val="0"/>
              <w:adjustRightInd w:val="0"/>
              <w:spacing w:before="60" w:after="60"/>
              <w:rPr>
                <w:szCs w:val="20"/>
                <w:highlight w:val="yellow"/>
                <w:lang w:eastAsia="en-US"/>
              </w:rPr>
            </w:pPr>
            <w:r w:rsidRPr="005B4E84">
              <w:rPr>
                <w:szCs w:val="20"/>
                <w:lang w:eastAsia="en-US"/>
              </w:rPr>
              <w:t xml:space="preserve">Těžba dřeva od roku 2009 vzrostla o 16,1 %. V roce 2014 bylo vytěženo 1,1 mil. </w:t>
            </w:r>
            <w:proofErr w:type="gramStart"/>
            <w:r w:rsidRPr="005B4E84">
              <w:rPr>
                <w:szCs w:val="20"/>
                <w:lang w:eastAsia="en-US"/>
              </w:rPr>
              <w:t>m</w:t>
            </w:r>
            <w:r w:rsidRPr="005B4E84">
              <w:rPr>
                <w:szCs w:val="20"/>
                <w:vertAlign w:val="superscript"/>
                <w:lang w:eastAsia="en-US"/>
              </w:rPr>
              <w:t>3</w:t>
            </w:r>
            <w:r w:rsidRPr="005B4E84">
              <w:rPr>
                <w:szCs w:val="20"/>
                <w:lang w:eastAsia="en-US"/>
              </w:rPr>
              <w:t xml:space="preserve"> </w:t>
            </w:r>
            <w:proofErr w:type="spellStart"/>
            <w:r w:rsidRPr="005B4E84">
              <w:rPr>
                <w:szCs w:val="20"/>
                <w:lang w:eastAsia="en-US"/>
              </w:rPr>
              <w:t>b.k</w:t>
            </w:r>
            <w:proofErr w:type="spellEnd"/>
            <w:r w:rsidRPr="005B4E84">
              <w:rPr>
                <w:szCs w:val="20"/>
                <w:lang w:eastAsia="en-US"/>
              </w:rPr>
              <w:t>.</w:t>
            </w:r>
            <w:proofErr w:type="gramEnd"/>
            <w:r w:rsidRPr="005B4E84">
              <w:rPr>
                <w:szCs w:val="20"/>
                <w:lang w:eastAsia="en-US"/>
              </w:rPr>
              <w:t xml:space="preserve"> dřeva, což je o 1,0 % méně než v předchozím roce</w:t>
            </w:r>
            <w:r w:rsidRPr="00BA0354">
              <w:rPr>
                <w:szCs w:val="20"/>
                <w:lang w:eastAsia="en-US"/>
              </w:rPr>
              <w:t xml:space="preserve">. Ze 71,9 % se </w:t>
            </w:r>
            <w:r w:rsidRPr="00C62C17">
              <w:rPr>
                <w:szCs w:val="20"/>
                <w:lang w:eastAsia="en-US"/>
              </w:rPr>
              <w:t xml:space="preserve">jednalo o jehličnany (z nichž 88,1 % tvořily smrky). Jen 28,1 % těžby dělaly listnaté stromy, z toho 69,2 % byly buky a 13,9 % duby. Proti roku 2013 stoupla zpracovaná nahodilá těžba o 68,1 %. Z vytěžených 445,4 </w:t>
            </w:r>
            <w:proofErr w:type="gramStart"/>
            <w:r w:rsidRPr="00C62C17">
              <w:rPr>
                <w:szCs w:val="20"/>
                <w:lang w:eastAsia="en-US"/>
              </w:rPr>
              <w:t>m</w:t>
            </w:r>
            <w:r w:rsidRPr="00C62C17">
              <w:rPr>
                <w:szCs w:val="20"/>
                <w:vertAlign w:val="superscript"/>
                <w:lang w:eastAsia="en-US"/>
              </w:rPr>
              <w:t>3</w:t>
            </w:r>
            <w:r w:rsidRPr="00C62C17">
              <w:rPr>
                <w:szCs w:val="20"/>
                <w:lang w:eastAsia="en-US"/>
              </w:rPr>
              <w:t xml:space="preserve"> </w:t>
            </w:r>
            <w:proofErr w:type="spellStart"/>
            <w:r w:rsidRPr="00C62C17">
              <w:rPr>
                <w:szCs w:val="20"/>
                <w:lang w:eastAsia="en-US"/>
              </w:rPr>
              <w:t>b.k</w:t>
            </w:r>
            <w:proofErr w:type="spellEnd"/>
            <w:r w:rsidRPr="00C62C17">
              <w:rPr>
                <w:szCs w:val="20"/>
                <w:lang w:eastAsia="en-US"/>
              </w:rPr>
              <w:t>.</w:t>
            </w:r>
            <w:proofErr w:type="gramEnd"/>
            <w:r w:rsidRPr="00C62C17">
              <w:rPr>
                <w:szCs w:val="20"/>
                <w:lang w:eastAsia="en-US"/>
              </w:rPr>
              <w:t xml:space="preserve"> připadlo na živelné příčiny 70,1 % a na hmyzové 17,4 %. </w:t>
            </w:r>
          </w:p>
        </w:tc>
      </w:tr>
    </w:tbl>
    <w:p w:rsidR="00123032" w:rsidRPr="007A1746" w:rsidRDefault="00123032" w:rsidP="00FF21B4">
      <w:pPr>
        <w:rPr>
          <w:highlight w:val="yellow"/>
        </w:rPr>
        <w:sectPr w:rsidR="00123032" w:rsidRPr="007A1746"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610" w:type="dxa"/>
        <w:tblLayout w:type="fixed"/>
        <w:tblCellMar>
          <w:left w:w="70" w:type="dxa"/>
          <w:right w:w="70" w:type="dxa"/>
        </w:tblCellMar>
        <w:tblLook w:val="0000"/>
      </w:tblPr>
      <w:tblGrid>
        <w:gridCol w:w="2338"/>
        <w:gridCol w:w="7272"/>
      </w:tblGrid>
      <w:tr w:rsidR="0089641F" w:rsidRPr="007A1746" w:rsidTr="00C257DE">
        <w:tc>
          <w:tcPr>
            <w:tcW w:w="2338" w:type="dxa"/>
          </w:tcPr>
          <w:p w:rsidR="00676E8C" w:rsidRPr="00856F58" w:rsidRDefault="00676E8C" w:rsidP="00676E8C">
            <w:pPr>
              <w:spacing w:before="60" w:after="60"/>
              <w:jc w:val="left"/>
              <w:rPr>
                <w:b/>
                <w:i/>
                <w:szCs w:val="20"/>
                <w:u w:val="single"/>
              </w:rPr>
            </w:pPr>
            <w:r w:rsidRPr="00856F58">
              <w:rPr>
                <w:b/>
                <w:i/>
                <w:szCs w:val="20"/>
                <w:u w:val="single"/>
              </w:rPr>
              <w:lastRenderedPageBreak/>
              <w:t>Průmysl</w:t>
            </w:r>
          </w:p>
          <w:p w:rsidR="0089641F" w:rsidRPr="007A1746" w:rsidRDefault="00676E8C" w:rsidP="00676E8C">
            <w:pPr>
              <w:pStyle w:val="text"/>
              <w:jc w:val="left"/>
              <w:rPr>
                <w:b/>
                <w:bCs/>
                <w:i/>
                <w:iCs/>
                <w:highlight w:val="yellow"/>
              </w:rPr>
            </w:pPr>
            <w:r w:rsidRPr="00856F58">
              <w:rPr>
                <w:b/>
                <w:i/>
                <w:szCs w:val="20"/>
              </w:rPr>
              <w:t>I v roce 2014 mírně vzrostl počet zaměstnanců</w:t>
            </w:r>
          </w:p>
        </w:tc>
        <w:tc>
          <w:tcPr>
            <w:tcW w:w="7272" w:type="dxa"/>
          </w:tcPr>
          <w:p w:rsidR="0089641F" w:rsidRPr="007A1746" w:rsidRDefault="00676E8C" w:rsidP="006B39BF">
            <w:pPr>
              <w:pStyle w:val="text"/>
              <w:rPr>
                <w:highlight w:val="yellow"/>
              </w:rPr>
            </w:pPr>
            <w:r w:rsidRPr="00856F58">
              <w:t>V kraji sídlilo 162 průmyslových podniků se 100 a více zaměstnanci, což je o</w:t>
            </w:r>
            <w:r w:rsidR="006B39BF">
              <w:t> </w:t>
            </w:r>
            <w:r w:rsidRPr="00856F58">
              <w:t>1,8</w:t>
            </w:r>
            <w:r w:rsidR="006B39BF">
              <w:t> </w:t>
            </w:r>
            <w:r w:rsidRPr="00856F58">
              <w:t>% méně než v roce 2013, ale o 18,0 % méně za celé sledované období. Průmyslová odvětví zaměstnávala 48 210 zaměstnanců (průměrný evidenční přepočtený počet), to je proti roku 2009 o 2,6 % více. Do roku 2011 počet zaměstnanců klesal, zlom nastal v roce 2012, kdy začal pomalu růst.</w:t>
            </w:r>
          </w:p>
        </w:tc>
      </w:tr>
      <w:tr w:rsidR="00E6523E" w:rsidRPr="007A1746" w:rsidTr="00E6523E">
        <w:trPr>
          <w:cantSplit/>
        </w:trPr>
        <w:tc>
          <w:tcPr>
            <w:tcW w:w="9610" w:type="dxa"/>
            <w:gridSpan w:val="2"/>
          </w:tcPr>
          <w:p w:rsidR="00E6523E" w:rsidRPr="007A1746" w:rsidRDefault="00E6523E" w:rsidP="00A40B60">
            <w:pPr>
              <w:pStyle w:val="text"/>
              <w:jc w:val="left"/>
              <w:rPr>
                <w:highlight w:val="yellow"/>
              </w:rPr>
            </w:pPr>
            <w:r w:rsidRPr="006911B0">
              <w:rPr>
                <w:b/>
                <w:bCs/>
                <w:szCs w:val="20"/>
              </w:rPr>
              <w:t xml:space="preserve">Graf </w:t>
            </w:r>
            <w:r w:rsidR="00543DC1" w:rsidRPr="006911B0">
              <w:rPr>
                <w:b/>
                <w:bCs/>
                <w:szCs w:val="20"/>
              </w:rPr>
              <w:t>3.</w:t>
            </w:r>
            <w:r w:rsidR="006911B0" w:rsidRPr="006911B0">
              <w:rPr>
                <w:b/>
                <w:bCs/>
                <w:szCs w:val="20"/>
              </w:rPr>
              <w:t>2</w:t>
            </w:r>
            <w:r w:rsidR="00A40B60">
              <w:rPr>
                <w:b/>
                <w:bCs/>
                <w:szCs w:val="20"/>
              </w:rPr>
              <w:t>1</w:t>
            </w:r>
            <w:r w:rsidR="004D2E03" w:rsidRPr="005E640D">
              <w:rPr>
                <w:b/>
                <w:bCs/>
                <w:szCs w:val="20"/>
              </w:rPr>
              <w:t xml:space="preserve"> Indexy meziročního vývoje základních ukazatelů průmyslových podniků se 100 a více zaměstnanci se sídlem ve Zlínském kraji</w:t>
            </w:r>
          </w:p>
        </w:tc>
      </w:tr>
      <w:tr w:rsidR="00E6523E" w:rsidRPr="007A1746" w:rsidTr="00E6523E">
        <w:trPr>
          <w:cantSplit/>
        </w:trPr>
        <w:tc>
          <w:tcPr>
            <w:tcW w:w="9610" w:type="dxa"/>
            <w:gridSpan w:val="2"/>
          </w:tcPr>
          <w:p w:rsidR="00E6523E" w:rsidRPr="007A1746" w:rsidRDefault="009956CB" w:rsidP="00E6523E">
            <w:pPr>
              <w:pStyle w:val="text"/>
              <w:jc w:val="center"/>
              <w:rPr>
                <w:highlight w:val="yellow"/>
              </w:rPr>
            </w:pPr>
            <w:r>
              <w:pict>
                <v:shape id="_x0000_i1104" type="#_x0000_t75" style="width:473.25pt;height:271.5pt">
                  <v:imagedata r:id="rId97" o:title=""/>
                </v:shape>
              </w:pict>
            </w:r>
          </w:p>
        </w:tc>
      </w:tr>
      <w:tr w:rsidR="00F73AE9" w:rsidTr="00162196">
        <w:tc>
          <w:tcPr>
            <w:tcW w:w="2338" w:type="dxa"/>
          </w:tcPr>
          <w:p w:rsidR="00F73AE9" w:rsidRPr="00856F58" w:rsidRDefault="00F73AE9" w:rsidP="00162196">
            <w:pPr>
              <w:spacing w:before="60" w:after="60"/>
              <w:jc w:val="left"/>
              <w:rPr>
                <w:b/>
                <w:i/>
                <w:szCs w:val="20"/>
                <w:highlight w:val="yellow"/>
              </w:rPr>
            </w:pPr>
            <w:r w:rsidRPr="00856F58">
              <w:rPr>
                <w:b/>
                <w:i/>
                <w:szCs w:val="20"/>
              </w:rPr>
              <w:t>Mzdy v průmyslových podnicích meziročně vzrostly</w:t>
            </w:r>
          </w:p>
        </w:tc>
        <w:tc>
          <w:tcPr>
            <w:tcW w:w="7272" w:type="dxa"/>
            <w:vAlign w:val="center"/>
          </w:tcPr>
          <w:p w:rsidR="00F73AE9" w:rsidRPr="0034285A" w:rsidRDefault="00F73AE9" w:rsidP="00503DB3">
            <w:pPr>
              <w:pStyle w:val="Default"/>
              <w:spacing w:before="60" w:after="60"/>
              <w:jc w:val="both"/>
              <w:rPr>
                <w:color w:val="auto"/>
                <w:szCs w:val="20"/>
              </w:rPr>
            </w:pPr>
            <w:r w:rsidRPr="0034285A">
              <w:rPr>
                <w:color w:val="auto"/>
                <w:sz w:val="20"/>
                <w:szCs w:val="20"/>
              </w:rPr>
              <w:t>Průměrná hrubá měsíční nominální mzda v těchto podnicích se naopak zvyšovala až do roku 2012. V roce 2013 činila 24 966 Kč, byla tak o 30 Kč menší než v předešlém roce. Loni měli v kraji zaměstnanci průmyslových podniků průměrnou mzdu 25 750 Kč (nárůst o 784 Kč, o 3,1 %). V porovnání s</w:t>
            </w:r>
            <w:r w:rsidR="00503DB3">
              <w:rPr>
                <w:color w:val="auto"/>
                <w:sz w:val="20"/>
                <w:szCs w:val="20"/>
              </w:rPr>
              <w:t> </w:t>
            </w:r>
            <w:r w:rsidRPr="0034285A">
              <w:rPr>
                <w:color w:val="auto"/>
                <w:sz w:val="20"/>
                <w:szCs w:val="20"/>
              </w:rPr>
              <w:t xml:space="preserve">republikovým průměrem mezd byla nižší o 2 470 Kč. Rozdíl mezi nejvyšší průměrnou hrubou měsíční mzdou, kterou měli zaměstnanci sledovaných průmyslových podniků v kraji Hlavní město Praha, byla zlínská o 9 266 Kč nižší. Během celého sledovaného období mzdy ve Zlínském kraji vzrostly o </w:t>
            </w:r>
            <w:r>
              <w:rPr>
                <w:color w:val="auto"/>
                <w:sz w:val="20"/>
                <w:szCs w:val="20"/>
              </w:rPr>
              <w:t>19,6</w:t>
            </w:r>
            <w:r w:rsidRPr="0034285A">
              <w:rPr>
                <w:color w:val="auto"/>
                <w:sz w:val="20"/>
                <w:szCs w:val="20"/>
              </w:rPr>
              <w:t xml:space="preserve"> %. </w:t>
            </w:r>
          </w:p>
        </w:tc>
      </w:tr>
      <w:tr w:rsidR="00F73AE9" w:rsidTr="00762FB1">
        <w:tc>
          <w:tcPr>
            <w:tcW w:w="2338" w:type="dxa"/>
          </w:tcPr>
          <w:p w:rsidR="00F73AE9" w:rsidRPr="002A53D0" w:rsidRDefault="00F73AE9" w:rsidP="00162196">
            <w:pPr>
              <w:spacing w:before="60" w:after="60"/>
              <w:jc w:val="left"/>
              <w:rPr>
                <w:b/>
                <w:i/>
                <w:szCs w:val="20"/>
                <w:highlight w:val="yellow"/>
              </w:rPr>
            </w:pPr>
            <w:r w:rsidRPr="001349C3">
              <w:rPr>
                <w:b/>
                <w:i/>
                <w:szCs w:val="20"/>
              </w:rPr>
              <w:t>Nejvyšší tržby za prodej vlastních výrobků a služeb za sledované období</w:t>
            </w:r>
          </w:p>
        </w:tc>
        <w:tc>
          <w:tcPr>
            <w:tcW w:w="7272" w:type="dxa"/>
          </w:tcPr>
          <w:p w:rsidR="00F73AE9" w:rsidRPr="002A53D0" w:rsidRDefault="00F73AE9" w:rsidP="00162196">
            <w:pPr>
              <w:spacing w:before="60" w:after="60"/>
              <w:rPr>
                <w:rFonts w:ascii="Times New Roman" w:hAnsi="Times New Roman"/>
                <w:b/>
                <w:bCs/>
                <w:szCs w:val="20"/>
                <w:highlight w:val="yellow"/>
              </w:rPr>
            </w:pPr>
            <w:r w:rsidRPr="001349C3">
              <w:rPr>
                <w:szCs w:val="20"/>
              </w:rPr>
              <w:t xml:space="preserve">Tržby za prodej vlastních výrobků a služeb průmyslové povahy (v běžných cenách) ve velkých podnicích od roku 2009 rostly a zvýšily se tak o 28,8 %. V loňském roce přesáhly částku 163 miliard, tím byly nejvyšší za celé sledované období. Oproti předchozímu roku 2013 vzrostly o 6,6 %. </w:t>
            </w:r>
          </w:p>
        </w:tc>
      </w:tr>
      <w:tr w:rsidR="00F73AE9" w:rsidTr="00762FB1">
        <w:tc>
          <w:tcPr>
            <w:tcW w:w="2338" w:type="dxa"/>
          </w:tcPr>
          <w:p w:rsidR="00F73AE9" w:rsidRPr="00F74E6C" w:rsidRDefault="00F73AE9" w:rsidP="00503DB3">
            <w:pPr>
              <w:spacing w:before="60" w:after="60"/>
              <w:jc w:val="left"/>
              <w:rPr>
                <w:b/>
                <w:i/>
                <w:szCs w:val="20"/>
              </w:rPr>
            </w:pPr>
            <w:r w:rsidRPr="00F74E6C">
              <w:rPr>
                <w:b/>
                <w:i/>
                <w:szCs w:val="20"/>
              </w:rPr>
              <w:t>Rostou tržby za přímý vývoz vlastních výrobků a služeb</w:t>
            </w:r>
          </w:p>
        </w:tc>
        <w:tc>
          <w:tcPr>
            <w:tcW w:w="7272" w:type="dxa"/>
          </w:tcPr>
          <w:p w:rsidR="00F73AE9" w:rsidRPr="00F74E6C" w:rsidRDefault="00F73AE9" w:rsidP="00162196">
            <w:pPr>
              <w:spacing w:before="60" w:after="60"/>
              <w:rPr>
                <w:rFonts w:ascii="Times New Roman" w:hAnsi="Times New Roman"/>
                <w:b/>
                <w:bCs/>
                <w:szCs w:val="20"/>
              </w:rPr>
            </w:pPr>
            <w:r w:rsidRPr="00F74E6C">
              <w:rPr>
                <w:szCs w:val="20"/>
              </w:rPr>
              <w:t>Obdobně jako tržby za prodej vlastních výrobků a služeb jsou na tom tržby za přímý vývoz vlastních výrobků a služeb průmyslové povahy. Od roku 2009 se zvýšily o 45,3 %. V roce 2014 zaznamenaly meziroční nárůst o 8,4 % (v ČR nárůst o 8,6 %).</w:t>
            </w:r>
            <w:r w:rsidRPr="00F74E6C">
              <w:rPr>
                <w:rFonts w:ascii="Times New Roman" w:hAnsi="Times New Roman"/>
                <w:b/>
                <w:bCs/>
                <w:szCs w:val="20"/>
              </w:rPr>
              <w:t xml:space="preserve"> </w:t>
            </w:r>
            <w:r w:rsidRPr="00F74E6C">
              <w:rPr>
                <w:szCs w:val="20"/>
              </w:rPr>
              <w:t>Přímý vývoz se na tržbách průmyslu kraje podílel 52,7 %, v ČR 60,1 %.</w:t>
            </w:r>
          </w:p>
        </w:tc>
      </w:tr>
      <w:tr w:rsidR="0039628A" w:rsidTr="00162196">
        <w:tc>
          <w:tcPr>
            <w:tcW w:w="2338" w:type="dxa"/>
          </w:tcPr>
          <w:p w:rsidR="0039628A" w:rsidRPr="00720FC1" w:rsidRDefault="0039628A" w:rsidP="00162196">
            <w:pPr>
              <w:spacing w:before="60" w:after="60"/>
              <w:jc w:val="left"/>
              <w:rPr>
                <w:b/>
                <w:i/>
                <w:szCs w:val="20"/>
              </w:rPr>
            </w:pPr>
            <w:r w:rsidRPr="00720FC1">
              <w:rPr>
                <w:b/>
                <w:i/>
                <w:szCs w:val="20"/>
              </w:rPr>
              <w:t xml:space="preserve">Rostou tržby </w:t>
            </w:r>
            <w:r>
              <w:rPr>
                <w:b/>
                <w:i/>
                <w:szCs w:val="20"/>
              </w:rPr>
              <w:t xml:space="preserve">i mzdy </w:t>
            </w:r>
            <w:r w:rsidRPr="00720FC1">
              <w:rPr>
                <w:b/>
                <w:i/>
                <w:szCs w:val="20"/>
              </w:rPr>
              <w:t>ve zpracovatelském průmyslu</w:t>
            </w:r>
          </w:p>
        </w:tc>
        <w:tc>
          <w:tcPr>
            <w:tcW w:w="7272" w:type="dxa"/>
            <w:vAlign w:val="center"/>
          </w:tcPr>
          <w:p w:rsidR="0039628A" w:rsidRDefault="0039628A" w:rsidP="00162196">
            <w:pPr>
              <w:pStyle w:val="Default"/>
              <w:spacing w:before="60" w:after="60"/>
              <w:jc w:val="both"/>
              <w:rPr>
                <w:color w:val="auto"/>
                <w:sz w:val="20"/>
                <w:szCs w:val="20"/>
              </w:rPr>
            </w:pPr>
            <w:r w:rsidRPr="00720FC1">
              <w:rPr>
                <w:color w:val="auto"/>
                <w:sz w:val="20"/>
                <w:szCs w:val="20"/>
              </w:rPr>
              <w:t xml:space="preserve">V roce 2014 podnikalo ve zpracovatelském průmyslu 157 podnikajících subjektů, což je o 3 podniky méně, než v roce 2013. Jejich tržby činily více jak 160  mil. Kč a proti předešlému roku zaznamenaly nárůst o 6,7 %. </w:t>
            </w:r>
            <w:r w:rsidRPr="008A0AFF">
              <w:rPr>
                <w:color w:val="auto"/>
                <w:sz w:val="20"/>
                <w:szCs w:val="20"/>
              </w:rPr>
              <w:t xml:space="preserve">K největšímu zvýšení došlo ve výrobě elektrických zařízení o 16,7 % a dále pak ve výrobě </w:t>
            </w:r>
            <w:r w:rsidRPr="008A0AFF">
              <w:rPr>
                <w:color w:val="auto"/>
                <w:sz w:val="20"/>
                <w:szCs w:val="20"/>
              </w:rPr>
              <w:lastRenderedPageBreak/>
              <w:t xml:space="preserve">motorových vozidel (kromě motocyklů), přívěsů a návěsů o 13,7 %. </w:t>
            </w:r>
            <w:r w:rsidRPr="00AE2138">
              <w:rPr>
                <w:color w:val="auto"/>
                <w:sz w:val="20"/>
                <w:szCs w:val="20"/>
              </w:rPr>
              <w:t xml:space="preserve">V odvětvích jako jsou </w:t>
            </w:r>
            <w:r>
              <w:rPr>
                <w:color w:val="auto"/>
                <w:sz w:val="20"/>
                <w:szCs w:val="20"/>
              </w:rPr>
              <w:t xml:space="preserve">výroba </w:t>
            </w:r>
            <w:r w:rsidRPr="00AE2138">
              <w:rPr>
                <w:color w:val="auto"/>
                <w:sz w:val="20"/>
                <w:szCs w:val="20"/>
              </w:rPr>
              <w:t>ostatních dopravních prostředků a zařízení</w:t>
            </w:r>
            <w:r>
              <w:rPr>
                <w:color w:val="auto"/>
                <w:sz w:val="20"/>
                <w:szCs w:val="20"/>
              </w:rPr>
              <w:t xml:space="preserve"> </w:t>
            </w:r>
            <w:r w:rsidRPr="00AE2138">
              <w:rPr>
                <w:color w:val="auto"/>
                <w:sz w:val="20"/>
                <w:szCs w:val="20"/>
              </w:rPr>
              <w:t>došlo k poklesu tržeb o 13,9 %.</w:t>
            </w:r>
          </w:p>
          <w:p w:rsidR="0039628A" w:rsidRPr="00AE2138" w:rsidRDefault="0039628A" w:rsidP="00162196">
            <w:pPr>
              <w:pStyle w:val="Default"/>
              <w:spacing w:before="60" w:after="60"/>
              <w:jc w:val="both"/>
              <w:rPr>
                <w:color w:val="auto"/>
                <w:sz w:val="20"/>
                <w:szCs w:val="20"/>
              </w:rPr>
            </w:pPr>
            <w:r w:rsidRPr="00AB3E5C">
              <w:rPr>
                <w:color w:val="auto"/>
                <w:sz w:val="20"/>
                <w:szCs w:val="20"/>
              </w:rPr>
              <w:t xml:space="preserve">Stejně jak rostly tržby ve zpracovatelském průmyslu, rostly i tržby bez DPH za přímý vývoz zpracovatelského průmyslu. Jejich meziroční nárůst byl zaznamenán o 8,4 %. Nejvíce vzrostly ve výrobě </w:t>
            </w:r>
            <w:r w:rsidRPr="008D45A4">
              <w:rPr>
                <w:color w:val="auto"/>
                <w:sz w:val="20"/>
                <w:szCs w:val="20"/>
              </w:rPr>
              <w:t>motorových vozidel (kromě motocyklů), přívěsů a návěsů</w:t>
            </w:r>
            <w:r>
              <w:rPr>
                <w:color w:val="auto"/>
                <w:sz w:val="20"/>
                <w:szCs w:val="20"/>
              </w:rPr>
              <w:t xml:space="preserve"> </w:t>
            </w:r>
            <w:r w:rsidRPr="008D45A4">
              <w:rPr>
                <w:color w:val="auto"/>
                <w:sz w:val="20"/>
                <w:szCs w:val="20"/>
              </w:rPr>
              <w:t>a to o 22,9 % a dále pak ve výrobě potravinářských výrobků</w:t>
            </w:r>
            <w:r>
              <w:rPr>
                <w:color w:val="auto"/>
                <w:sz w:val="20"/>
                <w:szCs w:val="20"/>
              </w:rPr>
              <w:t xml:space="preserve"> </w:t>
            </w:r>
            <w:r w:rsidRPr="008D45A4">
              <w:rPr>
                <w:color w:val="auto"/>
                <w:sz w:val="20"/>
                <w:szCs w:val="20"/>
              </w:rPr>
              <w:t>o 21,0 %. Naopak největší pokles zaznamenala v</w:t>
            </w:r>
            <w:r w:rsidRPr="00F54B31">
              <w:rPr>
                <w:color w:val="auto"/>
                <w:sz w:val="20"/>
                <w:szCs w:val="20"/>
              </w:rPr>
              <w:t xml:space="preserve">ýroba ostatních dopravních prostředků a zařízení (o 14,2 %), dále pak ve výrobě strojů a zařízení </w:t>
            </w:r>
            <w:proofErr w:type="spellStart"/>
            <w:r w:rsidRPr="00F54B31">
              <w:rPr>
                <w:color w:val="auto"/>
                <w:sz w:val="20"/>
                <w:szCs w:val="20"/>
              </w:rPr>
              <w:t>j</w:t>
            </w:r>
            <w:proofErr w:type="spellEnd"/>
            <w:r w:rsidRPr="00F54B31">
              <w:rPr>
                <w:color w:val="auto"/>
                <w:sz w:val="20"/>
                <w:szCs w:val="20"/>
              </w:rPr>
              <w:t>. n. o 5,3 %.</w:t>
            </w:r>
          </w:p>
          <w:p w:rsidR="00901E08" w:rsidRDefault="0039628A" w:rsidP="00C852E0">
            <w:pPr>
              <w:pStyle w:val="Default"/>
              <w:spacing w:before="60" w:after="60"/>
              <w:jc w:val="both"/>
              <w:rPr>
                <w:color w:val="auto"/>
                <w:sz w:val="20"/>
                <w:szCs w:val="20"/>
              </w:rPr>
            </w:pPr>
            <w:r w:rsidRPr="00D33C7D">
              <w:rPr>
                <w:color w:val="auto"/>
                <w:sz w:val="20"/>
                <w:szCs w:val="20"/>
              </w:rPr>
              <w:t xml:space="preserve">Podniky ve zpracovatelském průmyslu v roce 2014 zaměstnávaly 47 505 zaměstnanců, což bylo o 4,2 % více než v předešlém roce. Nejvíce vzrostl počet zaměstnanců ve </w:t>
            </w:r>
            <w:r>
              <w:rPr>
                <w:color w:val="auto"/>
                <w:sz w:val="20"/>
                <w:szCs w:val="20"/>
              </w:rPr>
              <w:t>vý</w:t>
            </w:r>
            <w:r w:rsidRPr="00D33C7D">
              <w:rPr>
                <w:color w:val="auto"/>
                <w:sz w:val="20"/>
                <w:szCs w:val="20"/>
              </w:rPr>
              <w:t>rob</w:t>
            </w:r>
            <w:r>
              <w:rPr>
                <w:color w:val="auto"/>
                <w:sz w:val="20"/>
                <w:szCs w:val="20"/>
              </w:rPr>
              <w:t>ě</w:t>
            </w:r>
            <w:r w:rsidRPr="00D33C7D">
              <w:rPr>
                <w:color w:val="auto"/>
                <w:sz w:val="20"/>
                <w:szCs w:val="20"/>
              </w:rPr>
              <w:t xml:space="preserve"> kovových konstrukcí a kovodělných výrobků, kromě strojů a zařízení</w:t>
            </w:r>
            <w:r>
              <w:rPr>
                <w:color w:val="auto"/>
                <w:sz w:val="20"/>
                <w:szCs w:val="20"/>
              </w:rPr>
              <w:t xml:space="preserve"> </w:t>
            </w:r>
            <w:r w:rsidRPr="00D33C7D">
              <w:rPr>
                <w:color w:val="auto"/>
                <w:sz w:val="20"/>
                <w:szCs w:val="20"/>
              </w:rPr>
              <w:t>a to o 10,2 %. Naopak největší pokles počtu zaměstnanců zaznamenala výroba usní a souvisejících výrobků (o 13,4 %).</w:t>
            </w:r>
            <w:r w:rsidRPr="00D33C7D">
              <w:rPr>
                <w:color w:val="auto"/>
                <w:sz w:val="18"/>
                <w:szCs w:val="18"/>
              </w:rPr>
              <w:t xml:space="preserve"> </w:t>
            </w:r>
            <w:r w:rsidRPr="00567550">
              <w:rPr>
                <w:color w:val="auto"/>
                <w:sz w:val="20"/>
                <w:szCs w:val="20"/>
              </w:rPr>
              <w:t xml:space="preserve">Zaměstnanci ve zpracovatelském průmyslu měli průměrnou měsíční mzdu 25 711 Kč, která byla ve srovnání s rokem 2013 vyšší o 787 Kč, tj. o 3,2 %. </w:t>
            </w:r>
            <w:r w:rsidRPr="00D0083E">
              <w:rPr>
                <w:color w:val="auto"/>
                <w:sz w:val="20"/>
                <w:szCs w:val="20"/>
              </w:rPr>
              <w:t>Bezmála o 9 % vzrostla mzda zaměstnancům ve </w:t>
            </w:r>
            <w:r>
              <w:rPr>
                <w:color w:val="auto"/>
                <w:sz w:val="20"/>
                <w:szCs w:val="20"/>
              </w:rPr>
              <w:t>v</w:t>
            </w:r>
            <w:r w:rsidRPr="00D0083E">
              <w:rPr>
                <w:color w:val="auto"/>
                <w:sz w:val="20"/>
                <w:szCs w:val="20"/>
              </w:rPr>
              <w:t>ýrob</w:t>
            </w:r>
            <w:r>
              <w:rPr>
                <w:color w:val="auto"/>
                <w:sz w:val="20"/>
                <w:szCs w:val="20"/>
              </w:rPr>
              <w:t>ě</w:t>
            </w:r>
            <w:r w:rsidRPr="00D0083E">
              <w:rPr>
                <w:color w:val="auto"/>
                <w:sz w:val="20"/>
                <w:szCs w:val="20"/>
              </w:rPr>
              <w:t xml:space="preserve"> usní a souvisejících výrobků. Naopak jako jediným se o 2,0 % snížila mzda zaměstnancům pracujícím ve výrobě elektrických zařízení.</w:t>
            </w:r>
            <w:r>
              <w:rPr>
                <w:color w:val="auto"/>
                <w:sz w:val="20"/>
                <w:szCs w:val="20"/>
              </w:rPr>
              <w:t xml:space="preserve"> </w:t>
            </w:r>
          </w:p>
          <w:p w:rsidR="009D7C1D" w:rsidRPr="002A53D0" w:rsidRDefault="009D7C1D" w:rsidP="00C852E0">
            <w:pPr>
              <w:pStyle w:val="Default"/>
              <w:spacing w:before="60" w:after="60"/>
              <w:jc w:val="both"/>
              <w:rPr>
                <w:color w:val="auto"/>
                <w:szCs w:val="20"/>
                <w:highlight w:val="yellow"/>
              </w:rPr>
            </w:pPr>
          </w:p>
        </w:tc>
      </w:tr>
      <w:tr w:rsidR="00E6523E" w:rsidRPr="007A1746" w:rsidTr="00E6523E">
        <w:trPr>
          <w:cantSplit/>
        </w:trPr>
        <w:tc>
          <w:tcPr>
            <w:tcW w:w="9610" w:type="dxa"/>
            <w:gridSpan w:val="2"/>
          </w:tcPr>
          <w:p w:rsidR="00E6523E" w:rsidRPr="007A1746" w:rsidRDefault="00E6523E" w:rsidP="00A40B60">
            <w:pPr>
              <w:pStyle w:val="text"/>
              <w:jc w:val="left"/>
              <w:rPr>
                <w:highlight w:val="yellow"/>
              </w:rPr>
            </w:pPr>
            <w:r w:rsidRPr="006911B0">
              <w:rPr>
                <w:b/>
                <w:bCs/>
                <w:szCs w:val="20"/>
              </w:rPr>
              <w:lastRenderedPageBreak/>
              <w:t xml:space="preserve">Graf </w:t>
            </w:r>
            <w:r w:rsidR="00543DC1" w:rsidRPr="006911B0">
              <w:rPr>
                <w:b/>
                <w:bCs/>
                <w:szCs w:val="20"/>
              </w:rPr>
              <w:t>3.</w:t>
            </w:r>
            <w:r w:rsidR="006911B0">
              <w:rPr>
                <w:b/>
                <w:bCs/>
                <w:szCs w:val="20"/>
              </w:rPr>
              <w:t>2</w:t>
            </w:r>
            <w:r w:rsidR="00A40B60">
              <w:rPr>
                <w:b/>
                <w:bCs/>
                <w:szCs w:val="20"/>
              </w:rPr>
              <w:t>2</w:t>
            </w:r>
            <w:r w:rsidR="0039628A" w:rsidRPr="005E640D">
              <w:rPr>
                <w:b/>
                <w:bCs/>
                <w:szCs w:val="20"/>
              </w:rPr>
              <w:t xml:space="preserve"> Průměrná hrubá měsíční mzda zaměstnance v průmyslových podnicích v letech 2000 až 201</w:t>
            </w:r>
            <w:r w:rsidR="0039628A">
              <w:rPr>
                <w:b/>
                <w:bCs/>
                <w:szCs w:val="20"/>
              </w:rPr>
              <w:t>4</w:t>
            </w:r>
            <w:r w:rsidR="0039628A" w:rsidRPr="005E640D">
              <w:rPr>
                <w:b/>
                <w:bCs/>
                <w:szCs w:val="20"/>
              </w:rPr>
              <w:t xml:space="preserve"> ve Zlínském kraji a ČR</w:t>
            </w:r>
          </w:p>
        </w:tc>
      </w:tr>
      <w:tr w:rsidR="00E6523E" w:rsidTr="00E6523E">
        <w:trPr>
          <w:cantSplit/>
        </w:trPr>
        <w:tc>
          <w:tcPr>
            <w:tcW w:w="9610" w:type="dxa"/>
            <w:gridSpan w:val="2"/>
          </w:tcPr>
          <w:p w:rsidR="00E6523E" w:rsidRDefault="009956CB" w:rsidP="00E6523E">
            <w:pPr>
              <w:pStyle w:val="text"/>
              <w:jc w:val="center"/>
            </w:pPr>
            <w:r>
              <w:pict>
                <v:shape id="_x0000_i1105" type="#_x0000_t75" style="width:442.5pt;height:221.25pt">
                  <v:imagedata r:id="rId98" o:title=""/>
                </v:shape>
              </w:pict>
            </w:r>
          </w:p>
          <w:p w:rsidR="009D7C1D" w:rsidRDefault="009D7C1D" w:rsidP="00E6523E">
            <w:pPr>
              <w:pStyle w:val="text"/>
              <w:jc w:val="center"/>
            </w:pPr>
          </w:p>
        </w:tc>
      </w:tr>
    </w:tbl>
    <w:p w:rsidR="009F7F32" w:rsidRDefault="009F7F32" w:rsidP="00FF21B4">
      <w:pPr>
        <w:sectPr w:rsidR="009F7F32"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671" w:type="dxa"/>
        <w:tblCellMar>
          <w:left w:w="70" w:type="dxa"/>
          <w:right w:w="70" w:type="dxa"/>
        </w:tblCellMar>
        <w:tblLook w:val="0000"/>
      </w:tblPr>
      <w:tblGrid>
        <w:gridCol w:w="2495"/>
        <w:gridCol w:w="7176"/>
      </w:tblGrid>
      <w:tr w:rsidR="0039628A" w:rsidTr="00D57F11">
        <w:tc>
          <w:tcPr>
            <w:tcW w:w="2495" w:type="dxa"/>
          </w:tcPr>
          <w:p w:rsidR="0039628A" w:rsidRPr="003C3693" w:rsidRDefault="0039628A" w:rsidP="00162196">
            <w:pPr>
              <w:spacing w:before="60" w:after="60"/>
              <w:jc w:val="left"/>
              <w:rPr>
                <w:b/>
                <w:i/>
                <w:szCs w:val="20"/>
                <w:u w:val="single"/>
              </w:rPr>
            </w:pPr>
            <w:r w:rsidRPr="003C3693">
              <w:rPr>
                <w:b/>
                <w:i/>
                <w:szCs w:val="20"/>
                <w:u w:val="single"/>
              </w:rPr>
              <w:lastRenderedPageBreak/>
              <w:t xml:space="preserve">Stavebnictví </w:t>
            </w:r>
          </w:p>
          <w:p w:rsidR="0039628A" w:rsidRPr="003C3693" w:rsidRDefault="0039628A" w:rsidP="00162196">
            <w:pPr>
              <w:spacing w:before="60" w:after="60"/>
              <w:jc w:val="left"/>
              <w:rPr>
                <w:rFonts w:ascii="Times New Roman" w:hAnsi="Times New Roman"/>
                <w:b/>
                <w:i/>
                <w:szCs w:val="20"/>
              </w:rPr>
            </w:pPr>
            <w:r w:rsidRPr="003C3693">
              <w:rPr>
                <w:b/>
                <w:i/>
                <w:szCs w:val="20"/>
              </w:rPr>
              <w:t>Opět došlo ke snížení počtu zaměstnanců</w:t>
            </w:r>
          </w:p>
        </w:tc>
        <w:tc>
          <w:tcPr>
            <w:tcW w:w="7176" w:type="dxa"/>
            <w:vAlign w:val="center"/>
          </w:tcPr>
          <w:p w:rsidR="00901E08" w:rsidRDefault="0039628A" w:rsidP="00C852E0">
            <w:pPr>
              <w:pStyle w:val="Default"/>
              <w:spacing w:before="60" w:after="60"/>
              <w:jc w:val="both"/>
              <w:rPr>
                <w:color w:val="auto"/>
                <w:sz w:val="20"/>
                <w:szCs w:val="20"/>
              </w:rPr>
            </w:pPr>
            <w:r w:rsidRPr="003C3693">
              <w:rPr>
                <w:color w:val="auto"/>
                <w:sz w:val="20"/>
                <w:szCs w:val="20"/>
              </w:rPr>
              <w:t>Ve 43 stavebních firmách s 50 a více zaměstnanci se sídlem v kraji bylo v roce 2014 zaměstnáno 4 727 osob, což je o 0,5 % méně než v předešlém roce.  Jejich počet se během sledovaného období snížil o 14,7 %. Průměrná měsíční mzda ve stavebnictví do roku 2009 stoupala, od roku 2010 měla klesající tendenci a až v roce 2014 opět stoupla. Během 5 let ovšem vzrostla o 2,0 % a</w:t>
            </w:r>
            <w:r w:rsidR="00C852E0">
              <w:rPr>
                <w:color w:val="auto"/>
                <w:sz w:val="20"/>
                <w:szCs w:val="20"/>
              </w:rPr>
              <w:t> </w:t>
            </w:r>
            <w:r w:rsidRPr="003C3693">
              <w:rPr>
                <w:color w:val="auto"/>
                <w:sz w:val="20"/>
                <w:szCs w:val="20"/>
              </w:rPr>
              <w:t>v posledním roce dosáhla na 25 693 Kč. Oproti roku 2013 se zvýšila o 6,2 % a byla pátá nejnižší v ČR. Nižší mzdu měli zaměstnanci v kraji Karlovarském, Královéhradeckém, Olomouckém a Moravskoslezském. Od nejnižší mzdy, kterou měli zaměstnanci v kraji Karlovarském, dostávali zaměstnanci ve Zlínském kraji více o 4 256 Kč. V porovnání s průměrnou republikovou mzdou byli na tom zaměstnanci zlínských podniků hůře o 4 083 Kč.</w:t>
            </w:r>
          </w:p>
          <w:p w:rsidR="009D7C1D" w:rsidRDefault="009D7C1D" w:rsidP="00C852E0">
            <w:pPr>
              <w:pStyle w:val="Default"/>
              <w:spacing w:before="60" w:after="60"/>
              <w:jc w:val="both"/>
              <w:rPr>
                <w:color w:val="auto"/>
                <w:sz w:val="20"/>
                <w:szCs w:val="20"/>
              </w:rPr>
            </w:pPr>
          </w:p>
          <w:p w:rsidR="009D7C1D" w:rsidRDefault="009D7C1D" w:rsidP="00C852E0">
            <w:pPr>
              <w:pStyle w:val="Default"/>
              <w:spacing w:before="60" w:after="60"/>
              <w:jc w:val="both"/>
              <w:rPr>
                <w:color w:val="auto"/>
                <w:sz w:val="20"/>
                <w:szCs w:val="20"/>
              </w:rPr>
            </w:pPr>
          </w:p>
          <w:p w:rsidR="009D7C1D" w:rsidRDefault="009D7C1D" w:rsidP="00C852E0">
            <w:pPr>
              <w:pStyle w:val="Default"/>
              <w:spacing w:before="60" w:after="60"/>
              <w:jc w:val="both"/>
              <w:rPr>
                <w:color w:val="auto"/>
                <w:sz w:val="20"/>
                <w:szCs w:val="20"/>
              </w:rPr>
            </w:pPr>
          </w:p>
          <w:p w:rsidR="009D7C1D" w:rsidRPr="003C3693" w:rsidRDefault="009D7C1D" w:rsidP="00C852E0">
            <w:pPr>
              <w:pStyle w:val="Default"/>
              <w:spacing w:before="60" w:after="60"/>
              <w:jc w:val="both"/>
              <w:rPr>
                <w:color w:val="auto"/>
                <w:sz w:val="20"/>
                <w:szCs w:val="20"/>
              </w:rPr>
            </w:pPr>
          </w:p>
        </w:tc>
      </w:tr>
      <w:tr w:rsidR="00C519E9" w:rsidTr="00D57F11">
        <w:trPr>
          <w:cantSplit/>
        </w:trPr>
        <w:tc>
          <w:tcPr>
            <w:tcW w:w="9671" w:type="dxa"/>
            <w:gridSpan w:val="2"/>
          </w:tcPr>
          <w:p w:rsidR="00C519E9" w:rsidRPr="007A1746" w:rsidRDefault="00CE0463" w:rsidP="00A40B60">
            <w:pPr>
              <w:pStyle w:val="text"/>
              <w:spacing w:after="120"/>
              <w:jc w:val="left"/>
              <w:rPr>
                <w:highlight w:val="yellow"/>
              </w:rPr>
            </w:pPr>
            <w:r w:rsidRPr="006911B0">
              <w:rPr>
                <w:b/>
                <w:bCs/>
                <w:szCs w:val="20"/>
              </w:rPr>
              <w:lastRenderedPageBreak/>
              <w:t xml:space="preserve">Graf </w:t>
            </w:r>
            <w:r w:rsidR="00543DC1" w:rsidRPr="006911B0">
              <w:rPr>
                <w:b/>
                <w:bCs/>
                <w:szCs w:val="20"/>
              </w:rPr>
              <w:t>3.</w:t>
            </w:r>
            <w:r w:rsidR="006911B0" w:rsidRPr="006911B0">
              <w:rPr>
                <w:b/>
                <w:bCs/>
                <w:szCs w:val="20"/>
              </w:rPr>
              <w:t>2</w:t>
            </w:r>
            <w:r w:rsidR="00A40B60">
              <w:rPr>
                <w:b/>
                <w:bCs/>
                <w:szCs w:val="20"/>
              </w:rPr>
              <w:t>3</w:t>
            </w:r>
            <w:r w:rsidRPr="006911B0">
              <w:rPr>
                <w:b/>
                <w:bCs/>
                <w:szCs w:val="20"/>
              </w:rPr>
              <w:t xml:space="preserve"> </w:t>
            </w:r>
            <w:r w:rsidR="00D57F11">
              <w:rPr>
                <w:b/>
                <w:bCs/>
                <w:szCs w:val="20"/>
              </w:rPr>
              <w:t>Základní stavební výroba (ZSV) podle sídla podniku ve Zlínském kraji v letech 2008 až 2014</w:t>
            </w:r>
          </w:p>
        </w:tc>
      </w:tr>
      <w:tr w:rsidR="00C519E9" w:rsidTr="00D57F11">
        <w:trPr>
          <w:cantSplit/>
        </w:trPr>
        <w:tc>
          <w:tcPr>
            <w:tcW w:w="9671" w:type="dxa"/>
            <w:gridSpan w:val="2"/>
          </w:tcPr>
          <w:p w:rsidR="00CE0463" w:rsidRPr="007A1746" w:rsidRDefault="009956CB" w:rsidP="00C852E0">
            <w:pPr>
              <w:pStyle w:val="text"/>
              <w:jc w:val="center"/>
              <w:rPr>
                <w:highlight w:val="yellow"/>
              </w:rPr>
            </w:pPr>
            <w:r>
              <w:pict>
                <v:shape id="_x0000_i1106" type="#_x0000_t75" style="width:455.25pt;height:203.25pt">
                  <v:imagedata r:id="rId99" o:title=""/>
                </v:shape>
              </w:pict>
            </w:r>
          </w:p>
        </w:tc>
      </w:tr>
      <w:tr w:rsidR="00D57F11" w:rsidTr="00D57F11">
        <w:tc>
          <w:tcPr>
            <w:tcW w:w="2495" w:type="dxa"/>
          </w:tcPr>
          <w:p w:rsidR="00D57F11" w:rsidRPr="002A53D0" w:rsidRDefault="00D57F11" w:rsidP="00162196">
            <w:pPr>
              <w:spacing w:before="60" w:after="60"/>
              <w:jc w:val="left"/>
              <w:rPr>
                <w:rFonts w:ascii="Times New Roman" w:hAnsi="Times New Roman"/>
                <w:b/>
                <w:i/>
                <w:szCs w:val="20"/>
                <w:highlight w:val="yellow"/>
              </w:rPr>
            </w:pPr>
            <w:r w:rsidRPr="00755902">
              <w:rPr>
                <w:b/>
                <w:i/>
                <w:szCs w:val="20"/>
              </w:rPr>
              <w:t>Objem základní stavební výroby v roce 2014 vzrostl</w:t>
            </w:r>
          </w:p>
        </w:tc>
        <w:tc>
          <w:tcPr>
            <w:tcW w:w="7176" w:type="dxa"/>
            <w:vAlign w:val="center"/>
          </w:tcPr>
          <w:p w:rsidR="00D57F11" w:rsidRPr="002A53D0" w:rsidRDefault="00D57F11" w:rsidP="00162196">
            <w:pPr>
              <w:pStyle w:val="Default"/>
              <w:spacing w:before="60" w:after="60"/>
              <w:jc w:val="both"/>
              <w:rPr>
                <w:color w:val="auto"/>
                <w:sz w:val="20"/>
                <w:szCs w:val="20"/>
                <w:highlight w:val="yellow"/>
              </w:rPr>
            </w:pPr>
            <w:r w:rsidRPr="0065374F">
              <w:rPr>
                <w:color w:val="auto"/>
                <w:sz w:val="20"/>
                <w:szCs w:val="20"/>
              </w:rPr>
              <w:t>Objem základní stavební výroby (ZSV) měl od počátku sledovaného období klesající tendenci. Teprve v loni vzrostl meziročně o 11,2 %.</w:t>
            </w:r>
            <w:r>
              <w:rPr>
                <w:color w:val="auto"/>
                <w:sz w:val="20"/>
                <w:szCs w:val="20"/>
              </w:rPr>
              <w:t xml:space="preserve"> </w:t>
            </w:r>
            <w:r w:rsidRPr="0065374F">
              <w:rPr>
                <w:color w:val="auto"/>
                <w:sz w:val="20"/>
                <w:szCs w:val="20"/>
              </w:rPr>
              <w:t xml:space="preserve">Pokles za celé sledované období činil 21,5 %. Objem ZSV u pozemního stavitelství v kraji měl stejný trend a během pětiletého období klesl o 15,1 %. V roce 2014 meziročně stoupl o 8,3 %. </w:t>
            </w:r>
            <w:r w:rsidRPr="00BE29DB">
              <w:rPr>
                <w:color w:val="auto"/>
                <w:sz w:val="20"/>
                <w:szCs w:val="20"/>
              </w:rPr>
              <w:t>Naprosto stejnou tendenci měl objem ZSV u inženýrského stavitelství, který během pěti let klesl o 32,6 % a naopak meziročně vzrostl o</w:t>
            </w:r>
            <w:r w:rsidR="00901E08">
              <w:rPr>
                <w:color w:val="auto"/>
                <w:sz w:val="20"/>
                <w:szCs w:val="20"/>
              </w:rPr>
              <w:t> </w:t>
            </w:r>
            <w:r w:rsidRPr="00BE29DB">
              <w:rPr>
                <w:color w:val="auto"/>
                <w:sz w:val="20"/>
                <w:szCs w:val="20"/>
              </w:rPr>
              <w:t>14,6 %. V roce 2014 se na objemu ZSV podílel 44,1 %.</w:t>
            </w:r>
          </w:p>
          <w:p w:rsidR="00D57F11" w:rsidRDefault="00D57F11" w:rsidP="00162196">
            <w:pPr>
              <w:pStyle w:val="Default"/>
              <w:spacing w:before="60" w:after="60"/>
              <w:jc w:val="both"/>
              <w:rPr>
                <w:color w:val="auto"/>
                <w:sz w:val="20"/>
                <w:szCs w:val="20"/>
              </w:rPr>
            </w:pPr>
            <w:r w:rsidRPr="00C05A3A">
              <w:rPr>
                <w:color w:val="auto"/>
                <w:sz w:val="20"/>
                <w:szCs w:val="20"/>
              </w:rPr>
              <w:t xml:space="preserve">Stavební práce podle dodavatelských smluv v tuzemsku podle okresu místa stavby za subjekty s více jak 20 zaměstnanci od roku 2009 měly klesající tendenci do roku 2014, kde došlo meziročnímu nárůstu o 5,9 %. Pokles ve sledovaném období činil 20,3 %. </w:t>
            </w:r>
          </w:p>
          <w:p w:rsidR="00901E08" w:rsidRPr="002A53D0" w:rsidRDefault="00901E08" w:rsidP="00162196">
            <w:pPr>
              <w:pStyle w:val="Default"/>
              <w:spacing w:before="60" w:after="60"/>
              <w:jc w:val="both"/>
              <w:rPr>
                <w:color w:val="auto"/>
                <w:sz w:val="20"/>
                <w:szCs w:val="20"/>
                <w:highlight w:val="yellow"/>
              </w:rPr>
            </w:pPr>
          </w:p>
        </w:tc>
      </w:tr>
      <w:tr w:rsidR="00CD5D79" w:rsidTr="00D57F11">
        <w:trPr>
          <w:cantSplit/>
        </w:trPr>
        <w:tc>
          <w:tcPr>
            <w:tcW w:w="9671" w:type="dxa"/>
            <w:gridSpan w:val="2"/>
          </w:tcPr>
          <w:p w:rsidR="00CD5D79" w:rsidRPr="007A1746" w:rsidRDefault="00CD5D79" w:rsidP="00A40B60">
            <w:pPr>
              <w:pStyle w:val="text"/>
              <w:spacing w:before="120"/>
              <w:jc w:val="left"/>
              <w:rPr>
                <w:highlight w:val="yellow"/>
              </w:rPr>
            </w:pPr>
            <w:r w:rsidRPr="006911B0">
              <w:rPr>
                <w:b/>
                <w:bCs/>
                <w:szCs w:val="20"/>
              </w:rPr>
              <w:t xml:space="preserve">Graf </w:t>
            </w:r>
            <w:r w:rsidR="00543DC1" w:rsidRPr="006911B0">
              <w:rPr>
                <w:b/>
                <w:bCs/>
                <w:szCs w:val="20"/>
              </w:rPr>
              <w:t>3.2</w:t>
            </w:r>
            <w:r w:rsidR="00A40B60">
              <w:rPr>
                <w:b/>
                <w:bCs/>
                <w:szCs w:val="20"/>
              </w:rPr>
              <w:t>4</w:t>
            </w:r>
            <w:r w:rsidR="00543DC1" w:rsidRPr="006911B0">
              <w:rPr>
                <w:b/>
                <w:bCs/>
                <w:szCs w:val="20"/>
              </w:rPr>
              <w:t xml:space="preserve"> </w:t>
            </w:r>
            <w:r w:rsidR="00D57F11" w:rsidRPr="000D4BF6">
              <w:rPr>
                <w:b/>
                <w:bCs/>
                <w:szCs w:val="20"/>
              </w:rPr>
              <w:t>Stavební práce podle dodavatelských smluv v tuzemsku podle okresu místa stavby v okresech Zlínského kraje v letech 2008 - 2014</w:t>
            </w:r>
          </w:p>
        </w:tc>
      </w:tr>
      <w:tr w:rsidR="00CD5D79" w:rsidTr="00D57F11">
        <w:trPr>
          <w:cantSplit/>
        </w:trPr>
        <w:tc>
          <w:tcPr>
            <w:tcW w:w="9671" w:type="dxa"/>
            <w:gridSpan w:val="2"/>
          </w:tcPr>
          <w:p w:rsidR="00CD5D79" w:rsidRPr="007A1746" w:rsidRDefault="009956CB" w:rsidP="00D55671">
            <w:pPr>
              <w:pStyle w:val="text"/>
              <w:jc w:val="left"/>
              <w:rPr>
                <w:highlight w:val="yellow"/>
              </w:rPr>
            </w:pPr>
            <w:r>
              <w:pict>
                <v:shape id="_x0000_i1107" type="#_x0000_t75" style="width:426.75pt;height:213.75pt">
                  <v:imagedata r:id="rId100" o:title=""/>
                </v:shape>
              </w:pict>
            </w:r>
          </w:p>
        </w:tc>
      </w:tr>
      <w:tr w:rsidR="00D57F11" w:rsidTr="00D57F11">
        <w:tc>
          <w:tcPr>
            <w:tcW w:w="2495" w:type="dxa"/>
          </w:tcPr>
          <w:p w:rsidR="00D57F11" w:rsidRPr="0083183F" w:rsidRDefault="00D57F11" w:rsidP="00901E08">
            <w:pPr>
              <w:spacing w:before="60" w:after="60"/>
              <w:jc w:val="left"/>
              <w:rPr>
                <w:b/>
                <w:i/>
                <w:szCs w:val="20"/>
              </w:rPr>
            </w:pPr>
            <w:r w:rsidRPr="0083183F">
              <w:rPr>
                <w:b/>
                <w:i/>
                <w:szCs w:val="20"/>
              </w:rPr>
              <w:t>Práce na stavbách začaly stoupat</w:t>
            </w:r>
          </w:p>
        </w:tc>
        <w:tc>
          <w:tcPr>
            <w:tcW w:w="7176" w:type="dxa"/>
            <w:vAlign w:val="center"/>
          </w:tcPr>
          <w:p w:rsidR="00D57F11" w:rsidRDefault="00D57F11" w:rsidP="00162196">
            <w:pPr>
              <w:pStyle w:val="Default"/>
              <w:spacing w:before="60" w:after="60"/>
              <w:jc w:val="both"/>
              <w:rPr>
                <w:color w:val="auto"/>
                <w:sz w:val="20"/>
                <w:szCs w:val="20"/>
              </w:rPr>
            </w:pPr>
            <w:r w:rsidRPr="0083183F">
              <w:rPr>
                <w:color w:val="auto"/>
                <w:sz w:val="20"/>
                <w:szCs w:val="20"/>
              </w:rPr>
              <w:t xml:space="preserve">Na stavbách ve Zlínském kraji byly v roce 2014 provedeny stavební práce v hodnotě 10,8 mld. Kč, což představuje 4,5 % z objemu prací provedených v ČR. </w:t>
            </w:r>
          </w:p>
          <w:p w:rsidR="009D7C1D" w:rsidRDefault="009D7C1D" w:rsidP="00162196">
            <w:pPr>
              <w:pStyle w:val="Default"/>
              <w:spacing w:before="60" w:after="60"/>
              <w:jc w:val="both"/>
              <w:rPr>
                <w:color w:val="auto"/>
                <w:sz w:val="20"/>
                <w:szCs w:val="20"/>
              </w:rPr>
            </w:pPr>
          </w:p>
          <w:p w:rsidR="009D7C1D" w:rsidRPr="0083183F" w:rsidRDefault="009D7C1D" w:rsidP="00162196">
            <w:pPr>
              <w:pStyle w:val="Default"/>
              <w:spacing w:before="60" w:after="60"/>
              <w:jc w:val="both"/>
              <w:rPr>
                <w:color w:val="auto"/>
                <w:sz w:val="20"/>
                <w:szCs w:val="20"/>
              </w:rPr>
            </w:pPr>
          </w:p>
        </w:tc>
      </w:tr>
      <w:tr w:rsidR="00094631" w:rsidTr="00D57F11">
        <w:trPr>
          <w:cantSplit/>
        </w:trPr>
        <w:tc>
          <w:tcPr>
            <w:tcW w:w="9671" w:type="dxa"/>
            <w:gridSpan w:val="2"/>
          </w:tcPr>
          <w:p w:rsidR="00094631" w:rsidRPr="007A1746" w:rsidRDefault="006911B0" w:rsidP="00A40B60">
            <w:pPr>
              <w:pStyle w:val="text"/>
              <w:jc w:val="left"/>
              <w:rPr>
                <w:highlight w:val="yellow"/>
              </w:rPr>
            </w:pPr>
            <w:r>
              <w:rPr>
                <w:b/>
                <w:bCs/>
                <w:szCs w:val="20"/>
              </w:rPr>
              <w:lastRenderedPageBreak/>
              <w:t>Graf 3.2</w:t>
            </w:r>
            <w:r w:rsidR="00A40B60">
              <w:rPr>
                <w:b/>
                <w:bCs/>
                <w:szCs w:val="20"/>
              </w:rPr>
              <w:t>5</w:t>
            </w:r>
            <w:r>
              <w:rPr>
                <w:b/>
                <w:bCs/>
                <w:szCs w:val="20"/>
              </w:rPr>
              <w:t xml:space="preserve"> </w:t>
            </w:r>
            <w:r w:rsidR="00A76F67" w:rsidRPr="00A92234">
              <w:rPr>
                <w:b/>
                <w:bCs/>
                <w:szCs w:val="20"/>
              </w:rPr>
              <w:t>Stavební práce pro veřejného zadavatele v okresech Zlínského kraje v letech 2008 – 2014</w:t>
            </w:r>
          </w:p>
        </w:tc>
      </w:tr>
      <w:tr w:rsidR="00094631" w:rsidTr="00D57F11">
        <w:trPr>
          <w:cantSplit/>
        </w:trPr>
        <w:tc>
          <w:tcPr>
            <w:tcW w:w="9671" w:type="dxa"/>
            <w:gridSpan w:val="2"/>
          </w:tcPr>
          <w:p w:rsidR="00094631" w:rsidRPr="007A1746" w:rsidRDefault="009956CB" w:rsidP="00F83508">
            <w:pPr>
              <w:pStyle w:val="text"/>
              <w:jc w:val="center"/>
              <w:rPr>
                <w:highlight w:val="yellow"/>
              </w:rPr>
            </w:pPr>
            <w:r>
              <w:pict>
                <v:shape id="_x0000_i1108" type="#_x0000_t75" style="width:410.25pt;height:232.5pt">
                  <v:imagedata r:id="rId101" o:title=""/>
                </v:shape>
              </w:pict>
            </w:r>
          </w:p>
        </w:tc>
      </w:tr>
    </w:tbl>
    <w:p w:rsidR="00A5044F" w:rsidRDefault="00A5044F" w:rsidP="00FF21B4">
      <w:pPr>
        <w:sectPr w:rsidR="00A5044F"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610" w:type="dxa"/>
        <w:tblCellMar>
          <w:left w:w="70" w:type="dxa"/>
          <w:right w:w="70" w:type="dxa"/>
        </w:tblCellMar>
        <w:tblLook w:val="0000"/>
      </w:tblPr>
      <w:tblGrid>
        <w:gridCol w:w="2410"/>
        <w:gridCol w:w="7200"/>
      </w:tblGrid>
      <w:tr w:rsidR="00A76F67" w:rsidTr="00162196">
        <w:tc>
          <w:tcPr>
            <w:tcW w:w="2410" w:type="dxa"/>
          </w:tcPr>
          <w:p w:rsidR="00A76F67" w:rsidRPr="002A53D0" w:rsidRDefault="00A76F67" w:rsidP="00162196">
            <w:pPr>
              <w:spacing w:before="60" w:after="60"/>
              <w:jc w:val="left"/>
              <w:rPr>
                <w:b/>
                <w:i/>
                <w:szCs w:val="20"/>
                <w:highlight w:val="yellow"/>
              </w:rPr>
            </w:pPr>
            <w:r w:rsidRPr="00C4501E">
              <w:rPr>
                <w:b/>
                <w:i/>
                <w:szCs w:val="20"/>
              </w:rPr>
              <w:lastRenderedPageBreak/>
              <w:t>Čtvrtá nejnižší stavební aktivita</w:t>
            </w:r>
          </w:p>
        </w:tc>
        <w:tc>
          <w:tcPr>
            <w:tcW w:w="7200" w:type="dxa"/>
            <w:vAlign w:val="center"/>
          </w:tcPr>
          <w:p w:rsidR="00A76F67" w:rsidRPr="00C4501E" w:rsidRDefault="00A76F67" w:rsidP="00162196">
            <w:pPr>
              <w:pStyle w:val="Default"/>
              <w:spacing w:before="60" w:after="60"/>
              <w:jc w:val="both"/>
              <w:rPr>
                <w:color w:val="auto"/>
                <w:sz w:val="20"/>
                <w:szCs w:val="20"/>
              </w:rPr>
            </w:pPr>
            <w:r w:rsidRPr="00C4501E">
              <w:rPr>
                <w:color w:val="auto"/>
                <w:sz w:val="20"/>
                <w:szCs w:val="20"/>
              </w:rPr>
              <w:t xml:space="preserve">V přepočtu na jednoho obyvatele je stavební aktivita v kraji ve srovnání s republikou čtvrtá nejnižší. Nižší aktivita byla zaznamenána již jen v kraji Středočeském, Libereckém a Olomouckém. </w:t>
            </w:r>
          </w:p>
          <w:p w:rsidR="00A76F67" w:rsidRPr="002A53D0" w:rsidRDefault="00A76F67" w:rsidP="00162196">
            <w:pPr>
              <w:pStyle w:val="Default"/>
              <w:spacing w:before="60" w:after="60"/>
              <w:jc w:val="both"/>
              <w:rPr>
                <w:color w:val="auto"/>
                <w:sz w:val="20"/>
                <w:szCs w:val="20"/>
                <w:highlight w:val="yellow"/>
              </w:rPr>
            </w:pPr>
            <w:r w:rsidRPr="000600A4">
              <w:rPr>
                <w:color w:val="auto"/>
                <w:sz w:val="20"/>
                <w:szCs w:val="20"/>
              </w:rPr>
              <w:t>Dlouhodobě nižší objem stavebních prací byl lokalizován v okrese Uherské Hradiště, naopak vyšší stavební aktivitu než je krajský průměr měl okres Zlín.</w:t>
            </w:r>
          </w:p>
        </w:tc>
      </w:tr>
      <w:tr w:rsidR="00A76F67" w:rsidRPr="005A099E" w:rsidTr="00162196">
        <w:tc>
          <w:tcPr>
            <w:tcW w:w="2410" w:type="dxa"/>
          </w:tcPr>
          <w:p w:rsidR="00A76F67" w:rsidRPr="002A53D0" w:rsidRDefault="00A76F67" w:rsidP="00162196">
            <w:pPr>
              <w:spacing w:before="60" w:after="60"/>
              <w:jc w:val="left"/>
              <w:rPr>
                <w:b/>
                <w:i/>
                <w:szCs w:val="20"/>
                <w:highlight w:val="yellow"/>
              </w:rPr>
            </w:pPr>
            <w:r w:rsidRPr="001016D0">
              <w:rPr>
                <w:b/>
                <w:i/>
                <w:szCs w:val="20"/>
              </w:rPr>
              <w:t xml:space="preserve">Objem prací pro veřejné zadavatele v kraji v roce 2014 mírně vzrostl </w:t>
            </w:r>
          </w:p>
        </w:tc>
        <w:tc>
          <w:tcPr>
            <w:tcW w:w="7200" w:type="dxa"/>
            <w:vAlign w:val="center"/>
          </w:tcPr>
          <w:p w:rsidR="00A76F67" w:rsidRDefault="00A76F67" w:rsidP="00162196">
            <w:pPr>
              <w:pStyle w:val="Default"/>
              <w:spacing w:before="60" w:after="60"/>
              <w:jc w:val="both"/>
              <w:rPr>
                <w:color w:val="auto"/>
                <w:sz w:val="20"/>
                <w:szCs w:val="20"/>
              </w:rPr>
            </w:pPr>
            <w:r w:rsidRPr="002F604D">
              <w:rPr>
                <w:color w:val="auto"/>
                <w:sz w:val="20"/>
                <w:szCs w:val="20"/>
              </w:rPr>
              <w:t>Z objemu provedených stavebních prací v kraji v roce 2014 připadá 39,6 % pro veřejné zadavatele. V průběhu sledovaného období objem těchto prací klesl o</w:t>
            </w:r>
            <w:r w:rsidR="00041AB0">
              <w:rPr>
                <w:color w:val="auto"/>
                <w:sz w:val="20"/>
                <w:szCs w:val="20"/>
              </w:rPr>
              <w:t> </w:t>
            </w:r>
            <w:r w:rsidRPr="002F604D">
              <w:rPr>
                <w:color w:val="auto"/>
                <w:sz w:val="20"/>
                <w:szCs w:val="20"/>
              </w:rPr>
              <w:t xml:space="preserve">23,9 %. Největší podíl prací pro veřejné zadavatele v letech 2009 – 2014 byl realizován v okrese Zlín. V okrese Kroměříž byl zaznamenán největší propad těchto prací a to o 73,0 % </w:t>
            </w:r>
          </w:p>
          <w:p w:rsidR="00901E08" w:rsidRPr="002A53D0" w:rsidRDefault="00901E08" w:rsidP="00162196">
            <w:pPr>
              <w:pStyle w:val="Default"/>
              <w:spacing w:before="60" w:after="60"/>
              <w:jc w:val="both"/>
              <w:rPr>
                <w:color w:val="auto"/>
                <w:sz w:val="20"/>
                <w:szCs w:val="20"/>
                <w:highlight w:val="yellow"/>
              </w:rPr>
            </w:pPr>
          </w:p>
        </w:tc>
      </w:tr>
    </w:tbl>
    <w:p w:rsidR="00A5044F" w:rsidRPr="005A099E" w:rsidRDefault="00A5044F" w:rsidP="00FF21B4">
      <w:pPr>
        <w:rPr>
          <w:highlight w:val="yellow"/>
        </w:rPr>
        <w:sectPr w:rsidR="00A5044F" w:rsidRPr="005A099E"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724" w:type="dxa"/>
        <w:tblInd w:w="-15" w:type="dxa"/>
        <w:tblLayout w:type="fixed"/>
        <w:tblCellMar>
          <w:left w:w="70" w:type="dxa"/>
          <w:right w:w="70" w:type="dxa"/>
        </w:tblCellMar>
        <w:tblLook w:val="0000"/>
      </w:tblPr>
      <w:tblGrid>
        <w:gridCol w:w="2456"/>
        <w:gridCol w:w="2591"/>
        <w:gridCol w:w="4677"/>
      </w:tblGrid>
      <w:tr w:rsidR="00A76F67" w:rsidRPr="005A099E" w:rsidTr="00A76F67">
        <w:tc>
          <w:tcPr>
            <w:tcW w:w="2456" w:type="dxa"/>
          </w:tcPr>
          <w:p w:rsidR="00A76F67" w:rsidRPr="00D750DA" w:rsidRDefault="00A76F67" w:rsidP="00162196">
            <w:pPr>
              <w:pStyle w:val="NORMAArialCE"/>
              <w:spacing w:before="60" w:after="60"/>
              <w:jc w:val="left"/>
              <w:rPr>
                <w:b/>
                <w:bCs/>
                <w:i/>
                <w:iCs/>
                <w:u w:val="single"/>
              </w:rPr>
            </w:pPr>
            <w:r w:rsidRPr="00D750DA">
              <w:rPr>
                <w:b/>
                <w:bCs/>
                <w:i/>
                <w:iCs/>
                <w:u w:val="single"/>
              </w:rPr>
              <w:lastRenderedPageBreak/>
              <w:t xml:space="preserve">Stavební povolení </w:t>
            </w:r>
          </w:p>
          <w:p w:rsidR="00A76F67" w:rsidRPr="002A53D0" w:rsidRDefault="00A76F67" w:rsidP="00503DB3">
            <w:pPr>
              <w:pStyle w:val="NORMAArialCE"/>
              <w:spacing w:before="60" w:after="60"/>
              <w:jc w:val="left"/>
              <w:rPr>
                <w:b/>
                <w:bCs/>
                <w:i/>
                <w:iCs/>
                <w:highlight w:val="yellow"/>
                <w:u w:val="single"/>
              </w:rPr>
            </w:pPr>
            <w:r w:rsidRPr="00310DC8">
              <w:rPr>
                <w:b/>
                <w:i/>
                <w:szCs w:val="20"/>
              </w:rPr>
              <w:t>Klesají počty stavebních povolení a</w:t>
            </w:r>
            <w:r w:rsidR="00503DB3">
              <w:rPr>
                <w:b/>
                <w:i/>
                <w:szCs w:val="20"/>
              </w:rPr>
              <w:t> </w:t>
            </w:r>
            <w:r w:rsidRPr="00310DC8">
              <w:rPr>
                <w:b/>
                <w:i/>
                <w:szCs w:val="20"/>
              </w:rPr>
              <w:t>taktéž celková orientační hodnota staveb</w:t>
            </w:r>
            <w:r w:rsidRPr="00D750DA">
              <w:rPr>
                <w:b/>
                <w:bCs/>
                <w:i/>
                <w:iCs/>
              </w:rPr>
              <w:t xml:space="preserve"> </w:t>
            </w:r>
          </w:p>
        </w:tc>
        <w:tc>
          <w:tcPr>
            <w:tcW w:w="7268" w:type="dxa"/>
            <w:gridSpan w:val="2"/>
          </w:tcPr>
          <w:p w:rsidR="00A76F67" w:rsidRPr="00FE1FA2" w:rsidRDefault="00A76F67" w:rsidP="00162196">
            <w:pPr>
              <w:pStyle w:val="Default"/>
              <w:spacing w:before="60" w:after="60"/>
              <w:jc w:val="both"/>
              <w:rPr>
                <w:color w:val="auto"/>
                <w:sz w:val="20"/>
                <w:szCs w:val="20"/>
              </w:rPr>
            </w:pPr>
            <w:r w:rsidRPr="00FE1FA2">
              <w:rPr>
                <w:color w:val="auto"/>
                <w:sz w:val="20"/>
                <w:szCs w:val="20"/>
              </w:rPr>
              <w:t>Stavební úřady na území kraje vydaly během roku 2014 celkem 3 751 stavebních povolení v orientační hodnotě staveb 9 814 mil Kč. Ve srovnání s</w:t>
            </w:r>
            <w:r w:rsidR="00041AB0">
              <w:rPr>
                <w:color w:val="auto"/>
                <w:sz w:val="20"/>
                <w:szCs w:val="20"/>
              </w:rPr>
              <w:t> </w:t>
            </w:r>
            <w:r w:rsidRPr="00FE1FA2">
              <w:rPr>
                <w:color w:val="auto"/>
                <w:sz w:val="20"/>
                <w:szCs w:val="20"/>
              </w:rPr>
              <w:t>předchozím rokem počet stavebních povolení klesl o 271 (tj. o 6,7 %) a</w:t>
            </w:r>
            <w:r w:rsidR="00041AB0">
              <w:rPr>
                <w:color w:val="auto"/>
                <w:sz w:val="20"/>
                <w:szCs w:val="20"/>
              </w:rPr>
              <w:t> </w:t>
            </w:r>
            <w:r w:rsidRPr="00FE1FA2">
              <w:rPr>
                <w:color w:val="auto"/>
                <w:sz w:val="20"/>
                <w:szCs w:val="20"/>
              </w:rPr>
              <w:t xml:space="preserve">orientační hodnota staveb se meziročně snížila o 0,9 %. </w:t>
            </w:r>
            <w:r>
              <w:rPr>
                <w:color w:val="auto"/>
                <w:sz w:val="20"/>
                <w:szCs w:val="20"/>
              </w:rPr>
              <w:t>Naopak p</w:t>
            </w:r>
            <w:r w:rsidRPr="00FE1FA2">
              <w:rPr>
                <w:color w:val="auto"/>
                <w:sz w:val="20"/>
                <w:szCs w:val="20"/>
              </w:rPr>
              <w:t>růměrná hodnota jednoho stavebního povolení vzrostla z 2 461 tis. Kč v roce 2013 na 2 616 tis. Kč v</w:t>
            </w:r>
            <w:r>
              <w:rPr>
                <w:color w:val="auto"/>
                <w:sz w:val="20"/>
                <w:szCs w:val="20"/>
              </w:rPr>
              <w:t> </w:t>
            </w:r>
            <w:r w:rsidRPr="00FE1FA2">
              <w:rPr>
                <w:color w:val="auto"/>
                <w:sz w:val="20"/>
                <w:szCs w:val="20"/>
              </w:rPr>
              <w:t>roce</w:t>
            </w:r>
            <w:r>
              <w:rPr>
                <w:color w:val="auto"/>
                <w:sz w:val="20"/>
                <w:szCs w:val="20"/>
              </w:rPr>
              <w:t xml:space="preserve"> 2014</w:t>
            </w:r>
            <w:r w:rsidRPr="00FE1FA2">
              <w:rPr>
                <w:color w:val="auto"/>
                <w:sz w:val="20"/>
                <w:szCs w:val="20"/>
              </w:rPr>
              <w:t xml:space="preserve">. Největší podíl na celkovém počtu </w:t>
            </w:r>
            <w:r>
              <w:rPr>
                <w:color w:val="auto"/>
                <w:sz w:val="20"/>
                <w:szCs w:val="20"/>
              </w:rPr>
              <w:t>s</w:t>
            </w:r>
            <w:r w:rsidRPr="00FE1FA2">
              <w:rPr>
                <w:color w:val="auto"/>
                <w:sz w:val="20"/>
                <w:szCs w:val="20"/>
              </w:rPr>
              <w:t xml:space="preserve">tavebních povolení měly stavby – budovy 57,8 %. Podíl staveb na ochranu životního prostředí činil 16,6 % a u ostatních staveb 25,6 %. Na celkovém počtu stavebních povolení na budovy převažoval podíl změn dokončených staveb nad novou výstavbou o 12,8 procentního bodu. </w:t>
            </w:r>
          </w:p>
          <w:p w:rsidR="00901E08" w:rsidRPr="00FE1FA2" w:rsidRDefault="00A76F67" w:rsidP="00C852E0">
            <w:pPr>
              <w:pStyle w:val="Default"/>
              <w:spacing w:before="60" w:after="60"/>
              <w:jc w:val="both"/>
              <w:rPr>
                <w:color w:val="auto"/>
                <w:sz w:val="20"/>
                <w:szCs w:val="20"/>
              </w:rPr>
            </w:pPr>
            <w:r w:rsidRPr="00FE1FA2">
              <w:rPr>
                <w:color w:val="auto"/>
                <w:sz w:val="20"/>
                <w:szCs w:val="20"/>
              </w:rPr>
              <w:t>Zatímco počet vydaných stavebních povolení neustále ve sledovaném období klesal, celková orientační hodnota staveb, na něž byla vydána stavební povolení a ohlášení v letech 2008 až 2010, výrazně stoupla (o 20,3 %) zejména na stavby nebytových budov a stavby na ochranu životního prostředí. V roce 2011 nastal zlom a celková orientační hodnota staveb meziročně klesla o</w:t>
            </w:r>
            <w:r>
              <w:rPr>
                <w:color w:val="auto"/>
                <w:sz w:val="20"/>
                <w:szCs w:val="20"/>
              </w:rPr>
              <w:t> </w:t>
            </w:r>
            <w:r w:rsidRPr="00FE1FA2">
              <w:rPr>
                <w:color w:val="auto"/>
                <w:sz w:val="20"/>
                <w:szCs w:val="20"/>
              </w:rPr>
              <w:t>24,0</w:t>
            </w:r>
            <w:r>
              <w:rPr>
                <w:color w:val="auto"/>
                <w:sz w:val="20"/>
                <w:szCs w:val="20"/>
              </w:rPr>
              <w:t> </w:t>
            </w:r>
            <w:r w:rsidRPr="00FE1FA2">
              <w:rPr>
                <w:color w:val="auto"/>
                <w:sz w:val="20"/>
                <w:szCs w:val="20"/>
              </w:rPr>
              <w:t>%, nejvíce u staveb na ochranu životní ho prostředí a to bezmála o 67</w:t>
            </w:r>
            <w:r>
              <w:rPr>
                <w:color w:val="auto"/>
                <w:sz w:val="20"/>
                <w:szCs w:val="20"/>
              </w:rPr>
              <w:t> </w:t>
            </w:r>
            <w:r w:rsidRPr="00FE1FA2">
              <w:rPr>
                <w:color w:val="auto"/>
                <w:sz w:val="20"/>
                <w:szCs w:val="20"/>
              </w:rPr>
              <w:t xml:space="preserve">%. V roce 2012 opět hodnota staveb vzrostla o 6,5 %. A </w:t>
            </w:r>
            <w:r>
              <w:rPr>
                <w:color w:val="auto"/>
                <w:sz w:val="20"/>
                <w:szCs w:val="20"/>
              </w:rPr>
              <w:t>od roku 2013 opět klesla</w:t>
            </w:r>
            <w:r w:rsidRPr="00FE1FA2">
              <w:rPr>
                <w:color w:val="auto"/>
                <w:sz w:val="20"/>
                <w:szCs w:val="20"/>
              </w:rPr>
              <w:t>. Za celé pětileté období orientační hodnota staveb klesla z 15 </w:t>
            </w:r>
            <w:r>
              <w:rPr>
                <w:color w:val="auto"/>
                <w:sz w:val="20"/>
                <w:szCs w:val="20"/>
              </w:rPr>
              <w:t>549</w:t>
            </w:r>
            <w:r w:rsidRPr="00FE1FA2">
              <w:rPr>
                <w:color w:val="auto"/>
                <w:sz w:val="20"/>
                <w:szCs w:val="20"/>
              </w:rPr>
              <w:t xml:space="preserve"> mld. Kč v roce 200</w:t>
            </w:r>
            <w:r>
              <w:rPr>
                <w:color w:val="auto"/>
                <w:sz w:val="20"/>
                <w:szCs w:val="20"/>
              </w:rPr>
              <w:t>9</w:t>
            </w:r>
            <w:r w:rsidRPr="00FE1FA2">
              <w:rPr>
                <w:color w:val="auto"/>
                <w:sz w:val="20"/>
                <w:szCs w:val="20"/>
              </w:rPr>
              <w:t xml:space="preserve"> na 9 </w:t>
            </w:r>
            <w:r>
              <w:rPr>
                <w:color w:val="auto"/>
                <w:sz w:val="20"/>
                <w:szCs w:val="20"/>
              </w:rPr>
              <w:t>814</w:t>
            </w:r>
            <w:r w:rsidRPr="00FE1FA2">
              <w:rPr>
                <w:color w:val="auto"/>
                <w:sz w:val="20"/>
                <w:szCs w:val="20"/>
              </w:rPr>
              <w:t xml:space="preserve"> mld. Kč v roce 201</w:t>
            </w:r>
            <w:r>
              <w:rPr>
                <w:color w:val="auto"/>
                <w:sz w:val="20"/>
                <w:szCs w:val="20"/>
              </w:rPr>
              <w:t>4</w:t>
            </w:r>
            <w:r w:rsidRPr="00FE1FA2">
              <w:rPr>
                <w:color w:val="auto"/>
                <w:sz w:val="20"/>
                <w:szCs w:val="20"/>
              </w:rPr>
              <w:t xml:space="preserve"> (pokles o </w:t>
            </w:r>
            <w:r>
              <w:rPr>
                <w:color w:val="auto"/>
                <w:sz w:val="20"/>
                <w:szCs w:val="20"/>
              </w:rPr>
              <w:t>36,9</w:t>
            </w:r>
            <w:r w:rsidRPr="00FE1FA2">
              <w:rPr>
                <w:color w:val="auto"/>
                <w:sz w:val="20"/>
                <w:szCs w:val="20"/>
              </w:rPr>
              <w:t xml:space="preserve"> %).</w:t>
            </w:r>
          </w:p>
        </w:tc>
      </w:tr>
      <w:tr w:rsidR="00A76F67" w:rsidRPr="005A099E" w:rsidTr="00A76F67">
        <w:tc>
          <w:tcPr>
            <w:tcW w:w="2456" w:type="dxa"/>
          </w:tcPr>
          <w:p w:rsidR="00A76F67" w:rsidRPr="002A53D0" w:rsidRDefault="00A76F67" w:rsidP="00162196">
            <w:pPr>
              <w:pStyle w:val="NORMAArialCE"/>
              <w:spacing w:before="60" w:after="60"/>
              <w:jc w:val="left"/>
              <w:rPr>
                <w:b/>
                <w:bCs/>
                <w:i/>
                <w:iCs/>
                <w:highlight w:val="yellow"/>
              </w:rPr>
            </w:pPr>
            <w:r w:rsidRPr="004D4585">
              <w:rPr>
                <w:b/>
                <w:bCs/>
                <w:i/>
                <w:iCs/>
              </w:rPr>
              <w:t xml:space="preserve">Meziročně vzrostla průměrná hodnota jednoho stavebního povolení </w:t>
            </w:r>
          </w:p>
        </w:tc>
        <w:tc>
          <w:tcPr>
            <w:tcW w:w="7268" w:type="dxa"/>
            <w:gridSpan w:val="2"/>
          </w:tcPr>
          <w:p w:rsidR="00A76F67" w:rsidRPr="004A65DE" w:rsidRDefault="00A76F67" w:rsidP="00162196">
            <w:pPr>
              <w:pStyle w:val="Default"/>
              <w:spacing w:before="60" w:after="60"/>
              <w:jc w:val="both"/>
              <w:rPr>
                <w:color w:val="auto"/>
                <w:sz w:val="20"/>
                <w:szCs w:val="20"/>
              </w:rPr>
            </w:pPr>
            <w:r w:rsidRPr="004A65DE">
              <w:rPr>
                <w:color w:val="auto"/>
                <w:sz w:val="20"/>
                <w:szCs w:val="20"/>
              </w:rPr>
              <w:t>Průměrná hodnota jednoho stavebního povolení v letech 2009 až 2014 klesla z 2 793 tis. Kč v roce 2009 na 2 616 tis. Kč v roce 2014 (o 6,3 %). Oproti roku 2013 naopak vzrostla o 6,3 %</w:t>
            </w:r>
            <w:r>
              <w:rPr>
                <w:color w:val="auto"/>
                <w:sz w:val="20"/>
                <w:szCs w:val="20"/>
              </w:rPr>
              <w:t xml:space="preserve">, </w:t>
            </w:r>
            <w:r w:rsidRPr="004A65DE">
              <w:rPr>
                <w:color w:val="auto"/>
                <w:sz w:val="20"/>
                <w:szCs w:val="20"/>
              </w:rPr>
              <w:t xml:space="preserve">přesto byla druhá nejnižší ve sledovaném období. </w:t>
            </w:r>
          </w:p>
          <w:p w:rsidR="00A76F67" w:rsidRPr="002A53D0" w:rsidRDefault="00A76F67" w:rsidP="00162196">
            <w:pPr>
              <w:pStyle w:val="Default"/>
              <w:spacing w:before="60" w:after="60"/>
              <w:jc w:val="both"/>
              <w:rPr>
                <w:color w:val="auto"/>
                <w:sz w:val="20"/>
                <w:szCs w:val="20"/>
                <w:highlight w:val="yellow"/>
              </w:rPr>
            </w:pPr>
            <w:r w:rsidRPr="005F36EC">
              <w:rPr>
                <w:color w:val="auto"/>
                <w:sz w:val="20"/>
                <w:szCs w:val="20"/>
              </w:rPr>
              <w:t>Ve dvou okresech Zlínského kraje byla situace stejná, jako v kraji. K největšímu poklesu došlo v okrese Kroměříž a to o 28,4 % a naopak k největšímu nárůstu došlo v okrese Vsetín o 4,6 %.</w:t>
            </w:r>
          </w:p>
        </w:tc>
      </w:tr>
      <w:tr w:rsidR="00A5044F" w:rsidRPr="005A099E" w:rsidTr="00A76F67">
        <w:trPr>
          <w:cantSplit/>
        </w:trPr>
        <w:tc>
          <w:tcPr>
            <w:tcW w:w="9724" w:type="dxa"/>
            <w:gridSpan w:val="3"/>
          </w:tcPr>
          <w:p w:rsidR="00A5044F" w:rsidRPr="005A099E" w:rsidRDefault="00A5044F" w:rsidP="00A40B60">
            <w:pPr>
              <w:pStyle w:val="text"/>
              <w:jc w:val="left"/>
              <w:rPr>
                <w:highlight w:val="yellow"/>
              </w:rPr>
            </w:pPr>
            <w:r w:rsidRPr="006911B0">
              <w:rPr>
                <w:b/>
                <w:bCs/>
                <w:szCs w:val="20"/>
              </w:rPr>
              <w:lastRenderedPageBreak/>
              <w:t xml:space="preserve">Graf </w:t>
            </w:r>
            <w:r w:rsidR="00543DC1" w:rsidRPr="006911B0">
              <w:rPr>
                <w:b/>
                <w:bCs/>
                <w:szCs w:val="20"/>
              </w:rPr>
              <w:t>3.</w:t>
            </w:r>
            <w:r w:rsidR="006911B0" w:rsidRPr="006911B0">
              <w:rPr>
                <w:b/>
                <w:bCs/>
                <w:szCs w:val="20"/>
              </w:rPr>
              <w:t>2</w:t>
            </w:r>
            <w:r w:rsidR="00A40B60">
              <w:rPr>
                <w:b/>
                <w:bCs/>
                <w:szCs w:val="20"/>
              </w:rPr>
              <w:t>6</w:t>
            </w:r>
            <w:r w:rsidR="00543DC1" w:rsidRPr="006911B0">
              <w:rPr>
                <w:b/>
                <w:bCs/>
                <w:szCs w:val="20"/>
              </w:rPr>
              <w:t xml:space="preserve"> </w:t>
            </w:r>
            <w:r w:rsidR="00A76F67" w:rsidRPr="003E6DA2">
              <w:rPr>
                <w:b/>
                <w:bCs/>
                <w:szCs w:val="20"/>
              </w:rPr>
              <w:t>Průměrná hodnota jedno</w:t>
            </w:r>
            <w:r w:rsidR="00A76F67">
              <w:rPr>
                <w:b/>
                <w:bCs/>
                <w:szCs w:val="20"/>
              </w:rPr>
              <w:t>ho</w:t>
            </w:r>
            <w:r w:rsidR="00A76F67" w:rsidRPr="003E6DA2">
              <w:rPr>
                <w:b/>
                <w:bCs/>
                <w:szCs w:val="20"/>
              </w:rPr>
              <w:t xml:space="preserve"> stavební</w:t>
            </w:r>
            <w:r w:rsidR="00A76F67">
              <w:rPr>
                <w:b/>
                <w:bCs/>
                <w:szCs w:val="20"/>
              </w:rPr>
              <w:t>ho</w:t>
            </w:r>
            <w:r w:rsidR="00A76F67" w:rsidRPr="003E6DA2">
              <w:rPr>
                <w:b/>
                <w:bCs/>
                <w:szCs w:val="20"/>
              </w:rPr>
              <w:t xml:space="preserve"> povolení ve Zlínském kraji</w:t>
            </w:r>
          </w:p>
        </w:tc>
      </w:tr>
      <w:tr w:rsidR="00A5044F" w:rsidRPr="005A099E" w:rsidTr="00A76F67">
        <w:trPr>
          <w:cantSplit/>
        </w:trPr>
        <w:tc>
          <w:tcPr>
            <w:tcW w:w="9724" w:type="dxa"/>
            <w:gridSpan w:val="3"/>
          </w:tcPr>
          <w:p w:rsidR="00A5044F" w:rsidRPr="005A099E" w:rsidRDefault="00A5044F" w:rsidP="00A5044F">
            <w:pPr>
              <w:pStyle w:val="text"/>
              <w:jc w:val="center"/>
              <w:rPr>
                <w:szCs w:val="20"/>
                <w:highlight w:val="yellow"/>
              </w:rPr>
            </w:pPr>
          </w:p>
          <w:p w:rsidR="008C5A6A" w:rsidRPr="005A099E" w:rsidRDefault="009956CB" w:rsidP="00A5044F">
            <w:pPr>
              <w:pStyle w:val="text"/>
              <w:jc w:val="center"/>
              <w:rPr>
                <w:highlight w:val="yellow"/>
              </w:rPr>
            </w:pPr>
            <w:r>
              <w:pict>
                <v:shape id="_x0000_i1109" type="#_x0000_t75" style="width:459pt;height:211.5pt">
                  <v:imagedata r:id="rId102" o:title=""/>
                </v:shape>
              </w:pict>
            </w:r>
          </w:p>
        </w:tc>
      </w:tr>
      <w:tr w:rsidR="007F7FC2" w:rsidRPr="005A099E" w:rsidTr="00A76F67">
        <w:tc>
          <w:tcPr>
            <w:tcW w:w="2456" w:type="dxa"/>
          </w:tcPr>
          <w:p w:rsidR="007F7FC2" w:rsidRPr="005A099E" w:rsidRDefault="007F7FC2" w:rsidP="00BF7CE4">
            <w:pPr>
              <w:pStyle w:val="text"/>
              <w:jc w:val="left"/>
              <w:rPr>
                <w:b/>
                <w:bCs/>
                <w:i/>
                <w:iCs/>
                <w:highlight w:val="yellow"/>
              </w:rPr>
            </w:pPr>
          </w:p>
        </w:tc>
        <w:tc>
          <w:tcPr>
            <w:tcW w:w="7268" w:type="dxa"/>
            <w:gridSpan w:val="2"/>
          </w:tcPr>
          <w:p w:rsidR="008C5A6A" w:rsidRPr="005A099E" w:rsidRDefault="008C5A6A" w:rsidP="007F7FC2">
            <w:pPr>
              <w:pStyle w:val="text"/>
              <w:rPr>
                <w:highlight w:val="yellow"/>
              </w:rPr>
            </w:pPr>
          </w:p>
        </w:tc>
      </w:tr>
      <w:tr w:rsidR="001E71FC" w:rsidRPr="005A099E" w:rsidTr="00A76F67">
        <w:trPr>
          <w:cantSplit/>
        </w:trPr>
        <w:tc>
          <w:tcPr>
            <w:tcW w:w="9724" w:type="dxa"/>
            <w:gridSpan w:val="3"/>
          </w:tcPr>
          <w:p w:rsidR="001E71FC" w:rsidRPr="005A099E" w:rsidRDefault="001E71FC" w:rsidP="00A40B60">
            <w:pPr>
              <w:pStyle w:val="text"/>
              <w:jc w:val="left"/>
              <w:rPr>
                <w:highlight w:val="yellow"/>
              </w:rPr>
            </w:pPr>
            <w:r w:rsidRPr="006911B0">
              <w:rPr>
                <w:b/>
                <w:bCs/>
                <w:szCs w:val="20"/>
              </w:rPr>
              <w:t xml:space="preserve">Graf </w:t>
            </w:r>
            <w:r w:rsidR="00543DC1" w:rsidRPr="006911B0">
              <w:rPr>
                <w:b/>
                <w:bCs/>
                <w:szCs w:val="20"/>
              </w:rPr>
              <w:t>3.</w:t>
            </w:r>
            <w:r w:rsidR="006911B0" w:rsidRPr="006911B0">
              <w:rPr>
                <w:b/>
                <w:bCs/>
                <w:szCs w:val="20"/>
              </w:rPr>
              <w:t>2</w:t>
            </w:r>
            <w:r w:rsidR="00A40B60">
              <w:rPr>
                <w:b/>
                <w:bCs/>
                <w:szCs w:val="20"/>
              </w:rPr>
              <w:t>7</w:t>
            </w:r>
            <w:r w:rsidRPr="006911B0">
              <w:rPr>
                <w:b/>
                <w:bCs/>
                <w:szCs w:val="20"/>
              </w:rPr>
              <w:t xml:space="preserve"> </w:t>
            </w:r>
            <w:r w:rsidR="005428C6" w:rsidRPr="0084001D">
              <w:rPr>
                <w:b/>
                <w:bCs/>
                <w:szCs w:val="20"/>
              </w:rPr>
              <w:t>Průměrné orientační hodnoty povolených staveb podle druhu ve Zlínském kraji</w:t>
            </w:r>
          </w:p>
        </w:tc>
      </w:tr>
      <w:tr w:rsidR="001E71FC" w:rsidTr="00A76F67">
        <w:trPr>
          <w:cantSplit/>
        </w:trPr>
        <w:tc>
          <w:tcPr>
            <w:tcW w:w="9724" w:type="dxa"/>
            <w:gridSpan w:val="3"/>
          </w:tcPr>
          <w:p w:rsidR="009D7C1D" w:rsidRDefault="009D7C1D" w:rsidP="00BF7CE4">
            <w:pPr>
              <w:pStyle w:val="text"/>
              <w:jc w:val="center"/>
            </w:pPr>
          </w:p>
          <w:p w:rsidR="001E71FC" w:rsidRDefault="009956CB" w:rsidP="00BF7CE4">
            <w:pPr>
              <w:pStyle w:val="text"/>
              <w:jc w:val="center"/>
            </w:pPr>
            <w:r>
              <w:pict>
                <v:shape id="_x0000_i1110" type="#_x0000_t75" style="width:442.5pt;height:278.25pt">
                  <v:imagedata r:id="rId103" o:title=""/>
                </v:shape>
              </w:pict>
            </w:r>
          </w:p>
        </w:tc>
      </w:tr>
      <w:tr w:rsidR="00CD0E1C" w:rsidTr="00A76F67">
        <w:tc>
          <w:tcPr>
            <w:tcW w:w="2456" w:type="dxa"/>
            <w:tcMar>
              <w:left w:w="85" w:type="dxa"/>
              <w:right w:w="85" w:type="dxa"/>
            </w:tcMar>
          </w:tcPr>
          <w:p w:rsidR="00CD0E1C" w:rsidRPr="00430C3D" w:rsidRDefault="00CD0E1C" w:rsidP="00E81FBA">
            <w:pPr>
              <w:spacing w:before="60" w:after="60"/>
              <w:jc w:val="left"/>
              <w:rPr>
                <w:b/>
                <w:i/>
                <w:szCs w:val="20"/>
                <w:u w:val="single"/>
              </w:rPr>
            </w:pPr>
            <w:r w:rsidRPr="00430C3D">
              <w:rPr>
                <w:rFonts w:cs="Arial"/>
                <w:b/>
                <w:bCs/>
                <w:i/>
                <w:color w:val="000000"/>
                <w:szCs w:val="20"/>
                <w:u w:val="single"/>
              </w:rPr>
              <w:t>Bytová výstavba</w:t>
            </w:r>
          </w:p>
          <w:p w:rsidR="00CD0E1C" w:rsidRPr="00430C3D" w:rsidRDefault="00430C3D" w:rsidP="00E81FBA">
            <w:pPr>
              <w:spacing w:before="60" w:after="60"/>
              <w:jc w:val="left"/>
              <w:rPr>
                <w:b/>
                <w:i/>
                <w:szCs w:val="20"/>
              </w:rPr>
            </w:pPr>
            <w:r w:rsidRPr="00430C3D">
              <w:rPr>
                <w:b/>
                <w:bCs/>
                <w:i/>
                <w:iCs/>
              </w:rPr>
              <w:t>Mírné oživení bytové výstavby</w:t>
            </w:r>
          </w:p>
        </w:tc>
        <w:tc>
          <w:tcPr>
            <w:tcW w:w="7268" w:type="dxa"/>
            <w:gridSpan w:val="2"/>
            <w:tcMar>
              <w:left w:w="85" w:type="dxa"/>
              <w:right w:w="85" w:type="dxa"/>
            </w:tcMar>
            <w:vAlign w:val="center"/>
          </w:tcPr>
          <w:p w:rsidR="00CD0E1C" w:rsidRPr="00430C3D" w:rsidRDefault="00430C3D" w:rsidP="00430C3D">
            <w:pPr>
              <w:pStyle w:val="Default"/>
              <w:spacing w:before="60" w:after="60"/>
              <w:jc w:val="both"/>
              <w:rPr>
                <w:szCs w:val="20"/>
              </w:rPr>
            </w:pPr>
            <w:r w:rsidRPr="00430C3D">
              <w:rPr>
                <w:color w:val="auto"/>
                <w:sz w:val="20"/>
                <w:szCs w:val="20"/>
              </w:rPr>
              <w:t>Po útlumu bytové výstavby v roce 2013 došlo v uplynulém roce k mírnému oživení. Počet dokončených bytů vzrostl o 1,8 %, zahájených o 10,2 %. Přesto počet dokončených bytů v roce 2014 představuje 43 % a zahájených 72 % úrovně roku 2009. V přepočtu na tis. obyvatel připadlo v kraji 1,38 dokončených a 1,61 zahájených bytů. Tyto hodnoty jsou pod úrovní republikových dat a v mezikrajském srovnání řadí kraj na 12. a 13. místo v počtu dokončených/zahájených bytů. Z okresů kraje byl stejný vývoj, tedy nárůst dokončených i zahájených bytů, zaznamenán pouze v okrese Vsetín.</w:t>
            </w:r>
            <w:r w:rsidRPr="00430C3D">
              <w:rPr>
                <w:rFonts w:ascii="Calibri" w:eastAsia="+mn-ea" w:hAnsi="Calibri" w:cs="+mn-cs"/>
                <w:sz w:val="22"/>
                <w:szCs w:val="22"/>
              </w:rPr>
              <w:t xml:space="preserve"> </w:t>
            </w:r>
            <w:r w:rsidR="00CD0E1C" w:rsidRPr="00430C3D">
              <w:t xml:space="preserve"> </w:t>
            </w:r>
          </w:p>
        </w:tc>
      </w:tr>
      <w:tr w:rsidR="00430C3D" w:rsidTr="00A76F67">
        <w:tc>
          <w:tcPr>
            <w:tcW w:w="2456" w:type="dxa"/>
            <w:tcMar>
              <w:left w:w="85" w:type="dxa"/>
              <w:right w:w="85" w:type="dxa"/>
            </w:tcMar>
          </w:tcPr>
          <w:p w:rsidR="00430C3D" w:rsidRPr="005A099E" w:rsidRDefault="00430C3D" w:rsidP="00F14A63">
            <w:pPr>
              <w:spacing w:before="60"/>
              <w:jc w:val="left"/>
              <w:rPr>
                <w:b/>
                <w:i/>
                <w:szCs w:val="20"/>
                <w:highlight w:val="yellow"/>
              </w:rPr>
            </w:pPr>
            <w:r>
              <w:rPr>
                <w:b/>
                <w:bCs/>
                <w:i/>
                <w:iCs/>
              </w:rPr>
              <w:t>Propad počtu dokončených bytů v bytových domech</w:t>
            </w:r>
          </w:p>
        </w:tc>
        <w:tc>
          <w:tcPr>
            <w:tcW w:w="7268" w:type="dxa"/>
            <w:gridSpan w:val="2"/>
            <w:tcMar>
              <w:left w:w="85" w:type="dxa"/>
              <w:right w:w="85" w:type="dxa"/>
            </w:tcMar>
          </w:tcPr>
          <w:p w:rsidR="00430C3D" w:rsidRDefault="00430C3D" w:rsidP="008D68CD">
            <w:pPr>
              <w:spacing w:before="60" w:after="60"/>
            </w:pPr>
            <w:r w:rsidRPr="00646362">
              <w:t>V průběhu minulého roku bylo dokončeno 806 bytů, z toho více než tři čtvrtiny v</w:t>
            </w:r>
            <w:r>
              <w:t> </w:t>
            </w:r>
            <w:r w:rsidRPr="00646362">
              <w:t>rodinných domech. 629 bytů v nově postavených rodinných domech znamená meziroční nárůst o 3,8 %. Dalších 70 bytů přibylo v nástavbách a</w:t>
            </w:r>
            <w:r>
              <w:t> </w:t>
            </w:r>
            <w:r w:rsidRPr="00646362">
              <w:t xml:space="preserve">přístavbách </w:t>
            </w:r>
            <w:r w:rsidRPr="00646362">
              <w:lastRenderedPageBreak/>
              <w:t>k</w:t>
            </w:r>
            <w:r>
              <w:t> </w:t>
            </w:r>
            <w:r w:rsidRPr="00646362">
              <w:t>rodinným domům. U bytových domů došlo k výraznému poklesu, a to o 52 %. Bylo dokončeno 37 bytů, a to 31 v okrese Uherské Hradiště a 6 v okrese Zlín.</w:t>
            </w:r>
            <w:r>
              <w:t xml:space="preserve"> </w:t>
            </w:r>
            <w:r w:rsidRPr="00646362">
              <w:t>Ve stejných okresech vzniklo dalších 43 bytů v</w:t>
            </w:r>
            <w:r>
              <w:t> </w:t>
            </w:r>
            <w:r w:rsidRPr="00646362">
              <w:t xml:space="preserve">nástavbách k bytovým domům. </w:t>
            </w:r>
          </w:p>
          <w:p w:rsidR="009D7C1D" w:rsidRPr="001F7EB1" w:rsidRDefault="009D7C1D" w:rsidP="008D68CD">
            <w:pPr>
              <w:spacing w:before="60" w:after="60"/>
            </w:pPr>
          </w:p>
        </w:tc>
      </w:tr>
      <w:tr w:rsidR="00CD0E1C" w:rsidRPr="00430C3D" w:rsidTr="00A76F67">
        <w:trPr>
          <w:trHeight w:val="143"/>
        </w:trPr>
        <w:tc>
          <w:tcPr>
            <w:tcW w:w="5047" w:type="dxa"/>
            <w:gridSpan w:val="2"/>
            <w:tcMar>
              <w:left w:w="85" w:type="dxa"/>
              <w:right w:w="85" w:type="dxa"/>
            </w:tcMar>
          </w:tcPr>
          <w:p w:rsidR="00CD0E1C" w:rsidRPr="00430C3D" w:rsidRDefault="00CD0E1C" w:rsidP="00A40B60">
            <w:pPr>
              <w:pStyle w:val="Normlnweb"/>
              <w:spacing w:before="60" w:beforeAutospacing="0" w:after="120" w:afterAutospacing="0"/>
              <w:jc w:val="both"/>
              <w:rPr>
                <w:rFonts w:ascii="Arial" w:eastAsia="+mn-ea" w:hAnsi="Arial" w:cs="Arial"/>
                <w:color w:val="000000"/>
                <w:sz w:val="20"/>
                <w:szCs w:val="20"/>
              </w:rPr>
            </w:pPr>
            <w:r w:rsidRPr="00430C3D">
              <w:rPr>
                <w:rFonts w:ascii="Arial" w:eastAsia="+mn-ea" w:hAnsi="Arial" w:cs="Arial"/>
                <w:b/>
                <w:color w:val="000000"/>
                <w:sz w:val="20"/>
                <w:szCs w:val="20"/>
              </w:rPr>
              <w:lastRenderedPageBreak/>
              <w:t xml:space="preserve">Graf </w:t>
            </w:r>
            <w:r w:rsidR="006911B0">
              <w:rPr>
                <w:rFonts w:ascii="Arial" w:eastAsia="+mn-ea" w:hAnsi="Arial" w:cs="Arial"/>
                <w:b/>
                <w:color w:val="000000"/>
                <w:sz w:val="20"/>
                <w:szCs w:val="20"/>
              </w:rPr>
              <w:t>3.2</w:t>
            </w:r>
            <w:r w:rsidR="00A40B60">
              <w:rPr>
                <w:rFonts w:ascii="Arial" w:eastAsia="+mn-ea" w:hAnsi="Arial" w:cs="Arial"/>
                <w:b/>
                <w:color w:val="000000"/>
                <w:sz w:val="20"/>
                <w:szCs w:val="20"/>
              </w:rPr>
              <w:t>8</w:t>
            </w:r>
            <w:r w:rsidR="006911B0">
              <w:rPr>
                <w:rFonts w:ascii="Arial" w:eastAsia="+mn-ea" w:hAnsi="Arial" w:cs="Arial"/>
                <w:b/>
                <w:color w:val="000000"/>
                <w:sz w:val="20"/>
                <w:szCs w:val="20"/>
              </w:rPr>
              <w:t xml:space="preserve"> </w:t>
            </w:r>
            <w:r w:rsidRPr="00430C3D">
              <w:rPr>
                <w:rFonts w:ascii="Arial" w:eastAsia="+mn-ea" w:hAnsi="Arial" w:cs="Arial"/>
                <w:b/>
                <w:color w:val="000000"/>
                <w:sz w:val="20"/>
                <w:szCs w:val="20"/>
              </w:rPr>
              <w:t>Zahájené byty podle okresů</w:t>
            </w:r>
            <w:r w:rsidRPr="00430C3D">
              <w:rPr>
                <w:rFonts w:ascii="Arial" w:eastAsia="+mn-ea" w:hAnsi="Arial" w:cs="Arial"/>
                <w:color w:val="000000"/>
                <w:sz w:val="20"/>
                <w:szCs w:val="20"/>
              </w:rPr>
              <w:t xml:space="preserve"> </w:t>
            </w:r>
          </w:p>
        </w:tc>
        <w:tc>
          <w:tcPr>
            <w:tcW w:w="4677" w:type="dxa"/>
          </w:tcPr>
          <w:p w:rsidR="00CD0E1C" w:rsidRPr="00430C3D" w:rsidRDefault="00CD0E1C" w:rsidP="00A40B60">
            <w:pPr>
              <w:pStyle w:val="Normlnweb"/>
              <w:spacing w:before="60" w:beforeAutospacing="0" w:after="60" w:afterAutospacing="0"/>
              <w:jc w:val="both"/>
              <w:rPr>
                <w:rFonts w:ascii="Arial" w:eastAsia="+mn-ea" w:hAnsi="Arial" w:cs="Arial"/>
                <w:b/>
                <w:color w:val="000000"/>
                <w:sz w:val="20"/>
                <w:szCs w:val="20"/>
              </w:rPr>
            </w:pPr>
            <w:r w:rsidRPr="00430C3D">
              <w:rPr>
                <w:rFonts w:ascii="Arial" w:eastAsia="+mn-ea" w:hAnsi="Arial" w:cs="Arial"/>
                <w:b/>
                <w:color w:val="000000"/>
                <w:sz w:val="20"/>
                <w:szCs w:val="20"/>
              </w:rPr>
              <w:t xml:space="preserve">Graf </w:t>
            </w:r>
            <w:r w:rsidR="006911B0">
              <w:rPr>
                <w:rFonts w:ascii="Arial" w:eastAsia="+mn-ea" w:hAnsi="Arial" w:cs="Arial"/>
                <w:b/>
                <w:color w:val="000000"/>
                <w:sz w:val="20"/>
                <w:szCs w:val="20"/>
              </w:rPr>
              <w:t>3.</w:t>
            </w:r>
            <w:r w:rsidR="00A40B60">
              <w:rPr>
                <w:rFonts w:ascii="Arial" w:eastAsia="+mn-ea" w:hAnsi="Arial" w:cs="Arial"/>
                <w:b/>
                <w:color w:val="000000"/>
                <w:sz w:val="20"/>
                <w:szCs w:val="20"/>
              </w:rPr>
              <w:t>29</w:t>
            </w:r>
            <w:r w:rsidR="006911B0">
              <w:rPr>
                <w:rFonts w:ascii="Arial" w:eastAsia="+mn-ea" w:hAnsi="Arial" w:cs="Arial"/>
                <w:b/>
                <w:color w:val="000000"/>
                <w:sz w:val="20"/>
                <w:szCs w:val="20"/>
              </w:rPr>
              <w:t xml:space="preserve"> </w:t>
            </w:r>
            <w:r w:rsidRPr="00430C3D">
              <w:rPr>
                <w:rFonts w:ascii="Arial" w:eastAsia="+mn-ea" w:hAnsi="Arial" w:cs="Arial"/>
                <w:b/>
                <w:color w:val="000000"/>
                <w:sz w:val="20"/>
                <w:szCs w:val="20"/>
              </w:rPr>
              <w:t xml:space="preserve">Dokončené byty podle okresů </w:t>
            </w:r>
          </w:p>
        </w:tc>
      </w:tr>
      <w:tr w:rsidR="00CD0E1C" w:rsidRPr="0010342F" w:rsidTr="00A76F67">
        <w:trPr>
          <w:trHeight w:val="142"/>
        </w:trPr>
        <w:tc>
          <w:tcPr>
            <w:tcW w:w="9724" w:type="dxa"/>
            <w:gridSpan w:val="3"/>
            <w:tcMar>
              <w:left w:w="85" w:type="dxa"/>
              <w:right w:w="85" w:type="dxa"/>
            </w:tcMar>
          </w:tcPr>
          <w:p w:rsidR="009D7C1D" w:rsidRDefault="009D7C1D" w:rsidP="00572D60">
            <w:pPr>
              <w:pStyle w:val="Normlnweb"/>
              <w:spacing w:before="0" w:beforeAutospacing="0" w:after="0" w:afterAutospacing="0"/>
              <w:rPr>
                <w:rFonts w:ascii="Arial" w:hAnsi="Arial" w:cs="Arial"/>
                <w:szCs w:val="20"/>
              </w:rPr>
            </w:pPr>
          </w:p>
          <w:p w:rsidR="00CD0E1C" w:rsidRDefault="009956CB" w:rsidP="00572D60">
            <w:pPr>
              <w:pStyle w:val="Normlnweb"/>
              <w:spacing w:before="0" w:beforeAutospacing="0" w:after="0" w:afterAutospacing="0"/>
              <w:rPr>
                <w:rFonts w:ascii="Arial" w:hAnsi="Arial" w:cs="Arial"/>
                <w:szCs w:val="20"/>
              </w:rPr>
            </w:pPr>
            <w:r w:rsidRPr="00286EFA">
              <w:rPr>
                <w:rFonts w:ascii="Arial" w:hAnsi="Arial" w:cs="Arial"/>
                <w:szCs w:val="20"/>
              </w:rPr>
              <w:pict>
                <v:shape id="_x0000_i1111" type="#_x0000_t75" style="width:473.25pt;height:126pt">
                  <v:imagedata r:id="rId104" o:title=""/>
                </v:shape>
              </w:pict>
            </w:r>
          </w:p>
          <w:p w:rsidR="009D7C1D" w:rsidRPr="008D68CD" w:rsidRDefault="009D7C1D" w:rsidP="00572D60">
            <w:pPr>
              <w:pStyle w:val="Normlnweb"/>
              <w:spacing w:before="0" w:beforeAutospacing="0" w:after="0" w:afterAutospacing="0"/>
              <w:rPr>
                <w:rFonts w:ascii="Arial" w:eastAsia="+mn-ea" w:hAnsi="Arial" w:cs="Arial"/>
                <w:color w:val="000000"/>
                <w:sz w:val="20"/>
                <w:szCs w:val="20"/>
              </w:rPr>
            </w:pPr>
          </w:p>
        </w:tc>
      </w:tr>
      <w:tr w:rsidR="008D68CD" w:rsidTr="00A76F67">
        <w:tc>
          <w:tcPr>
            <w:tcW w:w="2456" w:type="dxa"/>
            <w:tcMar>
              <w:left w:w="85" w:type="dxa"/>
              <w:right w:w="85" w:type="dxa"/>
            </w:tcMar>
          </w:tcPr>
          <w:p w:rsidR="008D68CD" w:rsidRPr="005A099E" w:rsidRDefault="008D68CD" w:rsidP="00E81FBA">
            <w:pPr>
              <w:spacing w:before="60"/>
              <w:jc w:val="left"/>
              <w:rPr>
                <w:b/>
                <w:i/>
                <w:szCs w:val="20"/>
                <w:highlight w:val="yellow"/>
              </w:rPr>
            </w:pPr>
            <w:r>
              <w:rPr>
                <w:b/>
                <w:bCs/>
                <w:i/>
                <w:iCs/>
              </w:rPr>
              <w:t xml:space="preserve">Meziroční nárůst průměrné obytné plochy bytu o 1,3 % </w:t>
            </w:r>
          </w:p>
        </w:tc>
        <w:tc>
          <w:tcPr>
            <w:tcW w:w="7268" w:type="dxa"/>
            <w:gridSpan w:val="2"/>
            <w:tcMar>
              <w:left w:w="85" w:type="dxa"/>
              <w:right w:w="85" w:type="dxa"/>
            </w:tcMar>
          </w:tcPr>
          <w:p w:rsidR="008D68CD" w:rsidRPr="001F7EB1" w:rsidRDefault="008D68CD" w:rsidP="008D68CD">
            <w:pPr>
              <w:spacing w:before="60" w:after="60"/>
            </w:pPr>
            <w:r w:rsidRPr="00FC526F">
              <w:t>Obytná plocha bytů se neustále zvyšuje. V roce 2009 byla průměrná</w:t>
            </w:r>
            <w:r>
              <w:t xml:space="preserve"> </w:t>
            </w:r>
            <w:r w:rsidRPr="00FC526F">
              <w:t>obytná plocha</w:t>
            </w:r>
            <w:r>
              <w:t xml:space="preserve"> </w:t>
            </w:r>
            <w:r w:rsidRPr="00FC526F">
              <w:t>bytu</w:t>
            </w:r>
            <w:r>
              <w:t xml:space="preserve"> </w:t>
            </w:r>
            <w:r w:rsidRPr="00FC526F">
              <w:t>77,5 m</w:t>
            </w:r>
            <w:r w:rsidRPr="006E2A31">
              <w:rPr>
                <w:vertAlign w:val="superscript"/>
              </w:rPr>
              <w:t>2</w:t>
            </w:r>
            <w:r w:rsidRPr="00FC526F">
              <w:t>, v roce 2014 již 90,1 m</w:t>
            </w:r>
            <w:r w:rsidRPr="006E2A31">
              <w:rPr>
                <w:vertAlign w:val="superscript"/>
              </w:rPr>
              <w:t>2</w:t>
            </w:r>
            <w:r>
              <w:t xml:space="preserve"> </w:t>
            </w:r>
            <w:r w:rsidRPr="00FC526F">
              <w:t>a mezi kraji to byla druhá nejvyšší hodnota.</w:t>
            </w:r>
            <w:r>
              <w:t xml:space="preserve"> </w:t>
            </w:r>
            <w:r w:rsidRPr="00FC526F">
              <w:t>V rodinných domech obytná plocha bytu za stejné období vzrostla z</w:t>
            </w:r>
            <w:r>
              <w:t> </w:t>
            </w:r>
            <w:r w:rsidRPr="00FC526F">
              <w:t>96,9 m</w:t>
            </w:r>
            <w:r w:rsidRPr="006E2A31">
              <w:rPr>
                <w:vertAlign w:val="superscript"/>
              </w:rPr>
              <w:t>2</w:t>
            </w:r>
            <w:r w:rsidRPr="00FC526F">
              <w:t xml:space="preserve"> na 99,1 m</w:t>
            </w:r>
            <w:r w:rsidRPr="006E2A31">
              <w:rPr>
                <w:vertAlign w:val="superscript"/>
              </w:rPr>
              <w:t>2</w:t>
            </w:r>
            <w:r w:rsidRPr="00FC526F">
              <w:t xml:space="preserve"> v</w:t>
            </w:r>
            <w:r>
              <w:t xml:space="preserve"> </w:t>
            </w:r>
            <w:r w:rsidRPr="00FC526F">
              <w:t>roce 2013 a v následujícím roce se již nezměnila.</w:t>
            </w:r>
            <w:r>
              <w:t xml:space="preserve"> Hodnota bytu (</w:t>
            </w:r>
            <w:r w:rsidRPr="00FC526F">
              <w:t>v rodinném domě bez nástaveb a přístaveb) rostla do roku</w:t>
            </w:r>
            <w:r>
              <w:t xml:space="preserve"> </w:t>
            </w:r>
            <w:r w:rsidRPr="00FC526F">
              <w:t>2012, kdy dosáhla nejvyšší hodnoty (3 234 tis. Kč). V následujícím roce začala klesat, až na</w:t>
            </w:r>
            <w:r>
              <w:t xml:space="preserve"> </w:t>
            </w:r>
            <w:r w:rsidRPr="00FC526F">
              <w:t>3 170 tis. Kč v roce 2014. Mezi kraji je to uprostřed v</w:t>
            </w:r>
            <w:r>
              <w:t> </w:t>
            </w:r>
            <w:r w:rsidRPr="00FC526F">
              <w:t>rozmezí</w:t>
            </w:r>
            <w:r>
              <w:t xml:space="preserve"> </w:t>
            </w:r>
            <w:r w:rsidRPr="00FC526F">
              <w:t>od 2 969 po 5 493 tis. Kč.</w:t>
            </w:r>
            <w:r w:rsidRPr="00646362">
              <w:t xml:space="preserve"> </w:t>
            </w:r>
          </w:p>
        </w:tc>
      </w:tr>
      <w:tr w:rsidR="008D68CD" w:rsidTr="00A76F67">
        <w:tc>
          <w:tcPr>
            <w:tcW w:w="2456" w:type="dxa"/>
            <w:tcMar>
              <w:left w:w="85" w:type="dxa"/>
              <w:right w:w="85" w:type="dxa"/>
            </w:tcMar>
          </w:tcPr>
          <w:p w:rsidR="008D68CD" w:rsidRPr="00C90206" w:rsidRDefault="008D68CD" w:rsidP="00F14A63">
            <w:pPr>
              <w:pStyle w:val="text"/>
              <w:jc w:val="left"/>
              <w:rPr>
                <w:b/>
                <w:bCs/>
                <w:i/>
                <w:iCs/>
              </w:rPr>
            </w:pPr>
            <w:r>
              <w:rPr>
                <w:b/>
                <w:bCs/>
                <w:i/>
                <w:iCs/>
                <w:szCs w:val="20"/>
              </w:rPr>
              <w:t xml:space="preserve">Zahájena výstavba 44 bytů v domovech – </w:t>
            </w:r>
            <w:proofErr w:type="gramStart"/>
            <w:r>
              <w:rPr>
                <w:b/>
                <w:bCs/>
                <w:i/>
                <w:iCs/>
                <w:szCs w:val="20"/>
              </w:rPr>
              <w:t>penzionech</w:t>
            </w:r>
            <w:proofErr w:type="gramEnd"/>
            <w:r>
              <w:rPr>
                <w:b/>
                <w:bCs/>
                <w:i/>
                <w:iCs/>
                <w:szCs w:val="20"/>
              </w:rPr>
              <w:t xml:space="preserve"> pro seniory</w:t>
            </w:r>
          </w:p>
        </w:tc>
        <w:tc>
          <w:tcPr>
            <w:tcW w:w="7268" w:type="dxa"/>
            <w:gridSpan w:val="2"/>
            <w:tcMar>
              <w:left w:w="85" w:type="dxa"/>
              <w:right w:w="85" w:type="dxa"/>
            </w:tcMar>
          </w:tcPr>
          <w:p w:rsidR="008D68CD" w:rsidRPr="001F7EB1" w:rsidRDefault="008D68CD" w:rsidP="008D68CD">
            <w:pPr>
              <w:spacing w:before="60" w:after="60"/>
            </w:pPr>
            <w:r w:rsidRPr="00AF502F">
              <w:t>V domovech - penzionech a domovech pro seniory nebyl v uplynulém roce dokončen žádný byt, bylo však započato s výst</w:t>
            </w:r>
            <w:r>
              <w:t>a</w:t>
            </w:r>
            <w:r w:rsidRPr="00AF502F">
              <w:t xml:space="preserve">vbou, a to 37 bytů v okrese Vsetín a 7 bytů v okrese </w:t>
            </w:r>
            <w:proofErr w:type="spellStart"/>
            <w:r w:rsidRPr="00AF502F">
              <w:t>Uh</w:t>
            </w:r>
            <w:proofErr w:type="spellEnd"/>
            <w:r w:rsidRPr="00AF502F">
              <w:t xml:space="preserve">. Hradiště. </w:t>
            </w:r>
            <w:r>
              <w:t>V celém sledovaném období bylo dokončeno 31 bytů v okrese Kroměříž a 34 bytů v okrese Uherské Hradiště.</w:t>
            </w:r>
          </w:p>
        </w:tc>
      </w:tr>
      <w:tr w:rsidR="008D68CD" w:rsidTr="00A76F67">
        <w:tc>
          <w:tcPr>
            <w:tcW w:w="2456" w:type="dxa"/>
            <w:tcMar>
              <w:left w:w="85" w:type="dxa"/>
              <w:right w:w="85" w:type="dxa"/>
            </w:tcMar>
          </w:tcPr>
          <w:p w:rsidR="008D68CD" w:rsidRPr="005A099E" w:rsidRDefault="008D68CD" w:rsidP="00F559B3">
            <w:pPr>
              <w:spacing w:before="60"/>
              <w:jc w:val="left"/>
              <w:rPr>
                <w:b/>
                <w:i/>
                <w:szCs w:val="20"/>
                <w:highlight w:val="yellow"/>
              </w:rPr>
            </w:pPr>
            <w:r w:rsidRPr="008D68CD">
              <w:rPr>
                <w:b/>
                <w:bCs/>
                <w:i/>
                <w:iCs/>
              </w:rPr>
              <w:t>Nejvíce dokončených bytů v krajském městě</w:t>
            </w:r>
          </w:p>
        </w:tc>
        <w:tc>
          <w:tcPr>
            <w:tcW w:w="7268" w:type="dxa"/>
            <w:gridSpan w:val="2"/>
            <w:tcMar>
              <w:left w:w="85" w:type="dxa"/>
              <w:right w:w="85" w:type="dxa"/>
            </w:tcMar>
          </w:tcPr>
          <w:p w:rsidR="008D68CD" w:rsidRPr="008D68CD" w:rsidRDefault="008D68CD" w:rsidP="00F14A63">
            <w:pPr>
              <w:pStyle w:val="text"/>
              <w:rPr>
                <w:rFonts w:cs="Arial"/>
                <w:szCs w:val="20"/>
              </w:rPr>
            </w:pPr>
            <w:r w:rsidRPr="008D68CD">
              <w:rPr>
                <w:rFonts w:cs="Arial"/>
                <w:szCs w:val="20"/>
              </w:rPr>
              <w:t xml:space="preserve">Zhruba desetina z bytů dokončených v kraji připadala v letech 2009-2014 na krajské město (746). Následovala města Uherské Hradiště s 594 byty, Kroměříž (417), Valašské Meziříčí (206) a Rožnov pod Radhoštěm (189). Za další města kraje s nejvyššími počty dokončených bytů (Uherský Brod, Vsetín, Otrokovice, Vizovice a Zubří) se zařadily se 75 byty obce </w:t>
            </w:r>
            <w:proofErr w:type="spellStart"/>
            <w:r w:rsidRPr="008D68CD">
              <w:rPr>
                <w:rFonts w:cs="Arial"/>
                <w:szCs w:val="20"/>
              </w:rPr>
              <w:t>Zašová</w:t>
            </w:r>
            <w:proofErr w:type="spellEnd"/>
            <w:r w:rsidRPr="008D68CD">
              <w:rPr>
                <w:rFonts w:cs="Arial"/>
                <w:szCs w:val="20"/>
              </w:rPr>
              <w:t xml:space="preserve"> a Dolní Němčí, za nimi následovala Nivnice (71).</w:t>
            </w:r>
          </w:p>
        </w:tc>
      </w:tr>
      <w:tr w:rsidR="008D68CD" w:rsidTr="00A76F67">
        <w:tc>
          <w:tcPr>
            <w:tcW w:w="2456" w:type="dxa"/>
            <w:tcMar>
              <w:left w:w="85" w:type="dxa"/>
              <w:right w:w="85" w:type="dxa"/>
            </w:tcMar>
          </w:tcPr>
          <w:p w:rsidR="008D68CD" w:rsidRPr="005A099E" w:rsidRDefault="008D68CD" w:rsidP="00F559B3">
            <w:pPr>
              <w:spacing w:before="60"/>
              <w:jc w:val="left"/>
              <w:rPr>
                <w:b/>
                <w:i/>
                <w:szCs w:val="20"/>
                <w:highlight w:val="yellow"/>
              </w:rPr>
            </w:pPr>
            <w:r w:rsidRPr="008D68CD">
              <w:rPr>
                <w:b/>
                <w:bCs/>
                <w:i/>
                <w:iCs/>
                <w:szCs w:val="20"/>
              </w:rPr>
              <w:t>Vysoká intenzita bytové výstavby v některých malých obcích</w:t>
            </w:r>
          </w:p>
        </w:tc>
        <w:tc>
          <w:tcPr>
            <w:tcW w:w="7268" w:type="dxa"/>
            <w:gridSpan w:val="2"/>
            <w:tcMar>
              <w:left w:w="85" w:type="dxa"/>
              <w:right w:w="85" w:type="dxa"/>
            </w:tcMar>
          </w:tcPr>
          <w:p w:rsidR="008D68CD" w:rsidRPr="00F7547B" w:rsidRDefault="008D68CD" w:rsidP="00F14A63">
            <w:pPr>
              <w:pStyle w:val="text"/>
              <w:rPr>
                <w:rFonts w:ascii="TT7059o00" w:hAnsi="TT7059o00" w:cs="TT7059o00"/>
                <w:szCs w:val="20"/>
                <w:highlight w:val="yellow"/>
              </w:rPr>
            </w:pPr>
            <w:r w:rsidRPr="008D68CD">
              <w:rPr>
                <w:rFonts w:cs="Arial"/>
                <w:szCs w:val="20"/>
              </w:rPr>
              <w:t xml:space="preserve">V přepočtu na tis. obyvatel znamená 746 dokončených bytů v krajském městě (v období 2009-2014) v průměru 1,7 dokončených bytů ročně. Ve srovnání s tím se jako vysoká jeví intenzita bytové výstavby 8 a 7 dokončených bytů na tis. </w:t>
            </w:r>
            <w:proofErr w:type="spellStart"/>
            <w:r w:rsidRPr="008D68CD">
              <w:rPr>
                <w:rFonts w:cs="Arial"/>
                <w:szCs w:val="20"/>
              </w:rPr>
              <w:t>obyv</w:t>
            </w:r>
            <w:proofErr w:type="spellEnd"/>
            <w:r w:rsidRPr="008D68CD">
              <w:rPr>
                <w:rFonts w:cs="Arial"/>
                <w:szCs w:val="20"/>
              </w:rPr>
              <w:t xml:space="preserve">. v obcích </w:t>
            </w:r>
            <w:proofErr w:type="spellStart"/>
            <w:r w:rsidRPr="008D68CD">
              <w:rPr>
                <w:rFonts w:cs="Arial"/>
                <w:szCs w:val="20"/>
              </w:rPr>
              <w:t>Jarohněvice</w:t>
            </w:r>
            <w:proofErr w:type="spellEnd"/>
            <w:r w:rsidRPr="008D68CD">
              <w:rPr>
                <w:rFonts w:cs="Arial"/>
                <w:szCs w:val="20"/>
              </w:rPr>
              <w:t xml:space="preserve"> a Machová. Těsně pod hranicí 7 bytů ročně byly obce Horní Lhota a </w:t>
            </w:r>
            <w:proofErr w:type="spellStart"/>
            <w:r w:rsidRPr="008D68CD">
              <w:rPr>
                <w:rFonts w:cs="Arial"/>
                <w:szCs w:val="20"/>
              </w:rPr>
              <w:t>Mikulůvka</w:t>
            </w:r>
            <w:proofErr w:type="spellEnd"/>
            <w:r w:rsidRPr="008D68CD">
              <w:rPr>
                <w:rFonts w:cs="Arial"/>
                <w:szCs w:val="20"/>
              </w:rPr>
              <w:t>. Naproti tomu ve 14 obcích kraje nebyl v daném období dokončen ani jeden byt. Jedná se o malé obce, ve kterých počet obyvatel v roce 2014 nedosáhl hranice 500 osob, převážně z kroměřížského okresu.</w:t>
            </w:r>
            <w:r w:rsidRPr="00FA5367">
              <w:rPr>
                <w:rFonts w:ascii="TT7059o00" w:hAnsi="TT7059o00" w:cs="TT7059o00"/>
                <w:szCs w:val="20"/>
              </w:rPr>
              <w:t xml:space="preserve"> </w:t>
            </w:r>
          </w:p>
        </w:tc>
      </w:tr>
      <w:tr w:rsidR="008C5A6A" w:rsidTr="00A76F67">
        <w:tc>
          <w:tcPr>
            <w:tcW w:w="2456" w:type="dxa"/>
            <w:tcMar>
              <w:left w:w="85" w:type="dxa"/>
              <w:right w:w="85" w:type="dxa"/>
            </w:tcMar>
          </w:tcPr>
          <w:p w:rsidR="008C5A6A" w:rsidRPr="008D68CD" w:rsidRDefault="008C5A6A" w:rsidP="009D7C1D">
            <w:pPr>
              <w:spacing w:before="60"/>
              <w:jc w:val="left"/>
              <w:rPr>
                <w:b/>
                <w:i/>
                <w:szCs w:val="20"/>
              </w:rPr>
            </w:pPr>
            <w:r w:rsidRPr="008D68CD">
              <w:rPr>
                <w:b/>
                <w:bCs/>
                <w:i/>
                <w:iCs/>
                <w:szCs w:val="20"/>
              </w:rPr>
              <w:t>Plynulost výstavby klesla</w:t>
            </w:r>
          </w:p>
        </w:tc>
        <w:tc>
          <w:tcPr>
            <w:tcW w:w="7268" w:type="dxa"/>
            <w:gridSpan w:val="2"/>
            <w:tcMar>
              <w:left w:w="85" w:type="dxa"/>
              <w:right w:w="85" w:type="dxa"/>
            </w:tcMar>
            <w:vAlign w:val="center"/>
          </w:tcPr>
          <w:p w:rsidR="00C852E0" w:rsidRPr="008D68CD" w:rsidRDefault="008D68CD" w:rsidP="009D7C1D">
            <w:pPr>
              <w:pStyle w:val="text"/>
              <w:rPr>
                <w:rFonts w:cs="Arial"/>
                <w:szCs w:val="20"/>
                <w:highlight w:val="yellow"/>
              </w:rPr>
            </w:pPr>
            <w:r w:rsidRPr="008D68CD">
              <w:rPr>
                <w:rFonts w:cs="Arial"/>
                <w:szCs w:val="20"/>
              </w:rPr>
              <w:t xml:space="preserve">Zatímco na počátku sledovaného pětiletého období převyšoval počet dokončených bytů počet zahájených, od roku 2011 je tomu naopak. V roce 2012 dosáhl ukazatel plynulosti bytové výstavby v kraji téměř optimální hranice (99,3), pak následoval pokles až na 85,7 v roce 2014. </w:t>
            </w:r>
          </w:p>
        </w:tc>
      </w:tr>
    </w:tbl>
    <w:p w:rsidR="00C96F1A" w:rsidRDefault="00C96F1A" w:rsidP="00FF21B4">
      <w:pPr>
        <w:sectPr w:rsidR="00C96F1A"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709" w:type="dxa"/>
        <w:tblLayout w:type="fixed"/>
        <w:tblCellMar>
          <w:left w:w="70" w:type="dxa"/>
          <w:right w:w="70" w:type="dxa"/>
        </w:tblCellMar>
        <w:tblLook w:val="0000"/>
      </w:tblPr>
      <w:tblGrid>
        <w:gridCol w:w="2480"/>
        <w:gridCol w:w="7229"/>
      </w:tblGrid>
      <w:tr w:rsidR="005428C6" w:rsidRPr="005A099E" w:rsidTr="009D7C1D">
        <w:tc>
          <w:tcPr>
            <w:tcW w:w="2480" w:type="dxa"/>
          </w:tcPr>
          <w:p w:rsidR="005428C6" w:rsidRPr="009D7C1D" w:rsidRDefault="005428C6" w:rsidP="009D7C1D">
            <w:pPr>
              <w:spacing w:before="60"/>
              <w:jc w:val="left"/>
              <w:rPr>
                <w:b/>
                <w:bCs/>
                <w:i/>
                <w:iCs/>
                <w:szCs w:val="20"/>
              </w:rPr>
            </w:pPr>
            <w:r w:rsidRPr="009D7C1D">
              <w:rPr>
                <w:b/>
                <w:bCs/>
                <w:i/>
                <w:iCs/>
                <w:szCs w:val="20"/>
              </w:rPr>
              <w:lastRenderedPageBreak/>
              <w:t>Cestovní ruch</w:t>
            </w:r>
          </w:p>
          <w:p w:rsidR="005428C6" w:rsidRPr="002A53D0" w:rsidRDefault="005428C6" w:rsidP="009D7C1D">
            <w:pPr>
              <w:spacing w:before="60"/>
              <w:jc w:val="left"/>
              <w:rPr>
                <w:rFonts w:ascii="Times New Roman" w:hAnsi="Times New Roman"/>
                <w:szCs w:val="20"/>
                <w:highlight w:val="yellow"/>
              </w:rPr>
            </w:pPr>
            <w:r w:rsidRPr="009D7C1D">
              <w:rPr>
                <w:b/>
                <w:bCs/>
                <w:i/>
                <w:iCs/>
                <w:szCs w:val="20"/>
              </w:rPr>
              <w:t>V roce 2014 došlo k mírnému nárůstu počtu návštěvníků Zlínského kraje</w:t>
            </w:r>
          </w:p>
        </w:tc>
        <w:tc>
          <w:tcPr>
            <w:tcW w:w="7229" w:type="dxa"/>
            <w:vAlign w:val="center"/>
          </w:tcPr>
          <w:p w:rsidR="005428C6" w:rsidRPr="009D7C1D" w:rsidRDefault="005428C6" w:rsidP="009D7C1D">
            <w:pPr>
              <w:pStyle w:val="text"/>
              <w:rPr>
                <w:rFonts w:cs="Arial"/>
                <w:szCs w:val="20"/>
              </w:rPr>
            </w:pPr>
            <w:r w:rsidRPr="009D7C1D">
              <w:rPr>
                <w:rFonts w:cs="Arial"/>
                <w:szCs w:val="20"/>
              </w:rPr>
              <w:t>Na základě výsledků projektu MMR "Zkvalitnění informací o vybraných sektorech cestovního ruchu" došlo k revizi dat o kapacitách a návštěvnosti za roky 2012 a</w:t>
            </w:r>
            <w:r w:rsidR="00041AB0" w:rsidRPr="009D7C1D">
              <w:rPr>
                <w:rFonts w:cs="Arial"/>
                <w:szCs w:val="20"/>
              </w:rPr>
              <w:t> </w:t>
            </w:r>
            <w:r w:rsidRPr="009D7C1D">
              <w:rPr>
                <w:rFonts w:cs="Arial"/>
                <w:szCs w:val="20"/>
              </w:rPr>
              <w:t>2013; z toho důvodu nejsou údaje před rokem 2012 srovnatelné. Zlínský kraj v roce 2014 navštívilo a alespoň jednu noc přenocovalo v hromadných ubytovacích zařízeních celkem 603,4 tisíce hostů. Proti předchozímu roku došlo k nepatrnému přírůstku návštěvníků kraje (o 0,02 %). Počet hostů - nerezidentů (ze zahraničí) meziročně klesl o 9,6 %, domácích hostů (rezidentů) se zvýšil o 4,1 %. Krajský poměr 82,0 % domácích a 18,0 % cizích hostů v roce 2013 se za rok změnil na 83,7 % hostů domácích a 16,3 % návštěvníků ze zahraničí.</w:t>
            </w:r>
          </w:p>
          <w:p w:rsidR="005428C6" w:rsidRPr="009D7C1D" w:rsidRDefault="005428C6" w:rsidP="009D7C1D">
            <w:pPr>
              <w:pStyle w:val="text"/>
              <w:rPr>
                <w:rFonts w:cs="Arial"/>
                <w:szCs w:val="20"/>
              </w:rPr>
            </w:pPr>
            <w:r w:rsidRPr="009D7C1D">
              <w:rPr>
                <w:rFonts w:cs="Arial"/>
                <w:szCs w:val="20"/>
              </w:rPr>
              <w:lastRenderedPageBreak/>
              <w:t xml:space="preserve">Celkový počet přenocování se meziročně zvýšil o 4,2 %. Průměrný počet přenocování hostů v ubytovacích zařízeních klesl z  2,94 na 2,77 v roce 2014. </w:t>
            </w:r>
          </w:p>
        </w:tc>
      </w:tr>
      <w:tr w:rsidR="005428C6" w:rsidRPr="005A099E" w:rsidTr="009D7C1D">
        <w:tc>
          <w:tcPr>
            <w:tcW w:w="2480" w:type="dxa"/>
          </w:tcPr>
          <w:p w:rsidR="005428C6" w:rsidRPr="002A53D0" w:rsidRDefault="005428C6" w:rsidP="00BA0F5F">
            <w:pPr>
              <w:spacing w:before="60" w:after="60"/>
              <w:jc w:val="left"/>
              <w:rPr>
                <w:b/>
                <w:i/>
                <w:szCs w:val="20"/>
                <w:highlight w:val="yellow"/>
              </w:rPr>
            </w:pPr>
            <w:r w:rsidRPr="004D345A">
              <w:rPr>
                <w:b/>
                <w:i/>
                <w:szCs w:val="20"/>
              </w:rPr>
              <w:lastRenderedPageBreak/>
              <w:t>Počty hromadných ubytovacích zařízení klesly</w:t>
            </w:r>
          </w:p>
        </w:tc>
        <w:tc>
          <w:tcPr>
            <w:tcW w:w="7229" w:type="dxa"/>
            <w:vAlign w:val="center"/>
          </w:tcPr>
          <w:p w:rsidR="005428C6" w:rsidRPr="00231696" w:rsidRDefault="005428C6" w:rsidP="009D7C1D">
            <w:pPr>
              <w:pStyle w:val="text"/>
              <w:rPr>
                <w:rFonts w:cs="Arial"/>
                <w:szCs w:val="20"/>
              </w:rPr>
            </w:pPr>
            <w:r w:rsidRPr="009D7C1D">
              <w:rPr>
                <w:rFonts w:cs="Arial"/>
                <w:szCs w:val="20"/>
              </w:rPr>
              <w:t xml:space="preserve">Počet hromadných ubytovacích zařízení meziročně klesl o 3,9 %, což mělo vliv na počet pokojů, které klesly o 0,6 %. Stejně tak klesl počet lůžek meziročně o 1,0 %. </w:t>
            </w:r>
          </w:p>
        </w:tc>
      </w:tr>
      <w:tr w:rsidR="005428C6" w:rsidRPr="005A099E" w:rsidTr="009D7C1D">
        <w:tc>
          <w:tcPr>
            <w:tcW w:w="2480" w:type="dxa"/>
          </w:tcPr>
          <w:p w:rsidR="005428C6" w:rsidRPr="002A53D0" w:rsidRDefault="005428C6" w:rsidP="00BA0F5F">
            <w:pPr>
              <w:spacing w:before="60" w:after="60"/>
              <w:jc w:val="left"/>
              <w:rPr>
                <w:b/>
                <w:i/>
                <w:szCs w:val="20"/>
                <w:highlight w:val="yellow"/>
              </w:rPr>
            </w:pPr>
            <w:r w:rsidRPr="00CF0E42">
              <w:rPr>
                <w:b/>
                <w:i/>
                <w:szCs w:val="20"/>
              </w:rPr>
              <w:t>Nejvíce kraj navštívili turisté ze Slovenska</w:t>
            </w:r>
          </w:p>
        </w:tc>
        <w:tc>
          <w:tcPr>
            <w:tcW w:w="7229" w:type="dxa"/>
            <w:vAlign w:val="center"/>
          </w:tcPr>
          <w:p w:rsidR="005428C6" w:rsidRPr="002A53D0" w:rsidRDefault="005428C6" w:rsidP="00BA0F5F">
            <w:pPr>
              <w:spacing w:before="60" w:after="60"/>
              <w:rPr>
                <w:rFonts w:eastAsia="+mn-ea"/>
                <w:szCs w:val="20"/>
                <w:highlight w:val="yellow"/>
              </w:rPr>
            </w:pPr>
            <w:r w:rsidRPr="00CF0E42">
              <w:t xml:space="preserve">Nejvíce zahraničních návštěvníků navštívilo Zlínský kraj ze Slovenska, a to více jak 32 tis. hostů (meziroční zvýšení počtu o 22,6 %). Dále do kraje přicestovalo 14,2 tis. hostů z Německa (oproti roku 2013 pokles o 16,6 %) a i přes meziroční pokles o 17,0 % byli třetími nejčastějšími návštěvníky kraje hosté z Polska (10,3 tis. osob). Za nimi se pak řadili turisté z Rakouska (5 171 osob), Ruska (3 997 osob) a z Itálie (3 342 osob). </w:t>
            </w:r>
          </w:p>
        </w:tc>
      </w:tr>
      <w:tr w:rsidR="005428C6" w:rsidRPr="005A099E" w:rsidTr="009D7C1D">
        <w:tc>
          <w:tcPr>
            <w:tcW w:w="2480" w:type="dxa"/>
          </w:tcPr>
          <w:p w:rsidR="005428C6" w:rsidRPr="00BF25C5" w:rsidRDefault="005428C6" w:rsidP="00BA0F5F">
            <w:pPr>
              <w:spacing w:before="60" w:after="60"/>
              <w:jc w:val="left"/>
              <w:rPr>
                <w:b/>
                <w:i/>
                <w:szCs w:val="20"/>
              </w:rPr>
            </w:pPr>
            <w:r w:rsidRPr="00BF25C5">
              <w:rPr>
                <w:b/>
                <w:i/>
                <w:szCs w:val="20"/>
              </w:rPr>
              <w:t>Celkový počet přenocování vzrostl</w:t>
            </w:r>
          </w:p>
        </w:tc>
        <w:tc>
          <w:tcPr>
            <w:tcW w:w="7229" w:type="dxa"/>
            <w:vAlign w:val="center"/>
          </w:tcPr>
          <w:p w:rsidR="005428C6" w:rsidRPr="00BF25C5" w:rsidRDefault="005428C6" w:rsidP="00BA0F5F">
            <w:pPr>
              <w:spacing w:before="60" w:after="60"/>
              <w:rPr>
                <w:szCs w:val="20"/>
              </w:rPr>
            </w:pPr>
            <w:r w:rsidRPr="00BF25C5">
              <w:t xml:space="preserve">Celkový počet přenocování meziročně vzrostl o 4,2 %. V roce 2014 v kraji přenocovalo 257 354 cizinců, což bylo o 21 993 cizinců méně než v předchozím roce (pokles o 7,9 %). </w:t>
            </w:r>
            <w:r>
              <w:t>Naopak průměrná doba pobytu v</w:t>
            </w:r>
            <w:r w:rsidR="00041AB0">
              <w:t>z</w:t>
            </w:r>
            <w:r>
              <w:t>rostla z 3,9 v roce 2013 na 4,1 v roce 2014. Čisté využití lůžek v hotelích a podobných ubytovacích zařízeních meziročně vzrostlo z 28,7 % na 30,8 %.</w:t>
            </w:r>
          </w:p>
        </w:tc>
      </w:tr>
      <w:tr w:rsidR="009D7080" w:rsidRPr="005A099E" w:rsidTr="009D7C1D">
        <w:tc>
          <w:tcPr>
            <w:tcW w:w="2480" w:type="dxa"/>
          </w:tcPr>
          <w:p w:rsidR="009D7080" w:rsidRPr="005A099E" w:rsidRDefault="009D7080" w:rsidP="00AE419C">
            <w:pPr>
              <w:pStyle w:val="text"/>
              <w:jc w:val="left"/>
              <w:rPr>
                <w:b/>
                <w:bCs/>
                <w:i/>
                <w:iCs/>
                <w:highlight w:val="yellow"/>
              </w:rPr>
            </w:pPr>
          </w:p>
        </w:tc>
        <w:tc>
          <w:tcPr>
            <w:tcW w:w="7229" w:type="dxa"/>
          </w:tcPr>
          <w:p w:rsidR="009D7080" w:rsidRPr="005A099E" w:rsidRDefault="005428C6" w:rsidP="007E5BCF">
            <w:pPr>
              <w:spacing w:before="60" w:after="60"/>
              <w:rPr>
                <w:highlight w:val="yellow"/>
              </w:rPr>
            </w:pPr>
            <w:r>
              <w:t>V roce 2014</w:t>
            </w:r>
            <w:r w:rsidRPr="005B6F24">
              <w:t xml:space="preserve"> zavítalo a využilo služeb v lázních kraje celkem </w:t>
            </w:r>
            <w:proofErr w:type="gramStart"/>
            <w:r>
              <w:t>68 179</w:t>
            </w:r>
            <w:r w:rsidRPr="005B6F24">
              <w:t xml:space="preserve">  návštěvníků</w:t>
            </w:r>
            <w:proofErr w:type="gramEnd"/>
            <w:r w:rsidRPr="005B6F24">
              <w:t xml:space="preserve">. Proti srovnatelnému období minulého roku jich ubylo </w:t>
            </w:r>
            <w:r>
              <w:t xml:space="preserve">o 4,8 </w:t>
            </w:r>
            <w:r w:rsidRPr="005B6F24">
              <w:t xml:space="preserve">% (snížení o </w:t>
            </w:r>
            <w:r>
              <w:t>3,4</w:t>
            </w:r>
            <w:r w:rsidRPr="005B6F24">
              <w:t xml:space="preserve"> tis. osob). Počty domácích hostů poklesly o </w:t>
            </w:r>
            <w:r>
              <w:t>5,2</w:t>
            </w:r>
            <w:r w:rsidRPr="005B6F24">
              <w:t xml:space="preserve"> % (o </w:t>
            </w:r>
            <w:r>
              <w:t>3,4</w:t>
            </w:r>
            <w:r w:rsidRPr="005B6F24">
              <w:t xml:space="preserve"> tis. osob)</w:t>
            </w:r>
            <w:r>
              <w:t>. K poklesu došlo i</w:t>
            </w:r>
            <w:r w:rsidRPr="005B6F24">
              <w:t xml:space="preserve"> u nerezidentů</w:t>
            </w:r>
            <w:r>
              <w:t xml:space="preserve"> a t</w:t>
            </w:r>
            <w:r w:rsidRPr="005B6F24">
              <w:t>o</w:t>
            </w:r>
            <w:r>
              <w:t xml:space="preserve"> o</w:t>
            </w:r>
            <w:r w:rsidRPr="005B6F24">
              <w:t xml:space="preserve"> 0,</w:t>
            </w:r>
            <w:r>
              <w:t>6</w:t>
            </w:r>
            <w:r w:rsidRPr="005B6F24">
              <w:t xml:space="preserve"> %. Proti předchozímu roku ale návštěvníci více využili služeb a prodloužili si pobyt v lázních, a tak počet přenocování </w:t>
            </w:r>
            <w:r w:rsidRPr="00AE0B2A">
              <w:t xml:space="preserve">vzrostl. Celkově se počet přenocování zvýšil o </w:t>
            </w:r>
            <w:r>
              <w:t>10</w:t>
            </w:r>
            <w:r w:rsidRPr="00AE0B2A">
              <w:t xml:space="preserve"> %. Domácí hosté meziročně využili v lázeňských zařízeních o 40,6 tis. přenocování více (o 9,4 %) a ze zahraničí o 2,</w:t>
            </w:r>
            <w:r>
              <w:t>8</w:t>
            </w:r>
            <w:r w:rsidRPr="00AE0B2A">
              <w:t xml:space="preserve"> tisíc (o 6,2 %). Krajský podíl lázeňských hostů celé republiky dosáhl 9,0 %.</w:t>
            </w:r>
          </w:p>
        </w:tc>
      </w:tr>
      <w:tr w:rsidR="003E26C0" w:rsidTr="005428C6">
        <w:tc>
          <w:tcPr>
            <w:tcW w:w="9709" w:type="dxa"/>
            <w:gridSpan w:val="2"/>
          </w:tcPr>
          <w:p w:rsidR="003E26C0" w:rsidRDefault="003E26C0" w:rsidP="00F20360">
            <w:pPr>
              <w:pStyle w:val="text"/>
              <w:jc w:val="center"/>
            </w:pPr>
          </w:p>
        </w:tc>
      </w:tr>
    </w:tbl>
    <w:p w:rsidR="00FF21B4" w:rsidRDefault="00FF21B4" w:rsidP="00FF21B4"/>
    <w:p w:rsidR="00E567FE" w:rsidRDefault="00E567FE" w:rsidP="002A3B42">
      <w:pPr>
        <w:pStyle w:val="text"/>
      </w:pPr>
    </w:p>
    <w:p w:rsidR="00E567FE" w:rsidRDefault="00E567FE" w:rsidP="002A3B42">
      <w:pPr>
        <w:pStyle w:val="text"/>
      </w:pPr>
    </w:p>
    <w:p w:rsidR="00E567FE" w:rsidRDefault="00E567FE" w:rsidP="002A3B42">
      <w:pPr>
        <w:pStyle w:val="text"/>
      </w:pPr>
    </w:p>
    <w:p w:rsidR="00E567FE" w:rsidRDefault="00E567FE" w:rsidP="002A3B42">
      <w:pPr>
        <w:pStyle w:val="text"/>
      </w:pPr>
    </w:p>
    <w:p w:rsidR="000623D0" w:rsidRDefault="000623D0" w:rsidP="002A3B42">
      <w:pPr>
        <w:pStyle w:val="text"/>
      </w:pPr>
    </w:p>
    <w:p w:rsidR="004E55DA" w:rsidRDefault="004E55DA" w:rsidP="002A3B42">
      <w:pPr>
        <w:pStyle w:val="text"/>
        <w:sectPr w:rsidR="004E55DA" w:rsidSect="008A6FE9">
          <w:footnotePr>
            <w:numRestart w:val="eachPage"/>
          </w:footnotePr>
          <w:type w:val="continuous"/>
          <w:pgSz w:w="11906" w:h="16838" w:code="9"/>
          <w:pgMar w:top="1134" w:right="1134" w:bottom="1247" w:left="1134" w:header="567" w:footer="709" w:gutter="0"/>
          <w:cols w:space="708" w:equalWidth="0">
            <w:col w:w="9638"/>
          </w:cols>
          <w:titlePg/>
          <w:docGrid w:linePitch="360"/>
        </w:sectPr>
      </w:pPr>
    </w:p>
    <w:p w:rsidR="0017742A" w:rsidRDefault="007C121A" w:rsidP="00306A8F">
      <w:pPr>
        <w:pStyle w:val="Nadpis1"/>
      </w:pPr>
      <w:r>
        <w:lastRenderedPageBreak/>
        <w:t xml:space="preserve"> </w:t>
      </w:r>
      <w:bookmarkStart w:id="5" w:name="_Toc428351940"/>
      <w:r w:rsidR="0017742A">
        <w:t>Životní prostředí</w:t>
      </w:r>
      <w:bookmarkEnd w:id="5"/>
    </w:p>
    <w:tbl>
      <w:tblPr>
        <w:tblW w:w="9640" w:type="dxa"/>
        <w:tblInd w:w="-15" w:type="dxa"/>
        <w:tblLayout w:type="fixed"/>
        <w:tblCellMar>
          <w:left w:w="70" w:type="dxa"/>
          <w:right w:w="70" w:type="dxa"/>
        </w:tblCellMar>
        <w:tblLook w:val="0000"/>
      </w:tblPr>
      <w:tblGrid>
        <w:gridCol w:w="15"/>
        <w:gridCol w:w="15"/>
        <w:gridCol w:w="2396"/>
        <w:gridCol w:w="14"/>
        <w:gridCol w:w="7158"/>
        <w:gridCol w:w="13"/>
        <w:gridCol w:w="29"/>
      </w:tblGrid>
      <w:tr w:rsidR="0092173C" w:rsidRPr="005858F0" w:rsidTr="00BA0688">
        <w:trPr>
          <w:gridBefore w:val="1"/>
          <w:gridAfter w:val="2"/>
          <w:wBefore w:w="15" w:type="dxa"/>
          <w:wAfter w:w="42" w:type="dxa"/>
        </w:trPr>
        <w:tc>
          <w:tcPr>
            <w:tcW w:w="2411" w:type="dxa"/>
            <w:gridSpan w:val="2"/>
            <w:tcMar>
              <w:left w:w="85" w:type="dxa"/>
              <w:right w:w="85" w:type="dxa"/>
            </w:tcMar>
          </w:tcPr>
          <w:p w:rsidR="0092173C" w:rsidRPr="00F7372C" w:rsidRDefault="0092173C" w:rsidP="00F7372C">
            <w:pPr>
              <w:spacing w:before="60" w:after="60"/>
              <w:jc w:val="left"/>
              <w:rPr>
                <w:rFonts w:cs="Arial"/>
                <w:b/>
                <w:i/>
                <w:szCs w:val="20"/>
              </w:rPr>
            </w:pPr>
            <w:r w:rsidRPr="00F7372C">
              <w:rPr>
                <w:rFonts w:cs="Arial"/>
                <w:b/>
                <w:i/>
                <w:szCs w:val="20"/>
                <w:u w:val="single"/>
              </w:rPr>
              <w:t>Půdní fond</w:t>
            </w:r>
          </w:p>
          <w:p w:rsidR="0092173C" w:rsidRPr="005A099E" w:rsidRDefault="00F7372C" w:rsidP="00F7372C">
            <w:pPr>
              <w:spacing w:before="60" w:after="60"/>
              <w:jc w:val="left"/>
              <w:rPr>
                <w:rFonts w:cs="Arial"/>
                <w:b/>
                <w:i/>
                <w:szCs w:val="20"/>
                <w:highlight w:val="yellow"/>
              </w:rPr>
            </w:pPr>
            <w:r w:rsidRPr="00F7372C">
              <w:rPr>
                <w:rFonts w:cs="Arial"/>
                <w:b/>
                <w:i/>
                <w:szCs w:val="20"/>
              </w:rPr>
              <w:t>Orné půdy ubylo, ostatní plocha se zvětšila</w:t>
            </w:r>
          </w:p>
        </w:tc>
        <w:tc>
          <w:tcPr>
            <w:tcW w:w="7172" w:type="dxa"/>
            <w:gridSpan w:val="2"/>
            <w:tcMar>
              <w:left w:w="85" w:type="dxa"/>
              <w:right w:w="85" w:type="dxa"/>
            </w:tcMar>
            <w:vAlign w:val="center"/>
          </w:tcPr>
          <w:p w:rsidR="00F7372C" w:rsidRPr="00F7372C" w:rsidRDefault="00F7372C" w:rsidP="00F7372C">
            <w:pPr>
              <w:pStyle w:val="Normlnweb"/>
              <w:spacing w:before="60" w:beforeAutospacing="0" w:after="60" w:afterAutospacing="0"/>
              <w:jc w:val="both"/>
              <w:rPr>
                <w:rFonts w:ascii="Arial" w:hAnsi="Arial" w:cs="Arial"/>
                <w:sz w:val="20"/>
                <w:szCs w:val="20"/>
              </w:rPr>
            </w:pPr>
            <w:r w:rsidRPr="00F7372C">
              <w:rPr>
                <w:rFonts w:ascii="Arial" w:hAnsi="Arial" w:cs="Arial"/>
                <w:sz w:val="20"/>
                <w:szCs w:val="20"/>
              </w:rPr>
              <w:t>Zlínský kraj patří svou rozlohou mezi malé kraje. Svým pětiprocentním podílem výměry na celkové rozloze republiky obsadil 11. příčku. Menšími jsou jen kraje Karlovarský (4,2%</w:t>
            </w:r>
            <w:r w:rsidR="002400F1">
              <w:rPr>
                <w:rFonts w:ascii="Arial" w:hAnsi="Arial" w:cs="Arial"/>
                <w:sz w:val="20"/>
                <w:szCs w:val="20"/>
              </w:rPr>
              <w:t xml:space="preserve"> </w:t>
            </w:r>
            <w:r w:rsidRPr="00F7372C">
              <w:rPr>
                <w:rFonts w:ascii="Arial" w:hAnsi="Arial" w:cs="Arial"/>
                <w:sz w:val="20"/>
                <w:szCs w:val="20"/>
              </w:rPr>
              <w:t>republikový podíl), Liberecký (4,0 %) a Hlavní město Praha (0,6 %).</w:t>
            </w:r>
          </w:p>
          <w:p w:rsidR="00F7372C" w:rsidRPr="00F7372C" w:rsidRDefault="00F7372C" w:rsidP="00F7372C">
            <w:pPr>
              <w:pStyle w:val="Normlnweb"/>
              <w:spacing w:before="60" w:beforeAutospacing="0" w:after="60" w:afterAutospacing="0"/>
              <w:jc w:val="both"/>
              <w:rPr>
                <w:rFonts w:ascii="Arial" w:hAnsi="Arial" w:cs="Arial"/>
                <w:sz w:val="20"/>
                <w:szCs w:val="20"/>
              </w:rPr>
            </w:pPr>
            <w:r w:rsidRPr="00F7372C">
              <w:rPr>
                <w:rFonts w:ascii="Arial" w:hAnsi="Arial" w:cs="Arial"/>
                <w:sz w:val="20"/>
                <w:szCs w:val="20"/>
              </w:rPr>
              <w:t>Na celkové výměře půdního fondu Zlínského kraje se na konci roku 2014 podílela zemědělská půda 48,7 % a nezemědělská 51,3 %. Ze zemědělské půdy bylo 63,0 % orné. Z nezemědělské půdy bylo 77,6 % lesních pozemků, 2,5 % vodních ploch, 3,5 % zastavěných ploch a 16,4 % ostatních ploch.</w:t>
            </w:r>
          </w:p>
          <w:p w:rsidR="00F7372C" w:rsidRPr="00F7372C" w:rsidRDefault="00F7372C" w:rsidP="00F7372C">
            <w:pPr>
              <w:pStyle w:val="Normlnweb"/>
              <w:spacing w:before="60" w:beforeAutospacing="0" w:after="60" w:afterAutospacing="0"/>
              <w:jc w:val="both"/>
              <w:rPr>
                <w:rFonts w:ascii="Arial" w:hAnsi="Arial" w:cs="Arial"/>
                <w:sz w:val="20"/>
                <w:szCs w:val="20"/>
              </w:rPr>
            </w:pPr>
            <w:r w:rsidRPr="00F7372C">
              <w:rPr>
                <w:rFonts w:ascii="Arial" w:hAnsi="Arial" w:cs="Arial"/>
                <w:sz w:val="20"/>
                <w:szCs w:val="20"/>
              </w:rPr>
              <w:t>Proti předchozímu roku se nepatrně zvýšil podíl nezemědělských ploch na</w:t>
            </w:r>
            <w:r>
              <w:rPr>
                <w:rFonts w:ascii="Arial" w:hAnsi="Arial" w:cs="Arial"/>
                <w:sz w:val="20"/>
                <w:szCs w:val="20"/>
              </w:rPr>
              <w:t> </w:t>
            </w:r>
            <w:r w:rsidRPr="00F7372C">
              <w:rPr>
                <w:rFonts w:ascii="Arial" w:hAnsi="Arial" w:cs="Arial"/>
                <w:sz w:val="20"/>
                <w:szCs w:val="20"/>
              </w:rPr>
              <w:t>úkor zemědělských o 0,1 %. Meziroční zmenšení zemědělské půdy činilo 99 ha. Meziroční úbytek ve výměře orné půdy 233 ha byl zhruba z poloviny kompenzován přírůstkem ploch trvalých travních porostů (123 ha) a vinic, zahrad a ovocných sadů (11 ha). Zvětšení nezemědělské půdy se nejvíce projevil</w:t>
            </w:r>
            <w:r w:rsidR="002400F1">
              <w:rPr>
                <w:rFonts w:ascii="Arial" w:hAnsi="Arial" w:cs="Arial"/>
                <w:sz w:val="20"/>
                <w:szCs w:val="20"/>
              </w:rPr>
              <w:t>o</w:t>
            </w:r>
            <w:r w:rsidRPr="00F7372C">
              <w:rPr>
                <w:rFonts w:ascii="Arial" w:hAnsi="Arial" w:cs="Arial"/>
                <w:sz w:val="20"/>
                <w:szCs w:val="20"/>
              </w:rPr>
              <w:t xml:space="preserve"> u ostatních ploch (o 73 ha).</w:t>
            </w:r>
          </w:p>
          <w:p w:rsidR="00F7372C" w:rsidRPr="00F7372C" w:rsidRDefault="00F7372C" w:rsidP="00F7372C">
            <w:pPr>
              <w:pStyle w:val="Normlnweb"/>
              <w:spacing w:before="60" w:beforeAutospacing="0" w:after="60" w:afterAutospacing="0"/>
              <w:jc w:val="both"/>
              <w:rPr>
                <w:rFonts w:ascii="Arial" w:hAnsi="Arial" w:cs="Arial"/>
                <w:sz w:val="20"/>
                <w:szCs w:val="20"/>
              </w:rPr>
            </w:pPr>
            <w:r w:rsidRPr="00F7372C">
              <w:rPr>
                <w:rFonts w:ascii="Arial" w:hAnsi="Arial" w:cs="Arial"/>
                <w:sz w:val="20"/>
                <w:szCs w:val="20"/>
              </w:rPr>
              <w:t>Rozlohou největším okresem kraje je okres Vsetín, který zaujímá 28,8 % z</w:t>
            </w:r>
            <w:r>
              <w:rPr>
                <w:rFonts w:ascii="Arial" w:hAnsi="Arial" w:cs="Arial"/>
                <w:sz w:val="20"/>
                <w:szCs w:val="20"/>
              </w:rPr>
              <w:t> </w:t>
            </w:r>
            <w:r w:rsidRPr="00F7372C">
              <w:rPr>
                <w:rFonts w:ascii="Arial" w:hAnsi="Arial" w:cs="Arial"/>
                <w:sz w:val="20"/>
                <w:szCs w:val="20"/>
              </w:rPr>
              <w:t>celkové výměry kraje. V tomto okrese je také nejvyšší podíl nezemědělské půdy (36,4 %). Největší podíl zemědělské půdy (29,6 % z celkové plochy zemědělské půdy kraje) obhospodařuje okres Uherské Hradiště. Největší část orné půdy v kraji měly na konci sledovaného období okresy Kroměříž (33,8 % podíl z celkové výměry orné půdy v kraji) a Uherské Hradiště (32,7 %), nejméně okres Vsetín (12,6 %). Největší část lesních pozemků kraje (39,3 %) a travních porostů (39,3 %) je ve vsetínském okrese. Největší podíl ovocných sadů (38,4 %), vinic (99,3 %) a vodních ploch (32,5 %) má okres Uherské Hradiště. Naopak nejmenší plochu nezemědělské půdy (15,4 %), nejméně zastavěných ploch a nádvoří (21,0 %), lesních pozemků (13,8 %) a travních porostů (7,1 %) lze najít v okrese Kroměříž. V okrese Zlín jsou zastoupeny všechny druhy půdy v porovnání s ostatními okresy celkem rovnoměrně. Pouze zahrad (27,1 %) a zastavěných ploch a nádvoří (29,0 %) má v kraji tento okres největší podíl.</w:t>
            </w:r>
          </w:p>
          <w:p w:rsidR="00F7372C" w:rsidRPr="00F7372C" w:rsidRDefault="00F7372C" w:rsidP="00F7372C">
            <w:pPr>
              <w:pStyle w:val="Normlnweb"/>
              <w:spacing w:before="60" w:beforeAutospacing="0" w:after="60" w:afterAutospacing="0"/>
              <w:jc w:val="both"/>
              <w:rPr>
                <w:rFonts w:ascii="Arial" w:hAnsi="Arial" w:cs="Arial"/>
                <w:sz w:val="20"/>
                <w:szCs w:val="20"/>
              </w:rPr>
            </w:pPr>
            <w:r w:rsidRPr="00F7372C">
              <w:rPr>
                <w:rFonts w:ascii="Arial" w:hAnsi="Arial" w:cs="Arial"/>
                <w:sz w:val="20"/>
                <w:szCs w:val="20"/>
              </w:rPr>
              <w:t>Vzhledem k předchozímu roku ubylo nejvíce zemědělské půdy v okrese Zlín (o</w:t>
            </w:r>
            <w:r>
              <w:rPr>
                <w:rFonts w:ascii="Arial" w:hAnsi="Arial" w:cs="Arial"/>
                <w:sz w:val="20"/>
                <w:szCs w:val="20"/>
              </w:rPr>
              <w:t> </w:t>
            </w:r>
            <w:r w:rsidRPr="00F7372C">
              <w:rPr>
                <w:rFonts w:ascii="Arial" w:hAnsi="Arial" w:cs="Arial"/>
                <w:sz w:val="20"/>
                <w:szCs w:val="20"/>
              </w:rPr>
              <w:t>48,4 ha) a Kroměříž (31,5 ha). Největší plocha orné půdy ubyla v okrese Zlín (133,3 ha). Nezemědělská půda se zmenšila jen v okrese Uherské Hradiště (o 1,3 ha), v ostatních okresech se zvětšila, nejvíce ve zlínském (o</w:t>
            </w:r>
            <w:r>
              <w:rPr>
                <w:rFonts w:ascii="Arial" w:hAnsi="Arial" w:cs="Arial"/>
                <w:sz w:val="20"/>
                <w:szCs w:val="20"/>
              </w:rPr>
              <w:t> </w:t>
            </w:r>
            <w:r w:rsidRPr="00F7372C">
              <w:rPr>
                <w:rFonts w:ascii="Arial" w:hAnsi="Arial" w:cs="Arial"/>
                <w:sz w:val="20"/>
                <w:szCs w:val="20"/>
              </w:rPr>
              <w:t xml:space="preserve">51,7 ha)., nejméně ve vsetínském (o 18,5 ha). Z přírůstku nezemědělské půdy největší podíl zaujala ostatní plocha, a to nejvíce v okrese Zlín (o 54,7 ha) a také ve vsetínském okrese přibylo lesních ploch (o 18,8 ha). </w:t>
            </w:r>
          </w:p>
          <w:p w:rsidR="00F7372C" w:rsidRPr="00F7372C" w:rsidRDefault="00F7372C" w:rsidP="00F7372C">
            <w:pPr>
              <w:pStyle w:val="Normlnweb"/>
              <w:spacing w:before="60" w:beforeAutospacing="0" w:after="60" w:afterAutospacing="0"/>
              <w:jc w:val="both"/>
              <w:rPr>
                <w:rFonts w:ascii="Arial" w:hAnsi="Arial" w:cs="Arial"/>
                <w:sz w:val="20"/>
                <w:szCs w:val="20"/>
              </w:rPr>
            </w:pPr>
            <w:r w:rsidRPr="00F7372C">
              <w:rPr>
                <w:rFonts w:ascii="Arial" w:hAnsi="Arial" w:cs="Arial"/>
                <w:sz w:val="20"/>
                <w:szCs w:val="20"/>
              </w:rPr>
              <w:t>Od roku 2009, tedy během pěti let, se v kraji celková výměra kraje zmenšila o</w:t>
            </w:r>
            <w:r>
              <w:rPr>
                <w:rFonts w:ascii="Arial" w:hAnsi="Arial" w:cs="Arial"/>
                <w:sz w:val="20"/>
                <w:szCs w:val="20"/>
              </w:rPr>
              <w:t> </w:t>
            </w:r>
            <w:r w:rsidRPr="00F7372C">
              <w:rPr>
                <w:rFonts w:ascii="Arial" w:hAnsi="Arial" w:cs="Arial"/>
                <w:sz w:val="20"/>
                <w:szCs w:val="20"/>
              </w:rPr>
              <w:t>53 ha.</w:t>
            </w:r>
            <w:r w:rsidR="004F5214">
              <w:rPr>
                <w:rFonts w:ascii="Arial" w:hAnsi="Arial" w:cs="Arial"/>
                <w:sz w:val="20"/>
                <w:szCs w:val="20"/>
              </w:rPr>
              <w:t xml:space="preserve"> </w:t>
            </w:r>
            <w:r w:rsidRPr="00F7372C">
              <w:rPr>
                <w:rFonts w:ascii="Arial" w:hAnsi="Arial" w:cs="Arial"/>
                <w:sz w:val="20"/>
                <w:szCs w:val="20"/>
              </w:rPr>
              <w:t>Přičemž plocha zemědělské půdy se zmenšila celkem o 1 597 ha. Z</w:t>
            </w:r>
            <w:r w:rsidR="002400F1">
              <w:rPr>
                <w:rFonts w:ascii="Arial" w:hAnsi="Arial" w:cs="Arial"/>
                <w:sz w:val="20"/>
                <w:szCs w:val="20"/>
              </w:rPr>
              <w:t> </w:t>
            </w:r>
            <w:r w:rsidRPr="00F7372C">
              <w:rPr>
                <w:rFonts w:ascii="Arial" w:hAnsi="Arial" w:cs="Arial"/>
                <w:sz w:val="20"/>
                <w:szCs w:val="20"/>
              </w:rPr>
              <w:t>toho největší část 506 ha byla z okresu Kroměříž. Ubylo také 2 815 ha orné půdy, z</w:t>
            </w:r>
            <w:r>
              <w:rPr>
                <w:rFonts w:ascii="Arial" w:hAnsi="Arial" w:cs="Arial"/>
                <w:sz w:val="20"/>
                <w:szCs w:val="20"/>
              </w:rPr>
              <w:t> </w:t>
            </w:r>
            <w:r w:rsidRPr="00F7372C">
              <w:rPr>
                <w:rFonts w:ascii="Arial" w:hAnsi="Arial" w:cs="Arial"/>
                <w:sz w:val="20"/>
                <w:szCs w:val="20"/>
              </w:rPr>
              <w:t xml:space="preserve">toho největší část připadla na uherskohradišťský okres (1 127 ha). Dále pak v okrese Zlín (859 ha), Kroměříž (580 ha) a nejméně v okrese Vsetín (248 ha). Naopak vzrostla výměra trvalých travních porostů v kraji (o 1 021 ha), a to nejvíce v okrese Uherské Hradiště (o 517 ha) a Zlín (o 397 ha). </w:t>
            </w:r>
          </w:p>
          <w:p w:rsidR="00F7372C" w:rsidRPr="00F7372C" w:rsidRDefault="00F7372C" w:rsidP="00F7372C">
            <w:pPr>
              <w:pStyle w:val="Normlnweb"/>
              <w:spacing w:before="60" w:beforeAutospacing="0" w:after="60" w:afterAutospacing="0"/>
              <w:jc w:val="both"/>
              <w:rPr>
                <w:rFonts w:ascii="Arial" w:hAnsi="Arial" w:cs="Arial"/>
                <w:sz w:val="20"/>
                <w:szCs w:val="20"/>
              </w:rPr>
            </w:pPr>
            <w:r w:rsidRPr="00F7372C">
              <w:rPr>
                <w:rFonts w:ascii="Arial" w:hAnsi="Arial" w:cs="Arial"/>
                <w:sz w:val="20"/>
                <w:szCs w:val="20"/>
              </w:rPr>
              <w:t>Ze zvětšení nezemědělské půdy (o 1 544 ha) patřila největší část 1 211 do</w:t>
            </w:r>
            <w:r>
              <w:rPr>
                <w:rFonts w:ascii="Arial" w:hAnsi="Arial" w:cs="Arial"/>
                <w:sz w:val="20"/>
                <w:szCs w:val="20"/>
              </w:rPr>
              <w:t> </w:t>
            </w:r>
            <w:r w:rsidRPr="00F7372C">
              <w:rPr>
                <w:rFonts w:ascii="Arial" w:hAnsi="Arial" w:cs="Arial"/>
                <w:sz w:val="20"/>
                <w:szCs w:val="20"/>
              </w:rPr>
              <w:t>ostatních ploch (z toho nejvíce v kroměřížském (443 ha) a</w:t>
            </w:r>
            <w:r w:rsidR="002400F1">
              <w:rPr>
                <w:rFonts w:ascii="Arial" w:hAnsi="Arial" w:cs="Arial"/>
                <w:sz w:val="20"/>
                <w:szCs w:val="20"/>
              </w:rPr>
              <w:t> </w:t>
            </w:r>
            <w:r w:rsidRPr="00F7372C">
              <w:rPr>
                <w:rFonts w:ascii="Arial" w:hAnsi="Arial" w:cs="Arial"/>
                <w:sz w:val="20"/>
                <w:szCs w:val="20"/>
              </w:rPr>
              <w:t>uherskohradišťském (384 ha) okrese. Naopak z nezemědělské půdy ubylo v</w:t>
            </w:r>
            <w:r>
              <w:rPr>
                <w:rFonts w:ascii="Arial" w:hAnsi="Arial" w:cs="Arial"/>
                <w:sz w:val="20"/>
                <w:szCs w:val="20"/>
              </w:rPr>
              <w:t> </w:t>
            </w:r>
            <w:r w:rsidRPr="00F7372C">
              <w:rPr>
                <w:rFonts w:ascii="Arial" w:hAnsi="Arial" w:cs="Arial"/>
                <w:sz w:val="20"/>
                <w:szCs w:val="20"/>
              </w:rPr>
              <w:t xml:space="preserve">kraji 32 ha zastavěné plochy a nádvoří, nejvíce ve vsetínském okrese (o 40 ha). </w:t>
            </w:r>
          </w:p>
          <w:p w:rsidR="0092173C" w:rsidRPr="005A099E" w:rsidRDefault="0092173C" w:rsidP="0092173C">
            <w:pPr>
              <w:pStyle w:val="Normlnweb"/>
              <w:spacing w:before="0" w:beforeAutospacing="0" w:after="0" w:afterAutospacing="0"/>
              <w:jc w:val="both"/>
              <w:rPr>
                <w:rFonts w:ascii="Arial" w:hAnsi="Arial" w:cs="Arial"/>
                <w:sz w:val="20"/>
                <w:szCs w:val="20"/>
                <w:highlight w:val="yellow"/>
              </w:rPr>
            </w:pPr>
          </w:p>
        </w:tc>
      </w:tr>
      <w:tr w:rsidR="0092173C" w:rsidRPr="00A4799B" w:rsidTr="00BA0688">
        <w:trPr>
          <w:gridBefore w:val="1"/>
          <w:gridAfter w:val="2"/>
          <w:wBefore w:w="15" w:type="dxa"/>
          <w:wAfter w:w="42" w:type="dxa"/>
        </w:trPr>
        <w:tc>
          <w:tcPr>
            <w:tcW w:w="2411" w:type="dxa"/>
            <w:gridSpan w:val="2"/>
            <w:tcMar>
              <w:left w:w="85" w:type="dxa"/>
              <w:right w:w="85" w:type="dxa"/>
            </w:tcMar>
          </w:tcPr>
          <w:p w:rsidR="0092173C" w:rsidRPr="005A099E" w:rsidRDefault="004F5214" w:rsidP="004F5214">
            <w:pPr>
              <w:spacing w:before="60" w:after="60"/>
              <w:jc w:val="left"/>
              <w:rPr>
                <w:rFonts w:cs="Arial"/>
                <w:b/>
                <w:i/>
                <w:szCs w:val="20"/>
                <w:highlight w:val="yellow"/>
              </w:rPr>
            </w:pPr>
            <w:r w:rsidRPr="004F5214">
              <w:rPr>
                <w:rFonts w:cs="Arial"/>
                <w:b/>
                <w:i/>
                <w:szCs w:val="20"/>
              </w:rPr>
              <w:t>Délka komunikací se mírně zkrátila</w:t>
            </w:r>
          </w:p>
        </w:tc>
        <w:tc>
          <w:tcPr>
            <w:tcW w:w="7172" w:type="dxa"/>
            <w:gridSpan w:val="2"/>
            <w:tcMar>
              <w:left w:w="85" w:type="dxa"/>
              <w:right w:w="85" w:type="dxa"/>
            </w:tcMar>
            <w:vAlign w:val="center"/>
          </w:tcPr>
          <w:p w:rsidR="00901E08" w:rsidRDefault="004F5214" w:rsidP="004F5214">
            <w:pPr>
              <w:pStyle w:val="Zpat"/>
              <w:tabs>
                <w:tab w:val="left" w:pos="768"/>
              </w:tabs>
              <w:spacing w:before="60" w:after="60"/>
              <w:rPr>
                <w:rFonts w:cs="Arial"/>
                <w:szCs w:val="20"/>
              </w:rPr>
            </w:pPr>
            <w:r w:rsidRPr="004F5214">
              <w:rPr>
                <w:rFonts w:cs="Arial"/>
                <w:szCs w:val="20"/>
              </w:rPr>
              <w:t xml:space="preserve">Na konci roku 2014 měřila v kraji celková délka komunikací 2 142 km (prodloužení za 5 let o 19,5 km), což ke komunikacím v celé republice znamená 3,8% podíl. </w:t>
            </w:r>
          </w:p>
          <w:p w:rsidR="004F5214" w:rsidRPr="004F5214" w:rsidRDefault="004F5214" w:rsidP="004F5214">
            <w:pPr>
              <w:pStyle w:val="Zpat"/>
              <w:tabs>
                <w:tab w:val="left" w:pos="768"/>
              </w:tabs>
              <w:spacing w:before="60" w:after="60"/>
              <w:rPr>
                <w:rFonts w:cs="Arial"/>
                <w:szCs w:val="20"/>
              </w:rPr>
            </w:pPr>
            <w:r w:rsidRPr="004F5214">
              <w:rPr>
                <w:rFonts w:cs="Arial"/>
                <w:szCs w:val="20"/>
              </w:rPr>
              <w:t xml:space="preserve">Délka dálnic se meziročně nezměnila a měří 16,6 km. Délka silnic 1. třídy se zmenšila o 0,8 km na 359,3 km a délka rychlostních silnic se během roku </w:t>
            </w:r>
            <w:proofErr w:type="gramStart"/>
            <w:r w:rsidRPr="004F5214">
              <w:rPr>
                <w:rFonts w:cs="Arial"/>
                <w:szCs w:val="20"/>
              </w:rPr>
              <w:t>2014  nezměnila</w:t>
            </w:r>
            <w:proofErr w:type="gramEnd"/>
            <w:r w:rsidRPr="004F5214">
              <w:rPr>
                <w:rFonts w:cs="Arial"/>
                <w:szCs w:val="20"/>
              </w:rPr>
              <w:t xml:space="preserve"> a činí celkem 16,4 km. Délka silnic 2. třídy se zkrátila o 0,1 km na 511,4 km stejně jako u silnic 3. třídy, kde zkrácení měřilo 1,6 km, na celkových 1 254,4 km. </w:t>
            </w:r>
          </w:p>
          <w:p w:rsidR="0092173C" w:rsidRPr="005A099E" w:rsidRDefault="0092173C" w:rsidP="00D67620">
            <w:pPr>
              <w:pStyle w:val="Zpat"/>
              <w:tabs>
                <w:tab w:val="clear" w:pos="4536"/>
                <w:tab w:val="clear" w:pos="9072"/>
                <w:tab w:val="left" w:pos="768"/>
              </w:tabs>
              <w:spacing w:before="60" w:after="60"/>
              <w:rPr>
                <w:rFonts w:cs="Arial"/>
                <w:szCs w:val="20"/>
                <w:highlight w:val="yellow"/>
              </w:rPr>
            </w:pPr>
          </w:p>
        </w:tc>
      </w:tr>
      <w:tr w:rsidR="004F5214" w:rsidRPr="00A4799B" w:rsidTr="00EB6FAC">
        <w:trPr>
          <w:gridBefore w:val="1"/>
          <w:gridAfter w:val="2"/>
          <w:wBefore w:w="15" w:type="dxa"/>
          <w:wAfter w:w="42" w:type="dxa"/>
        </w:trPr>
        <w:tc>
          <w:tcPr>
            <w:tcW w:w="9583" w:type="dxa"/>
            <w:gridSpan w:val="4"/>
            <w:tcMar>
              <w:left w:w="85" w:type="dxa"/>
              <w:right w:w="85" w:type="dxa"/>
            </w:tcMar>
          </w:tcPr>
          <w:p w:rsidR="004F5214" w:rsidRPr="004F5214" w:rsidRDefault="004F5214" w:rsidP="004F5214">
            <w:pPr>
              <w:pStyle w:val="Zpat"/>
              <w:tabs>
                <w:tab w:val="left" w:pos="768"/>
              </w:tabs>
              <w:spacing w:before="60" w:after="60"/>
              <w:rPr>
                <w:rFonts w:cs="Arial"/>
                <w:b/>
                <w:szCs w:val="20"/>
              </w:rPr>
            </w:pPr>
            <w:r w:rsidRPr="004F5214">
              <w:rPr>
                <w:rFonts w:cs="Arial"/>
                <w:b/>
                <w:szCs w:val="20"/>
              </w:rPr>
              <w:lastRenderedPageBreak/>
              <w:t xml:space="preserve">Graf </w:t>
            </w:r>
            <w:r w:rsidR="003232DB">
              <w:rPr>
                <w:rFonts w:cs="Arial"/>
                <w:b/>
                <w:szCs w:val="20"/>
              </w:rPr>
              <w:t>4.</w:t>
            </w:r>
            <w:r w:rsidRPr="004F5214">
              <w:rPr>
                <w:rFonts w:cs="Arial"/>
                <w:b/>
                <w:szCs w:val="20"/>
              </w:rPr>
              <w:t>1 Druhy silnic podle okresů na konci roku 2014</w:t>
            </w:r>
          </w:p>
        </w:tc>
      </w:tr>
      <w:tr w:rsidR="004F5214" w:rsidRPr="00A4799B" w:rsidTr="00EB6FAC">
        <w:trPr>
          <w:gridBefore w:val="1"/>
          <w:gridAfter w:val="2"/>
          <w:wBefore w:w="15" w:type="dxa"/>
          <w:wAfter w:w="42" w:type="dxa"/>
        </w:trPr>
        <w:tc>
          <w:tcPr>
            <w:tcW w:w="9583" w:type="dxa"/>
            <w:gridSpan w:val="4"/>
            <w:tcMar>
              <w:left w:w="85" w:type="dxa"/>
              <w:right w:w="85" w:type="dxa"/>
            </w:tcMar>
          </w:tcPr>
          <w:p w:rsidR="004F5214" w:rsidRDefault="009956CB" w:rsidP="004F5214">
            <w:pPr>
              <w:pStyle w:val="Zpat"/>
              <w:tabs>
                <w:tab w:val="left" w:pos="768"/>
              </w:tabs>
              <w:spacing w:before="60" w:after="60"/>
              <w:jc w:val="center"/>
              <w:rPr>
                <w:rFonts w:cs="Arial"/>
                <w:szCs w:val="20"/>
              </w:rPr>
            </w:pPr>
            <w:r w:rsidRPr="00286EFA">
              <w:rPr>
                <w:rFonts w:cs="Arial"/>
                <w:szCs w:val="20"/>
              </w:rPr>
              <w:pict>
                <v:shape id="_x0000_i1112" type="#_x0000_t75" style="width:429.75pt;height:213.75pt">
                  <v:imagedata r:id="rId105" o:title=""/>
                </v:shape>
              </w:pict>
            </w:r>
          </w:p>
          <w:p w:rsidR="00B8534F" w:rsidRPr="004F5214" w:rsidRDefault="00B8534F" w:rsidP="004F5214">
            <w:pPr>
              <w:pStyle w:val="Zpat"/>
              <w:tabs>
                <w:tab w:val="left" w:pos="768"/>
              </w:tabs>
              <w:spacing w:before="60" w:after="60"/>
              <w:jc w:val="center"/>
              <w:rPr>
                <w:rFonts w:cs="Arial"/>
                <w:szCs w:val="20"/>
              </w:rPr>
            </w:pPr>
          </w:p>
        </w:tc>
      </w:tr>
      <w:tr w:rsidR="004F5214" w:rsidRPr="00A4799B" w:rsidTr="00BA0688">
        <w:trPr>
          <w:gridBefore w:val="1"/>
          <w:gridAfter w:val="2"/>
          <w:wBefore w:w="15" w:type="dxa"/>
          <w:wAfter w:w="42" w:type="dxa"/>
        </w:trPr>
        <w:tc>
          <w:tcPr>
            <w:tcW w:w="2411" w:type="dxa"/>
            <w:gridSpan w:val="2"/>
            <w:tcMar>
              <w:left w:w="85" w:type="dxa"/>
              <w:right w:w="85" w:type="dxa"/>
            </w:tcMar>
          </w:tcPr>
          <w:p w:rsidR="004F5214" w:rsidRPr="004F5214" w:rsidRDefault="004F5214" w:rsidP="004F5214">
            <w:pPr>
              <w:spacing w:before="60" w:after="60"/>
              <w:jc w:val="left"/>
              <w:rPr>
                <w:rFonts w:cs="Arial"/>
                <w:b/>
                <w:i/>
                <w:szCs w:val="20"/>
              </w:rPr>
            </w:pPr>
          </w:p>
        </w:tc>
        <w:tc>
          <w:tcPr>
            <w:tcW w:w="7172" w:type="dxa"/>
            <w:gridSpan w:val="2"/>
            <w:tcMar>
              <w:left w:w="85" w:type="dxa"/>
              <w:right w:w="85" w:type="dxa"/>
            </w:tcMar>
            <w:vAlign w:val="center"/>
          </w:tcPr>
          <w:p w:rsidR="004F5214" w:rsidRPr="004F5214" w:rsidRDefault="004F5214" w:rsidP="004F5214">
            <w:pPr>
              <w:pStyle w:val="Zpat"/>
              <w:tabs>
                <w:tab w:val="left" w:pos="768"/>
              </w:tabs>
              <w:spacing w:before="60" w:after="60"/>
              <w:rPr>
                <w:rFonts w:cs="Arial"/>
                <w:szCs w:val="20"/>
              </w:rPr>
            </w:pPr>
            <w:r w:rsidRPr="004F5214">
              <w:rPr>
                <w:rFonts w:cs="Arial"/>
                <w:szCs w:val="20"/>
              </w:rPr>
              <w:t>Komunikace v jednotlivých okresech nejsou příliš rozdílné.</w:t>
            </w:r>
          </w:p>
          <w:p w:rsidR="004F5214" w:rsidRPr="004F5214" w:rsidRDefault="004F5214" w:rsidP="004F5214">
            <w:pPr>
              <w:pStyle w:val="Zpat"/>
              <w:tabs>
                <w:tab w:val="left" w:pos="768"/>
              </w:tabs>
              <w:spacing w:before="60" w:after="60"/>
              <w:rPr>
                <w:rFonts w:cs="Arial"/>
                <w:szCs w:val="20"/>
              </w:rPr>
            </w:pPr>
            <w:r w:rsidRPr="004F5214">
              <w:rPr>
                <w:rFonts w:cs="Arial"/>
                <w:szCs w:val="20"/>
              </w:rPr>
              <w:t xml:space="preserve">Celých 16,6 km dálnice je v kroměřížském kraji. Zde je naopak nejméně silnic 1. třídy s rychlostními (36,7 km) a nejvíce silnic 2. (170 km) a 3. třídy (335 km).  </w:t>
            </w:r>
          </w:p>
          <w:p w:rsidR="004F5214" w:rsidRPr="004F5214" w:rsidRDefault="004F5214" w:rsidP="004F5214">
            <w:pPr>
              <w:pStyle w:val="Zpat"/>
              <w:tabs>
                <w:tab w:val="left" w:pos="768"/>
              </w:tabs>
              <w:spacing w:before="60" w:after="60"/>
              <w:rPr>
                <w:rFonts w:cs="Arial"/>
                <w:szCs w:val="20"/>
              </w:rPr>
            </w:pPr>
            <w:r w:rsidRPr="004F5214">
              <w:rPr>
                <w:rFonts w:cs="Arial"/>
                <w:szCs w:val="20"/>
              </w:rPr>
              <w:t xml:space="preserve">Nejdelší silnice 1. třídy včetně rychlostních (122 km) jsou v okrese Uherské Hradiště. Zde je také 123 km silnic 2. třídy a 280 km 3. </w:t>
            </w:r>
            <w:proofErr w:type="gramStart"/>
            <w:r w:rsidRPr="004F5214">
              <w:rPr>
                <w:rFonts w:cs="Arial"/>
                <w:szCs w:val="20"/>
              </w:rPr>
              <w:t>třídy</w:t>
            </w:r>
            <w:proofErr w:type="gramEnd"/>
            <w:r w:rsidRPr="004F5214">
              <w:rPr>
                <w:rFonts w:cs="Arial"/>
                <w:szCs w:val="20"/>
              </w:rPr>
              <w:t xml:space="preserve">. </w:t>
            </w:r>
          </w:p>
          <w:p w:rsidR="004F5214" w:rsidRPr="004F5214" w:rsidRDefault="004F5214" w:rsidP="004F5214">
            <w:pPr>
              <w:pStyle w:val="Zpat"/>
              <w:tabs>
                <w:tab w:val="left" w:pos="768"/>
              </w:tabs>
              <w:spacing w:before="60" w:after="60"/>
              <w:rPr>
                <w:rFonts w:cs="Arial"/>
                <w:szCs w:val="20"/>
              </w:rPr>
            </w:pPr>
            <w:r w:rsidRPr="004F5214">
              <w:rPr>
                <w:rFonts w:cs="Arial"/>
                <w:szCs w:val="20"/>
              </w:rPr>
              <w:t xml:space="preserve">Ve vsetínském okrese je nejmenší celková délka silnic (504 km). Tady lze využít 115 km silnic 1. třídy, 84 </w:t>
            </w:r>
            <w:proofErr w:type="gramStart"/>
            <w:r w:rsidRPr="004F5214">
              <w:rPr>
                <w:rFonts w:cs="Arial"/>
                <w:szCs w:val="20"/>
              </w:rPr>
              <w:t>km 2. a 305</w:t>
            </w:r>
            <w:proofErr w:type="gramEnd"/>
            <w:r w:rsidRPr="004F5214">
              <w:rPr>
                <w:rFonts w:cs="Arial"/>
                <w:szCs w:val="20"/>
              </w:rPr>
              <w:t xml:space="preserve"> km 3. třídy.</w:t>
            </w:r>
          </w:p>
          <w:p w:rsidR="004F5214" w:rsidRDefault="004F5214" w:rsidP="004F5214">
            <w:pPr>
              <w:pStyle w:val="Zpat"/>
              <w:tabs>
                <w:tab w:val="left" w:pos="768"/>
              </w:tabs>
              <w:spacing w:before="60" w:after="60"/>
              <w:rPr>
                <w:rFonts w:cs="Arial"/>
                <w:szCs w:val="20"/>
              </w:rPr>
            </w:pPr>
            <w:r w:rsidRPr="004F5214">
              <w:rPr>
                <w:rFonts w:cs="Arial"/>
                <w:szCs w:val="20"/>
              </w:rPr>
              <w:t xml:space="preserve">Okres Zlín je protkán 555 km silnic. Z toho je  85 km silnic rychlostních a 1. třídy, 135 </w:t>
            </w:r>
            <w:proofErr w:type="gramStart"/>
            <w:r w:rsidRPr="004F5214">
              <w:rPr>
                <w:rFonts w:cs="Arial"/>
                <w:szCs w:val="20"/>
              </w:rPr>
              <w:t>km 2. a 335</w:t>
            </w:r>
            <w:proofErr w:type="gramEnd"/>
            <w:r w:rsidRPr="004F5214">
              <w:rPr>
                <w:rFonts w:cs="Arial"/>
                <w:szCs w:val="20"/>
              </w:rPr>
              <w:t xml:space="preserve"> km 3. třídy.     </w:t>
            </w:r>
          </w:p>
          <w:p w:rsidR="00B8534F" w:rsidRPr="004F5214" w:rsidRDefault="00B8534F" w:rsidP="004F5214">
            <w:pPr>
              <w:pStyle w:val="Zpat"/>
              <w:tabs>
                <w:tab w:val="left" w:pos="768"/>
              </w:tabs>
              <w:spacing w:before="60" w:after="60"/>
              <w:rPr>
                <w:rFonts w:cs="Arial"/>
                <w:szCs w:val="20"/>
              </w:rPr>
            </w:pPr>
          </w:p>
        </w:tc>
      </w:tr>
      <w:tr w:rsidR="00B8534F" w:rsidRPr="00A4799B" w:rsidTr="00EB6FAC">
        <w:trPr>
          <w:gridBefore w:val="1"/>
          <w:gridAfter w:val="2"/>
          <w:wBefore w:w="15" w:type="dxa"/>
          <w:wAfter w:w="42" w:type="dxa"/>
        </w:trPr>
        <w:tc>
          <w:tcPr>
            <w:tcW w:w="9583" w:type="dxa"/>
            <w:gridSpan w:val="4"/>
            <w:tcMar>
              <w:left w:w="85" w:type="dxa"/>
              <w:right w:w="85" w:type="dxa"/>
            </w:tcMar>
          </w:tcPr>
          <w:p w:rsidR="00B8534F" w:rsidRPr="00B8534F" w:rsidRDefault="00B8534F" w:rsidP="00B8534F">
            <w:pPr>
              <w:pStyle w:val="Zpat"/>
              <w:tabs>
                <w:tab w:val="left" w:pos="768"/>
              </w:tabs>
              <w:spacing w:before="60" w:after="60"/>
              <w:rPr>
                <w:rFonts w:cs="Arial"/>
                <w:b/>
                <w:szCs w:val="20"/>
              </w:rPr>
            </w:pPr>
            <w:r w:rsidRPr="00B8534F">
              <w:rPr>
                <w:rFonts w:cs="Arial"/>
                <w:b/>
                <w:szCs w:val="20"/>
              </w:rPr>
              <w:t xml:space="preserve">Graf </w:t>
            </w:r>
            <w:r w:rsidR="003232DB">
              <w:rPr>
                <w:rFonts w:cs="Arial"/>
                <w:b/>
                <w:szCs w:val="20"/>
              </w:rPr>
              <w:t>4.</w:t>
            </w:r>
            <w:r w:rsidRPr="00B8534F">
              <w:rPr>
                <w:rFonts w:cs="Arial"/>
                <w:b/>
                <w:szCs w:val="20"/>
              </w:rPr>
              <w:t>2 Podíly kategorií silnic v okresech Zlínského kraje v roce 2014</w:t>
            </w:r>
          </w:p>
        </w:tc>
      </w:tr>
      <w:tr w:rsidR="00B8534F" w:rsidRPr="00A4799B" w:rsidTr="00EB6FAC">
        <w:trPr>
          <w:gridBefore w:val="1"/>
          <w:gridAfter w:val="2"/>
          <w:wBefore w:w="15" w:type="dxa"/>
          <w:wAfter w:w="42" w:type="dxa"/>
        </w:trPr>
        <w:tc>
          <w:tcPr>
            <w:tcW w:w="9583" w:type="dxa"/>
            <w:gridSpan w:val="4"/>
            <w:tcMar>
              <w:left w:w="85" w:type="dxa"/>
              <w:right w:w="85" w:type="dxa"/>
            </w:tcMar>
          </w:tcPr>
          <w:p w:rsidR="00B8534F" w:rsidRPr="004F5214" w:rsidRDefault="009956CB" w:rsidP="00B8534F">
            <w:pPr>
              <w:pStyle w:val="Zpat"/>
              <w:tabs>
                <w:tab w:val="left" w:pos="768"/>
              </w:tabs>
              <w:spacing w:before="60" w:after="60"/>
              <w:jc w:val="center"/>
              <w:rPr>
                <w:rFonts w:cs="Arial"/>
                <w:szCs w:val="20"/>
              </w:rPr>
            </w:pPr>
            <w:r w:rsidRPr="00286EFA">
              <w:rPr>
                <w:rFonts w:eastAsia="+mn-ea" w:cs="Arial"/>
                <w:color w:val="000000"/>
                <w:szCs w:val="20"/>
              </w:rPr>
              <w:pict>
                <v:shape id="_x0000_i1113" type="#_x0000_t75" style="width:429.75pt;height:213pt">
                  <v:imagedata r:id="rId106" o:title=""/>
                </v:shape>
              </w:pict>
            </w:r>
          </w:p>
        </w:tc>
      </w:tr>
      <w:tr w:rsidR="004A7607" w:rsidRPr="005A099E" w:rsidTr="00BA0688">
        <w:trPr>
          <w:gridAfter w:val="1"/>
          <w:wAfter w:w="29" w:type="dxa"/>
        </w:trPr>
        <w:tc>
          <w:tcPr>
            <w:tcW w:w="2426" w:type="dxa"/>
            <w:gridSpan w:val="3"/>
            <w:tcMar>
              <w:left w:w="85" w:type="dxa"/>
              <w:right w:w="85" w:type="dxa"/>
            </w:tcMar>
          </w:tcPr>
          <w:p w:rsidR="004A7607" w:rsidRPr="00EA7260" w:rsidRDefault="004A7607" w:rsidP="00416C73">
            <w:pPr>
              <w:spacing w:before="60" w:after="60"/>
              <w:jc w:val="left"/>
              <w:rPr>
                <w:b/>
                <w:i/>
                <w:szCs w:val="20"/>
              </w:rPr>
            </w:pPr>
            <w:r w:rsidRPr="00EA7260">
              <w:rPr>
                <w:b/>
                <w:i/>
                <w:szCs w:val="20"/>
                <w:u w:val="single"/>
              </w:rPr>
              <w:t>Vodovody a kanalizace</w:t>
            </w:r>
          </w:p>
          <w:p w:rsidR="004A7607" w:rsidRPr="00EA7260" w:rsidRDefault="004A7607" w:rsidP="004F55F8">
            <w:pPr>
              <w:spacing w:before="60" w:after="60"/>
              <w:jc w:val="left"/>
              <w:rPr>
                <w:b/>
                <w:bCs/>
                <w:i/>
                <w:iCs/>
              </w:rPr>
            </w:pPr>
            <w:r w:rsidRPr="00EA7260">
              <w:rPr>
                <w:b/>
                <w:i/>
                <w:szCs w:val="20"/>
              </w:rPr>
              <w:t>Rozšiřuje se vodovodní síť, zvyšuje se po</w:t>
            </w:r>
            <w:r w:rsidR="004F55F8" w:rsidRPr="00EA7260">
              <w:rPr>
                <w:b/>
                <w:i/>
                <w:szCs w:val="20"/>
              </w:rPr>
              <w:t>díl</w:t>
            </w:r>
            <w:r w:rsidRPr="00EA7260">
              <w:rPr>
                <w:b/>
                <w:i/>
                <w:szCs w:val="20"/>
              </w:rPr>
              <w:t xml:space="preserve"> obyvatel zásobovaných vodou z vodovodů</w:t>
            </w:r>
            <w:r w:rsidRPr="00EA7260">
              <w:rPr>
                <w:b/>
                <w:bCs/>
                <w:i/>
                <w:iCs/>
              </w:rPr>
              <w:t xml:space="preserve"> </w:t>
            </w:r>
          </w:p>
        </w:tc>
        <w:tc>
          <w:tcPr>
            <w:tcW w:w="7185" w:type="dxa"/>
            <w:gridSpan w:val="3"/>
            <w:tcMar>
              <w:left w:w="85" w:type="dxa"/>
              <w:right w:w="85" w:type="dxa"/>
            </w:tcMar>
          </w:tcPr>
          <w:p w:rsidR="004A7607" w:rsidRPr="005A099E" w:rsidRDefault="00EA7260" w:rsidP="00D67620">
            <w:pPr>
              <w:pStyle w:val="text"/>
              <w:rPr>
                <w:highlight w:val="yellow"/>
              </w:rPr>
            </w:pPr>
            <w:r w:rsidRPr="00903F17">
              <w:t>V roce 2014 představovala vodovodní síť v kraji 3 920 km a evidováno bylo přes 126 tis. vodovodních přípojek. Počet obyvatel zásobovaných vodou z vodovodů vzrostl proti předchozímu roku o více než 1,7 tis. osob na 551 921, což představuje 94,2 % obyvatel kraje. Ve srovnání s ostatními kraji je tento podíl podprůměrný, řadí kraj na 8. pozici. Počet osazených vodoměrů se zvýšil o 645 na 125,0 tis</w:t>
            </w:r>
            <w:r>
              <w:t>.</w:t>
            </w:r>
          </w:p>
        </w:tc>
      </w:tr>
      <w:tr w:rsidR="00BA0688" w:rsidRPr="005A099E" w:rsidTr="00BA0688">
        <w:trPr>
          <w:gridAfter w:val="1"/>
          <w:wAfter w:w="29" w:type="dxa"/>
        </w:trPr>
        <w:tc>
          <w:tcPr>
            <w:tcW w:w="2426" w:type="dxa"/>
            <w:gridSpan w:val="3"/>
            <w:tcMar>
              <w:left w:w="85" w:type="dxa"/>
              <w:right w:w="85" w:type="dxa"/>
            </w:tcMar>
          </w:tcPr>
          <w:p w:rsidR="00BA0688" w:rsidRPr="00EA7260" w:rsidRDefault="00BA0688" w:rsidP="00416C73">
            <w:pPr>
              <w:spacing w:before="60" w:after="60"/>
              <w:jc w:val="left"/>
              <w:rPr>
                <w:b/>
                <w:bCs/>
                <w:i/>
                <w:iCs/>
              </w:rPr>
            </w:pPr>
            <w:r w:rsidRPr="00EA7260">
              <w:rPr>
                <w:b/>
                <w:i/>
                <w:szCs w:val="20"/>
              </w:rPr>
              <w:lastRenderedPageBreak/>
              <w:t>Pokračuje klesající trend spotřeby vody</w:t>
            </w:r>
          </w:p>
        </w:tc>
        <w:tc>
          <w:tcPr>
            <w:tcW w:w="7185" w:type="dxa"/>
            <w:gridSpan w:val="3"/>
            <w:tcMar>
              <w:left w:w="85" w:type="dxa"/>
              <w:right w:w="85" w:type="dxa"/>
            </w:tcMar>
          </w:tcPr>
          <w:p w:rsidR="00BA0688" w:rsidRPr="005A099E" w:rsidRDefault="00EA7260" w:rsidP="000D14E6">
            <w:pPr>
              <w:pStyle w:val="text"/>
              <w:rPr>
                <w:highlight w:val="yellow"/>
              </w:rPr>
            </w:pPr>
            <w:r w:rsidRPr="003F2F32">
              <w:t>Pokles spotřeby vody pokračoval i v roce 2014. Objem vyfakturované pitné vody v rámci kraje klesl meziročně o 16 tis. m</w:t>
            </w:r>
            <w:r w:rsidRPr="003F2F32">
              <w:rPr>
                <w:vertAlign w:val="superscript"/>
              </w:rPr>
              <w:t>3</w:t>
            </w:r>
            <w:r w:rsidRPr="003F2F32">
              <w:t xml:space="preserve"> na 22</w:t>
            </w:r>
            <w:r>
              <w:t> </w:t>
            </w:r>
            <w:r w:rsidRPr="003F2F32">
              <w:t>841</w:t>
            </w:r>
            <w:r>
              <w:t xml:space="preserve"> </w:t>
            </w:r>
            <w:r w:rsidRPr="003F2F32">
              <w:t>tis. m</w:t>
            </w:r>
            <w:r w:rsidRPr="003F2F32">
              <w:rPr>
                <w:vertAlign w:val="superscript"/>
              </w:rPr>
              <w:t>3</w:t>
            </w:r>
            <w:r>
              <w:t xml:space="preserve">. </w:t>
            </w:r>
            <w:r w:rsidRPr="003F2F32">
              <w:t>Dvě třetiny z tohoto objemu byly fakturovány domácnostem.</w:t>
            </w:r>
            <w:r>
              <w:t xml:space="preserve"> </w:t>
            </w:r>
            <w:r w:rsidRPr="003F2F32">
              <w:t>Meziročně se snížilo specifické množství vody fakturované celkem o 0,4 l na osobu a den na</w:t>
            </w:r>
            <w:r w:rsidR="000D14E6">
              <w:t> </w:t>
            </w:r>
            <w:r w:rsidRPr="003F2F32">
              <w:t>113,4</w:t>
            </w:r>
            <w:r w:rsidR="000D14E6">
              <w:t> </w:t>
            </w:r>
            <w:r w:rsidRPr="003F2F32">
              <w:t>l, domácnostem o 0,5 l na osobu a den na 75,7 l.</w:t>
            </w:r>
          </w:p>
        </w:tc>
      </w:tr>
      <w:tr w:rsidR="00225131" w:rsidRPr="005A099E" w:rsidTr="00054A0A">
        <w:trPr>
          <w:gridAfter w:val="1"/>
          <w:wAfter w:w="29" w:type="dxa"/>
        </w:trPr>
        <w:tc>
          <w:tcPr>
            <w:tcW w:w="2426" w:type="dxa"/>
            <w:gridSpan w:val="3"/>
            <w:tcMar>
              <w:left w:w="85" w:type="dxa"/>
              <w:right w:w="85" w:type="dxa"/>
            </w:tcMar>
          </w:tcPr>
          <w:p w:rsidR="00225131" w:rsidRPr="00EA7260" w:rsidRDefault="00225131" w:rsidP="00054A0A">
            <w:pPr>
              <w:spacing w:before="60" w:after="60"/>
              <w:jc w:val="left"/>
              <w:rPr>
                <w:b/>
                <w:bCs/>
                <w:i/>
                <w:iCs/>
              </w:rPr>
            </w:pPr>
            <w:r>
              <w:rPr>
                <w:b/>
                <w:bCs/>
                <w:i/>
                <w:iCs/>
              </w:rPr>
              <w:t>Cena vody roste</w:t>
            </w:r>
          </w:p>
        </w:tc>
        <w:tc>
          <w:tcPr>
            <w:tcW w:w="7185" w:type="dxa"/>
            <w:gridSpan w:val="3"/>
            <w:tcMar>
              <w:left w:w="85" w:type="dxa"/>
              <w:right w:w="85" w:type="dxa"/>
            </w:tcMar>
          </w:tcPr>
          <w:p w:rsidR="00225131" w:rsidRDefault="00225131" w:rsidP="00054A0A">
            <w:pPr>
              <w:pStyle w:val="text"/>
            </w:pPr>
            <w:r w:rsidRPr="00537726">
              <w:t>Cena pitné vody stoupla v průměru o 0,6 Kč/m</w:t>
            </w:r>
            <w:r w:rsidRPr="00537726">
              <w:rPr>
                <w:vertAlign w:val="superscript"/>
              </w:rPr>
              <w:t>3</w:t>
            </w:r>
            <w:r w:rsidRPr="00537726">
              <w:t xml:space="preserve"> na 34,1 Kč/m</w:t>
            </w:r>
            <w:r w:rsidRPr="00537726">
              <w:rPr>
                <w:vertAlign w:val="superscript"/>
              </w:rPr>
              <w:t>3</w:t>
            </w:r>
            <w:r w:rsidRPr="00537726">
              <w:t xml:space="preserve"> bez DPH, cena stočného (rovněž bez DPH) za m</w:t>
            </w:r>
            <w:r w:rsidRPr="00537726">
              <w:rPr>
                <w:vertAlign w:val="superscript"/>
              </w:rPr>
              <w:t>3</w:t>
            </w:r>
            <w:r w:rsidRPr="00537726">
              <w:t xml:space="preserve"> o 0,7 Kč na 29,1 Kč</w:t>
            </w:r>
            <w:r w:rsidR="002400F1">
              <w:t>.</w:t>
            </w:r>
          </w:p>
          <w:p w:rsidR="00041995" w:rsidRPr="005A099E" w:rsidRDefault="00041995" w:rsidP="00054A0A">
            <w:pPr>
              <w:pStyle w:val="text"/>
              <w:rPr>
                <w:highlight w:val="yellow"/>
              </w:rPr>
            </w:pPr>
          </w:p>
        </w:tc>
      </w:tr>
      <w:tr w:rsidR="00BA0688" w:rsidRPr="005A099E" w:rsidTr="00BA0688">
        <w:trPr>
          <w:gridBefore w:val="2"/>
          <w:wBefore w:w="30" w:type="dxa"/>
          <w:cantSplit/>
        </w:trPr>
        <w:tc>
          <w:tcPr>
            <w:tcW w:w="9610" w:type="dxa"/>
            <w:gridSpan w:val="5"/>
          </w:tcPr>
          <w:p w:rsidR="00BA0688" w:rsidRPr="00EA7260" w:rsidRDefault="00BA0688" w:rsidP="00EA7260">
            <w:pPr>
              <w:spacing w:before="60" w:after="60"/>
              <w:jc w:val="left"/>
            </w:pPr>
            <w:r w:rsidRPr="00EA7260">
              <w:rPr>
                <w:rFonts w:cs="Arial"/>
                <w:b/>
                <w:szCs w:val="20"/>
              </w:rPr>
              <w:t xml:space="preserve">Graf </w:t>
            </w:r>
            <w:r w:rsidR="003232DB">
              <w:rPr>
                <w:rFonts w:cs="Arial"/>
                <w:b/>
                <w:szCs w:val="20"/>
              </w:rPr>
              <w:t xml:space="preserve">4.3 </w:t>
            </w:r>
            <w:r w:rsidRPr="00EA7260">
              <w:rPr>
                <w:rFonts w:cs="Arial"/>
                <w:b/>
                <w:szCs w:val="20"/>
              </w:rPr>
              <w:t>Specifické množství vody fakturované domácnostem (1/osobu/den), cena vody a cena</w:t>
            </w:r>
            <w:r w:rsidR="002104A1" w:rsidRPr="00EA7260">
              <w:rPr>
                <w:rFonts w:cs="Arial"/>
                <w:b/>
                <w:szCs w:val="20"/>
              </w:rPr>
              <w:t xml:space="preserve"> </w:t>
            </w:r>
            <w:r w:rsidR="002104A1" w:rsidRPr="00EA7260">
              <w:rPr>
                <w:rFonts w:cs="Arial"/>
                <w:b/>
                <w:szCs w:val="20"/>
              </w:rPr>
              <w:br/>
              <w:t xml:space="preserve">                </w:t>
            </w:r>
            <w:r w:rsidRPr="00EA7260">
              <w:rPr>
                <w:rFonts w:cs="Arial"/>
                <w:b/>
                <w:szCs w:val="20"/>
              </w:rPr>
              <w:t>stočného (Kč/m</w:t>
            </w:r>
            <w:r w:rsidRPr="00EA7260">
              <w:rPr>
                <w:rFonts w:cs="Arial"/>
                <w:b/>
                <w:szCs w:val="20"/>
                <w:vertAlign w:val="superscript"/>
              </w:rPr>
              <w:t>3</w:t>
            </w:r>
            <w:r w:rsidRPr="00EA7260">
              <w:rPr>
                <w:rFonts w:cs="Arial"/>
                <w:b/>
                <w:szCs w:val="20"/>
              </w:rPr>
              <w:t>) ve Zlínském kraji</w:t>
            </w:r>
          </w:p>
        </w:tc>
      </w:tr>
      <w:tr w:rsidR="00BA0688" w:rsidRPr="005A099E" w:rsidTr="00BA0688">
        <w:trPr>
          <w:gridBefore w:val="2"/>
          <w:wBefore w:w="30" w:type="dxa"/>
          <w:cantSplit/>
        </w:trPr>
        <w:tc>
          <w:tcPr>
            <w:tcW w:w="9610" w:type="dxa"/>
            <w:gridSpan w:val="5"/>
          </w:tcPr>
          <w:p w:rsidR="00041995" w:rsidRDefault="009956CB" w:rsidP="00EA7260">
            <w:pPr>
              <w:pStyle w:val="text"/>
              <w:jc w:val="center"/>
            </w:pPr>
            <w:r>
              <w:pict>
                <v:shape id="_x0000_i1114" type="#_x0000_t75" style="width:453.75pt;height:173.25pt">
                  <v:imagedata r:id="rId107" o:title=""/>
                </v:shape>
              </w:pict>
            </w:r>
          </w:p>
          <w:p w:rsidR="00BA0688" w:rsidRPr="00EA7260" w:rsidRDefault="00BA0688" w:rsidP="00EA7260">
            <w:pPr>
              <w:pStyle w:val="text"/>
              <w:jc w:val="center"/>
            </w:pPr>
          </w:p>
        </w:tc>
      </w:tr>
      <w:tr w:rsidR="00BA0688" w:rsidRPr="005A099E" w:rsidTr="00BA0688">
        <w:trPr>
          <w:gridBefore w:val="2"/>
          <w:wBefore w:w="30" w:type="dxa"/>
        </w:trPr>
        <w:tc>
          <w:tcPr>
            <w:tcW w:w="2410" w:type="dxa"/>
            <w:gridSpan w:val="2"/>
          </w:tcPr>
          <w:p w:rsidR="00BA0688" w:rsidRPr="005A099E" w:rsidRDefault="00EA7260" w:rsidP="00416C73">
            <w:pPr>
              <w:pStyle w:val="text"/>
              <w:jc w:val="left"/>
              <w:rPr>
                <w:b/>
                <w:bCs/>
                <w:i/>
                <w:iCs/>
                <w:highlight w:val="yellow"/>
              </w:rPr>
            </w:pPr>
            <w:r w:rsidRPr="0035631D">
              <w:rPr>
                <w:b/>
                <w:bCs/>
                <w:i/>
                <w:iCs/>
              </w:rPr>
              <w:t>Podíl obyvatel bydlících v domech napojených na kanalizaci roste</w:t>
            </w:r>
            <w:r>
              <w:rPr>
                <w:b/>
                <w:bCs/>
                <w:i/>
                <w:iCs/>
              </w:rPr>
              <w:t xml:space="preserve"> </w:t>
            </w:r>
            <w:r w:rsidRPr="0035631D">
              <w:rPr>
                <w:b/>
                <w:bCs/>
                <w:i/>
                <w:iCs/>
              </w:rPr>
              <w:t>…</w:t>
            </w:r>
          </w:p>
        </w:tc>
        <w:tc>
          <w:tcPr>
            <w:tcW w:w="7200" w:type="dxa"/>
            <w:gridSpan w:val="3"/>
          </w:tcPr>
          <w:p w:rsidR="00BA0688" w:rsidRPr="005A099E" w:rsidRDefault="00EA7260" w:rsidP="000D14E6">
            <w:pPr>
              <w:pStyle w:val="text"/>
              <w:rPr>
                <w:highlight w:val="yellow"/>
              </w:rPr>
            </w:pPr>
            <w:r w:rsidRPr="00253F01">
              <w:t>Počet obyvatel bydlících v domech napojených na kanalizaci vzrostl pr</w:t>
            </w:r>
            <w:r>
              <w:t xml:space="preserve">oti roku 2013 o více než 8 </w:t>
            </w:r>
            <w:r w:rsidRPr="00253F01">
              <w:t xml:space="preserve">tis. osob na 548,1 tis. To představuje 93,6 % obyvatel kraje </w:t>
            </w:r>
            <w:r w:rsidR="000D14E6">
              <w:t>a </w:t>
            </w:r>
            <w:r w:rsidRPr="00253F01">
              <w:t xml:space="preserve">je </w:t>
            </w:r>
            <w:r w:rsidR="000D14E6">
              <w:t xml:space="preserve">to </w:t>
            </w:r>
            <w:r w:rsidRPr="00253F01">
              <w:t>třetí nejvyšší podíl mezi kraji v intervalu od 68,5 % po 98,9 %. Celková délka kanalizační sítě v kraji se meziročně rozšířila o</w:t>
            </w:r>
            <w:r>
              <w:t xml:space="preserve"> </w:t>
            </w:r>
            <w:r w:rsidRPr="00253F01">
              <w:t>102 km na 2 901 km a</w:t>
            </w:r>
            <w:r>
              <w:t> </w:t>
            </w:r>
            <w:r w:rsidRPr="00253F01">
              <w:t>počet kanalizačních přípojek vzrostl na 114 tis.</w:t>
            </w:r>
            <w:r w:rsidRPr="00253F01">
              <w:rPr>
                <w:rFonts w:ascii="Calibri" w:eastAsia="+mn-ea" w:hAnsi="Calibri" w:cs="+mn-cs"/>
                <w:color w:val="000000"/>
                <w:sz w:val="22"/>
                <w:szCs w:val="22"/>
              </w:rPr>
              <w:t xml:space="preserve"> </w:t>
            </w:r>
          </w:p>
        </w:tc>
      </w:tr>
      <w:tr w:rsidR="00BA0688" w:rsidRPr="005A099E" w:rsidTr="00BA0688">
        <w:trPr>
          <w:gridBefore w:val="2"/>
          <w:wBefore w:w="30" w:type="dxa"/>
        </w:trPr>
        <w:tc>
          <w:tcPr>
            <w:tcW w:w="2410" w:type="dxa"/>
            <w:gridSpan w:val="2"/>
          </w:tcPr>
          <w:p w:rsidR="00BA0688" w:rsidRPr="005A099E" w:rsidRDefault="00EA7260" w:rsidP="00416C73">
            <w:pPr>
              <w:pStyle w:val="text"/>
              <w:jc w:val="left"/>
              <w:rPr>
                <w:b/>
                <w:bCs/>
                <w:i/>
                <w:iCs/>
                <w:highlight w:val="yellow"/>
              </w:rPr>
            </w:pPr>
            <w:r w:rsidRPr="00927A72">
              <w:rPr>
                <w:b/>
                <w:bCs/>
                <w:i/>
                <w:iCs/>
              </w:rPr>
              <w:t>…stejně jako v domech napojených na kanalizaci s ČOV</w:t>
            </w:r>
          </w:p>
        </w:tc>
        <w:tc>
          <w:tcPr>
            <w:tcW w:w="7200" w:type="dxa"/>
            <w:gridSpan w:val="3"/>
          </w:tcPr>
          <w:p w:rsidR="00BA0688" w:rsidRPr="005A099E" w:rsidRDefault="00EA7260" w:rsidP="00D8181E">
            <w:pPr>
              <w:pStyle w:val="text"/>
              <w:rPr>
                <w:highlight w:val="yellow"/>
              </w:rPr>
            </w:pPr>
            <w:r w:rsidRPr="00927A72">
              <w:t>Během uplynulého roku přibyly v kraji další 3 čističky odpadních vod</w:t>
            </w:r>
            <w:r w:rsidR="000D14E6">
              <w:t xml:space="preserve"> (ČOV)</w:t>
            </w:r>
            <w:r w:rsidRPr="00927A72">
              <w:t>, celková kapacita všech 105 ČOV v kraji tak vzrostla na 196,7 tis. m</w:t>
            </w:r>
            <w:r w:rsidRPr="000D14E6">
              <w:rPr>
                <w:vertAlign w:val="superscript"/>
              </w:rPr>
              <w:t>3</w:t>
            </w:r>
            <w:r w:rsidRPr="00927A72">
              <w:t xml:space="preserve"> za den. Z hlediska technologie čištění jsou všechny mechanicko-biologické a zhruba polovina</w:t>
            </w:r>
            <w:r>
              <w:t> </w:t>
            </w:r>
            <w:r w:rsidRPr="00927A72">
              <w:t>z nich (55,2 %)</w:t>
            </w:r>
            <w:r>
              <w:t xml:space="preserve"> </w:t>
            </w:r>
            <w:r w:rsidRPr="00927A72">
              <w:t>je uzpůsobena pro další odstraňování dusíku, popř. dusíku a</w:t>
            </w:r>
            <w:r>
              <w:t> </w:t>
            </w:r>
            <w:r w:rsidRPr="00927A72">
              <w:t>fosforu současně. Podíl osob bydlících v domech napojených na kanalizaci s ČOV vzrostl na 83,7 %.</w:t>
            </w:r>
          </w:p>
        </w:tc>
      </w:tr>
      <w:tr w:rsidR="001F7C24" w:rsidRPr="005A099E" w:rsidTr="00BA0688">
        <w:trPr>
          <w:gridBefore w:val="1"/>
          <w:gridAfter w:val="2"/>
          <w:wBefore w:w="15" w:type="dxa"/>
          <w:wAfter w:w="42" w:type="dxa"/>
        </w:trPr>
        <w:tc>
          <w:tcPr>
            <w:tcW w:w="2411" w:type="dxa"/>
            <w:gridSpan w:val="2"/>
            <w:tcMar>
              <w:left w:w="85" w:type="dxa"/>
              <w:right w:w="85" w:type="dxa"/>
            </w:tcMar>
          </w:tcPr>
          <w:p w:rsidR="001F7C24" w:rsidRPr="0057712A" w:rsidRDefault="001F7C24" w:rsidP="0057712A">
            <w:pPr>
              <w:spacing w:before="60" w:after="60"/>
              <w:jc w:val="left"/>
              <w:rPr>
                <w:rFonts w:cs="Arial"/>
                <w:b/>
                <w:i/>
                <w:szCs w:val="20"/>
                <w:u w:val="single"/>
              </w:rPr>
            </w:pPr>
            <w:r w:rsidRPr="0057712A">
              <w:rPr>
                <w:rFonts w:cs="Arial"/>
                <w:b/>
                <w:i/>
                <w:szCs w:val="20"/>
                <w:u w:val="single"/>
              </w:rPr>
              <w:t>Emise</w:t>
            </w:r>
          </w:p>
          <w:p w:rsidR="001F7C24" w:rsidRPr="005A099E" w:rsidRDefault="0057712A" w:rsidP="0057712A">
            <w:pPr>
              <w:spacing w:before="60" w:after="60"/>
              <w:jc w:val="left"/>
              <w:rPr>
                <w:rFonts w:cs="Arial"/>
                <w:b/>
                <w:szCs w:val="20"/>
                <w:highlight w:val="yellow"/>
              </w:rPr>
            </w:pPr>
            <w:r w:rsidRPr="0057712A">
              <w:rPr>
                <w:rFonts w:cs="Arial"/>
                <w:b/>
                <w:i/>
                <w:szCs w:val="20"/>
              </w:rPr>
              <w:t xml:space="preserve">Snižování emisí hlavních </w:t>
            </w:r>
            <w:proofErr w:type="spellStart"/>
            <w:r w:rsidRPr="0057712A">
              <w:rPr>
                <w:rFonts w:cs="Arial"/>
                <w:b/>
                <w:i/>
                <w:szCs w:val="20"/>
              </w:rPr>
              <w:t>znečisťu</w:t>
            </w:r>
            <w:proofErr w:type="spellEnd"/>
            <w:r w:rsidRPr="0057712A">
              <w:rPr>
                <w:rFonts w:cs="Arial"/>
                <w:b/>
                <w:i/>
                <w:szCs w:val="20"/>
              </w:rPr>
              <w:t xml:space="preserve">- </w:t>
            </w:r>
            <w:proofErr w:type="spellStart"/>
            <w:r w:rsidRPr="0057712A">
              <w:rPr>
                <w:rFonts w:cs="Arial"/>
                <w:b/>
                <w:i/>
                <w:szCs w:val="20"/>
              </w:rPr>
              <w:t>jících</w:t>
            </w:r>
            <w:proofErr w:type="spellEnd"/>
            <w:r w:rsidRPr="0057712A">
              <w:rPr>
                <w:rFonts w:cs="Arial"/>
                <w:b/>
                <w:i/>
                <w:szCs w:val="20"/>
              </w:rPr>
              <w:t xml:space="preserve"> látek v kraji jde pomalu</w:t>
            </w:r>
          </w:p>
          <w:p w:rsidR="001F7C24" w:rsidRPr="005A099E" w:rsidRDefault="001F7C24" w:rsidP="004E0F04">
            <w:pPr>
              <w:jc w:val="left"/>
              <w:rPr>
                <w:rFonts w:cs="Arial"/>
                <w:b/>
                <w:szCs w:val="20"/>
                <w:highlight w:val="yellow"/>
              </w:rPr>
            </w:pPr>
          </w:p>
        </w:tc>
        <w:tc>
          <w:tcPr>
            <w:tcW w:w="7172" w:type="dxa"/>
            <w:gridSpan w:val="2"/>
            <w:tcMar>
              <w:left w:w="85" w:type="dxa"/>
              <w:right w:w="85" w:type="dxa"/>
            </w:tcMar>
            <w:vAlign w:val="center"/>
          </w:tcPr>
          <w:p w:rsidR="000A4779" w:rsidRPr="000A4779" w:rsidRDefault="000A4779" w:rsidP="000A4779">
            <w:pPr>
              <w:pStyle w:val="Zpat"/>
              <w:tabs>
                <w:tab w:val="left" w:pos="768"/>
              </w:tabs>
              <w:spacing w:before="60" w:after="60"/>
              <w:rPr>
                <w:rFonts w:cs="Arial"/>
                <w:szCs w:val="20"/>
              </w:rPr>
            </w:pPr>
            <w:r w:rsidRPr="000A4779">
              <w:rPr>
                <w:rFonts w:cs="Arial"/>
                <w:szCs w:val="20"/>
              </w:rPr>
              <w:t xml:space="preserve">Emisní bilance republiky za rok 2013 je prezentována v nové struktuře stacionárních zdrojů, navazující na Přílohu č. 2 k zákonu o ochraně ovzduší č. 201/2012 Sb. Sběr a vyhodnocení údajů souhrnné provozní evidence (SPE) bylo provedeno podle </w:t>
            </w:r>
            <w:proofErr w:type="spellStart"/>
            <w:r w:rsidRPr="000A4779">
              <w:rPr>
                <w:rFonts w:cs="Arial"/>
                <w:szCs w:val="20"/>
              </w:rPr>
              <w:t>náležitostní</w:t>
            </w:r>
            <w:proofErr w:type="spellEnd"/>
            <w:r w:rsidRPr="000A4779">
              <w:rPr>
                <w:rFonts w:cs="Arial"/>
                <w:szCs w:val="20"/>
              </w:rPr>
              <w:t xml:space="preserve"> přílohy č. 11 k vyhlášce č. 415/2012 Sb. Českým hydrometeorologickým ústavem (ČHMÚ) podle platné metodiky. </w:t>
            </w:r>
          </w:p>
          <w:p w:rsidR="000A4779" w:rsidRPr="000A4779" w:rsidRDefault="000A4779" w:rsidP="000A4779">
            <w:pPr>
              <w:pStyle w:val="Zpat"/>
              <w:tabs>
                <w:tab w:val="left" w:pos="768"/>
              </w:tabs>
              <w:spacing w:before="60" w:after="60"/>
              <w:rPr>
                <w:rFonts w:cs="Arial"/>
                <w:szCs w:val="20"/>
              </w:rPr>
            </w:pPr>
            <w:r w:rsidRPr="000A4779">
              <w:rPr>
                <w:rFonts w:cs="Arial"/>
                <w:szCs w:val="20"/>
              </w:rPr>
              <w:t>Podle údajů z registru emisí a zdrojů znečisťování ovzduší (REZZO) spravovaného Českým hydrometeorologickým ústavem (ČHMÚ), je zřejmé, že se ve Zlínském kraji v posledních čtyřech letech emise znečisťujících látek snižovaly velmi pomalu.</w:t>
            </w:r>
          </w:p>
          <w:p w:rsidR="000A4779" w:rsidRPr="000A4779" w:rsidRDefault="000A4779" w:rsidP="000A4779">
            <w:pPr>
              <w:pStyle w:val="Zpat"/>
              <w:tabs>
                <w:tab w:val="left" w:pos="768"/>
              </w:tabs>
              <w:spacing w:before="60" w:after="60"/>
              <w:rPr>
                <w:rFonts w:cs="Arial"/>
                <w:szCs w:val="20"/>
              </w:rPr>
            </w:pPr>
            <w:r w:rsidRPr="000A4779">
              <w:rPr>
                <w:rFonts w:cs="Arial"/>
                <w:szCs w:val="20"/>
              </w:rPr>
              <w:t>V kraji se celkově snížily v průběhu čtyř let emise oxidu siřičitého (o 3,8 %) a</w:t>
            </w:r>
            <w:r>
              <w:rPr>
                <w:rFonts w:cs="Arial"/>
                <w:szCs w:val="20"/>
              </w:rPr>
              <w:t> </w:t>
            </w:r>
            <w:r w:rsidRPr="000A4779">
              <w:rPr>
                <w:rFonts w:cs="Arial"/>
                <w:szCs w:val="20"/>
              </w:rPr>
              <w:t>oxidu dusíku (o 16 %) a naopak se zvýšily emise tuhých látek (o 0,6 %) a</w:t>
            </w:r>
            <w:r>
              <w:rPr>
                <w:rFonts w:cs="Arial"/>
                <w:szCs w:val="20"/>
              </w:rPr>
              <w:t> </w:t>
            </w:r>
            <w:r w:rsidRPr="000A4779">
              <w:rPr>
                <w:rFonts w:cs="Arial"/>
                <w:szCs w:val="20"/>
              </w:rPr>
              <w:t xml:space="preserve">oxidu dusíku (o 1,5 %). </w:t>
            </w:r>
          </w:p>
          <w:p w:rsidR="001F7C24" w:rsidRPr="005A099E" w:rsidRDefault="000A4779" w:rsidP="000A4779">
            <w:pPr>
              <w:pStyle w:val="Zpat"/>
              <w:tabs>
                <w:tab w:val="left" w:pos="768"/>
              </w:tabs>
              <w:spacing w:before="60" w:after="60"/>
              <w:rPr>
                <w:rFonts w:cs="Arial"/>
                <w:szCs w:val="20"/>
                <w:highlight w:val="yellow"/>
              </w:rPr>
            </w:pPr>
            <w:r w:rsidRPr="000A4779">
              <w:rPr>
                <w:rFonts w:cs="Arial"/>
                <w:szCs w:val="20"/>
              </w:rPr>
              <w:t xml:space="preserve">Nejvýraznějším zdrojem znečistění ve Zlínském kraji byly i v roce 2013 mobilní zdroje znečistění (REZZO 4), a to s </w:t>
            </w:r>
            <w:proofErr w:type="gramStart"/>
            <w:r w:rsidRPr="000A4779">
              <w:rPr>
                <w:rFonts w:cs="Arial"/>
                <w:szCs w:val="20"/>
              </w:rPr>
              <w:t>57%</w:t>
            </w:r>
            <w:proofErr w:type="gramEnd"/>
            <w:r w:rsidRPr="000A4779">
              <w:rPr>
                <w:rFonts w:cs="Arial"/>
                <w:szCs w:val="20"/>
              </w:rPr>
              <w:t xml:space="preserve"> podílem na celku u oxidu dusíku. Největší podíl znečistění oxidem siřičitým šel na vrub velkým stacionárním zdrojům (REZZO1), a to 90 %.</w:t>
            </w:r>
            <w:r w:rsidR="00B87C7A">
              <w:rPr>
                <w:rFonts w:cs="Arial"/>
                <w:szCs w:val="20"/>
              </w:rPr>
              <w:t xml:space="preserve"> </w:t>
            </w:r>
            <w:r w:rsidR="00AC3384">
              <w:rPr>
                <w:rFonts w:cs="Arial"/>
                <w:szCs w:val="20"/>
              </w:rPr>
              <w:t xml:space="preserve">Je nutné upozornit na změnu metodiky od roku 2013, a to, že do REZZO 1 byla přeřazena velká část REZZO 2. Ve Zlínském kraji však nebyl zaznamenán </w:t>
            </w:r>
            <w:r w:rsidR="006854FD">
              <w:rPr>
                <w:rFonts w:cs="Arial"/>
                <w:szCs w:val="20"/>
              </w:rPr>
              <w:t xml:space="preserve">významný nárůst </w:t>
            </w:r>
            <w:proofErr w:type="spellStart"/>
            <w:r w:rsidR="006854FD">
              <w:rPr>
                <w:rFonts w:cs="Arial"/>
                <w:szCs w:val="20"/>
              </w:rPr>
              <w:t>těcht</w:t>
            </w:r>
            <w:r w:rsidR="007C4D93">
              <w:rPr>
                <w:rFonts w:cs="Arial"/>
                <w:szCs w:val="20"/>
              </w:rPr>
              <w:t>o</w:t>
            </w:r>
            <w:r w:rsidR="006854FD">
              <w:rPr>
                <w:rFonts w:cs="Arial"/>
                <w:szCs w:val="20"/>
              </w:rPr>
              <w:t>i</w:t>
            </w:r>
            <w:proofErr w:type="spellEnd"/>
            <w:r w:rsidR="006854FD">
              <w:rPr>
                <w:rFonts w:cs="Arial"/>
                <w:szCs w:val="20"/>
              </w:rPr>
              <w:t xml:space="preserve"> emisí v REZZO 1.</w:t>
            </w:r>
            <w:r w:rsidRPr="000A4779">
              <w:rPr>
                <w:rFonts w:cs="Arial"/>
                <w:szCs w:val="20"/>
              </w:rPr>
              <w:t xml:space="preserve"> Největší krajské podíly tuhých látek (68 %) a</w:t>
            </w:r>
            <w:r>
              <w:rPr>
                <w:rFonts w:cs="Arial"/>
                <w:szCs w:val="20"/>
              </w:rPr>
              <w:t> </w:t>
            </w:r>
            <w:r w:rsidRPr="000A4779">
              <w:rPr>
                <w:rFonts w:cs="Arial"/>
                <w:szCs w:val="20"/>
              </w:rPr>
              <w:t xml:space="preserve">oxidu uhelnatého (76 %) byly zaznamenány od malých zdrojů znečistění (REZZO 3). </w:t>
            </w:r>
          </w:p>
        </w:tc>
      </w:tr>
      <w:tr w:rsidR="001F7C24" w:rsidRPr="005A099E" w:rsidTr="00BA0688">
        <w:trPr>
          <w:gridBefore w:val="1"/>
          <w:gridAfter w:val="2"/>
          <w:wBefore w:w="15" w:type="dxa"/>
          <w:wAfter w:w="42" w:type="dxa"/>
        </w:trPr>
        <w:tc>
          <w:tcPr>
            <w:tcW w:w="9583" w:type="dxa"/>
            <w:gridSpan w:val="4"/>
            <w:tcMar>
              <w:left w:w="85" w:type="dxa"/>
              <w:right w:w="85" w:type="dxa"/>
            </w:tcMar>
          </w:tcPr>
          <w:p w:rsidR="005B6171" w:rsidRPr="005B6171" w:rsidRDefault="005B6171" w:rsidP="005B6171">
            <w:pPr>
              <w:pStyle w:val="Normlnweb"/>
              <w:spacing w:before="60" w:beforeAutospacing="0" w:after="60" w:afterAutospacing="0"/>
              <w:jc w:val="both"/>
              <w:rPr>
                <w:rFonts w:ascii="Arial" w:hAnsi="Arial" w:cs="Arial"/>
                <w:b/>
                <w:sz w:val="20"/>
                <w:szCs w:val="20"/>
              </w:rPr>
            </w:pPr>
            <w:r w:rsidRPr="005B6171">
              <w:rPr>
                <w:rFonts w:ascii="Arial" w:hAnsi="Arial" w:cs="Arial"/>
                <w:b/>
                <w:sz w:val="20"/>
                <w:szCs w:val="20"/>
              </w:rPr>
              <w:lastRenderedPageBreak/>
              <w:t xml:space="preserve">Graf </w:t>
            </w:r>
            <w:r w:rsidR="003232DB">
              <w:rPr>
                <w:rFonts w:ascii="Arial" w:hAnsi="Arial" w:cs="Arial"/>
                <w:b/>
                <w:sz w:val="20"/>
                <w:szCs w:val="20"/>
              </w:rPr>
              <w:t>4.4</w:t>
            </w:r>
            <w:r w:rsidRPr="005B6171">
              <w:rPr>
                <w:rFonts w:ascii="Arial" w:hAnsi="Arial" w:cs="Arial"/>
                <w:b/>
                <w:sz w:val="20"/>
                <w:szCs w:val="20"/>
              </w:rPr>
              <w:t xml:space="preserve"> Měrné emise základních znečisťujících látek v ovzduší ve Zlínském kraji (v t/km</w:t>
            </w:r>
            <w:r w:rsidRPr="007C4D93">
              <w:rPr>
                <w:rFonts w:ascii="Arial" w:hAnsi="Arial" w:cs="Arial"/>
                <w:b/>
                <w:sz w:val="20"/>
                <w:szCs w:val="20"/>
                <w:vertAlign w:val="superscript"/>
              </w:rPr>
              <w:t>2</w:t>
            </w:r>
            <w:r w:rsidRPr="005B6171">
              <w:rPr>
                <w:rFonts w:ascii="Arial" w:hAnsi="Arial" w:cs="Arial"/>
                <w:b/>
                <w:sz w:val="20"/>
                <w:szCs w:val="20"/>
              </w:rPr>
              <w:t>/rok)</w:t>
            </w:r>
          </w:p>
          <w:p w:rsidR="005B6171" w:rsidRDefault="005B6171" w:rsidP="005B6171">
            <w:pPr>
              <w:pStyle w:val="Normlnweb"/>
              <w:spacing w:before="60" w:beforeAutospacing="0" w:after="60" w:afterAutospacing="0"/>
              <w:jc w:val="both"/>
              <w:rPr>
                <w:rFonts w:ascii="Arial" w:hAnsi="Arial" w:cs="Arial"/>
                <w:b/>
                <w:sz w:val="20"/>
                <w:szCs w:val="20"/>
              </w:rPr>
            </w:pPr>
            <w:r w:rsidRPr="005B6171">
              <w:rPr>
                <w:rFonts w:ascii="Arial" w:hAnsi="Arial" w:cs="Arial"/>
                <w:b/>
                <w:sz w:val="20"/>
                <w:szCs w:val="20"/>
              </w:rPr>
              <w:t xml:space="preserve">          (u tuhých látek včetně emisí TZL, NH3 a VOC ze stavebních činností a chovů hospodářských</w:t>
            </w:r>
          </w:p>
          <w:p w:rsidR="005B6171" w:rsidRPr="005A099E" w:rsidRDefault="005B6171" w:rsidP="00041995">
            <w:pPr>
              <w:pStyle w:val="Normlnweb"/>
              <w:spacing w:before="60" w:beforeAutospacing="0" w:after="60" w:afterAutospacing="0"/>
              <w:jc w:val="both"/>
              <w:rPr>
                <w:rFonts w:ascii="Arial" w:hAnsi="Arial" w:cs="Arial"/>
                <w:sz w:val="20"/>
                <w:szCs w:val="20"/>
                <w:highlight w:val="yellow"/>
              </w:rPr>
            </w:pPr>
            <w:r>
              <w:rPr>
                <w:rFonts w:ascii="Arial" w:hAnsi="Arial" w:cs="Arial"/>
                <w:b/>
                <w:sz w:val="20"/>
                <w:szCs w:val="20"/>
              </w:rPr>
              <w:t xml:space="preserve">         </w:t>
            </w:r>
            <w:r w:rsidRPr="005B6171">
              <w:rPr>
                <w:rFonts w:ascii="Arial" w:hAnsi="Arial" w:cs="Arial"/>
                <w:b/>
                <w:sz w:val="20"/>
                <w:szCs w:val="20"/>
              </w:rPr>
              <w:t xml:space="preserve"> zvířat, z nesledovaných zdrojů použití rozpouštědel)</w:t>
            </w:r>
          </w:p>
        </w:tc>
      </w:tr>
      <w:tr w:rsidR="001F7C24" w:rsidRPr="005A099E" w:rsidTr="00BA0688">
        <w:trPr>
          <w:gridBefore w:val="1"/>
          <w:gridAfter w:val="2"/>
          <w:wBefore w:w="15" w:type="dxa"/>
          <w:wAfter w:w="42" w:type="dxa"/>
          <w:trHeight w:val="402"/>
        </w:trPr>
        <w:tc>
          <w:tcPr>
            <w:tcW w:w="9583" w:type="dxa"/>
            <w:gridSpan w:val="4"/>
            <w:tcMar>
              <w:left w:w="85" w:type="dxa"/>
              <w:right w:w="85" w:type="dxa"/>
            </w:tcMar>
            <w:vAlign w:val="center"/>
          </w:tcPr>
          <w:p w:rsidR="00371E4A" w:rsidRPr="00C672F5" w:rsidRDefault="009956CB" w:rsidP="005B6171">
            <w:pPr>
              <w:jc w:val="center"/>
              <w:rPr>
                <w:b/>
                <w:szCs w:val="20"/>
              </w:rPr>
            </w:pPr>
            <w:r w:rsidRPr="00286EFA">
              <w:rPr>
                <w:b/>
                <w:szCs w:val="20"/>
              </w:rPr>
              <w:pict>
                <v:shape id="_x0000_i1115" type="#_x0000_t75" style="width:480pt;height:467.25pt">
                  <v:imagedata r:id="rId108" o:title=""/>
                </v:shape>
              </w:pict>
            </w:r>
          </w:p>
          <w:p w:rsidR="00421327" w:rsidRDefault="00421327" w:rsidP="005B6171">
            <w:pPr>
              <w:jc w:val="center"/>
              <w:rPr>
                <w:b/>
                <w:szCs w:val="20"/>
                <w:highlight w:val="yellow"/>
              </w:rPr>
            </w:pPr>
          </w:p>
          <w:p w:rsidR="00421327" w:rsidRPr="005A099E" w:rsidRDefault="00421327" w:rsidP="005B6171">
            <w:pPr>
              <w:jc w:val="center"/>
              <w:rPr>
                <w:b/>
                <w:szCs w:val="20"/>
                <w:highlight w:val="yellow"/>
              </w:rPr>
            </w:pPr>
          </w:p>
        </w:tc>
      </w:tr>
      <w:tr w:rsidR="001F7C24" w:rsidRPr="005A099E" w:rsidTr="00BA0688">
        <w:trPr>
          <w:gridBefore w:val="1"/>
          <w:gridAfter w:val="2"/>
          <w:wBefore w:w="15" w:type="dxa"/>
          <w:wAfter w:w="42" w:type="dxa"/>
          <w:trHeight w:val="284"/>
        </w:trPr>
        <w:tc>
          <w:tcPr>
            <w:tcW w:w="2411" w:type="dxa"/>
            <w:gridSpan w:val="2"/>
            <w:tcMar>
              <w:left w:w="85" w:type="dxa"/>
              <w:right w:w="85" w:type="dxa"/>
            </w:tcMar>
          </w:tcPr>
          <w:p w:rsidR="001F7C24" w:rsidRPr="005A099E" w:rsidRDefault="001F7C24" w:rsidP="005B6171">
            <w:pPr>
              <w:spacing w:before="60" w:after="60"/>
              <w:jc w:val="left"/>
              <w:rPr>
                <w:b/>
                <w:i/>
                <w:szCs w:val="20"/>
                <w:highlight w:val="yellow"/>
              </w:rPr>
            </w:pPr>
            <w:r w:rsidRPr="005B6171">
              <w:rPr>
                <w:b/>
                <w:i/>
                <w:szCs w:val="20"/>
              </w:rPr>
              <w:t>Největšími zdroji znečistění ovzduší v kraji zůstávají mobilní zařízení</w:t>
            </w:r>
          </w:p>
        </w:tc>
        <w:tc>
          <w:tcPr>
            <w:tcW w:w="7172" w:type="dxa"/>
            <w:gridSpan w:val="2"/>
            <w:tcMar>
              <w:left w:w="85" w:type="dxa"/>
              <w:right w:w="85" w:type="dxa"/>
            </w:tcMar>
            <w:vAlign w:val="center"/>
          </w:tcPr>
          <w:p w:rsidR="00371E4A" w:rsidRPr="005A099E" w:rsidRDefault="005B6171" w:rsidP="006854FD">
            <w:pPr>
              <w:pStyle w:val="Normlnweb"/>
              <w:spacing w:before="60" w:beforeAutospacing="0" w:after="60" w:afterAutospacing="0"/>
              <w:jc w:val="both"/>
              <w:rPr>
                <w:rFonts w:ascii="Arial" w:hAnsi="Arial" w:cs="Arial"/>
                <w:sz w:val="20"/>
                <w:szCs w:val="20"/>
                <w:highlight w:val="yellow"/>
              </w:rPr>
            </w:pPr>
            <w:r w:rsidRPr="005B6171">
              <w:rPr>
                <w:rFonts w:ascii="Arial" w:eastAsia="+mn-ea" w:hAnsi="Arial" w:cs="Arial"/>
                <w:color w:val="000000"/>
                <w:sz w:val="20"/>
                <w:szCs w:val="20"/>
              </w:rPr>
              <w:t>Největší zátěží pro kvalitu ovzduší ve Zlínském kraji byly v hodnoceném čtyřletém období mobilní zdroje znečistění (REZZO 4, v této skupině jsou zahrnuta mobilní zařízení se spalovacími nebo jinými motory, která znečišťují ovzduší, zejména silniční a motorová vozidla, železniční kolejová vozidla, plavidla, letadla, zemědělské a stavební stroje a také emise VOC z odparů palivového systému benzinových vozidel). U emisí tvořených tuhými znečisťujícími látkami došlo v průběhu čtyř let ke snížení o 21 %. Také podíl tuhých látek na emisích v kraji poklesl zhruba o 5 procentních bodů na 20 % v</w:t>
            </w:r>
            <w:r w:rsidR="006854FD">
              <w:rPr>
                <w:rFonts w:ascii="Arial" w:eastAsia="+mn-ea" w:hAnsi="Arial" w:cs="Arial"/>
                <w:color w:val="000000"/>
                <w:sz w:val="20"/>
                <w:szCs w:val="20"/>
              </w:rPr>
              <w:t> </w:t>
            </w:r>
            <w:r w:rsidRPr="005B6171">
              <w:rPr>
                <w:rFonts w:ascii="Arial" w:eastAsia="+mn-ea" w:hAnsi="Arial" w:cs="Arial"/>
                <w:color w:val="000000"/>
                <w:sz w:val="20"/>
                <w:szCs w:val="20"/>
              </w:rPr>
              <w:t>roce 2013. I u emisí oxidu dusíku došlo od roku 2009 k poklesu produkce o</w:t>
            </w:r>
            <w:r w:rsidR="006854FD">
              <w:rPr>
                <w:rFonts w:ascii="Arial" w:eastAsia="+mn-ea" w:hAnsi="Arial" w:cs="Arial"/>
                <w:color w:val="000000"/>
                <w:sz w:val="20"/>
                <w:szCs w:val="20"/>
              </w:rPr>
              <w:t> </w:t>
            </w:r>
            <w:r w:rsidRPr="005B6171">
              <w:rPr>
                <w:rFonts w:ascii="Arial" w:eastAsia="+mn-ea" w:hAnsi="Arial" w:cs="Arial"/>
                <w:color w:val="000000"/>
                <w:sz w:val="20"/>
                <w:szCs w:val="20"/>
              </w:rPr>
              <w:t xml:space="preserve">21 %. Jeho podíl na celku těchto emisí v kraji od počátečního roku sledovaného období klesl z 60 % o 3,2 </w:t>
            </w:r>
            <w:proofErr w:type="spellStart"/>
            <w:proofErr w:type="gramStart"/>
            <w:r w:rsidRPr="005B6171">
              <w:rPr>
                <w:rFonts w:ascii="Arial" w:eastAsia="+mn-ea" w:hAnsi="Arial" w:cs="Arial"/>
                <w:color w:val="000000"/>
                <w:sz w:val="20"/>
                <w:szCs w:val="20"/>
              </w:rPr>
              <w:t>p.b</w:t>
            </w:r>
            <w:proofErr w:type="spellEnd"/>
            <w:r w:rsidRPr="005B6171">
              <w:rPr>
                <w:rFonts w:ascii="Arial" w:eastAsia="+mn-ea" w:hAnsi="Arial" w:cs="Arial"/>
                <w:color w:val="000000"/>
                <w:sz w:val="20"/>
                <w:szCs w:val="20"/>
              </w:rPr>
              <w:t>. na</w:t>
            </w:r>
            <w:proofErr w:type="gramEnd"/>
            <w:r w:rsidRPr="005B6171">
              <w:rPr>
                <w:rFonts w:ascii="Arial" w:eastAsia="+mn-ea" w:hAnsi="Arial" w:cs="Arial"/>
                <w:color w:val="000000"/>
                <w:sz w:val="20"/>
                <w:szCs w:val="20"/>
              </w:rPr>
              <w:t xml:space="preserve"> 57 %. Na znečistění oxidem siřičitým se mobilní zdroje podílely v roce 2013 nepatrně (0,12 %). U emisí z</w:t>
            </w:r>
            <w:r w:rsidR="006854FD">
              <w:rPr>
                <w:rFonts w:ascii="Arial" w:eastAsia="+mn-ea" w:hAnsi="Arial" w:cs="Arial"/>
                <w:color w:val="000000"/>
                <w:sz w:val="20"/>
                <w:szCs w:val="20"/>
              </w:rPr>
              <w:t> </w:t>
            </w:r>
            <w:r w:rsidRPr="005B6171">
              <w:rPr>
                <w:rFonts w:ascii="Arial" w:eastAsia="+mn-ea" w:hAnsi="Arial" w:cs="Arial"/>
                <w:color w:val="000000"/>
                <w:sz w:val="20"/>
                <w:szCs w:val="20"/>
              </w:rPr>
              <w:t>mobilních zdrojů tvořených oxidem uhelnatým došlo během čtyř let ke snížení o 39 % a</w:t>
            </w:r>
            <w:r w:rsidR="006854FD">
              <w:rPr>
                <w:rFonts w:ascii="Arial" w:eastAsia="+mn-ea" w:hAnsi="Arial" w:cs="Arial"/>
                <w:color w:val="000000"/>
                <w:sz w:val="20"/>
                <w:szCs w:val="20"/>
              </w:rPr>
              <w:t> </w:t>
            </w:r>
            <w:r w:rsidRPr="005B6171">
              <w:rPr>
                <w:rFonts w:ascii="Arial" w:eastAsia="+mn-ea" w:hAnsi="Arial" w:cs="Arial"/>
                <w:color w:val="000000"/>
                <w:sz w:val="20"/>
                <w:szCs w:val="20"/>
              </w:rPr>
              <w:t>také jejich podíl klesl z 33 % v roce 2009 na 20 % v roce 2013.</w:t>
            </w:r>
          </w:p>
        </w:tc>
      </w:tr>
      <w:tr w:rsidR="001F7C24" w:rsidRPr="005A099E" w:rsidTr="00BA0688">
        <w:trPr>
          <w:gridBefore w:val="1"/>
          <w:gridAfter w:val="2"/>
          <w:wBefore w:w="15" w:type="dxa"/>
          <w:wAfter w:w="42" w:type="dxa"/>
        </w:trPr>
        <w:tc>
          <w:tcPr>
            <w:tcW w:w="2411" w:type="dxa"/>
            <w:gridSpan w:val="2"/>
            <w:tcMar>
              <w:left w:w="85" w:type="dxa"/>
              <w:right w:w="85" w:type="dxa"/>
            </w:tcMar>
          </w:tcPr>
          <w:p w:rsidR="001F7C24" w:rsidRPr="005A099E" w:rsidRDefault="001F7C24" w:rsidP="000901F2">
            <w:pPr>
              <w:spacing w:before="60" w:after="60"/>
              <w:jc w:val="left"/>
              <w:rPr>
                <w:b/>
                <w:i/>
                <w:szCs w:val="20"/>
                <w:highlight w:val="yellow"/>
              </w:rPr>
            </w:pPr>
            <w:r w:rsidRPr="000901F2">
              <w:rPr>
                <w:b/>
                <w:i/>
                <w:szCs w:val="20"/>
              </w:rPr>
              <w:lastRenderedPageBreak/>
              <w:t>Emise od malých zdrojů nejsou rozhodně malé a klesají jen pomalu</w:t>
            </w:r>
          </w:p>
        </w:tc>
        <w:tc>
          <w:tcPr>
            <w:tcW w:w="7172" w:type="dxa"/>
            <w:gridSpan w:val="2"/>
            <w:tcMar>
              <w:left w:w="85" w:type="dxa"/>
              <w:right w:w="85" w:type="dxa"/>
            </w:tcMar>
            <w:vAlign w:val="center"/>
          </w:tcPr>
          <w:p w:rsidR="000901F2" w:rsidRPr="000901F2" w:rsidRDefault="000901F2" w:rsidP="000901F2">
            <w:pPr>
              <w:pStyle w:val="Normlnweb"/>
              <w:spacing w:before="60" w:beforeAutospacing="0" w:after="60" w:afterAutospacing="0"/>
              <w:jc w:val="both"/>
              <w:rPr>
                <w:rFonts w:ascii="Arial" w:eastAsia="+mn-ea" w:hAnsi="Arial" w:cs="Arial"/>
                <w:iCs/>
                <w:color w:val="000000"/>
                <w:sz w:val="20"/>
                <w:szCs w:val="20"/>
              </w:rPr>
            </w:pPr>
            <w:r w:rsidRPr="000901F2">
              <w:rPr>
                <w:rFonts w:ascii="Arial" w:eastAsia="+mn-ea" w:hAnsi="Arial" w:cs="Arial"/>
                <w:iCs/>
                <w:color w:val="000000"/>
                <w:sz w:val="20"/>
                <w:szCs w:val="20"/>
              </w:rPr>
              <w:t>Do malých zdrojů znečisťování (REZZO3) patří stacionární zařízení ke spalování paliv o tepelném výkonu nižším než 0,2 MW, zařízení technologických procesů nespadajících do kategorie velkých a středních zdrojů. Vedle bodově sledovaných zdrojů jsou v rámci REZZO 3 modelově vypočítávány emise z lokálního vytápění domácností, emise VOC (těkavá organ. látka) z plošného použití rozpouštědel. Od roku 2010 již nejsou emise NH3 z chovů hospodářských zvířat u zdrojů REZZO 1 a REZZO 2 sledovány prostřednictvím Souhrnné provozní evidence (SPE). Tyto emise, vypočítávané modelově dle metodiky VÚZT Praha, jsou od roku 2010 prezentovány výhradně v rámci REZZO 3. Pro výpočet emisí z lokálního vytápění domácností byla použita aktualizovaná metodika, která oproti verzi z roku 2006 obsahuje novou sadu emisních faktorů (tato sada ovlivnila nárůst emisí převážně u CO) a zpřesnění odhadu spotřeby paliv. Emisní bilance kategorie REZZO 3 dále zahrnuje emise TZL z chovů hospodářských zvířat, tj. emise ze steliva, krmiva a exkrementů zejména u stájových chovů, emise TZL ze stavebních činností a emisí NH3 z použití minerálních hnojiv. V roce 2012 byly do kategorie REZZO 3 doplněny emise TZL z polních prací (zpracování půdy, sklizeň, atd.). Pro využití časové řady emisí byla data přepočítána podle nové metodiky zpracování od roku 2000 u všech typů zdrojů znečisťujících ovzduší.</w:t>
            </w:r>
          </w:p>
          <w:p w:rsidR="000901F2" w:rsidRPr="000901F2" w:rsidRDefault="000901F2" w:rsidP="000901F2">
            <w:pPr>
              <w:pStyle w:val="Normlnweb"/>
              <w:spacing w:before="60" w:beforeAutospacing="0" w:after="60" w:afterAutospacing="0"/>
              <w:jc w:val="both"/>
              <w:rPr>
                <w:rFonts w:ascii="Arial" w:eastAsia="+mn-ea" w:hAnsi="Arial" w:cs="Arial"/>
                <w:iCs/>
                <w:color w:val="000000"/>
                <w:sz w:val="20"/>
                <w:szCs w:val="20"/>
              </w:rPr>
            </w:pPr>
            <w:r w:rsidRPr="000901F2">
              <w:rPr>
                <w:rFonts w:ascii="Arial" w:eastAsia="+mn-ea" w:hAnsi="Arial" w:cs="Arial"/>
                <w:iCs/>
                <w:color w:val="000000"/>
                <w:sz w:val="20"/>
                <w:szCs w:val="20"/>
              </w:rPr>
              <w:t xml:space="preserve">Znečistění ovzduší způsobené malými zdroji (REZZO 3) rozhodně nejsou zanedbatelné. V roce 2013 byl jejich podíl znečistění tuhými látkami 68 % (nárůst podílu za 4 roky o 6,5 </w:t>
            </w:r>
            <w:proofErr w:type="spellStart"/>
            <w:proofErr w:type="gramStart"/>
            <w:r w:rsidRPr="000901F2">
              <w:rPr>
                <w:rFonts w:ascii="Arial" w:eastAsia="+mn-ea" w:hAnsi="Arial" w:cs="Arial"/>
                <w:iCs/>
                <w:color w:val="000000"/>
                <w:sz w:val="20"/>
                <w:szCs w:val="20"/>
              </w:rPr>
              <w:t>p.b</w:t>
            </w:r>
            <w:proofErr w:type="spellEnd"/>
            <w:r w:rsidRPr="000901F2">
              <w:rPr>
                <w:rFonts w:ascii="Arial" w:eastAsia="+mn-ea" w:hAnsi="Arial" w:cs="Arial"/>
                <w:iCs/>
                <w:color w:val="000000"/>
                <w:sz w:val="20"/>
                <w:szCs w:val="20"/>
              </w:rPr>
              <w:t>.), oxidem</w:t>
            </w:r>
            <w:proofErr w:type="gramEnd"/>
            <w:r w:rsidRPr="000901F2">
              <w:rPr>
                <w:rFonts w:ascii="Arial" w:eastAsia="+mn-ea" w:hAnsi="Arial" w:cs="Arial"/>
                <w:iCs/>
                <w:color w:val="000000"/>
                <w:sz w:val="20"/>
                <w:szCs w:val="20"/>
              </w:rPr>
              <w:t xml:space="preserve"> siřičitým 10 % (od roku 2009 došlo ke zvýšení podílu o 2,2 </w:t>
            </w:r>
            <w:proofErr w:type="spellStart"/>
            <w:r w:rsidRPr="000901F2">
              <w:rPr>
                <w:rFonts w:ascii="Arial" w:eastAsia="+mn-ea" w:hAnsi="Arial" w:cs="Arial"/>
                <w:iCs/>
                <w:color w:val="000000"/>
                <w:sz w:val="20"/>
                <w:szCs w:val="20"/>
              </w:rPr>
              <w:t>p.b</w:t>
            </w:r>
            <w:proofErr w:type="spellEnd"/>
            <w:r w:rsidRPr="000901F2">
              <w:rPr>
                <w:rFonts w:ascii="Arial" w:eastAsia="+mn-ea" w:hAnsi="Arial" w:cs="Arial"/>
                <w:iCs/>
                <w:color w:val="000000"/>
                <w:sz w:val="20"/>
                <w:szCs w:val="20"/>
              </w:rPr>
              <w:t>.), oxidy dusíku 8 % (nárůst podílu za čtyři roky o</w:t>
            </w:r>
            <w:r w:rsidR="007C4D93">
              <w:rPr>
                <w:rFonts w:ascii="Arial" w:eastAsia="+mn-ea" w:hAnsi="Arial" w:cs="Arial"/>
                <w:iCs/>
                <w:color w:val="000000"/>
                <w:sz w:val="20"/>
                <w:szCs w:val="20"/>
              </w:rPr>
              <w:t> </w:t>
            </w:r>
            <w:r w:rsidRPr="000901F2">
              <w:rPr>
                <w:rFonts w:ascii="Arial" w:eastAsia="+mn-ea" w:hAnsi="Arial" w:cs="Arial"/>
                <w:iCs/>
                <w:color w:val="000000"/>
                <w:sz w:val="20"/>
                <w:szCs w:val="20"/>
              </w:rPr>
              <w:t xml:space="preserve">2,0 </w:t>
            </w:r>
            <w:proofErr w:type="spellStart"/>
            <w:r w:rsidRPr="000901F2">
              <w:rPr>
                <w:rFonts w:ascii="Arial" w:eastAsia="+mn-ea" w:hAnsi="Arial" w:cs="Arial"/>
                <w:iCs/>
                <w:color w:val="000000"/>
                <w:sz w:val="20"/>
                <w:szCs w:val="20"/>
              </w:rPr>
              <w:t>p.b</w:t>
            </w:r>
            <w:proofErr w:type="spellEnd"/>
            <w:r w:rsidRPr="000901F2">
              <w:rPr>
                <w:rFonts w:ascii="Arial" w:eastAsia="+mn-ea" w:hAnsi="Arial" w:cs="Arial"/>
                <w:iCs/>
                <w:color w:val="000000"/>
                <w:sz w:val="20"/>
                <w:szCs w:val="20"/>
              </w:rPr>
              <w:t xml:space="preserve">.) a podíl znečistění oxidem uhelnatým 76 % (zvýšení podílu od roku 2009 o 13 </w:t>
            </w:r>
            <w:proofErr w:type="spellStart"/>
            <w:r w:rsidRPr="000901F2">
              <w:rPr>
                <w:rFonts w:ascii="Arial" w:eastAsia="+mn-ea" w:hAnsi="Arial" w:cs="Arial"/>
                <w:iCs/>
                <w:color w:val="000000"/>
                <w:sz w:val="20"/>
                <w:szCs w:val="20"/>
              </w:rPr>
              <w:t>p.b</w:t>
            </w:r>
            <w:proofErr w:type="spellEnd"/>
            <w:r w:rsidRPr="000901F2">
              <w:rPr>
                <w:rFonts w:ascii="Arial" w:eastAsia="+mn-ea" w:hAnsi="Arial" w:cs="Arial"/>
                <w:iCs/>
                <w:color w:val="000000"/>
                <w:sz w:val="20"/>
                <w:szCs w:val="20"/>
              </w:rPr>
              <w:t xml:space="preserve">. </w:t>
            </w:r>
          </w:p>
          <w:p w:rsidR="000901F2" w:rsidRPr="000901F2" w:rsidRDefault="000901F2" w:rsidP="000901F2">
            <w:pPr>
              <w:pStyle w:val="Normlnweb"/>
              <w:spacing w:before="60" w:beforeAutospacing="0" w:after="60" w:afterAutospacing="0"/>
              <w:jc w:val="both"/>
              <w:rPr>
                <w:rFonts w:ascii="Arial" w:eastAsia="+mn-ea" w:hAnsi="Arial" w:cs="Arial"/>
                <w:iCs/>
                <w:color w:val="000000"/>
                <w:sz w:val="20"/>
                <w:szCs w:val="20"/>
              </w:rPr>
            </w:pPr>
            <w:r w:rsidRPr="000901F2">
              <w:rPr>
                <w:rFonts w:ascii="Arial" w:eastAsia="+mn-ea" w:hAnsi="Arial" w:cs="Arial"/>
                <w:iCs/>
                <w:color w:val="000000"/>
                <w:sz w:val="20"/>
                <w:szCs w:val="20"/>
              </w:rPr>
              <w:t>Meziročně došlo ke zvýšení emisí tuhých látek o 10 %, oxidu dusíku o 3 % a</w:t>
            </w:r>
            <w:r w:rsidR="007C4D93">
              <w:rPr>
                <w:rFonts w:ascii="Arial" w:eastAsia="+mn-ea" w:hAnsi="Arial" w:cs="Arial"/>
                <w:iCs/>
                <w:color w:val="000000"/>
                <w:sz w:val="20"/>
                <w:szCs w:val="20"/>
              </w:rPr>
              <w:t> </w:t>
            </w:r>
            <w:r w:rsidRPr="000901F2">
              <w:rPr>
                <w:rFonts w:ascii="Arial" w:eastAsia="+mn-ea" w:hAnsi="Arial" w:cs="Arial"/>
                <w:iCs/>
                <w:color w:val="000000"/>
                <w:sz w:val="20"/>
                <w:szCs w:val="20"/>
              </w:rPr>
              <w:t xml:space="preserve">oxidu uhelnatého o 3 %. Naopak ke snížení došlo pouze u emisí oxidu siřičitého o 2 %. </w:t>
            </w:r>
          </w:p>
          <w:p w:rsidR="00421327" w:rsidRDefault="000901F2" w:rsidP="00B87C7A">
            <w:pPr>
              <w:pStyle w:val="Normlnweb"/>
              <w:spacing w:before="60" w:beforeAutospacing="0" w:after="60" w:afterAutospacing="0"/>
              <w:jc w:val="both"/>
              <w:rPr>
                <w:rFonts w:ascii="Arial" w:hAnsi="Arial" w:cs="Arial"/>
                <w:sz w:val="20"/>
                <w:szCs w:val="20"/>
                <w:highlight w:val="yellow"/>
              </w:rPr>
            </w:pPr>
            <w:r w:rsidRPr="000901F2">
              <w:rPr>
                <w:rFonts w:ascii="Arial" w:eastAsia="+mn-ea" w:hAnsi="Arial" w:cs="Arial"/>
                <w:iCs/>
                <w:color w:val="000000"/>
                <w:sz w:val="20"/>
                <w:szCs w:val="20"/>
              </w:rPr>
              <w:t>Během celého hodnoceného čtyřletého období došlo u malých zdrojů znečistění k navýšení všech druhů emisí. U tuhých látek bylo zachyceno zvýšení o 11 %, u oxidu siřičitého o 25 %, oxidu dusíku o 14 % a oxidu uhelnatého o 22 %.</w:t>
            </w:r>
          </w:p>
          <w:p w:rsidR="00421327" w:rsidRPr="005A099E" w:rsidRDefault="00421327" w:rsidP="00B87C7A">
            <w:pPr>
              <w:pStyle w:val="Normlnweb"/>
              <w:spacing w:before="60" w:beforeAutospacing="0" w:after="60" w:afterAutospacing="0"/>
              <w:jc w:val="both"/>
              <w:rPr>
                <w:rFonts w:ascii="Arial" w:hAnsi="Arial" w:cs="Arial"/>
                <w:sz w:val="20"/>
                <w:szCs w:val="20"/>
                <w:highlight w:val="yellow"/>
              </w:rPr>
            </w:pPr>
          </w:p>
        </w:tc>
      </w:tr>
      <w:tr w:rsidR="001F7C24" w:rsidRPr="005A099E" w:rsidTr="00BA0688">
        <w:trPr>
          <w:gridBefore w:val="1"/>
          <w:gridAfter w:val="2"/>
          <w:wBefore w:w="15" w:type="dxa"/>
          <w:wAfter w:w="42" w:type="dxa"/>
          <w:trHeight w:val="255"/>
        </w:trPr>
        <w:tc>
          <w:tcPr>
            <w:tcW w:w="9583" w:type="dxa"/>
            <w:gridSpan w:val="4"/>
            <w:tcMar>
              <w:left w:w="85" w:type="dxa"/>
              <w:right w:w="85" w:type="dxa"/>
            </w:tcMar>
          </w:tcPr>
          <w:p w:rsidR="000901F2" w:rsidRPr="000901F2" w:rsidRDefault="000901F2" w:rsidP="000901F2">
            <w:pPr>
              <w:rPr>
                <w:b/>
                <w:bCs/>
                <w:szCs w:val="20"/>
              </w:rPr>
            </w:pPr>
            <w:r w:rsidRPr="000901F2">
              <w:rPr>
                <w:b/>
                <w:bCs/>
                <w:szCs w:val="20"/>
              </w:rPr>
              <w:t xml:space="preserve">Graf </w:t>
            </w:r>
            <w:r w:rsidR="003232DB">
              <w:rPr>
                <w:b/>
                <w:bCs/>
                <w:szCs w:val="20"/>
              </w:rPr>
              <w:t>4.5</w:t>
            </w:r>
            <w:r w:rsidRPr="000901F2">
              <w:rPr>
                <w:b/>
                <w:bCs/>
                <w:szCs w:val="20"/>
              </w:rPr>
              <w:t xml:space="preserve"> Měrné emise základních znečisťujících látek v ovzduší v okresech Zlínského kraje, </w:t>
            </w:r>
          </w:p>
          <w:p w:rsidR="000901F2" w:rsidRPr="00DD4E0A" w:rsidRDefault="000901F2" w:rsidP="000901F2">
            <w:pPr>
              <w:rPr>
                <w:bCs/>
                <w:szCs w:val="20"/>
              </w:rPr>
            </w:pPr>
            <w:r w:rsidRPr="00DD4E0A">
              <w:rPr>
                <w:bCs/>
                <w:szCs w:val="20"/>
              </w:rPr>
              <w:t xml:space="preserve">           bez mobilních zdrojů znečistění REZZO 4 (v t/km2/ rok), měrné emise tuhých látek REZZO 3</w:t>
            </w:r>
          </w:p>
          <w:p w:rsidR="00DD4E0A" w:rsidRDefault="000901F2" w:rsidP="000901F2">
            <w:pPr>
              <w:rPr>
                <w:bCs/>
                <w:szCs w:val="20"/>
              </w:rPr>
            </w:pPr>
            <w:r w:rsidRPr="00DD4E0A">
              <w:rPr>
                <w:bCs/>
                <w:szCs w:val="20"/>
              </w:rPr>
              <w:t xml:space="preserve">           nezahrnují emise TZL, NH3 a VOC ze stavebních činností, chovů hospodářských zvířat, </w:t>
            </w:r>
          </w:p>
          <w:p w:rsidR="001F7C24" w:rsidRPr="005A099E" w:rsidRDefault="00DD4E0A" w:rsidP="00DD4E0A">
            <w:pPr>
              <w:rPr>
                <w:bCs/>
                <w:szCs w:val="20"/>
                <w:highlight w:val="yellow"/>
              </w:rPr>
            </w:pPr>
            <w:r>
              <w:rPr>
                <w:bCs/>
                <w:szCs w:val="20"/>
              </w:rPr>
              <w:t xml:space="preserve">           </w:t>
            </w:r>
            <w:r w:rsidR="000901F2" w:rsidRPr="00DD4E0A">
              <w:rPr>
                <w:bCs/>
                <w:szCs w:val="20"/>
              </w:rPr>
              <w:t>aplikace min.</w:t>
            </w:r>
            <w:r>
              <w:rPr>
                <w:bCs/>
                <w:szCs w:val="20"/>
              </w:rPr>
              <w:t xml:space="preserve"> </w:t>
            </w:r>
            <w:r w:rsidR="000901F2" w:rsidRPr="00DD4E0A">
              <w:rPr>
                <w:bCs/>
                <w:szCs w:val="20"/>
              </w:rPr>
              <w:t>hnojiv a nesledovaných zdrojů použití rozpouštědel.</w:t>
            </w:r>
          </w:p>
        </w:tc>
      </w:tr>
      <w:tr w:rsidR="001F7C24" w:rsidRPr="005A099E" w:rsidTr="00BA0688">
        <w:trPr>
          <w:gridBefore w:val="1"/>
          <w:gridAfter w:val="2"/>
          <w:wBefore w:w="15" w:type="dxa"/>
          <w:wAfter w:w="42" w:type="dxa"/>
          <w:trHeight w:val="3593"/>
        </w:trPr>
        <w:tc>
          <w:tcPr>
            <w:tcW w:w="9583" w:type="dxa"/>
            <w:gridSpan w:val="4"/>
            <w:tcMar>
              <w:left w:w="85" w:type="dxa"/>
              <w:right w:w="85" w:type="dxa"/>
            </w:tcMar>
            <w:vAlign w:val="center"/>
          </w:tcPr>
          <w:p w:rsidR="001F7C24" w:rsidRPr="005A099E" w:rsidRDefault="009956CB" w:rsidP="002627F0">
            <w:pPr>
              <w:rPr>
                <w:szCs w:val="20"/>
                <w:highlight w:val="yellow"/>
              </w:rPr>
            </w:pPr>
            <w:r w:rsidRPr="00286EFA">
              <w:rPr>
                <w:szCs w:val="20"/>
              </w:rPr>
              <w:pict>
                <v:shape id="_x0000_i1116" type="#_x0000_t75" style="width:480.75pt;height:209.25pt">
                  <v:imagedata r:id="rId109" o:title=""/>
                </v:shape>
              </w:pict>
            </w:r>
          </w:p>
        </w:tc>
      </w:tr>
      <w:tr w:rsidR="001F7C24" w:rsidRPr="005A099E" w:rsidTr="00BA0688">
        <w:trPr>
          <w:gridBefore w:val="1"/>
          <w:gridAfter w:val="2"/>
          <w:wBefore w:w="15" w:type="dxa"/>
          <w:wAfter w:w="42" w:type="dxa"/>
        </w:trPr>
        <w:tc>
          <w:tcPr>
            <w:tcW w:w="2411" w:type="dxa"/>
            <w:gridSpan w:val="2"/>
            <w:tcMar>
              <w:left w:w="85" w:type="dxa"/>
              <w:right w:w="85" w:type="dxa"/>
            </w:tcMar>
          </w:tcPr>
          <w:p w:rsidR="001F7C24" w:rsidRPr="005A099E" w:rsidRDefault="00DD4E0A" w:rsidP="00DD4E0A">
            <w:pPr>
              <w:spacing w:before="60" w:after="60"/>
              <w:jc w:val="left"/>
              <w:rPr>
                <w:b/>
                <w:i/>
                <w:szCs w:val="20"/>
                <w:highlight w:val="yellow"/>
              </w:rPr>
            </w:pPr>
            <w:r w:rsidRPr="00DD4E0A">
              <w:rPr>
                <w:b/>
                <w:i/>
                <w:szCs w:val="20"/>
              </w:rPr>
              <w:t>Nejvíce znečistěné ovzduší bylo zjištěno v okresech Vsetín a Zlín</w:t>
            </w:r>
          </w:p>
        </w:tc>
        <w:tc>
          <w:tcPr>
            <w:tcW w:w="7172" w:type="dxa"/>
            <w:gridSpan w:val="2"/>
            <w:tcMar>
              <w:left w:w="85" w:type="dxa"/>
              <w:right w:w="85" w:type="dxa"/>
            </w:tcMar>
            <w:vAlign w:val="center"/>
          </w:tcPr>
          <w:p w:rsidR="00DD4E0A" w:rsidRPr="00DD4E0A" w:rsidRDefault="00DD4E0A" w:rsidP="00DD4E0A">
            <w:pPr>
              <w:pStyle w:val="Normlnweb"/>
              <w:spacing w:before="60" w:beforeAutospacing="0" w:after="60" w:afterAutospacing="0"/>
              <w:jc w:val="both"/>
              <w:rPr>
                <w:rFonts w:ascii="Arial" w:eastAsia="+mn-ea" w:hAnsi="Arial" w:cs="Arial"/>
                <w:color w:val="000000"/>
                <w:sz w:val="20"/>
                <w:szCs w:val="20"/>
              </w:rPr>
            </w:pPr>
            <w:r w:rsidRPr="00DD4E0A">
              <w:rPr>
                <w:rFonts w:ascii="Arial" w:eastAsia="+mn-ea" w:hAnsi="Arial" w:cs="Arial"/>
                <w:color w:val="000000"/>
                <w:sz w:val="20"/>
                <w:szCs w:val="20"/>
              </w:rPr>
              <w:t xml:space="preserve">Čistota nebo znečistění ovzduší jednotlivých územních celků je dána jednak rozmístěním stacionárních zdrojů výrazně znečisťujících ovzduší (tedy podniků produkujících emise), dále i umístěním ploch, na kterých jsou skládky paliv, surovin, produktů a odpadů a v neposlední řadě také mobilními zdroji, tedy dopravní zatížeností silničních a železničních „tahů“ v kraji. </w:t>
            </w:r>
          </w:p>
          <w:p w:rsidR="00DD4E0A" w:rsidRPr="00DD4E0A" w:rsidRDefault="00DD4E0A" w:rsidP="00DD4E0A">
            <w:pPr>
              <w:pStyle w:val="Normlnweb"/>
              <w:spacing w:before="60" w:beforeAutospacing="0" w:after="60" w:afterAutospacing="0"/>
              <w:jc w:val="both"/>
              <w:rPr>
                <w:rFonts w:ascii="Arial" w:eastAsia="+mn-ea" w:hAnsi="Arial" w:cs="Arial"/>
                <w:color w:val="000000"/>
                <w:sz w:val="20"/>
                <w:szCs w:val="20"/>
              </w:rPr>
            </w:pPr>
            <w:r w:rsidRPr="00DD4E0A">
              <w:rPr>
                <w:rFonts w:ascii="Arial" w:eastAsia="+mn-ea" w:hAnsi="Arial" w:cs="Arial"/>
                <w:color w:val="000000"/>
                <w:sz w:val="20"/>
                <w:szCs w:val="20"/>
              </w:rPr>
              <w:lastRenderedPageBreak/>
              <w:t xml:space="preserve">Protože novou metodikou nelze zpracovat data za mobilních zdroje REZZO 4 a tuhé látky v REZZO 3 do okresů, je graf </w:t>
            </w:r>
            <w:r w:rsidR="007C4D93">
              <w:rPr>
                <w:rFonts w:ascii="Arial" w:eastAsia="+mn-ea" w:hAnsi="Arial" w:cs="Arial"/>
                <w:color w:val="000000"/>
                <w:sz w:val="20"/>
                <w:szCs w:val="20"/>
              </w:rPr>
              <w:t>4.5</w:t>
            </w:r>
            <w:r w:rsidRPr="00DD4E0A">
              <w:rPr>
                <w:rFonts w:ascii="Arial" w:eastAsia="+mn-ea" w:hAnsi="Arial" w:cs="Arial"/>
                <w:color w:val="000000"/>
                <w:sz w:val="20"/>
                <w:szCs w:val="20"/>
              </w:rPr>
              <w:t xml:space="preserve"> zpracován bez těchto údajů. </w:t>
            </w:r>
          </w:p>
          <w:p w:rsidR="00DD4E0A" w:rsidRPr="005A099E" w:rsidRDefault="00DD4E0A" w:rsidP="00A373B2">
            <w:pPr>
              <w:pStyle w:val="Normlnweb"/>
              <w:spacing w:before="60" w:beforeAutospacing="0" w:after="60" w:afterAutospacing="0"/>
              <w:jc w:val="both"/>
              <w:rPr>
                <w:rFonts w:ascii="Arial" w:eastAsia="+mn-ea" w:hAnsi="Arial" w:cs="Arial"/>
                <w:color w:val="000000"/>
                <w:sz w:val="20"/>
                <w:szCs w:val="20"/>
                <w:highlight w:val="yellow"/>
              </w:rPr>
            </w:pPr>
            <w:r w:rsidRPr="00DD4E0A">
              <w:rPr>
                <w:rFonts w:ascii="Arial" w:eastAsia="+mn-ea" w:hAnsi="Arial" w:cs="Arial"/>
                <w:color w:val="000000"/>
                <w:sz w:val="20"/>
                <w:szCs w:val="20"/>
              </w:rPr>
              <w:t xml:space="preserve">Z </w:t>
            </w:r>
            <w:r w:rsidR="00A373B2">
              <w:rPr>
                <w:rFonts w:ascii="Arial" w:eastAsia="+mn-ea" w:hAnsi="Arial" w:cs="Arial"/>
                <w:color w:val="000000"/>
                <w:sz w:val="20"/>
                <w:szCs w:val="20"/>
              </w:rPr>
              <w:t>g</w:t>
            </w:r>
            <w:r w:rsidRPr="00DD4E0A">
              <w:rPr>
                <w:rFonts w:ascii="Arial" w:eastAsia="+mn-ea" w:hAnsi="Arial" w:cs="Arial"/>
                <w:color w:val="000000"/>
                <w:sz w:val="20"/>
                <w:szCs w:val="20"/>
              </w:rPr>
              <w:t xml:space="preserve">rafu </w:t>
            </w:r>
            <w:r w:rsidR="007C4D93">
              <w:rPr>
                <w:rFonts w:ascii="Arial" w:eastAsia="+mn-ea" w:hAnsi="Arial" w:cs="Arial"/>
                <w:color w:val="000000"/>
                <w:sz w:val="20"/>
                <w:szCs w:val="20"/>
              </w:rPr>
              <w:t>4.5</w:t>
            </w:r>
            <w:r w:rsidRPr="00DD4E0A">
              <w:rPr>
                <w:rFonts w:ascii="Arial" w:eastAsia="+mn-ea" w:hAnsi="Arial" w:cs="Arial"/>
                <w:color w:val="000000"/>
                <w:sz w:val="20"/>
                <w:szCs w:val="20"/>
              </w:rPr>
              <w:t xml:space="preserve"> je zřejmé, že nejvyšší znečistění emisemi oxidu siřičitého bylo zjištěno ve zlínském okrese (2,70 t/km</w:t>
            </w:r>
            <w:r w:rsidRPr="007C4D93">
              <w:rPr>
                <w:rFonts w:ascii="Arial" w:eastAsia="+mn-ea" w:hAnsi="Arial" w:cs="Arial"/>
                <w:color w:val="000000"/>
                <w:sz w:val="20"/>
                <w:szCs w:val="20"/>
                <w:vertAlign w:val="superscript"/>
              </w:rPr>
              <w:t>2</w:t>
            </w:r>
            <w:r w:rsidRPr="00DD4E0A">
              <w:rPr>
                <w:rFonts w:ascii="Arial" w:eastAsia="+mn-ea" w:hAnsi="Arial" w:cs="Arial"/>
                <w:color w:val="000000"/>
                <w:sz w:val="20"/>
                <w:szCs w:val="20"/>
              </w:rPr>
              <w:t>/rok v roce 2013, za čtyři roky došlo ke zvýšení o 0,9 %) stejně jako emisemi oxidu dusíku (1,05 t/km</w:t>
            </w:r>
            <w:r w:rsidRPr="007C4D93">
              <w:rPr>
                <w:rFonts w:ascii="Arial" w:eastAsia="+mn-ea" w:hAnsi="Arial" w:cs="Arial"/>
                <w:color w:val="000000"/>
                <w:sz w:val="20"/>
                <w:szCs w:val="20"/>
                <w:vertAlign w:val="superscript"/>
              </w:rPr>
              <w:t>2</w:t>
            </w:r>
            <w:r w:rsidRPr="00DD4E0A">
              <w:rPr>
                <w:rFonts w:ascii="Arial" w:eastAsia="+mn-ea" w:hAnsi="Arial" w:cs="Arial"/>
                <w:color w:val="000000"/>
                <w:sz w:val="20"/>
                <w:szCs w:val="20"/>
              </w:rPr>
              <w:t>/rok v posledním roce sledovaného období, snížení o 4,1 %). Nejvyšší hodnoty tuhých znečisťujících látek (0,27 t/km</w:t>
            </w:r>
            <w:r w:rsidRPr="007C4D93">
              <w:rPr>
                <w:rFonts w:ascii="Arial" w:eastAsia="+mn-ea" w:hAnsi="Arial" w:cs="Arial"/>
                <w:color w:val="000000"/>
                <w:sz w:val="20"/>
                <w:szCs w:val="20"/>
                <w:vertAlign w:val="superscript"/>
              </w:rPr>
              <w:t>2</w:t>
            </w:r>
            <w:r w:rsidRPr="00DD4E0A">
              <w:rPr>
                <w:rFonts w:ascii="Arial" w:eastAsia="+mn-ea" w:hAnsi="Arial" w:cs="Arial"/>
                <w:color w:val="000000"/>
                <w:sz w:val="20"/>
                <w:szCs w:val="20"/>
              </w:rPr>
              <w:t>/rok v roce 2013, nárůst za celé hodnocené období o 7,6 %) a oxidu uhelnatého (5,86 t/km</w:t>
            </w:r>
            <w:r w:rsidRPr="007C4D93">
              <w:rPr>
                <w:rFonts w:ascii="Arial" w:eastAsia="+mn-ea" w:hAnsi="Arial" w:cs="Arial"/>
                <w:color w:val="000000"/>
                <w:sz w:val="20"/>
                <w:szCs w:val="20"/>
                <w:vertAlign w:val="superscript"/>
              </w:rPr>
              <w:t>2</w:t>
            </w:r>
            <w:r w:rsidRPr="00DD4E0A">
              <w:rPr>
                <w:rFonts w:ascii="Arial" w:eastAsia="+mn-ea" w:hAnsi="Arial" w:cs="Arial"/>
                <w:color w:val="000000"/>
                <w:sz w:val="20"/>
                <w:szCs w:val="20"/>
              </w:rPr>
              <w:t>/rok 2013, zvýšení za čtyři roky o 15,0 %) byly naměřeny v okrese Vsetín.</w:t>
            </w:r>
          </w:p>
        </w:tc>
      </w:tr>
      <w:tr w:rsidR="00DD4E0A" w:rsidRPr="005A099E" w:rsidTr="00DD4E0A">
        <w:trPr>
          <w:gridBefore w:val="1"/>
          <w:gridAfter w:val="2"/>
          <w:wBefore w:w="15" w:type="dxa"/>
          <w:wAfter w:w="42" w:type="dxa"/>
        </w:trPr>
        <w:tc>
          <w:tcPr>
            <w:tcW w:w="2411" w:type="dxa"/>
            <w:gridSpan w:val="2"/>
            <w:tcMar>
              <w:left w:w="85" w:type="dxa"/>
              <w:right w:w="85" w:type="dxa"/>
            </w:tcMar>
          </w:tcPr>
          <w:p w:rsidR="00DD4E0A" w:rsidRPr="00DD4E0A" w:rsidRDefault="00DD4E0A" w:rsidP="00DD4E0A">
            <w:pPr>
              <w:spacing w:before="60" w:after="60"/>
              <w:jc w:val="left"/>
              <w:rPr>
                <w:b/>
                <w:i/>
                <w:szCs w:val="20"/>
              </w:rPr>
            </w:pPr>
            <w:r w:rsidRPr="00DD4E0A">
              <w:rPr>
                <w:b/>
                <w:i/>
                <w:szCs w:val="20"/>
              </w:rPr>
              <w:lastRenderedPageBreak/>
              <w:t>Zlínský kraj patří ke krajům se středně znečistěným ovzduším</w:t>
            </w:r>
          </w:p>
        </w:tc>
        <w:tc>
          <w:tcPr>
            <w:tcW w:w="7172" w:type="dxa"/>
            <w:gridSpan w:val="2"/>
            <w:tcMar>
              <w:left w:w="85" w:type="dxa"/>
              <w:right w:w="85" w:type="dxa"/>
            </w:tcMar>
          </w:tcPr>
          <w:p w:rsidR="008C603B" w:rsidRPr="008C603B" w:rsidRDefault="008C603B" w:rsidP="008C603B">
            <w:pPr>
              <w:pStyle w:val="Normlnweb"/>
              <w:spacing w:before="60" w:beforeAutospacing="0" w:after="60" w:afterAutospacing="0"/>
              <w:jc w:val="both"/>
              <w:rPr>
                <w:rFonts w:ascii="Arial" w:eastAsia="+mn-ea" w:hAnsi="Arial" w:cs="Arial"/>
                <w:color w:val="000000"/>
                <w:sz w:val="20"/>
                <w:szCs w:val="20"/>
              </w:rPr>
            </w:pPr>
            <w:r w:rsidRPr="008C603B">
              <w:rPr>
                <w:rFonts w:ascii="Arial" w:eastAsia="+mn-ea" w:hAnsi="Arial" w:cs="Arial"/>
                <w:color w:val="000000"/>
                <w:sz w:val="20"/>
                <w:szCs w:val="20"/>
              </w:rPr>
              <w:t xml:space="preserve">Ve všech čtyřech sledovaných druzích emisí znečisťujících ovzduší (REZZO1-4) dosahovaly zjištěné údaje za Zlínský kraj nižší hodnoty, než činily průměry za celou republiku, a to jak v roce 2013, tak 2009. </w:t>
            </w:r>
          </w:p>
          <w:p w:rsidR="008C603B" w:rsidRPr="008C603B" w:rsidRDefault="008C603B" w:rsidP="008C603B">
            <w:pPr>
              <w:pStyle w:val="Normlnweb"/>
              <w:spacing w:before="60" w:beforeAutospacing="0" w:after="60" w:afterAutospacing="0"/>
              <w:jc w:val="both"/>
              <w:rPr>
                <w:rFonts w:ascii="Arial" w:eastAsia="+mn-ea" w:hAnsi="Arial" w:cs="Arial"/>
                <w:color w:val="000000"/>
                <w:sz w:val="20"/>
                <w:szCs w:val="20"/>
              </w:rPr>
            </w:pPr>
            <w:r w:rsidRPr="008C603B">
              <w:rPr>
                <w:rFonts w:ascii="Arial" w:eastAsia="+mn-ea" w:hAnsi="Arial" w:cs="Arial"/>
                <w:color w:val="000000"/>
                <w:sz w:val="20"/>
                <w:szCs w:val="20"/>
              </w:rPr>
              <w:t>Zlínský kraj se v roce 2013 mezi ostatními umísti</w:t>
            </w:r>
            <w:r w:rsidR="002A64B8">
              <w:rPr>
                <w:rFonts w:ascii="Arial" w:eastAsia="+mn-ea" w:hAnsi="Arial" w:cs="Arial"/>
                <w:color w:val="000000"/>
                <w:sz w:val="20"/>
                <w:szCs w:val="20"/>
              </w:rPr>
              <w:t>l</w:t>
            </w:r>
            <w:r w:rsidRPr="008C603B">
              <w:rPr>
                <w:rFonts w:ascii="Arial" w:eastAsia="+mn-ea" w:hAnsi="Arial" w:cs="Arial"/>
                <w:color w:val="000000"/>
                <w:sz w:val="20"/>
                <w:szCs w:val="20"/>
              </w:rPr>
              <w:t xml:space="preserve"> v emisích tvořených tuhými znečisťujícími látkami na třetím nejlepším místě (v počátečním roce hodnoceného období 2008 se umístil Zlínský kraj na prvním místě - tedy byla zde naměřená nejnižší hodnota těchto emisí mezi kraji). V produkci emisí oxidu siřičitého obsadil kraj v hodnoceném roce 2013 devátou příčku (v roce 2009 7. místo), v oxidu dusíku 6. pozici (stejně jako v roce 2009) a oxidu uhelnatého sedmou příčku (stejně jako v roce 2009). </w:t>
            </w:r>
          </w:p>
          <w:p w:rsidR="00DD4E0A" w:rsidRPr="00DD4E0A" w:rsidRDefault="008C603B" w:rsidP="008C603B">
            <w:pPr>
              <w:pStyle w:val="Normlnweb"/>
              <w:spacing w:before="60" w:beforeAutospacing="0" w:after="60" w:afterAutospacing="0"/>
              <w:jc w:val="both"/>
              <w:rPr>
                <w:rFonts w:ascii="Arial" w:eastAsia="+mn-ea" w:hAnsi="Arial" w:cs="Arial"/>
                <w:color w:val="000000"/>
                <w:sz w:val="20"/>
                <w:szCs w:val="20"/>
              </w:rPr>
            </w:pPr>
            <w:r w:rsidRPr="008C603B">
              <w:rPr>
                <w:rFonts w:ascii="Arial" w:eastAsia="+mn-ea" w:hAnsi="Arial" w:cs="Arial"/>
                <w:color w:val="000000"/>
                <w:sz w:val="20"/>
                <w:szCs w:val="20"/>
              </w:rPr>
              <w:t>Z celorepublikového pohledu se tak Zlínský kraj přesunul ze skupiny krajů s</w:t>
            </w:r>
            <w:r>
              <w:rPr>
                <w:rFonts w:ascii="Arial" w:eastAsia="+mn-ea" w:hAnsi="Arial" w:cs="Arial"/>
                <w:color w:val="000000"/>
                <w:sz w:val="20"/>
                <w:szCs w:val="20"/>
              </w:rPr>
              <w:t> </w:t>
            </w:r>
            <w:r w:rsidRPr="008C603B">
              <w:rPr>
                <w:rFonts w:ascii="Arial" w:eastAsia="+mn-ea" w:hAnsi="Arial" w:cs="Arial"/>
                <w:color w:val="000000"/>
                <w:sz w:val="20"/>
                <w:szCs w:val="20"/>
              </w:rPr>
              <w:t>dobrým ovzduším (v roce 2009 obsadil celkové šesté místo) do skupiny krajů se středně znečistěným ovzduším (v celkovém pořadí se umístil v roce 2013 na osmém místě).  Nejmenší znečistění ovzduší bylo v roce 2009 i 2013 zjištěno v Jihočeském kraji, ve kterém se během čtyř let o jedno místo zhoršily emise oxidu dusíku a emise oxidu siřičitého obsadily, stejně jako v roce 2009, 5. místo. Největší znečistění ovzduší bylo v roce 2013 zjištěno v</w:t>
            </w:r>
            <w:r>
              <w:rPr>
                <w:rFonts w:ascii="Arial" w:eastAsia="+mn-ea" w:hAnsi="Arial" w:cs="Arial"/>
                <w:color w:val="000000"/>
                <w:sz w:val="20"/>
                <w:szCs w:val="20"/>
              </w:rPr>
              <w:t> </w:t>
            </w:r>
            <w:r w:rsidRPr="008C603B">
              <w:rPr>
                <w:rFonts w:ascii="Arial" w:eastAsia="+mn-ea" w:hAnsi="Arial" w:cs="Arial"/>
                <w:color w:val="000000"/>
                <w:sz w:val="20"/>
                <w:szCs w:val="20"/>
              </w:rPr>
              <w:t>Moravskoslezském kraji (v roce 2009 poslední pozici v hodnocení emisí obsadil kraj Hlavní město Praha).</w:t>
            </w:r>
          </w:p>
        </w:tc>
      </w:tr>
    </w:tbl>
    <w:p w:rsidR="004A7607" w:rsidRDefault="004A7607">
      <w:pPr>
        <w:pStyle w:val="text"/>
        <w:sectPr w:rsidR="004A7607" w:rsidSect="004E55DA">
          <w:footnotePr>
            <w:numRestart w:val="eachPage"/>
          </w:footnotePr>
          <w:pgSz w:w="11906" w:h="16838" w:code="9"/>
          <w:pgMar w:top="1134" w:right="1134" w:bottom="1247" w:left="1134" w:header="567" w:footer="709" w:gutter="0"/>
          <w:cols w:space="708" w:equalWidth="0">
            <w:col w:w="9638"/>
          </w:cols>
          <w:titlePg/>
          <w:docGrid w:linePitch="360"/>
        </w:sectPr>
      </w:pPr>
    </w:p>
    <w:tbl>
      <w:tblPr>
        <w:tblW w:w="9610" w:type="dxa"/>
        <w:tblCellMar>
          <w:left w:w="70" w:type="dxa"/>
          <w:right w:w="70" w:type="dxa"/>
        </w:tblCellMar>
        <w:tblLook w:val="0000"/>
      </w:tblPr>
      <w:tblGrid>
        <w:gridCol w:w="2410"/>
        <w:gridCol w:w="7200"/>
      </w:tblGrid>
      <w:tr w:rsidR="00EA7260" w:rsidTr="008A6FE9">
        <w:tc>
          <w:tcPr>
            <w:tcW w:w="2410" w:type="dxa"/>
          </w:tcPr>
          <w:p w:rsidR="00EA7260" w:rsidRPr="00EA7260" w:rsidRDefault="00EA7260" w:rsidP="005726DA">
            <w:pPr>
              <w:spacing w:before="60" w:after="60"/>
              <w:jc w:val="left"/>
              <w:rPr>
                <w:b/>
                <w:i/>
                <w:szCs w:val="20"/>
                <w:u w:val="single"/>
              </w:rPr>
            </w:pPr>
            <w:r w:rsidRPr="005A099E">
              <w:rPr>
                <w:highlight w:val="yellow"/>
              </w:rPr>
              <w:lastRenderedPageBreak/>
              <w:br w:type="page"/>
            </w:r>
            <w:r w:rsidRPr="00EA7260">
              <w:rPr>
                <w:b/>
                <w:i/>
                <w:szCs w:val="20"/>
                <w:u w:val="single"/>
              </w:rPr>
              <w:t>Odpady</w:t>
            </w:r>
          </w:p>
          <w:p w:rsidR="00EA7260" w:rsidRPr="005A099E" w:rsidRDefault="00EA7260" w:rsidP="005726DA">
            <w:pPr>
              <w:pStyle w:val="text"/>
              <w:jc w:val="left"/>
              <w:rPr>
                <w:b/>
                <w:bCs/>
                <w:i/>
                <w:iCs/>
                <w:highlight w:val="yellow"/>
              </w:rPr>
            </w:pPr>
            <w:r w:rsidRPr="00EA7260">
              <w:rPr>
                <w:rFonts w:cs="Arial"/>
                <w:b/>
                <w:i/>
                <w:szCs w:val="20"/>
              </w:rPr>
              <w:t>Produkce podnikového</w:t>
            </w:r>
            <w:r>
              <w:rPr>
                <w:rFonts w:cs="Arial"/>
                <w:b/>
                <w:i/>
                <w:szCs w:val="20"/>
              </w:rPr>
              <w:t xml:space="preserve"> odpadu roste…</w:t>
            </w:r>
          </w:p>
        </w:tc>
        <w:tc>
          <w:tcPr>
            <w:tcW w:w="7200" w:type="dxa"/>
          </w:tcPr>
          <w:p w:rsidR="00EA7260" w:rsidRPr="00156D0A" w:rsidRDefault="00EA7260" w:rsidP="00EA7260">
            <w:pPr>
              <w:spacing w:before="60" w:after="60"/>
              <w:rPr>
                <w:highlight w:val="yellow"/>
              </w:rPr>
            </w:pPr>
            <w:r w:rsidRPr="00AE034C">
              <w:t xml:space="preserve">Nejvýznamnějšími původci odpadů jsou ekonomické subjekty (podniky), jejichž činností vzniklo v roce 2013 přes 863 tis. t odpadu. Ve srovnání s předchozím rokem </w:t>
            </w:r>
            <w:r>
              <w:t>vzrostl objem podnik</w:t>
            </w:r>
            <w:r w:rsidRPr="00AE034C">
              <w:t>ovéh</w:t>
            </w:r>
            <w:r>
              <w:t xml:space="preserve">o odpadu o polovinu (53,0 %). </w:t>
            </w:r>
            <w:r w:rsidRPr="00AE034C">
              <w:t>Nejrychle</w:t>
            </w:r>
            <w:r>
              <w:t>ji rostla produkce odpadů ve st</w:t>
            </w:r>
            <w:r w:rsidRPr="00AE034C">
              <w:t>avebnictví, které se rovněž na celkové produkci podnikového odpadu podílí největším dílem (45,2%).</w:t>
            </w:r>
          </w:p>
        </w:tc>
      </w:tr>
      <w:tr w:rsidR="00EA7260" w:rsidRPr="005A099E" w:rsidTr="008A6FE9">
        <w:tc>
          <w:tcPr>
            <w:tcW w:w="2410" w:type="dxa"/>
          </w:tcPr>
          <w:p w:rsidR="00EA7260" w:rsidRPr="005A099E" w:rsidRDefault="00EA7260" w:rsidP="008A6FE9">
            <w:pPr>
              <w:pStyle w:val="text"/>
              <w:jc w:val="left"/>
              <w:rPr>
                <w:b/>
                <w:bCs/>
                <w:i/>
                <w:iCs/>
                <w:highlight w:val="yellow"/>
              </w:rPr>
            </w:pPr>
            <w:r w:rsidRPr="00A01DD7">
              <w:rPr>
                <w:rFonts w:cs="Arial"/>
                <w:b/>
                <w:i/>
                <w:szCs w:val="20"/>
              </w:rPr>
              <w:t>…komunálního</w:t>
            </w:r>
            <w:r>
              <w:rPr>
                <w:rFonts w:cs="Arial"/>
                <w:b/>
                <w:i/>
                <w:szCs w:val="20"/>
              </w:rPr>
              <w:t xml:space="preserve"> klesá </w:t>
            </w:r>
          </w:p>
        </w:tc>
        <w:tc>
          <w:tcPr>
            <w:tcW w:w="7200" w:type="dxa"/>
          </w:tcPr>
          <w:p w:rsidR="00EA7260" w:rsidRPr="00156D0A" w:rsidRDefault="00EA7260" w:rsidP="00EA7260">
            <w:pPr>
              <w:spacing w:before="60" w:after="60"/>
              <w:rPr>
                <w:highlight w:val="yellow"/>
              </w:rPr>
            </w:pPr>
            <w:r w:rsidRPr="009842EB">
              <w:t>Produkce komunálního odpadu</w:t>
            </w:r>
            <w:r>
              <w:t xml:space="preserve"> </w:t>
            </w:r>
            <w:r w:rsidRPr="009842EB">
              <w:t>meziročně kles</w:t>
            </w:r>
            <w:r>
              <w:t>la o 1,3 %, tedy o více než 2,3 </w:t>
            </w:r>
            <w:r w:rsidRPr="009842EB">
              <w:t xml:space="preserve">tis. </w:t>
            </w:r>
            <w:proofErr w:type="spellStart"/>
            <w:r w:rsidRPr="009842EB">
              <w:t>t</w:t>
            </w:r>
            <w:proofErr w:type="spellEnd"/>
            <w:r w:rsidRPr="009842EB">
              <w:t>. V roce 2014 byla produkce 174,4 tis. t, v přepočtu na obyvatele 297,3</w:t>
            </w:r>
            <w:r>
              <w:t xml:space="preserve"> kg, </w:t>
            </w:r>
            <w:r w:rsidRPr="009842EB">
              <w:t>o 10 kg méně než je průměr na republikové úrovni. Zhruba 60 % produkce tvořil běžný svoz (odpad z popelnic, z kontejnerů nebo svozových pytlů). Další významnou složkou byl tříděný odpad (sklo, papír, plasty), který představoval 17,4 %</w:t>
            </w:r>
            <w:r>
              <w:t>,</w:t>
            </w:r>
            <w:r w:rsidR="008B452E">
              <w:t xml:space="preserve"> </w:t>
            </w:r>
            <w:r w:rsidRPr="009842EB">
              <w:t>na objemný odpad</w:t>
            </w:r>
            <w:r>
              <w:t xml:space="preserve"> </w:t>
            </w:r>
            <w:r w:rsidRPr="009842EB">
              <w:t xml:space="preserve">připadlo </w:t>
            </w:r>
            <w:r>
              <w:t>11,0 %</w:t>
            </w:r>
            <w:r w:rsidRPr="009842EB">
              <w:t>.</w:t>
            </w:r>
          </w:p>
        </w:tc>
      </w:tr>
    </w:tbl>
    <w:p w:rsidR="00E67E25" w:rsidRPr="005A099E" w:rsidRDefault="00E67E25" w:rsidP="008A6FE9">
      <w:pPr>
        <w:pStyle w:val="text"/>
        <w:jc w:val="left"/>
        <w:rPr>
          <w:b/>
          <w:i/>
          <w:szCs w:val="20"/>
          <w:highlight w:val="yellow"/>
        </w:rPr>
        <w:sectPr w:rsidR="00E67E25" w:rsidRPr="005A099E" w:rsidSect="004A7607">
          <w:footnotePr>
            <w:numRestart w:val="eachPage"/>
          </w:footnotePr>
          <w:type w:val="continuous"/>
          <w:pgSz w:w="11906" w:h="16838" w:code="9"/>
          <w:pgMar w:top="1134" w:right="1134" w:bottom="1247" w:left="1134" w:header="567" w:footer="709" w:gutter="0"/>
          <w:cols w:space="708" w:equalWidth="0">
            <w:col w:w="9638"/>
          </w:cols>
          <w:titlePg/>
          <w:docGrid w:linePitch="360"/>
        </w:sectPr>
      </w:pPr>
    </w:p>
    <w:tbl>
      <w:tblPr>
        <w:tblW w:w="9626" w:type="dxa"/>
        <w:tblInd w:w="-15" w:type="dxa"/>
        <w:tblLayout w:type="fixed"/>
        <w:tblCellMar>
          <w:left w:w="70" w:type="dxa"/>
          <w:right w:w="70" w:type="dxa"/>
        </w:tblCellMar>
        <w:tblLook w:val="0000"/>
      </w:tblPr>
      <w:tblGrid>
        <w:gridCol w:w="15"/>
        <w:gridCol w:w="2428"/>
        <w:gridCol w:w="7140"/>
        <w:gridCol w:w="43"/>
      </w:tblGrid>
      <w:tr w:rsidR="00EA7260" w:rsidRPr="005A099E" w:rsidTr="00EA7260">
        <w:trPr>
          <w:gridBefore w:val="1"/>
          <w:wBefore w:w="15" w:type="dxa"/>
        </w:trPr>
        <w:tc>
          <w:tcPr>
            <w:tcW w:w="2428" w:type="dxa"/>
          </w:tcPr>
          <w:p w:rsidR="00EA7260" w:rsidRPr="005A099E" w:rsidRDefault="00EA7260" w:rsidP="008A6FE9">
            <w:pPr>
              <w:pStyle w:val="text"/>
              <w:jc w:val="left"/>
              <w:rPr>
                <w:b/>
                <w:bCs/>
                <w:i/>
                <w:iCs/>
                <w:highlight w:val="yellow"/>
              </w:rPr>
            </w:pPr>
            <w:r>
              <w:rPr>
                <w:rFonts w:cs="Arial"/>
                <w:b/>
                <w:i/>
                <w:szCs w:val="20"/>
              </w:rPr>
              <w:lastRenderedPageBreak/>
              <w:t>Využita čtvrtina objemu odpadů, se kterým bylo nakládáno</w:t>
            </w:r>
          </w:p>
        </w:tc>
        <w:tc>
          <w:tcPr>
            <w:tcW w:w="7183" w:type="dxa"/>
            <w:gridSpan w:val="2"/>
          </w:tcPr>
          <w:p w:rsidR="00EA7260" w:rsidRDefault="00EA7260" w:rsidP="00EA7260">
            <w:pPr>
              <w:spacing w:before="60" w:after="60"/>
            </w:pPr>
            <w:r w:rsidRPr="0015477F">
              <w:t xml:space="preserve">Celkové množství odpadu, se kterým bylo v kraji nakládáno, se v roce 2013 </w:t>
            </w:r>
            <w:proofErr w:type="gramStart"/>
            <w:r w:rsidRPr="0015477F">
              <w:t>zvýšil</w:t>
            </w:r>
            <w:r w:rsidR="008B452E">
              <w:t>o</w:t>
            </w:r>
            <w:proofErr w:type="gramEnd"/>
            <w:r w:rsidRPr="0015477F">
              <w:t xml:space="preserve"> na 1 142 tis. </w:t>
            </w:r>
            <w:proofErr w:type="spellStart"/>
            <w:r w:rsidRPr="0015477F">
              <w:t>t</w:t>
            </w:r>
            <w:proofErr w:type="spellEnd"/>
            <w:r w:rsidRPr="0015477F">
              <w:t xml:space="preserve">. Meziroční zvýšení </w:t>
            </w:r>
            <w:proofErr w:type="gramStart"/>
            <w:r w:rsidRPr="0015477F">
              <w:t>představuje</w:t>
            </w:r>
            <w:proofErr w:type="gramEnd"/>
            <w:r w:rsidRPr="0015477F">
              <w:t xml:space="preserve"> </w:t>
            </w:r>
            <w:r>
              <w:t xml:space="preserve">41,9 </w:t>
            </w:r>
            <w:r w:rsidRPr="0015477F">
              <w:t xml:space="preserve">%, tj. 337 tis. </w:t>
            </w:r>
            <w:proofErr w:type="spellStart"/>
            <w:r w:rsidRPr="0015477F">
              <w:t>t</w:t>
            </w:r>
            <w:proofErr w:type="spellEnd"/>
            <w:r w:rsidRPr="0015477F">
              <w:t>.</w:t>
            </w:r>
            <w:r>
              <w:t xml:space="preserve"> </w:t>
            </w:r>
            <w:r w:rsidRPr="0015477F">
              <w:t>Mírně se snížily objemy odpadu ukládaného na skládky a využitého pro terénní úpravy, více odpadu bylo recyklováno a využito k výrobě energie.</w:t>
            </w:r>
            <w:r w:rsidRPr="00566B35">
              <w:t xml:space="preserve"> Množství uskladněného odpadu zůstalo na úrovni předchozího roku. Objem nebezpečného odpadu v kraji se na celkovém objemu odpadu, se kterým bylo během roku nakládáno, podílel 11,2</w:t>
            </w:r>
            <w:r>
              <w:t xml:space="preserve"> %.</w:t>
            </w:r>
          </w:p>
          <w:p w:rsidR="009A6C9E" w:rsidRDefault="009A6C9E" w:rsidP="00EA7260">
            <w:pPr>
              <w:spacing w:before="60" w:after="60"/>
            </w:pPr>
          </w:p>
          <w:p w:rsidR="009A6C9E" w:rsidRDefault="009A6C9E" w:rsidP="00EA7260">
            <w:pPr>
              <w:spacing w:before="60" w:after="60"/>
            </w:pPr>
          </w:p>
          <w:p w:rsidR="009A6C9E" w:rsidRDefault="009A6C9E" w:rsidP="00EA7260">
            <w:pPr>
              <w:spacing w:before="60" w:after="60"/>
            </w:pPr>
          </w:p>
          <w:p w:rsidR="009A6C9E" w:rsidRDefault="009A6C9E" w:rsidP="00EA7260">
            <w:pPr>
              <w:spacing w:before="60" w:after="60"/>
            </w:pPr>
          </w:p>
          <w:p w:rsidR="009A6C9E" w:rsidRDefault="009A6C9E" w:rsidP="00EA7260">
            <w:pPr>
              <w:spacing w:before="60" w:after="60"/>
            </w:pPr>
          </w:p>
          <w:p w:rsidR="009A6C9E" w:rsidRDefault="009A6C9E" w:rsidP="00EA7260">
            <w:pPr>
              <w:spacing w:before="60" w:after="60"/>
            </w:pPr>
          </w:p>
          <w:p w:rsidR="009A6C9E" w:rsidRDefault="009A6C9E" w:rsidP="00EA7260">
            <w:pPr>
              <w:spacing w:before="60" w:after="60"/>
            </w:pPr>
          </w:p>
          <w:p w:rsidR="009A6C9E" w:rsidRDefault="009A6C9E" w:rsidP="00EA7260">
            <w:pPr>
              <w:spacing w:before="60" w:after="60"/>
            </w:pPr>
          </w:p>
          <w:p w:rsidR="009A6C9E" w:rsidRDefault="009A6C9E" w:rsidP="00EA7260">
            <w:pPr>
              <w:spacing w:before="60" w:after="60"/>
            </w:pPr>
          </w:p>
          <w:p w:rsidR="009A6C9E" w:rsidRPr="00E122CB" w:rsidRDefault="009A6C9E" w:rsidP="00EA7260">
            <w:pPr>
              <w:spacing w:before="60" w:after="60"/>
            </w:pPr>
          </w:p>
        </w:tc>
      </w:tr>
      <w:tr w:rsidR="00EA7260" w:rsidRPr="005A099E" w:rsidTr="00EA7260">
        <w:trPr>
          <w:gridAfter w:val="1"/>
          <w:wAfter w:w="43" w:type="dxa"/>
        </w:trPr>
        <w:tc>
          <w:tcPr>
            <w:tcW w:w="9583" w:type="dxa"/>
            <w:gridSpan w:val="3"/>
            <w:tcMar>
              <w:left w:w="85" w:type="dxa"/>
              <w:right w:w="85" w:type="dxa"/>
            </w:tcMar>
          </w:tcPr>
          <w:p w:rsidR="00EA7260" w:rsidRPr="005A099E" w:rsidRDefault="00EE106C" w:rsidP="00EE106C">
            <w:pPr>
              <w:pStyle w:val="Normlnweb"/>
              <w:spacing w:before="60" w:beforeAutospacing="0" w:after="60" w:afterAutospacing="0"/>
              <w:jc w:val="both"/>
              <w:rPr>
                <w:szCs w:val="20"/>
                <w:highlight w:val="yellow"/>
              </w:rPr>
            </w:pPr>
            <w:r>
              <w:rPr>
                <w:rFonts w:ascii="Arial" w:eastAsia="Times New Roman" w:hAnsi="Arial" w:cs="Arial"/>
                <w:b/>
                <w:sz w:val="20"/>
                <w:szCs w:val="20"/>
              </w:rPr>
              <w:lastRenderedPageBreak/>
              <w:t xml:space="preserve">Graf </w:t>
            </w:r>
            <w:r w:rsidR="003232DB">
              <w:rPr>
                <w:rFonts w:ascii="Arial" w:eastAsia="Times New Roman" w:hAnsi="Arial" w:cs="Arial"/>
                <w:b/>
                <w:sz w:val="20"/>
                <w:szCs w:val="20"/>
              </w:rPr>
              <w:t xml:space="preserve">4.6 </w:t>
            </w:r>
            <w:r w:rsidR="00EA7260" w:rsidRPr="00EA7260">
              <w:rPr>
                <w:rFonts w:ascii="Arial" w:eastAsia="Times New Roman" w:hAnsi="Arial" w:cs="Arial"/>
                <w:b/>
                <w:sz w:val="20"/>
                <w:szCs w:val="20"/>
              </w:rPr>
              <w:t>Produkce komunálního odpadu ve Zlínském kraji (v kg/obyvatele)</w:t>
            </w:r>
          </w:p>
        </w:tc>
      </w:tr>
      <w:tr w:rsidR="005726DA" w:rsidRPr="005A099E" w:rsidTr="00EA7260">
        <w:trPr>
          <w:gridBefore w:val="1"/>
          <w:wBefore w:w="15" w:type="dxa"/>
        </w:trPr>
        <w:tc>
          <w:tcPr>
            <w:tcW w:w="9611" w:type="dxa"/>
            <w:gridSpan w:val="3"/>
          </w:tcPr>
          <w:p w:rsidR="005726DA" w:rsidRPr="005A099E" w:rsidRDefault="009956CB" w:rsidP="00EE106C">
            <w:pPr>
              <w:pStyle w:val="text"/>
              <w:jc w:val="center"/>
              <w:rPr>
                <w:highlight w:val="yellow"/>
              </w:rPr>
            </w:pPr>
            <w:r>
              <w:pict>
                <v:shape id="_x0000_i1117" type="#_x0000_t75" style="width:442.5pt;height:168.75pt">
                  <v:imagedata r:id="rId110" o:title=""/>
                </v:shape>
              </w:pict>
            </w:r>
          </w:p>
        </w:tc>
      </w:tr>
      <w:tr w:rsidR="005726DA" w:rsidRPr="005A099E" w:rsidTr="00EA7260">
        <w:trPr>
          <w:gridBefore w:val="1"/>
          <w:wBefore w:w="15" w:type="dxa"/>
        </w:trPr>
        <w:tc>
          <w:tcPr>
            <w:tcW w:w="2428" w:type="dxa"/>
          </w:tcPr>
          <w:p w:rsidR="005726DA" w:rsidRPr="005A099E" w:rsidRDefault="00160D35" w:rsidP="00100064">
            <w:pPr>
              <w:pStyle w:val="text"/>
              <w:jc w:val="left"/>
              <w:rPr>
                <w:b/>
                <w:bCs/>
                <w:i/>
                <w:iCs/>
                <w:highlight w:val="yellow"/>
              </w:rPr>
            </w:pPr>
            <w:r w:rsidRPr="00261E0C">
              <w:rPr>
                <w:b/>
                <w:bCs/>
                <w:i/>
                <w:iCs/>
                <w:szCs w:val="20"/>
              </w:rPr>
              <w:t>Výdaje na ochranu životního prostředí v roce 2013 stouply</w:t>
            </w:r>
          </w:p>
        </w:tc>
        <w:tc>
          <w:tcPr>
            <w:tcW w:w="7183" w:type="dxa"/>
            <w:gridSpan w:val="2"/>
          </w:tcPr>
          <w:p w:rsidR="00160D35" w:rsidRPr="00BE3490" w:rsidRDefault="00160D35" w:rsidP="00160D35">
            <w:pPr>
              <w:pStyle w:val="Default"/>
              <w:spacing w:before="60" w:after="60"/>
              <w:jc w:val="both"/>
              <w:rPr>
                <w:color w:val="auto"/>
                <w:sz w:val="20"/>
                <w:szCs w:val="20"/>
              </w:rPr>
            </w:pPr>
            <w:r w:rsidRPr="00BE3490">
              <w:rPr>
                <w:color w:val="auto"/>
                <w:sz w:val="20"/>
                <w:szCs w:val="20"/>
              </w:rPr>
              <w:t>Investiční náklady na ochranu životního prostředí podle sídla investora ve Zlínském kraji byly v roce 2010 na nejvyšší úrovni od roku 2009 a tvořily 1 324 905 tis. Kč. Avšak v roce 2011 klesly o 24,4 % na 1 001 264 tis Kč. V roce 2012 mírně vzrostly (o 3,1 %) a dosáhly výše 1 032 727 tis. Kč. V roce 2013 opět vzrostly a to o 14,2 % na 1 178 390 tis. Kč. Během celého pětiletého období stouply o 24,2 %.</w:t>
            </w:r>
          </w:p>
          <w:p w:rsidR="005726DA" w:rsidRPr="005A099E" w:rsidRDefault="00160D35" w:rsidP="002A64B8">
            <w:pPr>
              <w:pStyle w:val="text"/>
              <w:rPr>
                <w:highlight w:val="yellow"/>
              </w:rPr>
            </w:pPr>
            <w:r w:rsidRPr="008B71C5">
              <w:rPr>
                <w:szCs w:val="20"/>
              </w:rPr>
              <w:t>V rámci investičních aktivit si nejvýznamnější roli udržuje oblast nakládání s</w:t>
            </w:r>
            <w:r w:rsidR="002A64B8">
              <w:rPr>
                <w:szCs w:val="20"/>
              </w:rPr>
              <w:t> </w:t>
            </w:r>
            <w:r w:rsidRPr="008B71C5">
              <w:rPr>
                <w:szCs w:val="20"/>
              </w:rPr>
              <w:t>odpadními vodami, kam byla v roce 2013 investována více jak jedna třetina z</w:t>
            </w:r>
            <w:r w:rsidR="002A64B8">
              <w:rPr>
                <w:szCs w:val="20"/>
              </w:rPr>
              <w:t> </w:t>
            </w:r>
            <w:r w:rsidRPr="008B71C5">
              <w:rPr>
                <w:szCs w:val="20"/>
              </w:rPr>
              <w:t>celkových prostředků. Další významnou aktivitou byly investice v oblasti ochrany ovzduší a klimatu, které tvořily v roce 2013  23,8 %.</w:t>
            </w:r>
          </w:p>
        </w:tc>
      </w:tr>
      <w:tr w:rsidR="00A05C7A" w:rsidRPr="005A099E" w:rsidTr="00EA7260">
        <w:trPr>
          <w:gridBefore w:val="1"/>
          <w:wBefore w:w="15" w:type="dxa"/>
        </w:trPr>
        <w:tc>
          <w:tcPr>
            <w:tcW w:w="2428" w:type="dxa"/>
          </w:tcPr>
          <w:p w:rsidR="00A05C7A" w:rsidRPr="002A53D0" w:rsidRDefault="00A05C7A" w:rsidP="00BA0F5F">
            <w:pPr>
              <w:pStyle w:val="Default"/>
              <w:spacing w:before="60"/>
              <w:rPr>
                <w:b/>
                <w:bCs/>
                <w:i/>
                <w:iCs/>
                <w:color w:val="auto"/>
                <w:sz w:val="20"/>
                <w:szCs w:val="20"/>
                <w:highlight w:val="yellow"/>
              </w:rPr>
            </w:pPr>
            <w:r w:rsidRPr="00D66F40">
              <w:rPr>
                <w:b/>
                <w:bCs/>
                <w:i/>
                <w:iCs/>
                <w:color w:val="auto"/>
                <w:sz w:val="20"/>
                <w:szCs w:val="20"/>
              </w:rPr>
              <w:t>Ve výdajích na ochranu životního prostředí převažují neinvestiční náklady</w:t>
            </w:r>
          </w:p>
        </w:tc>
        <w:tc>
          <w:tcPr>
            <w:tcW w:w="7183" w:type="dxa"/>
            <w:gridSpan w:val="2"/>
          </w:tcPr>
          <w:p w:rsidR="00A05C7A" w:rsidRPr="002A53D0" w:rsidRDefault="00A05C7A" w:rsidP="00BA0F5F">
            <w:pPr>
              <w:pStyle w:val="Default"/>
              <w:spacing w:before="60" w:after="60"/>
              <w:jc w:val="both"/>
              <w:rPr>
                <w:color w:val="auto"/>
                <w:sz w:val="20"/>
                <w:szCs w:val="20"/>
                <w:highlight w:val="yellow"/>
              </w:rPr>
            </w:pPr>
            <w:r w:rsidRPr="00566AC6">
              <w:rPr>
                <w:color w:val="auto"/>
                <w:sz w:val="20"/>
                <w:szCs w:val="20"/>
              </w:rPr>
              <w:t xml:space="preserve">Objem neinvestičních nákladů investorů se sídlem v kraji v roce 2013 meziročně mírně stoupl. V celém pětiletém období došlo k nárůstu a to o </w:t>
            </w:r>
            <w:r w:rsidRPr="00443E22">
              <w:rPr>
                <w:color w:val="auto"/>
                <w:sz w:val="20"/>
                <w:szCs w:val="20"/>
              </w:rPr>
              <w:t xml:space="preserve">10,2 %. Rozložení podle druhu je v posledních letech v celku stálé. V roce 2013 bezmála 70 % připadlo na nakládání s odpady, 22,3 % na nakládání s odpadními vodami a 6,2 % na ochranu ovzduší a klimatu.      </w:t>
            </w:r>
          </w:p>
        </w:tc>
      </w:tr>
      <w:tr w:rsidR="00E73E50" w:rsidTr="00EA7260">
        <w:trPr>
          <w:gridBefore w:val="1"/>
          <w:wBefore w:w="15" w:type="dxa"/>
        </w:trPr>
        <w:tc>
          <w:tcPr>
            <w:tcW w:w="9611" w:type="dxa"/>
            <w:gridSpan w:val="3"/>
          </w:tcPr>
          <w:p w:rsidR="00E73E50" w:rsidRDefault="009956CB" w:rsidP="00F20360">
            <w:pPr>
              <w:pStyle w:val="text"/>
              <w:jc w:val="center"/>
            </w:pPr>
            <w:r w:rsidRPr="00286EFA">
              <w:rPr>
                <w:highlight w:val="yellow"/>
              </w:rPr>
              <w:pict>
                <v:shape id="_x0000_i1118" type="#_x0000_t75" style="width:473.25pt;height:334.5pt">
                  <v:imagedata r:id="rId111" o:title="investice_2013"/>
                </v:shape>
              </w:pict>
            </w:r>
          </w:p>
        </w:tc>
      </w:tr>
    </w:tbl>
    <w:p w:rsidR="0017742A" w:rsidRDefault="005726DA">
      <w:pPr>
        <w:pStyle w:val="text"/>
      </w:pPr>
      <w:r>
        <w:br w:type="page"/>
      </w:r>
      <w:r w:rsidR="00286EFA">
        <w:lastRenderedPageBreak/>
        <w:pict>
          <v:shape id="_x0000_i1119" type="#_x0000_t75" style="width:441pt;height:722.25pt">
            <v:imagedata r:id="rId112" o:title=""/>
          </v:shape>
        </w:pict>
      </w:r>
    </w:p>
    <w:p w:rsidR="0023185E" w:rsidRDefault="009956CB">
      <w:pPr>
        <w:pStyle w:val="text"/>
      </w:pPr>
      <w:r>
        <w:lastRenderedPageBreak/>
        <w:pict>
          <v:shape id="_x0000_i1120" type="#_x0000_t75" style="width:441pt;height:722.25pt">
            <v:imagedata r:id="rId113" o:title=""/>
          </v:shape>
        </w:pict>
      </w:r>
    </w:p>
    <w:p w:rsidR="0023185E" w:rsidRDefault="00286EFA">
      <w:pPr>
        <w:pStyle w:val="text"/>
      </w:pPr>
      <w:r>
        <w:lastRenderedPageBreak/>
        <w:pict>
          <v:shape id="_x0000_i1121" type="#_x0000_t75" style="width:444.75pt;height:722.25pt">
            <v:imagedata r:id="rId114" o:title=""/>
          </v:shape>
        </w:pict>
      </w:r>
    </w:p>
    <w:p w:rsidR="00403BBD" w:rsidRDefault="00286EFA">
      <w:pPr>
        <w:pStyle w:val="text"/>
      </w:pPr>
      <w:r>
        <w:lastRenderedPageBreak/>
        <w:pict>
          <v:shape id="_x0000_i1122" type="#_x0000_t75" style="width:438.75pt;height:722.25pt">
            <v:imagedata r:id="rId115" o:title=""/>
          </v:shape>
        </w:pict>
      </w:r>
      <w:r w:rsidR="00155F49">
        <w:br w:type="page"/>
      </w:r>
      <w:r>
        <w:lastRenderedPageBreak/>
        <w:pict>
          <v:shape id="_x0000_i1123" type="#_x0000_t75" style="width:450.75pt;height:708pt">
            <v:imagedata r:id="rId116" o:title=""/>
          </v:shape>
        </w:pict>
      </w:r>
    </w:p>
    <w:p w:rsidR="00403BBD" w:rsidRDefault="00403BBD">
      <w:pPr>
        <w:pStyle w:val="text"/>
      </w:pPr>
      <w:r>
        <w:br w:type="page"/>
      </w:r>
      <w:r w:rsidR="009956CB">
        <w:lastRenderedPageBreak/>
        <w:pict>
          <v:shape id="_x0000_i1124" type="#_x0000_t75" style="width:460.5pt;height:722.25pt">
            <v:imagedata r:id="rId117" o:title=""/>
          </v:shape>
        </w:pict>
      </w:r>
    </w:p>
    <w:p w:rsidR="00BB68DA" w:rsidRDefault="009956CB">
      <w:pPr>
        <w:pStyle w:val="text"/>
      </w:pPr>
      <w:r>
        <w:lastRenderedPageBreak/>
        <w:pict>
          <v:shape id="_x0000_i1125" type="#_x0000_t75" style="width:468pt;height:705.75pt">
            <v:imagedata r:id="rId118" o:title=""/>
          </v:shape>
        </w:pict>
      </w:r>
    </w:p>
    <w:p w:rsidR="001A12D7" w:rsidRDefault="009671C9">
      <w:pPr>
        <w:pStyle w:val="text"/>
      </w:pPr>
      <w:r>
        <w:br w:type="page"/>
      </w:r>
      <w:r w:rsidR="009956CB">
        <w:lastRenderedPageBreak/>
        <w:pict>
          <v:shape id="_x0000_i1126" type="#_x0000_t75" style="width:474pt;height:656.25pt">
            <v:imagedata r:id="rId119" o:title=""/>
          </v:shape>
        </w:pict>
      </w:r>
    </w:p>
    <w:p w:rsidR="00BB68DA" w:rsidRDefault="00BB68DA">
      <w:pPr>
        <w:pStyle w:val="text"/>
      </w:pPr>
    </w:p>
    <w:p w:rsidR="00B34CF9" w:rsidRDefault="001A12D7">
      <w:pPr>
        <w:pStyle w:val="text"/>
      </w:pPr>
      <w:r>
        <w:br w:type="page"/>
      </w:r>
      <w:r w:rsidR="00286EFA">
        <w:lastRenderedPageBreak/>
        <w:pict>
          <v:shape id="_x0000_i1127" type="#_x0000_t75" style="width:439.5pt;height:722.25pt">
            <v:imagedata r:id="rId120" o:title=""/>
          </v:shape>
        </w:pict>
      </w:r>
    </w:p>
    <w:p w:rsidR="00BE08BE" w:rsidRDefault="00286EFA">
      <w:pPr>
        <w:pStyle w:val="text"/>
      </w:pPr>
      <w:r>
        <w:lastRenderedPageBreak/>
        <w:pict>
          <v:shape id="_x0000_i1128" type="#_x0000_t75" style="width:459pt;height:722.25pt">
            <v:imagedata r:id="rId121" o:title=""/>
          </v:shape>
        </w:pict>
      </w:r>
      <w:r w:rsidR="00B34CF9">
        <w:br w:type="page"/>
      </w:r>
      <w:r>
        <w:lastRenderedPageBreak/>
        <w:pict>
          <v:shape id="_x0000_i1129" type="#_x0000_t75" style="width:468.75pt;height:654.75pt">
            <v:imagedata r:id="rId122" o:title=""/>
          </v:shape>
        </w:pict>
      </w:r>
    </w:p>
    <w:p w:rsidR="0023185E" w:rsidRDefault="00BE08BE">
      <w:pPr>
        <w:pStyle w:val="text"/>
      </w:pPr>
      <w:r>
        <w:br w:type="page"/>
      </w:r>
      <w:r w:rsidR="009956CB">
        <w:lastRenderedPageBreak/>
        <w:pict>
          <v:shape id="_x0000_i1130" type="#_x0000_t75" style="width:433.5pt;height:723pt">
            <v:imagedata r:id="rId123" o:title=""/>
          </v:shape>
        </w:pict>
      </w:r>
    </w:p>
    <w:sectPr w:rsidR="0023185E" w:rsidSect="00E67E25">
      <w:footnotePr>
        <w:numRestart w:val="eachPage"/>
      </w:footnotePr>
      <w:type w:val="continuous"/>
      <w:pgSz w:w="11906" w:h="16838" w:code="9"/>
      <w:pgMar w:top="1134" w:right="1134" w:bottom="1247" w:left="1134" w:header="567" w:footer="709" w:gutter="0"/>
      <w:cols w:space="708" w:equalWidth="0">
        <w:col w:w="9638"/>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6CB" w:rsidRDefault="009956CB">
      <w:r>
        <w:separator/>
      </w:r>
    </w:p>
  </w:endnote>
  <w:endnote w:type="continuationSeparator" w:id="0">
    <w:p w:rsidR="009956CB" w:rsidRDefault="009956C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T7059o00">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framePr w:wrap="around" w:vAnchor="text" w:hAnchor="margin" w:xAlign="outside" w:y="1"/>
      <w:rPr>
        <w:rFonts w:cs="Arial"/>
        <w:sz w:val="16"/>
      </w:rPr>
    </w:pPr>
    <w:r>
      <w:rPr>
        <w:rFonts w:cs="Arial"/>
        <w:sz w:val="16"/>
      </w:rPr>
      <w:fldChar w:fldCharType="begin"/>
    </w:r>
    <w:r>
      <w:rPr>
        <w:rFonts w:cs="Arial"/>
        <w:sz w:val="16"/>
      </w:rPr>
      <w:instrText xml:space="preserve">PAGE  </w:instrText>
    </w:r>
    <w:r>
      <w:rPr>
        <w:rFonts w:cs="Arial"/>
        <w:sz w:val="16"/>
      </w:rPr>
      <w:fldChar w:fldCharType="separate"/>
    </w:r>
    <w:r>
      <w:rPr>
        <w:rFonts w:cs="Arial"/>
        <w:noProof/>
        <w:sz w:val="16"/>
      </w:rPr>
      <w:t>2</w:t>
    </w:r>
    <w:r>
      <w:rPr>
        <w:rFonts w:cs="Arial"/>
        <w:sz w:val="16"/>
      </w:rPr>
      <w:fldChar w:fldCharType="end"/>
    </w:r>
  </w:p>
  <w:p w:rsidR="009956CB" w:rsidRDefault="009956CB">
    <w:pPr>
      <w:pStyle w:val="Rbntext"/>
      <w:ind w:right="360" w:firstLine="360"/>
      <w:jc w:val="center"/>
      <w:rPr>
        <w:sz w:val="16"/>
      </w:rPr>
    </w:pPr>
    <w:r>
      <w:rPr>
        <w:sz w:val="16"/>
      </w:rPr>
      <w:t xml:space="preserve">Základní tendence demografického, sociálního a ekonomického vývoje </w:t>
    </w:r>
    <w:r>
      <w:rPr>
        <w:color w:val="FF0000"/>
        <w:sz w:val="16"/>
      </w:rPr>
      <w:t xml:space="preserve">Královéhradeckého </w:t>
    </w:r>
    <w:r>
      <w:rPr>
        <w:sz w:val="16"/>
      </w:rPr>
      <w:t>kraje v roce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tabs>
        <w:tab w:val="left" w:pos="2940"/>
        <w:tab w:val="center" w:pos="4818"/>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framePr w:wrap="around" w:vAnchor="text" w:hAnchor="margin" w:xAlign="outside" w:y="1"/>
      <w:rPr>
        <w:rFonts w:cs="Arial"/>
        <w:sz w:val="16"/>
      </w:rPr>
    </w:pPr>
    <w:r>
      <w:rPr>
        <w:rFonts w:cs="Arial"/>
        <w:sz w:val="16"/>
      </w:rPr>
      <w:fldChar w:fldCharType="begin"/>
    </w:r>
    <w:r>
      <w:rPr>
        <w:rFonts w:cs="Arial"/>
        <w:sz w:val="16"/>
      </w:rPr>
      <w:instrText xml:space="preserve">PAGE  </w:instrText>
    </w:r>
    <w:r>
      <w:rPr>
        <w:rFonts w:cs="Arial"/>
        <w:sz w:val="16"/>
      </w:rPr>
      <w:fldChar w:fldCharType="separate"/>
    </w:r>
    <w:r>
      <w:rPr>
        <w:rFonts w:cs="Arial"/>
        <w:noProof/>
        <w:sz w:val="16"/>
      </w:rPr>
      <w:t>4</w:t>
    </w:r>
    <w:r>
      <w:rPr>
        <w:rFonts w:cs="Arial"/>
        <w:sz w:val="16"/>
      </w:rPr>
      <w:fldChar w:fldCharType="end"/>
    </w:r>
  </w:p>
  <w:p w:rsidR="009956CB" w:rsidRDefault="009956CB">
    <w:pPr>
      <w:tabs>
        <w:tab w:val="left" w:pos="2940"/>
        <w:tab w:val="center" w:pos="4818"/>
      </w:tabs>
      <w:ind w:right="360" w:firstLine="360"/>
      <w:jc w:val="center"/>
    </w:pPr>
    <w:r>
      <w:rPr>
        <w:sz w:val="16"/>
      </w:rPr>
      <w:t xml:space="preserve">Základní tendence demografického, sociálního a ekonomického vývoje </w:t>
    </w:r>
    <w:r>
      <w:rPr>
        <w:color w:val="FF0000"/>
        <w:sz w:val="16"/>
      </w:rPr>
      <w:t xml:space="preserve">Jihočeského </w:t>
    </w:r>
    <w:r>
      <w:rPr>
        <w:sz w:val="16"/>
      </w:rPr>
      <w:t>kraje v roce 2010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tabs>
        <w:tab w:val="left" w:pos="2940"/>
        <w:tab w:val="center" w:pos="4818"/>
      </w:tabs>
      <w:ind w:right="360" w:firstLine="360"/>
      <w:rPr>
        <w:sz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pStyle w:val="Zpat"/>
      <w:framePr w:wrap="around" w:vAnchor="text" w:hAnchor="margin" w:xAlign="outside" w:y="1"/>
      <w:rPr>
        <w:rStyle w:val="slostrnky"/>
      </w:rPr>
    </w:pPr>
    <w:r>
      <w:rPr>
        <w:rStyle w:val="slostrnky"/>
      </w:rPr>
      <w:fldChar w:fldCharType="begin"/>
    </w:r>
    <w:r>
      <w:rPr>
        <w:rStyle w:val="slostrnky"/>
      </w:rPr>
      <w:instrText xml:space="preserve">PAGE  </w:instrText>
    </w:r>
    <w:r>
      <w:rPr>
        <w:rStyle w:val="slostrnky"/>
      </w:rPr>
      <w:fldChar w:fldCharType="end"/>
    </w:r>
  </w:p>
  <w:p w:rsidR="009956CB" w:rsidRDefault="009956CB">
    <w:pPr>
      <w:pStyle w:val="Zpat"/>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pStyle w:val="Zpat"/>
      <w:framePr w:wrap="around" w:vAnchor="text" w:hAnchor="margin" w:xAlign="outside" w:y="1"/>
      <w:rPr>
        <w:rStyle w:val="slostrnky"/>
        <w:sz w:val="16"/>
      </w:rPr>
    </w:pPr>
    <w:r>
      <w:rPr>
        <w:rStyle w:val="slostrnky"/>
        <w:sz w:val="16"/>
      </w:rPr>
      <w:fldChar w:fldCharType="begin"/>
    </w:r>
    <w:r>
      <w:rPr>
        <w:rStyle w:val="slostrnky"/>
        <w:sz w:val="16"/>
      </w:rPr>
      <w:instrText xml:space="preserve">PAGE  </w:instrText>
    </w:r>
    <w:r>
      <w:rPr>
        <w:rStyle w:val="slostrnky"/>
        <w:sz w:val="16"/>
      </w:rPr>
      <w:fldChar w:fldCharType="separate"/>
    </w:r>
    <w:r w:rsidR="00A373B2">
      <w:rPr>
        <w:rStyle w:val="slostrnky"/>
        <w:noProof/>
        <w:sz w:val="16"/>
      </w:rPr>
      <w:t>65</w:t>
    </w:r>
    <w:r>
      <w:rPr>
        <w:rStyle w:val="slostrnky"/>
        <w:sz w:val="16"/>
      </w:rPr>
      <w:fldChar w:fldCharType="end"/>
    </w:r>
  </w:p>
  <w:p w:rsidR="009956CB" w:rsidRDefault="009956CB">
    <w:pPr>
      <w:pStyle w:val="Rbntext"/>
      <w:ind w:right="360" w:firstLine="360"/>
      <w:jc w:val="center"/>
      <w:rPr>
        <w:rStyle w:val="slostrnky"/>
        <w:sz w:val="16"/>
      </w:rPr>
    </w:pPr>
    <w:r>
      <w:rPr>
        <w:sz w:val="16"/>
      </w:rPr>
      <w:t xml:space="preserve">Základní tendence demografického, sociálního a ekonomického vývoje </w:t>
    </w:r>
    <w:r w:rsidRPr="00354B23">
      <w:rPr>
        <w:color w:val="000000" w:themeColor="text1"/>
        <w:sz w:val="16"/>
      </w:rPr>
      <w:t>Zlínského</w:t>
    </w:r>
    <w:r>
      <w:rPr>
        <w:color w:val="FF0000"/>
        <w:sz w:val="16"/>
      </w:rPr>
      <w:t xml:space="preserve"> </w:t>
    </w:r>
    <w:r>
      <w:rPr>
        <w:sz w:val="16"/>
      </w:rPr>
      <w:t>kraje v roce 2014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pStyle w:val="Zpat"/>
      <w:framePr w:wrap="around" w:vAnchor="text" w:hAnchor="margin" w:xAlign="outside" w:y="1"/>
      <w:rPr>
        <w:rStyle w:val="slostrnky"/>
        <w:sz w:val="16"/>
      </w:rPr>
    </w:pPr>
    <w:r>
      <w:rPr>
        <w:rStyle w:val="slostrnky"/>
        <w:sz w:val="16"/>
      </w:rPr>
      <w:fldChar w:fldCharType="begin"/>
    </w:r>
    <w:r>
      <w:rPr>
        <w:rStyle w:val="slostrnky"/>
        <w:sz w:val="16"/>
      </w:rPr>
      <w:instrText xml:space="preserve">PAGE  </w:instrText>
    </w:r>
    <w:r>
      <w:rPr>
        <w:rStyle w:val="slostrnky"/>
        <w:sz w:val="16"/>
      </w:rPr>
      <w:fldChar w:fldCharType="separate"/>
    </w:r>
    <w:r>
      <w:rPr>
        <w:rStyle w:val="slostrnky"/>
        <w:noProof/>
        <w:sz w:val="16"/>
      </w:rPr>
      <w:t>3</w:t>
    </w:r>
    <w:r>
      <w:rPr>
        <w:rStyle w:val="slostrnky"/>
        <w:sz w:val="16"/>
      </w:rPr>
      <w:fldChar w:fldCharType="end"/>
    </w:r>
  </w:p>
  <w:p w:rsidR="009956CB" w:rsidRDefault="009956CB">
    <w:pPr>
      <w:pStyle w:val="Rbntext"/>
      <w:ind w:right="360" w:firstLine="360"/>
      <w:jc w:val="center"/>
    </w:pPr>
    <w:r>
      <w:rPr>
        <w:sz w:val="16"/>
      </w:rPr>
      <w:t xml:space="preserve">Základní tendence demografického, sociálního a ekonomického vývoje </w:t>
    </w:r>
    <w:r>
      <w:rPr>
        <w:color w:val="FF0000"/>
        <w:sz w:val="16"/>
      </w:rPr>
      <w:t xml:space="preserve">Královéhradeckého </w:t>
    </w:r>
    <w:r>
      <w:rPr>
        <w:sz w:val="16"/>
      </w:rPr>
      <w:t>kraje v roce 2011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pStyle w:val="Zpat"/>
      <w:framePr w:wrap="around" w:vAnchor="text" w:hAnchor="margin" w:xAlign="outside" w:y="1"/>
      <w:rPr>
        <w:rStyle w:val="slostrnky"/>
        <w:sz w:val="16"/>
      </w:rPr>
    </w:pPr>
    <w:r>
      <w:rPr>
        <w:rStyle w:val="slostrnky"/>
        <w:sz w:val="16"/>
      </w:rPr>
      <w:fldChar w:fldCharType="begin"/>
    </w:r>
    <w:r>
      <w:rPr>
        <w:rStyle w:val="slostrnky"/>
        <w:sz w:val="16"/>
      </w:rPr>
      <w:instrText xml:space="preserve">PAGE  </w:instrText>
    </w:r>
    <w:r>
      <w:rPr>
        <w:rStyle w:val="slostrnky"/>
        <w:sz w:val="16"/>
      </w:rPr>
      <w:fldChar w:fldCharType="separate"/>
    </w:r>
    <w:r>
      <w:rPr>
        <w:rStyle w:val="slostrnky"/>
        <w:noProof/>
        <w:sz w:val="16"/>
      </w:rPr>
      <w:t>60</w:t>
    </w:r>
    <w:r>
      <w:rPr>
        <w:rStyle w:val="slostrnky"/>
        <w:sz w:val="16"/>
      </w:rPr>
      <w:fldChar w:fldCharType="end"/>
    </w:r>
  </w:p>
  <w:p w:rsidR="009956CB" w:rsidRDefault="009956CB">
    <w:pPr>
      <w:pStyle w:val="Rbntext"/>
      <w:ind w:right="360" w:firstLine="360"/>
      <w:jc w:val="center"/>
    </w:pPr>
    <w:r>
      <w:rPr>
        <w:sz w:val="16"/>
      </w:rPr>
      <w:t xml:space="preserve">Základní tendence demografického, sociálního a ekonomického vývoje </w:t>
    </w:r>
    <w:r w:rsidRPr="00791F6E">
      <w:rPr>
        <w:sz w:val="16"/>
      </w:rPr>
      <w:t>Zlínského</w:t>
    </w:r>
    <w:r>
      <w:t xml:space="preserve"> </w:t>
    </w:r>
    <w:r>
      <w:rPr>
        <w:sz w:val="16"/>
      </w:rPr>
      <w:t>kraje v roce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6CB" w:rsidRDefault="009956CB">
      <w:r>
        <w:separator/>
      </w:r>
    </w:p>
  </w:footnote>
  <w:footnote w:type="continuationSeparator" w:id="0">
    <w:p w:rsidR="009956CB" w:rsidRDefault="009956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pStyle w:val="Zhlav"/>
      <w:rPr>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6CB" w:rsidRDefault="009956C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7EFF"/>
    <w:multiLevelType w:val="hybridMultilevel"/>
    <w:tmpl w:val="AA7C0B06"/>
    <w:lvl w:ilvl="0" w:tplc="2AE290FE">
      <w:start w:val="1"/>
      <w:numFmt w:val="decimal"/>
      <w:lvlText w:val="%1."/>
      <w:lvlJc w:val="left"/>
      <w:pPr>
        <w:ind w:left="720" w:hanging="360"/>
      </w:pPr>
      <w:rPr>
        <w:rFonts w:ascii="Arial" w:hAnsi="Arial" w:hint="default"/>
        <w:b/>
        <w:i w:val="0"/>
        <w:kern w:val="32"/>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C55E64"/>
    <w:multiLevelType w:val="hybridMultilevel"/>
    <w:tmpl w:val="FF5E4A34"/>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0A25A79"/>
    <w:multiLevelType w:val="hybridMultilevel"/>
    <w:tmpl w:val="5390109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47C0BAE"/>
    <w:multiLevelType w:val="hybridMultilevel"/>
    <w:tmpl w:val="79A65E2C"/>
    <w:lvl w:ilvl="0" w:tplc="419EA10C">
      <w:start w:val="1"/>
      <w:numFmt w:val="bullet"/>
      <w:lvlText w:val=""/>
      <w:lvlJc w:val="left"/>
      <w:pPr>
        <w:tabs>
          <w:tab w:val="num" w:pos="720"/>
        </w:tabs>
        <w:ind w:left="720" w:hanging="360"/>
      </w:pPr>
      <w:rPr>
        <w:rFonts w:ascii="Symbol" w:hAnsi="Symbol" w:hint="default"/>
        <w:sz w:val="20"/>
      </w:rPr>
    </w:lvl>
    <w:lvl w:ilvl="1" w:tplc="F0DA630A" w:tentative="1">
      <w:start w:val="1"/>
      <w:numFmt w:val="bullet"/>
      <w:lvlText w:val="o"/>
      <w:lvlJc w:val="left"/>
      <w:pPr>
        <w:tabs>
          <w:tab w:val="num" w:pos="1440"/>
        </w:tabs>
        <w:ind w:left="1440" w:hanging="360"/>
      </w:pPr>
      <w:rPr>
        <w:rFonts w:ascii="Courier New" w:hAnsi="Courier New" w:hint="default"/>
        <w:sz w:val="20"/>
      </w:rPr>
    </w:lvl>
    <w:lvl w:ilvl="2" w:tplc="EA543922" w:tentative="1">
      <w:start w:val="1"/>
      <w:numFmt w:val="bullet"/>
      <w:lvlText w:val=""/>
      <w:lvlJc w:val="left"/>
      <w:pPr>
        <w:tabs>
          <w:tab w:val="num" w:pos="2160"/>
        </w:tabs>
        <w:ind w:left="2160" w:hanging="360"/>
      </w:pPr>
      <w:rPr>
        <w:rFonts w:ascii="Wingdings" w:hAnsi="Wingdings" w:hint="default"/>
        <w:sz w:val="20"/>
      </w:rPr>
    </w:lvl>
    <w:lvl w:ilvl="3" w:tplc="61043F6A" w:tentative="1">
      <w:start w:val="1"/>
      <w:numFmt w:val="bullet"/>
      <w:lvlText w:val=""/>
      <w:lvlJc w:val="left"/>
      <w:pPr>
        <w:tabs>
          <w:tab w:val="num" w:pos="2880"/>
        </w:tabs>
        <w:ind w:left="2880" w:hanging="360"/>
      </w:pPr>
      <w:rPr>
        <w:rFonts w:ascii="Wingdings" w:hAnsi="Wingdings" w:hint="default"/>
        <w:sz w:val="20"/>
      </w:rPr>
    </w:lvl>
    <w:lvl w:ilvl="4" w:tplc="1E0AD406" w:tentative="1">
      <w:start w:val="1"/>
      <w:numFmt w:val="bullet"/>
      <w:lvlText w:val=""/>
      <w:lvlJc w:val="left"/>
      <w:pPr>
        <w:tabs>
          <w:tab w:val="num" w:pos="3600"/>
        </w:tabs>
        <w:ind w:left="3600" w:hanging="360"/>
      </w:pPr>
      <w:rPr>
        <w:rFonts w:ascii="Wingdings" w:hAnsi="Wingdings" w:hint="default"/>
        <w:sz w:val="20"/>
      </w:rPr>
    </w:lvl>
    <w:lvl w:ilvl="5" w:tplc="775EBF70" w:tentative="1">
      <w:start w:val="1"/>
      <w:numFmt w:val="bullet"/>
      <w:lvlText w:val=""/>
      <w:lvlJc w:val="left"/>
      <w:pPr>
        <w:tabs>
          <w:tab w:val="num" w:pos="4320"/>
        </w:tabs>
        <w:ind w:left="4320" w:hanging="360"/>
      </w:pPr>
      <w:rPr>
        <w:rFonts w:ascii="Wingdings" w:hAnsi="Wingdings" w:hint="default"/>
        <w:sz w:val="20"/>
      </w:rPr>
    </w:lvl>
    <w:lvl w:ilvl="6" w:tplc="E29862A6" w:tentative="1">
      <w:start w:val="1"/>
      <w:numFmt w:val="bullet"/>
      <w:lvlText w:val=""/>
      <w:lvlJc w:val="left"/>
      <w:pPr>
        <w:tabs>
          <w:tab w:val="num" w:pos="5040"/>
        </w:tabs>
        <w:ind w:left="5040" w:hanging="360"/>
      </w:pPr>
      <w:rPr>
        <w:rFonts w:ascii="Wingdings" w:hAnsi="Wingdings" w:hint="default"/>
        <w:sz w:val="20"/>
      </w:rPr>
    </w:lvl>
    <w:lvl w:ilvl="7" w:tplc="0B32F832" w:tentative="1">
      <w:start w:val="1"/>
      <w:numFmt w:val="bullet"/>
      <w:lvlText w:val=""/>
      <w:lvlJc w:val="left"/>
      <w:pPr>
        <w:tabs>
          <w:tab w:val="num" w:pos="5760"/>
        </w:tabs>
        <w:ind w:left="5760" w:hanging="360"/>
      </w:pPr>
      <w:rPr>
        <w:rFonts w:ascii="Wingdings" w:hAnsi="Wingdings" w:hint="default"/>
        <w:sz w:val="20"/>
      </w:rPr>
    </w:lvl>
    <w:lvl w:ilvl="8" w:tplc="5418B0D6"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F073C"/>
    <w:multiLevelType w:val="hybridMultilevel"/>
    <w:tmpl w:val="710C51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7EB3DEC"/>
    <w:multiLevelType w:val="hybridMultilevel"/>
    <w:tmpl w:val="9D8A5F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6D5643D"/>
    <w:multiLevelType w:val="hybridMultilevel"/>
    <w:tmpl w:val="7FCC1B1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
    <w:nsid w:val="2BCF63C1"/>
    <w:multiLevelType w:val="hybridMultilevel"/>
    <w:tmpl w:val="6C929912"/>
    <w:lvl w:ilvl="0" w:tplc="F3C6A192">
      <w:start w:val="1"/>
      <w:numFmt w:val="bullet"/>
      <w:lvlText w:val=""/>
      <w:lvlJc w:val="left"/>
      <w:pPr>
        <w:tabs>
          <w:tab w:val="num" w:pos="720"/>
        </w:tabs>
        <w:ind w:left="720" w:hanging="360"/>
      </w:pPr>
      <w:rPr>
        <w:rFonts w:ascii="Symbol" w:hAnsi="Symbol" w:hint="default"/>
        <w:sz w:val="20"/>
      </w:rPr>
    </w:lvl>
    <w:lvl w:ilvl="1" w:tplc="CDC0F624" w:tentative="1">
      <w:start w:val="1"/>
      <w:numFmt w:val="bullet"/>
      <w:lvlText w:val="o"/>
      <w:lvlJc w:val="left"/>
      <w:pPr>
        <w:tabs>
          <w:tab w:val="num" w:pos="1440"/>
        </w:tabs>
        <w:ind w:left="1440" w:hanging="360"/>
      </w:pPr>
      <w:rPr>
        <w:rFonts w:ascii="Courier New" w:hAnsi="Courier New" w:hint="default"/>
        <w:sz w:val="20"/>
      </w:rPr>
    </w:lvl>
    <w:lvl w:ilvl="2" w:tplc="699012F4" w:tentative="1">
      <w:start w:val="1"/>
      <w:numFmt w:val="bullet"/>
      <w:lvlText w:val=""/>
      <w:lvlJc w:val="left"/>
      <w:pPr>
        <w:tabs>
          <w:tab w:val="num" w:pos="2160"/>
        </w:tabs>
        <w:ind w:left="2160" w:hanging="360"/>
      </w:pPr>
      <w:rPr>
        <w:rFonts w:ascii="Wingdings" w:hAnsi="Wingdings" w:hint="default"/>
        <w:sz w:val="20"/>
      </w:rPr>
    </w:lvl>
    <w:lvl w:ilvl="3" w:tplc="6D34E08E" w:tentative="1">
      <w:start w:val="1"/>
      <w:numFmt w:val="bullet"/>
      <w:lvlText w:val=""/>
      <w:lvlJc w:val="left"/>
      <w:pPr>
        <w:tabs>
          <w:tab w:val="num" w:pos="2880"/>
        </w:tabs>
        <w:ind w:left="2880" w:hanging="360"/>
      </w:pPr>
      <w:rPr>
        <w:rFonts w:ascii="Wingdings" w:hAnsi="Wingdings" w:hint="default"/>
        <w:sz w:val="20"/>
      </w:rPr>
    </w:lvl>
    <w:lvl w:ilvl="4" w:tplc="4538C5D8" w:tentative="1">
      <w:start w:val="1"/>
      <w:numFmt w:val="bullet"/>
      <w:lvlText w:val=""/>
      <w:lvlJc w:val="left"/>
      <w:pPr>
        <w:tabs>
          <w:tab w:val="num" w:pos="3600"/>
        </w:tabs>
        <w:ind w:left="3600" w:hanging="360"/>
      </w:pPr>
      <w:rPr>
        <w:rFonts w:ascii="Wingdings" w:hAnsi="Wingdings" w:hint="default"/>
        <w:sz w:val="20"/>
      </w:rPr>
    </w:lvl>
    <w:lvl w:ilvl="5" w:tplc="7298A03C" w:tentative="1">
      <w:start w:val="1"/>
      <w:numFmt w:val="bullet"/>
      <w:lvlText w:val=""/>
      <w:lvlJc w:val="left"/>
      <w:pPr>
        <w:tabs>
          <w:tab w:val="num" w:pos="4320"/>
        </w:tabs>
        <w:ind w:left="4320" w:hanging="360"/>
      </w:pPr>
      <w:rPr>
        <w:rFonts w:ascii="Wingdings" w:hAnsi="Wingdings" w:hint="default"/>
        <w:sz w:val="20"/>
      </w:rPr>
    </w:lvl>
    <w:lvl w:ilvl="6" w:tplc="BCF80260" w:tentative="1">
      <w:start w:val="1"/>
      <w:numFmt w:val="bullet"/>
      <w:lvlText w:val=""/>
      <w:lvlJc w:val="left"/>
      <w:pPr>
        <w:tabs>
          <w:tab w:val="num" w:pos="5040"/>
        </w:tabs>
        <w:ind w:left="5040" w:hanging="360"/>
      </w:pPr>
      <w:rPr>
        <w:rFonts w:ascii="Wingdings" w:hAnsi="Wingdings" w:hint="default"/>
        <w:sz w:val="20"/>
      </w:rPr>
    </w:lvl>
    <w:lvl w:ilvl="7" w:tplc="5D944D16" w:tentative="1">
      <w:start w:val="1"/>
      <w:numFmt w:val="bullet"/>
      <w:lvlText w:val=""/>
      <w:lvlJc w:val="left"/>
      <w:pPr>
        <w:tabs>
          <w:tab w:val="num" w:pos="5760"/>
        </w:tabs>
        <w:ind w:left="5760" w:hanging="360"/>
      </w:pPr>
      <w:rPr>
        <w:rFonts w:ascii="Wingdings" w:hAnsi="Wingdings" w:hint="default"/>
        <w:sz w:val="20"/>
      </w:rPr>
    </w:lvl>
    <w:lvl w:ilvl="8" w:tplc="BB542B7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A214C2"/>
    <w:multiLevelType w:val="multilevel"/>
    <w:tmpl w:val="CD7EF4CA"/>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37905F58"/>
    <w:multiLevelType w:val="multilevel"/>
    <w:tmpl w:val="3AD2064C"/>
    <w:lvl w:ilvl="0">
      <w:start w:val="1"/>
      <w:numFmt w:val="decimal"/>
      <w:suff w:val="space"/>
      <w:lvlText w:val="%1."/>
      <w:lvlJc w:val="left"/>
      <w:pPr>
        <w:ind w:left="0" w:firstLine="0"/>
      </w:pPr>
      <w:rPr>
        <w:rFonts w:ascii="Arial" w:hAnsi="Arial" w:hint="default"/>
        <w:b/>
        <w:i w:val="0"/>
        <w:sz w:val="24"/>
      </w:rPr>
    </w:lvl>
    <w:lvl w:ilvl="1">
      <w:start w:val="1"/>
      <w:numFmt w:val="decimal"/>
      <w:suff w:val="space"/>
      <w:lvlText w:val="%1.%2."/>
      <w:lvlJc w:val="left"/>
      <w:pPr>
        <w:ind w:left="624" w:hanging="624"/>
      </w:pPr>
      <w:rPr>
        <w:rFonts w:ascii="Arial" w:hAnsi="Arial" w:hint="default"/>
        <w:b/>
        <w:i w:val="0"/>
        <w:sz w:val="20"/>
      </w:rPr>
    </w:lvl>
    <w:lvl w:ilvl="2">
      <w:start w:val="1"/>
      <w:numFmt w:val="decimal"/>
      <w:suff w:val="space"/>
      <w:lvlText w:val="Tab. %1.%2.%3"/>
      <w:lvlJc w:val="left"/>
      <w:pPr>
        <w:ind w:left="0" w:firstLine="0"/>
      </w:pPr>
      <w:rPr>
        <w:rFonts w:ascii="Arial" w:hAnsi="Arial" w:hint="default"/>
        <w:b/>
        <w:i w:val="0"/>
        <w:sz w:val="20"/>
      </w:rPr>
    </w:lvl>
    <w:lvl w:ilvl="3">
      <w:start w:val="1"/>
      <w:numFmt w:val="decimal"/>
      <w:lvlRestart w:val="0"/>
      <w:suff w:val="space"/>
      <w:lvlText w:val="Graf %4"/>
      <w:lvlJc w:val="left"/>
      <w:pPr>
        <w:ind w:left="0" w:firstLine="0"/>
      </w:pPr>
      <w:rPr>
        <w:rFonts w:ascii="Arial" w:hAnsi="Arial" w:hint="default"/>
        <w:b/>
        <w:i w:val="0"/>
        <w:sz w:val="20"/>
      </w:rPr>
    </w:lvl>
    <w:lvl w:ilvl="4">
      <w:start w:val="1"/>
      <w:numFmt w:val="none"/>
      <w:lvlRestart w:val="2"/>
      <w:suff w:val="space"/>
      <w:lvlText w:val=""/>
      <w:lvlJc w:val="left"/>
      <w:pPr>
        <w:ind w:left="0" w:firstLine="0"/>
      </w:pPr>
      <w:rPr>
        <w:rFonts w:ascii="Arial" w:hAnsi="Arial" w:hint="default"/>
        <w:b/>
        <w:i w:val="0"/>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9356FAB"/>
    <w:multiLevelType w:val="hybridMultilevel"/>
    <w:tmpl w:val="D2D61754"/>
    <w:lvl w:ilvl="0" w:tplc="3904DA1E">
      <w:start w:val="1"/>
      <w:numFmt w:val="decimal"/>
      <w:pStyle w:val="Nadpis1"/>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3B032543"/>
    <w:multiLevelType w:val="hybridMultilevel"/>
    <w:tmpl w:val="59F8FA1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nsid w:val="409F6259"/>
    <w:multiLevelType w:val="multilevel"/>
    <w:tmpl w:val="5F0256E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40C17374"/>
    <w:multiLevelType w:val="hybridMultilevel"/>
    <w:tmpl w:val="997A7FF2"/>
    <w:lvl w:ilvl="0" w:tplc="20B05D32">
      <w:start w:val="1"/>
      <w:numFmt w:val="decimal"/>
      <w:lvlText w:val="%1."/>
      <w:lvlJc w:val="left"/>
      <w:pPr>
        <w:tabs>
          <w:tab w:val="num" w:pos="900"/>
        </w:tabs>
        <w:ind w:left="900" w:hanging="360"/>
      </w:pPr>
      <w:rPr>
        <w:rFonts w:hint="default"/>
      </w:rPr>
    </w:lvl>
    <w:lvl w:ilvl="1" w:tplc="04050019">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5">
    <w:nsid w:val="41BD209C"/>
    <w:multiLevelType w:val="hybridMultilevel"/>
    <w:tmpl w:val="E4F05C56"/>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41C38EB"/>
    <w:multiLevelType w:val="hybridMultilevel"/>
    <w:tmpl w:val="B66E33E6"/>
    <w:lvl w:ilvl="0" w:tplc="44BAFA2A">
      <w:start w:val="1"/>
      <w:numFmt w:val="bullet"/>
      <w:lvlText w:val=""/>
      <w:lvlJc w:val="left"/>
      <w:pPr>
        <w:tabs>
          <w:tab w:val="num" w:pos="720"/>
        </w:tabs>
        <w:ind w:left="720" w:hanging="360"/>
      </w:pPr>
      <w:rPr>
        <w:rFonts w:ascii="Symbol" w:hAnsi="Symbol" w:hint="default"/>
        <w:sz w:val="20"/>
      </w:rPr>
    </w:lvl>
    <w:lvl w:ilvl="1" w:tplc="AB8C9CC0" w:tentative="1">
      <w:start w:val="1"/>
      <w:numFmt w:val="bullet"/>
      <w:lvlText w:val="o"/>
      <w:lvlJc w:val="left"/>
      <w:pPr>
        <w:tabs>
          <w:tab w:val="num" w:pos="1440"/>
        </w:tabs>
        <w:ind w:left="1440" w:hanging="360"/>
      </w:pPr>
      <w:rPr>
        <w:rFonts w:ascii="Courier New" w:hAnsi="Courier New" w:hint="default"/>
        <w:sz w:val="20"/>
      </w:rPr>
    </w:lvl>
    <w:lvl w:ilvl="2" w:tplc="22A43A22" w:tentative="1">
      <w:start w:val="1"/>
      <w:numFmt w:val="bullet"/>
      <w:lvlText w:val=""/>
      <w:lvlJc w:val="left"/>
      <w:pPr>
        <w:tabs>
          <w:tab w:val="num" w:pos="2160"/>
        </w:tabs>
        <w:ind w:left="2160" w:hanging="360"/>
      </w:pPr>
      <w:rPr>
        <w:rFonts w:ascii="Wingdings" w:hAnsi="Wingdings" w:hint="default"/>
        <w:sz w:val="20"/>
      </w:rPr>
    </w:lvl>
    <w:lvl w:ilvl="3" w:tplc="87E86292" w:tentative="1">
      <w:start w:val="1"/>
      <w:numFmt w:val="bullet"/>
      <w:lvlText w:val=""/>
      <w:lvlJc w:val="left"/>
      <w:pPr>
        <w:tabs>
          <w:tab w:val="num" w:pos="2880"/>
        </w:tabs>
        <w:ind w:left="2880" w:hanging="360"/>
      </w:pPr>
      <w:rPr>
        <w:rFonts w:ascii="Wingdings" w:hAnsi="Wingdings" w:hint="default"/>
        <w:sz w:val="20"/>
      </w:rPr>
    </w:lvl>
    <w:lvl w:ilvl="4" w:tplc="F3825436" w:tentative="1">
      <w:start w:val="1"/>
      <w:numFmt w:val="bullet"/>
      <w:lvlText w:val=""/>
      <w:lvlJc w:val="left"/>
      <w:pPr>
        <w:tabs>
          <w:tab w:val="num" w:pos="3600"/>
        </w:tabs>
        <w:ind w:left="3600" w:hanging="360"/>
      </w:pPr>
      <w:rPr>
        <w:rFonts w:ascii="Wingdings" w:hAnsi="Wingdings" w:hint="default"/>
        <w:sz w:val="20"/>
      </w:rPr>
    </w:lvl>
    <w:lvl w:ilvl="5" w:tplc="FF063EDC" w:tentative="1">
      <w:start w:val="1"/>
      <w:numFmt w:val="bullet"/>
      <w:lvlText w:val=""/>
      <w:lvlJc w:val="left"/>
      <w:pPr>
        <w:tabs>
          <w:tab w:val="num" w:pos="4320"/>
        </w:tabs>
        <w:ind w:left="4320" w:hanging="360"/>
      </w:pPr>
      <w:rPr>
        <w:rFonts w:ascii="Wingdings" w:hAnsi="Wingdings" w:hint="default"/>
        <w:sz w:val="20"/>
      </w:rPr>
    </w:lvl>
    <w:lvl w:ilvl="6" w:tplc="E96A3346" w:tentative="1">
      <w:start w:val="1"/>
      <w:numFmt w:val="bullet"/>
      <w:lvlText w:val=""/>
      <w:lvlJc w:val="left"/>
      <w:pPr>
        <w:tabs>
          <w:tab w:val="num" w:pos="5040"/>
        </w:tabs>
        <w:ind w:left="5040" w:hanging="360"/>
      </w:pPr>
      <w:rPr>
        <w:rFonts w:ascii="Wingdings" w:hAnsi="Wingdings" w:hint="default"/>
        <w:sz w:val="20"/>
      </w:rPr>
    </w:lvl>
    <w:lvl w:ilvl="7" w:tplc="8850D67A" w:tentative="1">
      <w:start w:val="1"/>
      <w:numFmt w:val="bullet"/>
      <w:lvlText w:val=""/>
      <w:lvlJc w:val="left"/>
      <w:pPr>
        <w:tabs>
          <w:tab w:val="num" w:pos="5760"/>
        </w:tabs>
        <w:ind w:left="5760" w:hanging="360"/>
      </w:pPr>
      <w:rPr>
        <w:rFonts w:ascii="Wingdings" w:hAnsi="Wingdings" w:hint="default"/>
        <w:sz w:val="20"/>
      </w:rPr>
    </w:lvl>
    <w:lvl w:ilvl="8" w:tplc="9DC89AD0"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6E4C15"/>
    <w:multiLevelType w:val="hybridMultilevel"/>
    <w:tmpl w:val="EC589EEE"/>
    <w:lvl w:ilvl="0" w:tplc="C688D0C4">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4EA675AA"/>
    <w:multiLevelType w:val="hybridMultilevel"/>
    <w:tmpl w:val="EC589EEE"/>
    <w:lvl w:ilvl="0" w:tplc="08227994">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FEC5D64"/>
    <w:multiLevelType w:val="hybridMultilevel"/>
    <w:tmpl w:val="FD5A28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56344518"/>
    <w:multiLevelType w:val="hybridMultilevel"/>
    <w:tmpl w:val="BEF2CDD0"/>
    <w:lvl w:ilvl="0" w:tplc="37647594">
      <w:start w:val="1"/>
      <w:numFmt w:val="bullet"/>
      <w:lvlText w:val=""/>
      <w:lvlJc w:val="left"/>
      <w:pPr>
        <w:tabs>
          <w:tab w:val="num" w:pos="720"/>
        </w:tabs>
        <w:ind w:left="720" w:hanging="360"/>
      </w:pPr>
      <w:rPr>
        <w:rFonts w:ascii="Symbol" w:hAnsi="Symbol" w:hint="default"/>
        <w:sz w:val="20"/>
      </w:rPr>
    </w:lvl>
    <w:lvl w:ilvl="1" w:tplc="3D3211C0" w:tentative="1">
      <w:start w:val="1"/>
      <w:numFmt w:val="bullet"/>
      <w:lvlText w:val="o"/>
      <w:lvlJc w:val="left"/>
      <w:pPr>
        <w:tabs>
          <w:tab w:val="num" w:pos="1440"/>
        </w:tabs>
        <w:ind w:left="1440" w:hanging="360"/>
      </w:pPr>
      <w:rPr>
        <w:rFonts w:ascii="Courier New" w:hAnsi="Courier New" w:hint="default"/>
        <w:sz w:val="20"/>
      </w:rPr>
    </w:lvl>
    <w:lvl w:ilvl="2" w:tplc="2EEC78FE" w:tentative="1">
      <w:start w:val="1"/>
      <w:numFmt w:val="bullet"/>
      <w:lvlText w:val=""/>
      <w:lvlJc w:val="left"/>
      <w:pPr>
        <w:tabs>
          <w:tab w:val="num" w:pos="2160"/>
        </w:tabs>
        <w:ind w:left="2160" w:hanging="360"/>
      </w:pPr>
      <w:rPr>
        <w:rFonts w:ascii="Wingdings" w:hAnsi="Wingdings" w:hint="default"/>
        <w:sz w:val="20"/>
      </w:rPr>
    </w:lvl>
    <w:lvl w:ilvl="3" w:tplc="27880E06" w:tentative="1">
      <w:start w:val="1"/>
      <w:numFmt w:val="bullet"/>
      <w:lvlText w:val=""/>
      <w:lvlJc w:val="left"/>
      <w:pPr>
        <w:tabs>
          <w:tab w:val="num" w:pos="2880"/>
        </w:tabs>
        <w:ind w:left="2880" w:hanging="360"/>
      </w:pPr>
      <w:rPr>
        <w:rFonts w:ascii="Wingdings" w:hAnsi="Wingdings" w:hint="default"/>
        <w:sz w:val="20"/>
      </w:rPr>
    </w:lvl>
    <w:lvl w:ilvl="4" w:tplc="7AB0528A" w:tentative="1">
      <w:start w:val="1"/>
      <w:numFmt w:val="bullet"/>
      <w:lvlText w:val=""/>
      <w:lvlJc w:val="left"/>
      <w:pPr>
        <w:tabs>
          <w:tab w:val="num" w:pos="3600"/>
        </w:tabs>
        <w:ind w:left="3600" w:hanging="360"/>
      </w:pPr>
      <w:rPr>
        <w:rFonts w:ascii="Wingdings" w:hAnsi="Wingdings" w:hint="default"/>
        <w:sz w:val="20"/>
      </w:rPr>
    </w:lvl>
    <w:lvl w:ilvl="5" w:tplc="E35A8B96" w:tentative="1">
      <w:start w:val="1"/>
      <w:numFmt w:val="bullet"/>
      <w:lvlText w:val=""/>
      <w:lvlJc w:val="left"/>
      <w:pPr>
        <w:tabs>
          <w:tab w:val="num" w:pos="4320"/>
        </w:tabs>
        <w:ind w:left="4320" w:hanging="360"/>
      </w:pPr>
      <w:rPr>
        <w:rFonts w:ascii="Wingdings" w:hAnsi="Wingdings" w:hint="default"/>
        <w:sz w:val="20"/>
      </w:rPr>
    </w:lvl>
    <w:lvl w:ilvl="6" w:tplc="8594EFF2" w:tentative="1">
      <w:start w:val="1"/>
      <w:numFmt w:val="bullet"/>
      <w:lvlText w:val=""/>
      <w:lvlJc w:val="left"/>
      <w:pPr>
        <w:tabs>
          <w:tab w:val="num" w:pos="5040"/>
        </w:tabs>
        <w:ind w:left="5040" w:hanging="360"/>
      </w:pPr>
      <w:rPr>
        <w:rFonts w:ascii="Wingdings" w:hAnsi="Wingdings" w:hint="default"/>
        <w:sz w:val="20"/>
      </w:rPr>
    </w:lvl>
    <w:lvl w:ilvl="7" w:tplc="BE80C74C" w:tentative="1">
      <w:start w:val="1"/>
      <w:numFmt w:val="bullet"/>
      <w:lvlText w:val=""/>
      <w:lvlJc w:val="left"/>
      <w:pPr>
        <w:tabs>
          <w:tab w:val="num" w:pos="5760"/>
        </w:tabs>
        <w:ind w:left="5760" w:hanging="360"/>
      </w:pPr>
      <w:rPr>
        <w:rFonts w:ascii="Wingdings" w:hAnsi="Wingdings" w:hint="default"/>
        <w:sz w:val="20"/>
      </w:rPr>
    </w:lvl>
    <w:lvl w:ilvl="8" w:tplc="2F1E01E4"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CB7216"/>
    <w:multiLevelType w:val="hybridMultilevel"/>
    <w:tmpl w:val="EC589EEE"/>
    <w:lvl w:ilvl="0" w:tplc="AF829932">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6AB56198"/>
    <w:multiLevelType w:val="hybridMultilevel"/>
    <w:tmpl w:val="C4128E2A"/>
    <w:lvl w:ilvl="0" w:tplc="6B865C26">
      <w:start w:val="1"/>
      <w:numFmt w:val="bullet"/>
      <w:lvlText w:val=""/>
      <w:lvlJc w:val="left"/>
      <w:pPr>
        <w:tabs>
          <w:tab w:val="num" w:pos="720"/>
        </w:tabs>
        <w:ind w:left="720" w:hanging="360"/>
      </w:pPr>
      <w:rPr>
        <w:rFonts w:ascii="Symbol" w:hAnsi="Symbol" w:hint="default"/>
        <w:sz w:val="20"/>
      </w:rPr>
    </w:lvl>
    <w:lvl w:ilvl="1" w:tplc="93C0A0FA" w:tentative="1">
      <w:start w:val="1"/>
      <w:numFmt w:val="bullet"/>
      <w:lvlText w:val="o"/>
      <w:lvlJc w:val="left"/>
      <w:pPr>
        <w:tabs>
          <w:tab w:val="num" w:pos="1440"/>
        </w:tabs>
        <w:ind w:left="1440" w:hanging="360"/>
      </w:pPr>
      <w:rPr>
        <w:rFonts w:ascii="Courier New" w:hAnsi="Courier New" w:hint="default"/>
        <w:sz w:val="20"/>
      </w:rPr>
    </w:lvl>
    <w:lvl w:ilvl="2" w:tplc="FD5E97B0" w:tentative="1">
      <w:start w:val="1"/>
      <w:numFmt w:val="bullet"/>
      <w:lvlText w:val=""/>
      <w:lvlJc w:val="left"/>
      <w:pPr>
        <w:tabs>
          <w:tab w:val="num" w:pos="2160"/>
        </w:tabs>
        <w:ind w:left="2160" w:hanging="360"/>
      </w:pPr>
      <w:rPr>
        <w:rFonts w:ascii="Wingdings" w:hAnsi="Wingdings" w:hint="default"/>
        <w:sz w:val="20"/>
      </w:rPr>
    </w:lvl>
    <w:lvl w:ilvl="3" w:tplc="E438C352" w:tentative="1">
      <w:start w:val="1"/>
      <w:numFmt w:val="bullet"/>
      <w:lvlText w:val=""/>
      <w:lvlJc w:val="left"/>
      <w:pPr>
        <w:tabs>
          <w:tab w:val="num" w:pos="2880"/>
        </w:tabs>
        <w:ind w:left="2880" w:hanging="360"/>
      </w:pPr>
      <w:rPr>
        <w:rFonts w:ascii="Wingdings" w:hAnsi="Wingdings" w:hint="default"/>
        <w:sz w:val="20"/>
      </w:rPr>
    </w:lvl>
    <w:lvl w:ilvl="4" w:tplc="9872D41C" w:tentative="1">
      <w:start w:val="1"/>
      <w:numFmt w:val="bullet"/>
      <w:lvlText w:val=""/>
      <w:lvlJc w:val="left"/>
      <w:pPr>
        <w:tabs>
          <w:tab w:val="num" w:pos="3600"/>
        </w:tabs>
        <w:ind w:left="3600" w:hanging="360"/>
      </w:pPr>
      <w:rPr>
        <w:rFonts w:ascii="Wingdings" w:hAnsi="Wingdings" w:hint="default"/>
        <w:sz w:val="20"/>
      </w:rPr>
    </w:lvl>
    <w:lvl w:ilvl="5" w:tplc="B6EC0D32" w:tentative="1">
      <w:start w:val="1"/>
      <w:numFmt w:val="bullet"/>
      <w:lvlText w:val=""/>
      <w:lvlJc w:val="left"/>
      <w:pPr>
        <w:tabs>
          <w:tab w:val="num" w:pos="4320"/>
        </w:tabs>
        <w:ind w:left="4320" w:hanging="360"/>
      </w:pPr>
      <w:rPr>
        <w:rFonts w:ascii="Wingdings" w:hAnsi="Wingdings" w:hint="default"/>
        <w:sz w:val="20"/>
      </w:rPr>
    </w:lvl>
    <w:lvl w:ilvl="6" w:tplc="8DAA599C" w:tentative="1">
      <w:start w:val="1"/>
      <w:numFmt w:val="bullet"/>
      <w:lvlText w:val=""/>
      <w:lvlJc w:val="left"/>
      <w:pPr>
        <w:tabs>
          <w:tab w:val="num" w:pos="5040"/>
        </w:tabs>
        <w:ind w:left="5040" w:hanging="360"/>
      </w:pPr>
      <w:rPr>
        <w:rFonts w:ascii="Wingdings" w:hAnsi="Wingdings" w:hint="default"/>
        <w:sz w:val="20"/>
      </w:rPr>
    </w:lvl>
    <w:lvl w:ilvl="7" w:tplc="2ED04AB4" w:tentative="1">
      <w:start w:val="1"/>
      <w:numFmt w:val="bullet"/>
      <w:lvlText w:val=""/>
      <w:lvlJc w:val="left"/>
      <w:pPr>
        <w:tabs>
          <w:tab w:val="num" w:pos="5760"/>
        </w:tabs>
        <w:ind w:left="5760" w:hanging="360"/>
      </w:pPr>
      <w:rPr>
        <w:rFonts w:ascii="Wingdings" w:hAnsi="Wingdings" w:hint="default"/>
        <w:sz w:val="20"/>
      </w:rPr>
    </w:lvl>
    <w:lvl w:ilvl="8" w:tplc="5A48F90E"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D9607B"/>
    <w:multiLevelType w:val="hybridMultilevel"/>
    <w:tmpl w:val="31E6A404"/>
    <w:lvl w:ilvl="0" w:tplc="DC88D7AC">
      <w:start w:val="1"/>
      <w:numFmt w:val="bullet"/>
      <w:lvlText w:val=""/>
      <w:lvlJc w:val="left"/>
      <w:pPr>
        <w:tabs>
          <w:tab w:val="num" w:pos="720"/>
        </w:tabs>
        <w:ind w:left="720" w:hanging="360"/>
      </w:pPr>
      <w:rPr>
        <w:rFonts w:ascii="Symbol" w:hAnsi="Symbol" w:hint="default"/>
        <w:sz w:val="20"/>
      </w:rPr>
    </w:lvl>
    <w:lvl w:ilvl="1" w:tplc="8570B8D0" w:tentative="1">
      <w:start w:val="1"/>
      <w:numFmt w:val="bullet"/>
      <w:lvlText w:val="o"/>
      <w:lvlJc w:val="left"/>
      <w:pPr>
        <w:tabs>
          <w:tab w:val="num" w:pos="1440"/>
        </w:tabs>
        <w:ind w:left="1440" w:hanging="360"/>
      </w:pPr>
      <w:rPr>
        <w:rFonts w:ascii="Courier New" w:hAnsi="Courier New" w:hint="default"/>
        <w:sz w:val="20"/>
      </w:rPr>
    </w:lvl>
    <w:lvl w:ilvl="2" w:tplc="AF109B9A" w:tentative="1">
      <w:start w:val="1"/>
      <w:numFmt w:val="bullet"/>
      <w:lvlText w:val=""/>
      <w:lvlJc w:val="left"/>
      <w:pPr>
        <w:tabs>
          <w:tab w:val="num" w:pos="2160"/>
        </w:tabs>
        <w:ind w:left="2160" w:hanging="360"/>
      </w:pPr>
      <w:rPr>
        <w:rFonts w:ascii="Wingdings" w:hAnsi="Wingdings" w:hint="default"/>
        <w:sz w:val="20"/>
      </w:rPr>
    </w:lvl>
    <w:lvl w:ilvl="3" w:tplc="F9CC94A0" w:tentative="1">
      <w:start w:val="1"/>
      <w:numFmt w:val="bullet"/>
      <w:lvlText w:val=""/>
      <w:lvlJc w:val="left"/>
      <w:pPr>
        <w:tabs>
          <w:tab w:val="num" w:pos="2880"/>
        </w:tabs>
        <w:ind w:left="2880" w:hanging="360"/>
      </w:pPr>
      <w:rPr>
        <w:rFonts w:ascii="Wingdings" w:hAnsi="Wingdings" w:hint="default"/>
        <w:sz w:val="20"/>
      </w:rPr>
    </w:lvl>
    <w:lvl w:ilvl="4" w:tplc="579A1BFA" w:tentative="1">
      <w:start w:val="1"/>
      <w:numFmt w:val="bullet"/>
      <w:lvlText w:val=""/>
      <w:lvlJc w:val="left"/>
      <w:pPr>
        <w:tabs>
          <w:tab w:val="num" w:pos="3600"/>
        </w:tabs>
        <w:ind w:left="3600" w:hanging="360"/>
      </w:pPr>
      <w:rPr>
        <w:rFonts w:ascii="Wingdings" w:hAnsi="Wingdings" w:hint="default"/>
        <w:sz w:val="20"/>
      </w:rPr>
    </w:lvl>
    <w:lvl w:ilvl="5" w:tplc="B2E6CCE0" w:tentative="1">
      <w:start w:val="1"/>
      <w:numFmt w:val="bullet"/>
      <w:lvlText w:val=""/>
      <w:lvlJc w:val="left"/>
      <w:pPr>
        <w:tabs>
          <w:tab w:val="num" w:pos="4320"/>
        </w:tabs>
        <w:ind w:left="4320" w:hanging="360"/>
      </w:pPr>
      <w:rPr>
        <w:rFonts w:ascii="Wingdings" w:hAnsi="Wingdings" w:hint="default"/>
        <w:sz w:val="20"/>
      </w:rPr>
    </w:lvl>
    <w:lvl w:ilvl="6" w:tplc="2848B6C4" w:tentative="1">
      <w:start w:val="1"/>
      <w:numFmt w:val="bullet"/>
      <w:lvlText w:val=""/>
      <w:lvlJc w:val="left"/>
      <w:pPr>
        <w:tabs>
          <w:tab w:val="num" w:pos="5040"/>
        </w:tabs>
        <w:ind w:left="5040" w:hanging="360"/>
      </w:pPr>
      <w:rPr>
        <w:rFonts w:ascii="Wingdings" w:hAnsi="Wingdings" w:hint="default"/>
        <w:sz w:val="20"/>
      </w:rPr>
    </w:lvl>
    <w:lvl w:ilvl="7" w:tplc="1158CE4E" w:tentative="1">
      <w:start w:val="1"/>
      <w:numFmt w:val="bullet"/>
      <w:lvlText w:val=""/>
      <w:lvlJc w:val="left"/>
      <w:pPr>
        <w:tabs>
          <w:tab w:val="num" w:pos="5760"/>
        </w:tabs>
        <w:ind w:left="5760" w:hanging="360"/>
      </w:pPr>
      <w:rPr>
        <w:rFonts w:ascii="Wingdings" w:hAnsi="Wingdings" w:hint="default"/>
        <w:sz w:val="20"/>
      </w:rPr>
    </w:lvl>
    <w:lvl w:ilvl="8" w:tplc="40BE3CFE"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3D68C4"/>
    <w:multiLevelType w:val="hybridMultilevel"/>
    <w:tmpl w:val="F0CA277C"/>
    <w:lvl w:ilvl="0" w:tplc="04050001">
      <w:start w:val="1"/>
      <w:numFmt w:val="bullet"/>
      <w:lvlText w:val=""/>
      <w:lvlJc w:val="left"/>
      <w:pPr>
        <w:tabs>
          <w:tab w:val="num" w:pos="501"/>
        </w:tabs>
        <w:ind w:left="501"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6F346794"/>
    <w:multiLevelType w:val="hybridMultilevel"/>
    <w:tmpl w:val="AE849F66"/>
    <w:lvl w:ilvl="0" w:tplc="3F0AAC54">
      <w:start w:val="1"/>
      <w:numFmt w:val="decimal"/>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26">
    <w:nsid w:val="71DC430A"/>
    <w:multiLevelType w:val="multilevel"/>
    <w:tmpl w:val="1080472A"/>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721A2E8F"/>
    <w:multiLevelType w:val="multilevel"/>
    <w:tmpl w:val="AD5066C6"/>
    <w:lvl w:ilvl="0">
      <w:start w:val="3"/>
      <w:numFmt w:val="decimal"/>
      <w:lvlText w:val="%1.."/>
      <w:lvlJc w:val="left"/>
      <w:pPr>
        <w:tabs>
          <w:tab w:val="num" w:pos="720"/>
        </w:tabs>
        <w:ind w:left="15" w:hanging="15"/>
      </w:pPr>
      <w:rPr>
        <w:rFonts w:hint="default"/>
        <w:sz w:val="20"/>
      </w:rPr>
    </w:lvl>
    <w:lvl w:ilvl="1">
      <w:start w:val="2"/>
      <w:numFmt w:val="decimal"/>
      <w:lvlText w:val="%1.%2.."/>
      <w:lvlJc w:val="left"/>
      <w:pPr>
        <w:tabs>
          <w:tab w:val="num" w:pos="720"/>
        </w:tabs>
        <w:ind w:left="15" w:hanging="15"/>
      </w:pPr>
      <w:rPr>
        <w:rFonts w:hint="default"/>
        <w:sz w:val="20"/>
      </w:rPr>
    </w:lvl>
    <w:lvl w:ilvl="2">
      <w:start w:val="1"/>
      <w:numFmt w:val="decimal"/>
      <w:lvlText w:val="%1.%2.%3.."/>
      <w:lvlJc w:val="left"/>
      <w:pPr>
        <w:tabs>
          <w:tab w:val="num" w:pos="720"/>
        </w:tabs>
        <w:ind w:left="15" w:hanging="15"/>
      </w:pPr>
      <w:rPr>
        <w:rFonts w:hint="default"/>
        <w:sz w:val="20"/>
      </w:rPr>
    </w:lvl>
    <w:lvl w:ilvl="3">
      <w:start w:val="1"/>
      <w:numFmt w:val="decimal"/>
      <w:lvlText w:val="%1.%2.%3.%3.."/>
      <w:lvlJc w:val="left"/>
      <w:pPr>
        <w:tabs>
          <w:tab w:val="num" w:pos="1080"/>
        </w:tabs>
        <w:ind w:left="375" w:hanging="375"/>
      </w:pPr>
      <w:rPr>
        <w:rFonts w:hint="default"/>
        <w:sz w:val="20"/>
      </w:rPr>
    </w:lvl>
    <w:lvl w:ilvl="4">
      <w:start w:val="1"/>
      <w:numFmt w:val="decimal"/>
      <w:lvlText w:val="%1.%2.%3.%3.%4.."/>
      <w:lvlJc w:val="left"/>
      <w:pPr>
        <w:tabs>
          <w:tab w:val="num" w:pos="1080"/>
        </w:tabs>
        <w:ind w:left="375" w:hanging="375"/>
      </w:pPr>
      <w:rPr>
        <w:rFonts w:hint="default"/>
        <w:sz w:val="20"/>
      </w:rPr>
    </w:lvl>
    <w:lvl w:ilvl="5">
      <w:start w:val="1"/>
      <w:numFmt w:val="decimal"/>
      <w:lvlText w:val="%1.%2.%3.%3.%4.%5.."/>
      <w:lvlJc w:val="left"/>
      <w:pPr>
        <w:tabs>
          <w:tab w:val="num" w:pos="1440"/>
        </w:tabs>
        <w:ind w:left="735" w:hanging="735"/>
      </w:pPr>
      <w:rPr>
        <w:rFonts w:hint="default"/>
        <w:sz w:val="20"/>
      </w:rPr>
    </w:lvl>
    <w:lvl w:ilvl="6">
      <w:start w:val="1"/>
      <w:numFmt w:val="decimal"/>
      <w:lvlText w:val="%1.%2.%3.%3.%4.%5.%6.."/>
      <w:lvlJc w:val="left"/>
      <w:pPr>
        <w:tabs>
          <w:tab w:val="num" w:pos="1440"/>
        </w:tabs>
        <w:ind w:left="735" w:hanging="735"/>
      </w:pPr>
      <w:rPr>
        <w:rFonts w:hint="default"/>
        <w:sz w:val="20"/>
      </w:rPr>
    </w:lvl>
    <w:lvl w:ilvl="7">
      <w:start w:val="1"/>
      <w:numFmt w:val="decimal"/>
      <w:lvlText w:val="%1.%2.%3.%3.%4.%5.%6.%7.."/>
      <w:lvlJc w:val="left"/>
      <w:pPr>
        <w:tabs>
          <w:tab w:val="num" w:pos="1800"/>
        </w:tabs>
        <w:ind w:left="1095" w:hanging="1095"/>
      </w:pPr>
      <w:rPr>
        <w:rFonts w:hint="default"/>
        <w:sz w:val="20"/>
      </w:rPr>
    </w:lvl>
    <w:lvl w:ilvl="8">
      <w:start w:val="1"/>
      <w:numFmt w:val="decimal"/>
      <w:lvlText w:val="%1.%2.%3.%3.%4.%5.%6.%7.%8.."/>
      <w:lvlJc w:val="left"/>
      <w:pPr>
        <w:tabs>
          <w:tab w:val="num" w:pos="1800"/>
        </w:tabs>
        <w:ind w:left="1095" w:hanging="1095"/>
      </w:pPr>
      <w:rPr>
        <w:rFonts w:hint="default"/>
        <w:sz w:val="20"/>
      </w:rPr>
    </w:lvl>
  </w:abstractNum>
  <w:abstractNum w:abstractNumId="28">
    <w:nsid w:val="74D54FB5"/>
    <w:multiLevelType w:val="multilevel"/>
    <w:tmpl w:val="368610A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72F27D4"/>
    <w:multiLevelType w:val="hybridMultilevel"/>
    <w:tmpl w:val="71822B0A"/>
    <w:lvl w:ilvl="0" w:tplc="569E60D8">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7A015912"/>
    <w:multiLevelType w:val="hybridMultilevel"/>
    <w:tmpl w:val="06880BD0"/>
    <w:lvl w:ilvl="0" w:tplc="D3389CC6">
      <w:start w:val="1"/>
      <w:numFmt w:val="bullet"/>
      <w:lvlText w:val=""/>
      <w:lvlJc w:val="left"/>
      <w:pPr>
        <w:tabs>
          <w:tab w:val="num" w:pos="360"/>
        </w:tabs>
        <w:ind w:left="34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6"/>
  </w:num>
  <w:num w:numId="3">
    <w:abstractNumId w:val="6"/>
  </w:num>
  <w:num w:numId="4">
    <w:abstractNumId w:val="21"/>
  </w:num>
  <w:num w:numId="5">
    <w:abstractNumId w:val="30"/>
  </w:num>
  <w:num w:numId="6">
    <w:abstractNumId w:val="9"/>
  </w:num>
  <w:num w:numId="7">
    <w:abstractNumId w:val="4"/>
  </w:num>
  <w:num w:numId="8">
    <w:abstractNumId w:val="15"/>
  </w:num>
  <w:num w:numId="9">
    <w:abstractNumId w:val="16"/>
  </w:num>
  <w:num w:numId="10">
    <w:abstractNumId w:val="28"/>
  </w:num>
  <w:num w:numId="11">
    <w:abstractNumId w:val="27"/>
  </w:num>
  <w:num w:numId="12">
    <w:abstractNumId w:val="13"/>
  </w:num>
  <w:num w:numId="13">
    <w:abstractNumId w:val="17"/>
  </w:num>
  <w:num w:numId="14">
    <w:abstractNumId w:val="18"/>
  </w:num>
  <w:num w:numId="15">
    <w:abstractNumId w:val="19"/>
  </w:num>
  <w:num w:numId="16">
    <w:abstractNumId w:val="24"/>
  </w:num>
  <w:num w:numId="17">
    <w:abstractNumId w:val="29"/>
  </w:num>
  <w:num w:numId="18">
    <w:abstractNumId w:val="2"/>
  </w:num>
  <w:num w:numId="19">
    <w:abstractNumId w:val="7"/>
  </w:num>
  <w:num w:numId="20">
    <w:abstractNumId w:val="23"/>
  </w:num>
  <w:num w:numId="21">
    <w:abstractNumId w:val="20"/>
  </w:num>
  <w:num w:numId="22">
    <w:abstractNumId w:val="22"/>
  </w:num>
  <w:num w:numId="23">
    <w:abstractNumId w:val="8"/>
  </w:num>
  <w:num w:numId="24">
    <w:abstractNumId w:val="3"/>
  </w:num>
  <w:num w:numId="25">
    <w:abstractNumId w:val="12"/>
  </w:num>
  <w:num w:numId="26">
    <w:abstractNumId w:val="1"/>
  </w:num>
  <w:num w:numId="27">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5"/>
  </w:num>
  <w:num w:numId="30">
    <w:abstractNumId w:val="5"/>
  </w:num>
  <w:num w:numId="31">
    <w:abstractNumId w:val="11"/>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proofState w:spelling="clean" w:grammar="clean"/>
  <w:doNotTrackMoves/>
  <w:defaultTabStop w:val="0"/>
  <w:hyphenationZone w:val="425"/>
  <w:noPunctuationKerning/>
  <w:characterSpacingControl w:val="doNotCompress"/>
  <w:hdrShapeDefaults>
    <o:shapedefaults v:ext="edit" spidmax="198657"/>
  </w:hdrShapeDefaults>
  <w:footnotePr>
    <w:numRestart w:val="eachPage"/>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4EEC"/>
    <w:rsid w:val="0000002A"/>
    <w:rsid w:val="000003C3"/>
    <w:rsid w:val="000008B4"/>
    <w:rsid w:val="00003AA6"/>
    <w:rsid w:val="00004EDE"/>
    <w:rsid w:val="00011A0D"/>
    <w:rsid w:val="00015D20"/>
    <w:rsid w:val="0002144F"/>
    <w:rsid w:val="0002495E"/>
    <w:rsid w:val="00027CF4"/>
    <w:rsid w:val="00031B93"/>
    <w:rsid w:val="00036974"/>
    <w:rsid w:val="00036A2E"/>
    <w:rsid w:val="00040590"/>
    <w:rsid w:val="00041995"/>
    <w:rsid w:val="00041AB0"/>
    <w:rsid w:val="00043D49"/>
    <w:rsid w:val="00053591"/>
    <w:rsid w:val="00054A0A"/>
    <w:rsid w:val="00054AFA"/>
    <w:rsid w:val="0005721E"/>
    <w:rsid w:val="00057F4A"/>
    <w:rsid w:val="00060718"/>
    <w:rsid w:val="000623D0"/>
    <w:rsid w:val="00066C0B"/>
    <w:rsid w:val="0007079E"/>
    <w:rsid w:val="00070BFE"/>
    <w:rsid w:val="00073AE6"/>
    <w:rsid w:val="0007413C"/>
    <w:rsid w:val="00075C01"/>
    <w:rsid w:val="00080D1F"/>
    <w:rsid w:val="0008284B"/>
    <w:rsid w:val="00087B6D"/>
    <w:rsid w:val="00087E10"/>
    <w:rsid w:val="000901F2"/>
    <w:rsid w:val="00094631"/>
    <w:rsid w:val="000A16BC"/>
    <w:rsid w:val="000A3CDD"/>
    <w:rsid w:val="000A4779"/>
    <w:rsid w:val="000B0451"/>
    <w:rsid w:val="000B18D4"/>
    <w:rsid w:val="000B3766"/>
    <w:rsid w:val="000B40BB"/>
    <w:rsid w:val="000C2B8F"/>
    <w:rsid w:val="000C3CA1"/>
    <w:rsid w:val="000C6D89"/>
    <w:rsid w:val="000D0039"/>
    <w:rsid w:val="000D14E6"/>
    <w:rsid w:val="000D52B6"/>
    <w:rsid w:val="000D72CC"/>
    <w:rsid w:val="000E7CFC"/>
    <w:rsid w:val="000F21AE"/>
    <w:rsid w:val="000F2361"/>
    <w:rsid w:val="000F377F"/>
    <w:rsid w:val="00100064"/>
    <w:rsid w:val="00100352"/>
    <w:rsid w:val="00102A42"/>
    <w:rsid w:val="00110CAB"/>
    <w:rsid w:val="0011287D"/>
    <w:rsid w:val="00113757"/>
    <w:rsid w:val="00116827"/>
    <w:rsid w:val="00123032"/>
    <w:rsid w:val="00130781"/>
    <w:rsid w:val="001363BD"/>
    <w:rsid w:val="0014123F"/>
    <w:rsid w:val="001454F4"/>
    <w:rsid w:val="00146494"/>
    <w:rsid w:val="00146640"/>
    <w:rsid w:val="0014686A"/>
    <w:rsid w:val="001474CD"/>
    <w:rsid w:val="00150954"/>
    <w:rsid w:val="001539EB"/>
    <w:rsid w:val="00154F18"/>
    <w:rsid w:val="00155F49"/>
    <w:rsid w:val="00160D35"/>
    <w:rsid w:val="00162196"/>
    <w:rsid w:val="00163292"/>
    <w:rsid w:val="00173CFB"/>
    <w:rsid w:val="00173E95"/>
    <w:rsid w:val="001744B4"/>
    <w:rsid w:val="00174B21"/>
    <w:rsid w:val="001752EF"/>
    <w:rsid w:val="00175649"/>
    <w:rsid w:val="0017742A"/>
    <w:rsid w:val="001851B3"/>
    <w:rsid w:val="001853D8"/>
    <w:rsid w:val="00190AAF"/>
    <w:rsid w:val="00191C36"/>
    <w:rsid w:val="001947E0"/>
    <w:rsid w:val="001A12D7"/>
    <w:rsid w:val="001A30DC"/>
    <w:rsid w:val="001A6D07"/>
    <w:rsid w:val="001A75CA"/>
    <w:rsid w:val="001A7E59"/>
    <w:rsid w:val="001B08A1"/>
    <w:rsid w:val="001B0D36"/>
    <w:rsid w:val="001B1339"/>
    <w:rsid w:val="001B164E"/>
    <w:rsid w:val="001B3301"/>
    <w:rsid w:val="001C1A41"/>
    <w:rsid w:val="001C2F3A"/>
    <w:rsid w:val="001C45D0"/>
    <w:rsid w:val="001C51DE"/>
    <w:rsid w:val="001C5741"/>
    <w:rsid w:val="001C5F6E"/>
    <w:rsid w:val="001D055B"/>
    <w:rsid w:val="001D2347"/>
    <w:rsid w:val="001D337E"/>
    <w:rsid w:val="001D3F2E"/>
    <w:rsid w:val="001D4752"/>
    <w:rsid w:val="001E0ABE"/>
    <w:rsid w:val="001E21D0"/>
    <w:rsid w:val="001E3550"/>
    <w:rsid w:val="001E498F"/>
    <w:rsid w:val="001E56D3"/>
    <w:rsid w:val="001E71FC"/>
    <w:rsid w:val="001E7CDD"/>
    <w:rsid w:val="001F7C24"/>
    <w:rsid w:val="00201583"/>
    <w:rsid w:val="0020699C"/>
    <w:rsid w:val="00207A3C"/>
    <w:rsid w:val="002104A1"/>
    <w:rsid w:val="002124BD"/>
    <w:rsid w:val="00212592"/>
    <w:rsid w:val="00212BA9"/>
    <w:rsid w:val="002173A6"/>
    <w:rsid w:val="00225131"/>
    <w:rsid w:val="0023185E"/>
    <w:rsid w:val="00235D2A"/>
    <w:rsid w:val="00236048"/>
    <w:rsid w:val="002400F1"/>
    <w:rsid w:val="002432CE"/>
    <w:rsid w:val="002432F6"/>
    <w:rsid w:val="00254A12"/>
    <w:rsid w:val="002627F0"/>
    <w:rsid w:val="00267101"/>
    <w:rsid w:val="00270C9A"/>
    <w:rsid w:val="00270E11"/>
    <w:rsid w:val="00273420"/>
    <w:rsid w:val="00274B1D"/>
    <w:rsid w:val="00286EFA"/>
    <w:rsid w:val="00290B49"/>
    <w:rsid w:val="00292E4A"/>
    <w:rsid w:val="002955AA"/>
    <w:rsid w:val="002975F1"/>
    <w:rsid w:val="002A1F96"/>
    <w:rsid w:val="002A35EA"/>
    <w:rsid w:val="002A3B42"/>
    <w:rsid w:val="002A3C9C"/>
    <w:rsid w:val="002A3FA6"/>
    <w:rsid w:val="002A411D"/>
    <w:rsid w:val="002A46C3"/>
    <w:rsid w:val="002A64B8"/>
    <w:rsid w:val="002B259A"/>
    <w:rsid w:val="002B2983"/>
    <w:rsid w:val="002B2C9B"/>
    <w:rsid w:val="002B2D68"/>
    <w:rsid w:val="002B7995"/>
    <w:rsid w:val="002C01AE"/>
    <w:rsid w:val="002C2B71"/>
    <w:rsid w:val="002C2ED6"/>
    <w:rsid w:val="002C39A6"/>
    <w:rsid w:val="002C5579"/>
    <w:rsid w:val="002C6826"/>
    <w:rsid w:val="002C6D1C"/>
    <w:rsid w:val="002D240B"/>
    <w:rsid w:val="002E0783"/>
    <w:rsid w:val="002E18FB"/>
    <w:rsid w:val="002E3BF8"/>
    <w:rsid w:val="002E61FA"/>
    <w:rsid w:val="002F0971"/>
    <w:rsid w:val="002F3F52"/>
    <w:rsid w:val="002F523C"/>
    <w:rsid w:val="0030253D"/>
    <w:rsid w:val="00306A8F"/>
    <w:rsid w:val="0031010F"/>
    <w:rsid w:val="00311FA6"/>
    <w:rsid w:val="00312A91"/>
    <w:rsid w:val="00320227"/>
    <w:rsid w:val="003220D2"/>
    <w:rsid w:val="003232DB"/>
    <w:rsid w:val="0032695A"/>
    <w:rsid w:val="00327B3A"/>
    <w:rsid w:val="003367BB"/>
    <w:rsid w:val="00340912"/>
    <w:rsid w:val="00342830"/>
    <w:rsid w:val="00342B13"/>
    <w:rsid w:val="00343108"/>
    <w:rsid w:val="00343695"/>
    <w:rsid w:val="0035088A"/>
    <w:rsid w:val="00350C25"/>
    <w:rsid w:val="00354B23"/>
    <w:rsid w:val="003600EE"/>
    <w:rsid w:val="00363261"/>
    <w:rsid w:val="00363EC7"/>
    <w:rsid w:val="00366571"/>
    <w:rsid w:val="00366E04"/>
    <w:rsid w:val="00367E73"/>
    <w:rsid w:val="00371241"/>
    <w:rsid w:val="00371E4A"/>
    <w:rsid w:val="003731D4"/>
    <w:rsid w:val="003819EA"/>
    <w:rsid w:val="003820C4"/>
    <w:rsid w:val="003822DD"/>
    <w:rsid w:val="003840AF"/>
    <w:rsid w:val="00390544"/>
    <w:rsid w:val="0039628A"/>
    <w:rsid w:val="003A5323"/>
    <w:rsid w:val="003A7602"/>
    <w:rsid w:val="003A7671"/>
    <w:rsid w:val="003A775E"/>
    <w:rsid w:val="003A7D89"/>
    <w:rsid w:val="003B053D"/>
    <w:rsid w:val="003B1B93"/>
    <w:rsid w:val="003B5C18"/>
    <w:rsid w:val="003C08E9"/>
    <w:rsid w:val="003C7958"/>
    <w:rsid w:val="003D15B8"/>
    <w:rsid w:val="003D403A"/>
    <w:rsid w:val="003D436E"/>
    <w:rsid w:val="003D7F45"/>
    <w:rsid w:val="003E1BC5"/>
    <w:rsid w:val="003E26C0"/>
    <w:rsid w:val="003E50EC"/>
    <w:rsid w:val="003F2120"/>
    <w:rsid w:val="003F5758"/>
    <w:rsid w:val="00400CE3"/>
    <w:rsid w:val="00403BBD"/>
    <w:rsid w:val="00411544"/>
    <w:rsid w:val="004120AB"/>
    <w:rsid w:val="00416C73"/>
    <w:rsid w:val="00421327"/>
    <w:rsid w:val="00430C3D"/>
    <w:rsid w:val="00432D31"/>
    <w:rsid w:val="00433945"/>
    <w:rsid w:val="00440D68"/>
    <w:rsid w:val="00442023"/>
    <w:rsid w:val="0044214C"/>
    <w:rsid w:val="0044633B"/>
    <w:rsid w:val="00450086"/>
    <w:rsid w:val="004513A3"/>
    <w:rsid w:val="00456E69"/>
    <w:rsid w:val="00461CF3"/>
    <w:rsid w:val="00470A7D"/>
    <w:rsid w:val="004716AD"/>
    <w:rsid w:val="004717EC"/>
    <w:rsid w:val="004846BB"/>
    <w:rsid w:val="00487D33"/>
    <w:rsid w:val="00490324"/>
    <w:rsid w:val="00493B38"/>
    <w:rsid w:val="00493EB5"/>
    <w:rsid w:val="004960E1"/>
    <w:rsid w:val="004A7607"/>
    <w:rsid w:val="004B4B4B"/>
    <w:rsid w:val="004B7002"/>
    <w:rsid w:val="004B721B"/>
    <w:rsid w:val="004C0B09"/>
    <w:rsid w:val="004C17E8"/>
    <w:rsid w:val="004D147D"/>
    <w:rsid w:val="004D2E03"/>
    <w:rsid w:val="004D3EC5"/>
    <w:rsid w:val="004D44D7"/>
    <w:rsid w:val="004E0F04"/>
    <w:rsid w:val="004E22DA"/>
    <w:rsid w:val="004E2D25"/>
    <w:rsid w:val="004E55DA"/>
    <w:rsid w:val="004E6B55"/>
    <w:rsid w:val="004F3DC2"/>
    <w:rsid w:val="004F472D"/>
    <w:rsid w:val="004F5214"/>
    <w:rsid w:val="004F55F8"/>
    <w:rsid w:val="004F5919"/>
    <w:rsid w:val="004F7957"/>
    <w:rsid w:val="00501A6B"/>
    <w:rsid w:val="00502E3C"/>
    <w:rsid w:val="00503164"/>
    <w:rsid w:val="00503DB3"/>
    <w:rsid w:val="00505368"/>
    <w:rsid w:val="0050767D"/>
    <w:rsid w:val="00507D28"/>
    <w:rsid w:val="005102A6"/>
    <w:rsid w:val="00511D48"/>
    <w:rsid w:val="00514074"/>
    <w:rsid w:val="00517022"/>
    <w:rsid w:val="00517B6E"/>
    <w:rsid w:val="00521988"/>
    <w:rsid w:val="00523719"/>
    <w:rsid w:val="0052558E"/>
    <w:rsid w:val="00530345"/>
    <w:rsid w:val="00530E27"/>
    <w:rsid w:val="0053212F"/>
    <w:rsid w:val="005337D0"/>
    <w:rsid w:val="00535707"/>
    <w:rsid w:val="00540C43"/>
    <w:rsid w:val="005428C6"/>
    <w:rsid w:val="00543DC1"/>
    <w:rsid w:val="005547F4"/>
    <w:rsid w:val="00554B55"/>
    <w:rsid w:val="00555D76"/>
    <w:rsid w:val="0055702D"/>
    <w:rsid w:val="00557DBA"/>
    <w:rsid w:val="005726DA"/>
    <w:rsid w:val="00572D60"/>
    <w:rsid w:val="0057538F"/>
    <w:rsid w:val="0057712A"/>
    <w:rsid w:val="00584722"/>
    <w:rsid w:val="00585D26"/>
    <w:rsid w:val="00587A98"/>
    <w:rsid w:val="005958E4"/>
    <w:rsid w:val="005967F4"/>
    <w:rsid w:val="005A099E"/>
    <w:rsid w:val="005B2848"/>
    <w:rsid w:val="005B2D88"/>
    <w:rsid w:val="005B6171"/>
    <w:rsid w:val="005C0B74"/>
    <w:rsid w:val="005C5094"/>
    <w:rsid w:val="005C5117"/>
    <w:rsid w:val="005C5D74"/>
    <w:rsid w:val="005C6491"/>
    <w:rsid w:val="005D1407"/>
    <w:rsid w:val="005D1410"/>
    <w:rsid w:val="005D14D0"/>
    <w:rsid w:val="005D4A9B"/>
    <w:rsid w:val="005D5EA0"/>
    <w:rsid w:val="005D6C1B"/>
    <w:rsid w:val="005D74C9"/>
    <w:rsid w:val="005E011D"/>
    <w:rsid w:val="005E2257"/>
    <w:rsid w:val="005E4F58"/>
    <w:rsid w:val="005E5E71"/>
    <w:rsid w:val="005F4667"/>
    <w:rsid w:val="005F54F5"/>
    <w:rsid w:val="005F72F1"/>
    <w:rsid w:val="00600D95"/>
    <w:rsid w:val="00600E7E"/>
    <w:rsid w:val="00602D6B"/>
    <w:rsid w:val="0060371E"/>
    <w:rsid w:val="00604F29"/>
    <w:rsid w:val="00611C9B"/>
    <w:rsid w:val="0061224A"/>
    <w:rsid w:val="006264DE"/>
    <w:rsid w:val="006364C6"/>
    <w:rsid w:val="006371FD"/>
    <w:rsid w:val="006378BE"/>
    <w:rsid w:val="0064096A"/>
    <w:rsid w:val="00644F35"/>
    <w:rsid w:val="00664518"/>
    <w:rsid w:val="00676E8C"/>
    <w:rsid w:val="00684EF6"/>
    <w:rsid w:val="006854FD"/>
    <w:rsid w:val="006911B0"/>
    <w:rsid w:val="006913DF"/>
    <w:rsid w:val="00691D59"/>
    <w:rsid w:val="00691EA8"/>
    <w:rsid w:val="006A17C7"/>
    <w:rsid w:val="006A2775"/>
    <w:rsid w:val="006A2F6B"/>
    <w:rsid w:val="006A7384"/>
    <w:rsid w:val="006B0C47"/>
    <w:rsid w:val="006B2025"/>
    <w:rsid w:val="006B3670"/>
    <w:rsid w:val="006B39BF"/>
    <w:rsid w:val="006B5817"/>
    <w:rsid w:val="006B73AC"/>
    <w:rsid w:val="006C18B3"/>
    <w:rsid w:val="006C7A12"/>
    <w:rsid w:val="006D0653"/>
    <w:rsid w:val="006D354F"/>
    <w:rsid w:val="006D6CAB"/>
    <w:rsid w:val="006E4C33"/>
    <w:rsid w:val="006F34FC"/>
    <w:rsid w:val="006F5817"/>
    <w:rsid w:val="006F7809"/>
    <w:rsid w:val="00700BDD"/>
    <w:rsid w:val="007051AE"/>
    <w:rsid w:val="0071624E"/>
    <w:rsid w:val="00717466"/>
    <w:rsid w:val="00717AB0"/>
    <w:rsid w:val="00730D61"/>
    <w:rsid w:val="00732AEF"/>
    <w:rsid w:val="00734333"/>
    <w:rsid w:val="00735195"/>
    <w:rsid w:val="00736347"/>
    <w:rsid w:val="00743057"/>
    <w:rsid w:val="00744970"/>
    <w:rsid w:val="007462C4"/>
    <w:rsid w:val="007508AB"/>
    <w:rsid w:val="007539E4"/>
    <w:rsid w:val="00760061"/>
    <w:rsid w:val="00762FB1"/>
    <w:rsid w:val="007648A1"/>
    <w:rsid w:val="00766192"/>
    <w:rsid w:val="00767C4E"/>
    <w:rsid w:val="00773CE7"/>
    <w:rsid w:val="00774EEC"/>
    <w:rsid w:val="00777025"/>
    <w:rsid w:val="00784AE9"/>
    <w:rsid w:val="00784BDA"/>
    <w:rsid w:val="00790495"/>
    <w:rsid w:val="00790B18"/>
    <w:rsid w:val="00791F6E"/>
    <w:rsid w:val="007957BD"/>
    <w:rsid w:val="007A1746"/>
    <w:rsid w:val="007A3E93"/>
    <w:rsid w:val="007A6729"/>
    <w:rsid w:val="007B1974"/>
    <w:rsid w:val="007B19A6"/>
    <w:rsid w:val="007B66A1"/>
    <w:rsid w:val="007B740D"/>
    <w:rsid w:val="007B774A"/>
    <w:rsid w:val="007B79E7"/>
    <w:rsid w:val="007C121A"/>
    <w:rsid w:val="007C2685"/>
    <w:rsid w:val="007C4D93"/>
    <w:rsid w:val="007C7F44"/>
    <w:rsid w:val="007D3DB4"/>
    <w:rsid w:val="007D6507"/>
    <w:rsid w:val="007D7BC6"/>
    <w:rsid w:val="007E2E71"/>
    <w:rsid w:val="007E3F3A"/>
    <w:rsid w:val="007E4636"/>
    <w:rsid w:val="007E5BCF"/>
    <w:rsid w:val="007F0DB7"/>
    <w:rsid w:val="007F12DB"/>
    <w:rsid w:val="007F5E35"/>
    <w:rsid w:val="007F6C39"/>
    <w:rsid w:val="007F7827"/>
    <w:rsid w:val="007F7FC2"/>
    <w:rsid w:val="00804250"/>
    <w:rsid w:val="00807D50"/>
    <w:rsid w:val="00810672"/>
    <w:rsid w:val="0082185C"/>
    <w:rsid w:val="008227E4"/>
    <w:rsid w:val="008235F5"/>
    <w:rsid w:val="0082530A"/>
    <w:rsid w:val="00825477"/>
    <w:rsid w:val="008270E4"/>
    <w:rsid w:val="00827D9A"/>
    <w:rsid w:val="00840FFF"/>
    <w:rsid w:val="008508D1"/>
    <w:rsid w:val="00851F53"/>
    <w:rsid w:val="00861566"/>
    <w:rsid w:val="00864230"/>
    <w:rsid w:val="00866358"/>
    <w:rsid w:val="00871571"/>
    <w:rsid w:val="00872EED"/>
    <w:rsid w:val="00873216"/>
    <w:rsid w:val="0088436F"/>
    <w:rsid w:val="00890C89"/>
    <w:rsid w:val="00891305"/>
    <w:rsid w:val="0089157C"/>
    <w:rsid w:val="0089641F"/>
    <w:rsid w:val="00896AF0"/>
    <w:rsid w:val="008979D4"/>
    <w:rsid w:val="008A429A"/>
    <w:rsid w:val="008A6FE9"/>
    <w:rsid w:val="008B070E"/>
    <w:rsid w:val="008B13B3"/>
    <w:rsid w:val="008B452E"/>
    <w:rsid w:val="008B5006"/>
    <w:rsid w:val="008B6699"/>
    <w:rsid w:val="008C0A49"/>
    <w:rsid w:val="008C5A6A"/>
    <w:rsid w:val="008C603B"/>
    <w:rsid w:val="008D176F"/>
    <w:rsid w:val="008D68CD"/>
    <w:rsid w:val="008E0616"/>
    <w:rsid w:val="008E1CF3"/>
    <w:rsid w:val="008E73F2"/>
    <w:rsid w:val="008E79B5"/>
    <w:rsid w:val="008F10F8"/>
    <w:rsid w:val="008F6016"/>
    <w:rsid w:val="008F7C2D"/>
    <w:rsid w:val="00901E08"/>
    <w:rsid w:val="0090439B"/>
    <w:rsid w:val="00906F1E"/>
    <w:rsid w:val="00911EF7"/>
    <w:rsid w:val="009138FC"/>
    <w:rsid w:val="00914D22"/>
    <w:rsid w:val="00915780"/>
    <w:rsid w:val="009214AB"/>
    <w:rsid w:val="0092173C"/>
    <w:rsid w:val="00921FF5"/>
    <w:rsid w:val="00934DAB"/>
    <w:rsid w:val="00934DD1"/>
    <w:rsid w:val="009368FA"/>
    <w:rsid w:val="009476E1"/>
    <w:rsid w:val="00953DD0"/>
    <w:rsid w:val="00954A5A"/>
    <w:rsid w:val="00963746"/>
    <w:rsid w:val="009669C9"/>
    <w:rsid w:val="009671C9"/>
    <w:rsid w:val="009706E0"/>
    <w:rsid w:val="009817BA"/>
    <w:rsid w:val="0098384E"/>
    <w:rsid w:val="0098594A"/>
    <w:rsid w:val="00990274"/>
    <w:rsid w:val="00993AB2"/>
    <w:rsid w:val="009956CB"/>
    <w:rsid w:val="009973F3"/>
    <w:rsid w:val="009A6C9E"/>
    <w:rsid w:val="009A7ED7"/>
    <w:rsid w:val="009B0E41"/>
    <w:rsid w:val="009B38ED"/>
    <w:rsid w:val="009C03CB"/>
    <w:rsid w:val="009C16E6"/>
    <w:rsid w:val="009C3CD2"/>
    <w:rsid w:val="009C40CC"/>
    <w:rsid w:val="009C7F64"/>
    <w:rsid w:val="009D269A"/>
    <w:rsid w:val="009D56B6"/>
    <w:rsid w:val="009D6FC3"/>
    <w:rsid w:val="009D7080"/>
    <w:rsid w:val="009D7C1D"/>
    <w:rsid w:val="009D7F3D"/>
    <w:rsid w:val="009E11DC"/>
    <w:rsid w:val="009F0F94"/>
    <w:rsid w:val="009F2552"/>
    <w:rsid w:val="009F7F32"/>
    <w:rsid w:val="00A05C7A"/>
    <w:rsid w:val="00A077F1"/>
    <w:rsid w:val="00A136EE"/>
    <w:rsid w:val="00A158C2"/>
    <w:rsid w:val="00A165A1"/>
    <w:rsid w:val="00A16678"/>
    <w:rsid w:val="00A17261"/>
    <w:rsid w:val="00A17A29"/>
    <w:rsid w:val="00A26745"/>
    <w:rsid w:val="00A31C6F"/>
    <w:rsid w:val="00A373B2"/>
    <w:rsid w:val="00A40B60"/>
    <w:rsid w:val="00A41DCA"/>
    <w:rsid w:val="00A4350A"/>
    <w:rsid w:val="00A5044F"/>
    <w:rsid w:val="00A52AA3"/>
    <w:rsid w:val="00A55793"/>
    <w:rsid w:val="00A67BC8"/>
    <w:rsid w:val="00A71D4C"/>
    <w:rsid w:val="00A75DE3"/>
    <w:rsid w:val="00A76CE9"/>
    <w:rsid w:val="00A76F67"/>
    <w:rsid w:val="00A77A28"/>
    <w:rsid w:val="00A86A1D"/>
    <w:rsid w:val="00A956AE"/>
    <w:rsid w:val="00AA1B18"/>
    <w:rsid w:val="00AA44CF"/>
    <w:rsid w:val="00AA4E10"/>
    <w:rsid w:val="00AB4BA0"/>
    <w:rsid w:val="00AB4D27"/>
    <w:rsid w:val="00AC3384"/>
    <w:rsid w:val="00AD0397"/>
    <w:rsid w:val="00AD3826"/>
    <w:rsid w:val="00AD6187"/>
    <w:rsid w:val="00AD7CC8"/>
    <w:rsid w:val="00AE419C"/>
    <w:rsid w:val="00AE6580"/>
    <w:rsid w:val="00AE6716"/>
    <w:rsid w:val="00AF329C"/>
    <w:rsid w:val="00AF63E1"/>
    <w:rsid w:val="00AF6FB0"/>
    <w:rsid w:val="00AF7711"/>
    <w:rsid w:val="00B0514C"/>
    <w:rsid w:val="00B07A92"/>
    <w:rsid w:val="00B07AE7"/>
    <w:rsid w:val="00B16EC7"/>
    <w:rsid w:val="00B322B9"/>
    <w:rsid w:val="00B34CF9"/>
    <w:rsid w:val="00B351FC"/>
    <w:rsid w:val="00B4175E"/>
    <w:rsid w:val="00B42910"/>
    <w:rsid w:val="00B443B3"/>
    <w:rsid w:val="00B44707"/>
    <w:rsid w:val="00B47785"/>
    <w:rsid w:val="00B47916"/>
    <w:rsid w:val="00B51A0F"/>
    <w:rsid w:val="00B53A79"/>
    <w:rsid w:val="00B61E66"/>
    <w:rsid w:val="00B6424B"/>
    <w:rsid w:val="00B6685F"/>
    <w:rsid w:val="00B737CA"/>
    <w:rsid w:val="00B7564C"/>
    <w:rsid w:val="00B77787"/>
    <w:rsid w:val="00B77F27"/>
    <w:rsid w:val="00B8019F"/>
    <w:rsid w:val="00B8534F"/>
    <w:rsid w:val="00B85BEF"/>
    <w:rsid w:val="00B85CD8"/>
    <w:rsid w:val="00B860CD"/>
    <w:rsid w:val="00B874FD"/>
    <w:rsid w:val="00B87C7A"/>
    <w:rsid w:val="00BA0688"/>
    <w:rsid w:val="00BA0F5F"/>
    <w:rsid w:val="00BA10FD"/>
    <w:rsid w:val="00BB18F9"/>
    <w:rsid w:val="00BB21EC"/>
    <w:rsid w:val="00BB24B6"/>
    <w:rsid w:val="00BB2552"/>
    <w:rsid w:val="00BB68DA"/>
    <w:rsid w:val="00BB6A42"/>
    <w:rsid w:val="00BC0697"/>
    <w:rsid w:val="00BC2A56"/>
    <w:rsid w:val="00BC2E92"/>
    <w:rsid w:val="00BC4A99"/>
    <w:rsid w:val="00BC4EB4"/>
    <w:rsid w:val="00BD18F7"/>
    <w:rsid w:val="00BD55FE"/>
    <w:rsid w:val="00BD58CC"/>
    <w:rsid w:val="00BE0636"/>
    <w:rsid w:val="00BE08BE"/>
    <w:rsid w:val="00BE0BAE"/>
    <w:rsid w:val="00BE5491"/>
    <w:rsid w:val="00BE7FF5"/>
    <w:rsid w:val="00BF1203"/>
    <w:rsid w:val="00BF1AF9"/>
    <w:rsid w:val="00BF36EA"/>
    <w:rsid w:val="00BF695F"/>
    <w:rsid w:val="00BF7CE4"/>
    <w:rsid w:val="00C076BC"/>
    <w:rsid w:val="00C10BE4"/>
    <w:rsid w:val="00C11AC0"/>
    <w:rsid w:val="00C11F57"/>
    <w:rsid w:val="00C13426"/>
    <w:rsid w:val="00C153AC"/>
    <w:rsid w:val="00C161D3"/>
    <w:rsid w:val="00C257DE"/>
    <w:rsid w:val="00C26A83"/>
    <w:rsid w:val="00C30484"/>
    <w:rsid w:val="00C30862"/>
    <w:rsid w:val="00C314F3"/>
    <w:rsid w:val="00C35058"/>
    <w:rsid w:val="00C41435"/>
    <w:rsid w:val="00C425B0"/>
    <w:rsid w:val="00C44C44"/>
    <w:rsid w:val="00C45941"/>
    <w:rsid w:val="00C51752"/>
    <w:rsid w:val="00C519E9"/>
    <w:rsid w:val="00C527BB"/>
    <w:rsid w:val="00C55F4F"/>
    <w:rsid w:val="00C56B4D"/>
    <w:rsid w:val="00C56CCA"/>
    <w:rsid w:val="00C62CEB"/>
    <w:rsid w:val="00C73838"/>
    <w:rsid w:val="00C8073E"/>
    <w:rsid w:val="00C84AE6"/>
    <w:rsid w:val="00C852E0"/>
    <w:rsid w:val="00C86551"/>
    <w:rsid w:val="00C90F72"/>
    <w:rsid w:val="00C94D53"/>
    <w:rsid w:val="00C96F1A"/>
    <w:rsid w:val="00C97EF5"/>
    <w:rsid w:val="00CA43F6"/>
    <w:rsid w:val="00CA7B06"/>
    <w:rsid w:val="00CB178A"/>
    <w:rsid w:val="00CB62F6"/>
    <w:rsid w:val="00CB7133"/>
    <w:rsid w:val="00CC03EA"/>
    <w:rsid w:val="00CC041D"/>
    <w:rsid w:val="00CC0B16"/>
    <w:rsid w:val="00CC5AFE"/>
    <w:rsid w:val="00CD0E1C"/>
    <w:rsid w:val="00CD11C9"/>
    <w:rsid w:val="00CD4640"/>
    <w:rsid w:val="00CD5D79"/>
    <w:rsid w:val="00CE0463"/>
    <w:rsid w:val="00CE262C"/>
    <w:rsid w:val="00CE2FED"/>
    <w:rsid w:val="00CE3C9C"/>
    <w:rsid w:val="00CE6291"/>
    <w:rsid w:val="00CF517E"/>
    <w:rsid w:val="00D01773"/>
    <w:rsid w:val="00D07831"/>
    <w:rsid w:val="00D13E99"/>
    <w:rsid w:val="00D21D6D"/>
    <w:rsid w:val="00D23EE2"/>
    <w:rsid w:val="00D3190D"/>
    <w:rsid w:val="00D32A95"/>
    <w:rsid w:val="00D33315"/>
    <w:rsid w:val="00D35E31"/>
    <w:rsid w:val="00D363D9"/>
    <w:rsid w:val="00D41691"/>
    <w:rsid w:val="00D41947"/>
    <w:rsid w:val="00D441CC"/>
    <w:rsid w:val="00D44AE3"/>
    <w:rsid w:val="00D46A30"/>
    <w:rsid w:val="00D50BA6"/>
    <w:rsid w:val="00D55671"/>
    <w:rsid w:val="00D5690B"/>
    <w:rsid w:val="00D57F11"/>
    <w:rsid w:val="00D602C3"/>
    <w:rsid w:val="00D67620"/>
    <w:rsid w:val="00D70B6A"/>
    <w:rsid w:val="00D72EBD"/>
    <w:rsid w:val="00D8181E"/>
    <w:rsid w:val="00D82E3A"/>
    <w:rsid w:val="00D8303B"/>
    <w:rsid w:val="00D90075"/>
    <w:rsid w:val="00D926E6"/>
    <w:rsid w:val="00D94685"/>
    <w:rsid w:val="00D951BA"/>
    <w:rsid w:val="00DA4840"/>
    <w:rsid w:val="00DA6476"/>
    <w:rsid w:val="00DA6568"/>
    <w:rsid w:val="00DB2CB8"/>
    <w:rsid w:val="00DD02FD"/>
    <w:rsid w:val="00DD1C94"/>
    <w:rsid w:val="00DD4E0A"/>
    <w:rsid w:val="00DE1A56"/>
    <w:rsid w:val="00DE3616"/>
    <w:rsid w:val="00DE394A"/>
    <w:rsid w:val="00DE39BC"/>
    <w:rsid w:val="00DE633B"/>
    <w:rsid w:val="00DF15EE"/>
    <w:rsid w:val="00DF6178"/>
    <w:rsid w:val="00E137F5"/>
    <w:rsid w:val="00E14E28"/>
    <w:rsid w:val="00E15C3A"/>
    <w:rsid w:val="00E201B1"/>
    <w:rsid w:val="00E31546"/>
    <w:rsid w:val="00E31846"/>
    <w:rsid w:val="00E348C6"/>
    <w:rsid w:val="00E37662"/>
    <w:rsid w:val="00E40A97"/>
    <w:rsid w:val="00E40BB4"/>
    <w:rsid w:val="00E45733"/>
    <w:rsid w:val="00E46D40"/>
    <w:rsid w:val="00E53557"/>
    <w:rsid w:val="00E5414E"/>
    <w:rsid w:val="00E54433"/>
    <w:rsid w:val="00E54D92"/>
    <w:rsid w:val="00E55229"/>
    <w:rsid w:val="00E567FE"/>
    <w:rsid w:val="00E56962"/>
    <w:rsid w:val="00E61D80"/>
    <w:rsid w:val="00E62465"/>
    <w:rsid w:val="00E6523E"/>
    <w:rsid w:val="00E660DE"/>
    <w:rsid w:val="00E67CB0"/>
    <w:rsid w:val="00E67E25"/>
    <w:rsid w:val="00E73E50"/>
    <w:rsid w:val="00E7458C"/>
    <w:rsid w:val="00E81FBA"/>
    <w:rsid w:val="00E833CA"/>
    <w:rsid w:val="00E866F7"/>
    <w:rsid w:val="00E9741B"/>
    <w:rsid w:val="00E978BE"/>
    <w:rsid w:val="00EA7260"/>
    <w:rsid w:val="00EA7725"/>
    <w:rsid w:val="00EA7993"/>
    <w:rsid w:val="00EB6856"/>
    <w:rsid w:val="00EB6FAC"/>
    <w:rsid w:val="00EC2502"/>
    <w:rsid w:val="00ED0A73"/>
    <w:rsid w:val="00EE106C"/>
    <w:rsid w:val="00EE2983"/>
    <w:rsid w:val="00EF0082"/>
    <w:rsid w:val="00EF37C8"/>
    <w:rsid w:val="00F00F9B"/>
    <w:rsid w:val="00F03B1B"/>
    <w:rsid w:val="00F05998"/>
    <w:rsid w:val="00F069DF"/>
    <w:rsid w:val="00F10615"/>
    <w:rsid w:val="00F10AAF"/>
    <w:rsid w:val="00F111C5"/>
    <w:rsid w:val="00F14A63"/>
    <w:rsid w:val="00F15EFA"/>
    <w:rsid w:val="00F20360"/>
    <w:rsid w:val="00F2298A"/>
    <w:rsid w:val="00F22DEB"/>
    <w:rsid w:val="00F22FA0"/>
    <w:rsid w:val="00F23F8F"/>
    <w:rsid w:val="00F24203"/>
    <w:rsid w:val="00F32217"/>
    <w:rsid w:val="00F33A35"/>
    <w:rsid w:val="00F36966"/>
    <w:rsid w:val="00F42044"/>
    <w:rsid w:val="00F45CE5"/>
    <w:rsid w:val="00F54F72"/>
    <w:rsid w:val="00F55804"/>
    <w:rsid w:val="00F559B3"/>
    <w:rsid w:val="00F57AF7"/>
    <w:rsid w:val="00F6058D"/>
    <w:rsid w:val="00F60790"/>
    <w:rsid w:val="00F61124"/>
    <w:rsid w:val="00F645C5"/>
    <w:rsid w:val="00F7294A"/>
    <w:rsid w:val="00F7347A"/>
    <w:rsid w:val="00F7372C"/>
    <w:rsid w:val="00F73AE9"/>
    <w:rsid w:val="00F75569"/>
    <w:rsid w:val="00F806A7"/>
    <w:rsid w:val="00F8139D"/>
    <w:rsid w:val="00F8224A"/>
    <w:rsid w:val="00F82828"/>
    <w:rsid w:val="00F83508"/>
    <w:rsid w:val="00F950BC"/>
    <w:rsid w:val="00F972E7"/>
    <w:rsid w:val="00F978CF"/>
    <w:rsid w:val="00FA7F3F"/>
    <w:rsid w:val="00FB43B8"/>
    <w:rsid w:val="00FC26D5"/>
    <w:rsid w:val="00FC337B"/>
    <w:rsid w:val="00FC4353"/>
    <w:rsid w:val="00FC6763"/>
    <w:rsid w:val="00FD1BC6"/>
    <w:rsid w:val="00FD61D7"/>
    <w:rsid w:val="00FD77A4"/>
    <w:rsid w:val="00FE29FE"/>
    <w:rsid w:val="00FE4190"/>
    <w:rsid w:val="00FF21B4"/>
    <w:rsid w:val="00FF2D50"/>
    <w:rsid w:val="00FF31A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6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08A1"/>
    <w:pPr>
      <w:jc w:val="both"/>
    </w:pPr>
    <w:rPr>
      <w:rFonts w:ascii="Arial" w:hAnsi="Arial"/>
      <w:szCs w:val="24"/>
    </w:rPr>
  </w:style>
  <w:style w:type="paragraph" w:styleId="Nadpis1">
    <w:name w:val="heading 1"/>
    <w:basedOn w:val="Normln"/>
    <w:next w:val="Normln"/>
    <w:qFormat/>
    <w:rsid w:val="00306A8F"/>
    <w:pPr>
      <w:keepNext/>
      <w:numPr>
        <w:numId w:val="31"/>
      </w:numPr>
      <w:spacing w:after="180"/>
      <w:ind w:left="142" w:hanging="357"/>
      <w:outlineLvl w:val="0"/>
    </w:pPr>
    <w:rPr>
      <w:rFonts w:cs="Arial"/>
      <w:b/>
      <w:bCs/>
      <w:caps/>
      <w:kern w:val="32"/>
      <w:sz w:val="24"/>
      <w:szCs w:val="32"/>
    </w:rPr>
  </w:style>
  <w:style w:type="paragraph" w:styleId="Nadpis2">
    <w:name w:val="heading 2"/>
    <w:basedOn w:val="Normln"/>
    <w:next w:val="Normln"/>
    <w:qFormat/>
    <w:rsid w:val="001B08A1"/>
    <w:pPr>
      <w:keepNext/>
      <w:spacing w:before="240" w:after="240"/>
      <w:outlineLvl w:val="1"/>
    </w:pPr>
    <w:rPr>
      <w:rFonts w:cs="Arial"/>
      <w:b/>
      <w:bCs/>
      <w:iCs/>
      <w:szCs w:val="28"/>
    </w:rPr>
  </w:style>
  <w:style w:type="paragraph" w:styleId="Nadpis3">
    <w:name w:val="heading 3"/>
    <w:basedOn w:val="Normln"/>
    <w:next w:val="Normln"/>
    <w:qFormat/>
    <w:rsid w:val="001B08A1"/>
    <w:pPr>
      <w:keepNext/>
      <w:spacing w:before="240" w:after="60"/>
      <w:outlineLvl w:val="2"/>
    </w:pPr>
    <w:rPr>
      <w:rFonts w:cs="Arial"/>
      <w:b/>
      <w:bCs/>
      <w:szCs w:val="26"/>
    </w:rPr>
  </w:style>
  <w:style w:type="paragraph" w:styleId="Nadpis4">
    <w:name w:val="heading 4"/>
    <w:basedOn w:val="Normln"/>
    <w:next w:val="Normln"/>
    <w:qFormat/>
    <w:rsid w:val="001B08A1"/>
    <w:pPr>
      <w:keepNext/>
      <w:jc w:val="right"/>
      <w:outlineLvl w:val="3"/>
    </w:pPr>
    <w:rPr>
      <w:i/>
      <w:iCs/>
      <w:color w:val="0000FF"/>
    </w:rPr>
  </w:style>
  <w:style w:type="paragraph" w:styleId="Nadpis5">
    <w:name w:val="heading 5"/>
    <w:basedOn w:val="Normln"/>
    <w:next w:val="Normln"/>
    <w:qFormat/>
    <w:rsid w:val="001B08A1"/>
    <w:pPr>
      <w:keepNext/>
      <w:spacing w:after="480"/>
      <w:outlineLvl w:val="4"/>
    </w:pPr>
    <w:rPr>
      <w:rFonts w:cs="Arial"/>
      <w:b/>
      <w:bCs/>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1B08A1"/>
    <w:pPr>
      <w:spacing w:before="240" w:after="240"/>
      <w:jc w:val="center"/>
      <w:outlineLvl w:val="0"/>
    </w:pPr>
    <w:rPr>
      <w:rFonts w:cs="Arial"/>
      <w:b/>
      <w:bCs/>
      <w:kern w:val="28"/>
      <w:sz w:val="28"/>
      <w:szCs w:val="32"/>
    </w:rPr>
  </w:style>
  <w:style w:type="paragraph" w:customStyle="1" w:styleId="normalnsodrkami">
    <w:name w:val="normalní s odrážkami"/>
    <w:basedOn w:val="Normln"/>
    <w:rsid w:val="001B08A1"/>
    <w:pPr>
      <w:numPr>
        <w:numId w:val="3"/>
      </w:numPr>
    </w:pPr>
  </w:style>
  <w:style w:type="paragraph" w:styleId="Zpat">
    <w:name w:val="footer"/>
    <w:basedOn w:val="Normln"/>
    <w:semiHidden/>
    <w:rsid w:val="001B08A1"/>
    <w:pPr>
      <w:tabs>
        <w:tab w:val="center" w:pos="4536"/>
        <w:tab w:val="right" w:pos="9072"/>
      </w:tabs>
    </w:pPr>
  </w:style>
  <w:style w:type="character" w:styleId="slostrnky">
    <w:name w:val="page number"/>
    <w:basedOn w:val="Standardnpsmoodstavce"/>
    <w:semiHidden/>
    <w:rsid w:val="001B08A1"/>
  </w:style>
  <w:style w:type="paragraph" w:styleId="Zhlav">
    <w:name w:val="header"/>
    <w:basedOn w:val="Normln"/>
    <w:semiHidden/>
    <w:rsid w:val="001B08A1"/>
    <w:pPr>
      <w:tabs>
        <w:tab w:val="center" w:pos="4536"/>
        <w:tab w:val="right" w:pos="9072"/>
      </w:tabs>
      <w:jc w:val="left"/>
    </w:pPr>
    <w:rPr>
      <w:rFonts w:ascii="Times New Roman" w:hAnsi="Times New Roman"/>
      <w:sz w:val="24"/>
    </w:rPr>
  </w:style>
  <w:style w:type="character" w:styleId="Hypertextovodkaz">
    <w:name w:val="Hyperlink"/>
    <w:basedOn w:val="Standardnpsmoodstavce"/>
    <w:uiPriority w:val="99"/>
    <w:rsid w:val="001B08A1"/>
    <w:rPr>
      <w:color w:val="0000FF"/>
      <w:u w:val="single"/>
    </w:rPr>
  </w:style>
  <w:style w:type="paragraph" w:styleId="Normlnweb">
    <w:name w:val="Normal (Web)"/>
    <w:basedOn w:val="Normln"/>
    <w:rsid w:val="001B08A1"/>
    <w:pPr>
      <w:spacing w:before="100" w:beforeAutospacing="1" w:after="100" w:afterAutospacing="1"/>
      <w:jc w:val="left"/>
    </w:pPr>
    <w:rPr>
      <w:rFonts w:ascii="Arial Unicode MS" w:eastAsia="Arial Unicode MS" w:hAnsi="Arial Unicode MS"/>
      <w:sz w:val="24"/>
    </w:rPr>
  </w:style>
  <w:style w:type="paragraph" w:styleId="Textpoznpodarou">
    <w:name w:val="footnote text"/>
    <w:aliases w:val="Text pozn. pod čarou_martin_ang"/>
    <w:basedOn w:val="Normln"/>
    <w:semiHidden/>
    <w:rsid w:val="001B08A1"/>
    <w:pPr>
      <w:spacing w:before="60" w:after="60"/>
      <w:ind w:left="113" w:hanging="113"/>
    </w:pPr>
    <w:rPr>
      <w:sz w:val="16"/>
      <w:szCs w:val="20"/>
    </w:rPr>
  </w:style>
  <w:style w:type="paragraph" w:styleId="Zkladntext">
    <w:name w:val="Body Text"/>
    <w:basedOn w:val="Normln"/>
    <w:semiHidden/>
    <w:rsid w:val="001B08A1"/>
    <w:pPr>
      <w:tabs>
        <w:tab w:val="left" w:pos="9000"/>
      </w:tabs>
      <w:ind w:right="-110"/>
    </w:pPr>
    <w:rPr>
      <w:rFonts w:cs="Arial"/>
    </w:rPr>
  </w:style>
  <w:style w:type="paragraph" w:styleId="Zkladntext2">
    <w:name w:val="Body Text 2"/>
    <w:basedOn w:val="Normln"/>
    <w:link w:val="Zkladntext2Char"/>
    <w:semiHidden/>
    <w:rsid w:val="001B08A1"/>
    <w:pPr>
      <w:tabs>
        <w:tab w:val="left" w:pos="9000"/>
      </w:tabs>
      <w:ind w:right="-70"/>
    </w:pPr>
    <w:rPr>
      <w:rFonts w:cs="Arial"/>
    </w:rPr>
  </w:style>
  <w:style w:type="character" w:styleId="Znakapoznpodarou">
    <w:name w:val="footnote reference"/>
    <w:basedOn w:val="Standardnpsmoodstavce"/>
    <w:semiHidden/>
    <w:rsid w:val="001B08A1"/>
    <w:rPr>
      <w:sz w:val="16"/>
      <w:vertAlign w:val="superscript"/>
    </w:rPr>
  </w:style>
  <w:style w:type="character" w:styleId="Sledovanodkaz">
    <w:name w:val="FollowedHyperlink"/>
    <w:basedOn w:val="Standardnpsmoodstavce"/>
    <w:semiHidden/>
    <w:rsid w:val="001B08A1"/>
    <w:rPr>
      <w:color w:val="800080"/>
      <w:u w:val="single"/>
    </w:rPr>
  </w:style>
  <w:style w:type="paragraph" w:styleId="Zkladntext3">
    <w:name w:val="Body Text 3"/>
    <w:basedOn w:val="Normln"/>
    <w:semiHidden/>
    <w:rsid w:val="001B08A1"/>
    <w:rPr>
      <w:i/>
      <w:iCs/>
      <w:color w:val="0000FF"/>
    </w:rPr>
  </w:style>
  <w:style w:type="paragraph" w:styleId="Zkladntextodsazen">
    <w:name w:val="Body Text Indent"/>
    <w:basedOn w:val="Normln"/>
    <w:semiHidden/>
    <w:rsid w:val="001B08A1"/>
    <w:pPr>
      <w:ind w:firstLine="708"/>
    </w:pPr>
  </w:style>
  <w:style w:type="paragraph" w:styleId="Titulek">
    <w:name w:val="caption"/>
    <w:basedOn w:val="Normln"/>
    <w:next w:val="Normln"/>
    <w:qFormat/>
    <w:rsid w:val="001B08A1"/>
    <w:pPr>
      <w:tabs>
        <w:tab w:val="left" w:pos="1260"/>
      </w:tabs>
    </w:pPr>
    <w:rPr>
      <w:b/>
      <w:bCs/>
    </w:rPr>
  </w:style>
  <w:style w:type="paragraph" w:customStyle="1" w:styleId="text">
    <w:name w:val="text"/>
    <w:basedOn w:val="Normln"/>
    <w:rsid w:val="001B08A1"/>
    <w:pPr>
      <w:spacing w:before="60" w:after="60"/>
    </w:pPr>
  </w:style>
  <w:style w:type="paragraph" w:customStyle="1" w:styleId="textRR">
    <w:name w:val="text RR"/>
    <w:rsid w:val="001B08A1"/>
    <w:pPr>
      <w:spacing w:before="120"/>
      <w:jc w:val="both"/>
    </w:pPr>
    <w:rPr>
      <w:rFonts w:ascii="Arial" w:hAnsi="Arial"/>
    </w:rPr>
  </w:style>
  <w:style w:type="paragraph" w:customStyle="1" w:styleId="Rbntext">
    <w:name w:val="R běžný text"/>
    <w:rsid w:val="001B08A1"/>
    <w:pPr>
      <w:spacing w:after="120"/>
      <w:jc w:val="both"/>
    </w:pPr>
    <w:rPr>
      <w:rFonts w:ascii="Arial" w:hAnsi="Arial"/>
    </w:rPr>
  </w:style>
  <w:style w:type="paragraph" w:customStyle="1" w:styleId="Rnadpis">
    <w:name w:val="R nadpis"/>
    <w:basedOn w:val="Rbntext"/>
    <w:next w:val="Rbntext"/>
    <w:rsid w:val="00F6058D"/>
    <w:pPr>
      <w:tabs>
        <w:tab w:val="right" w:pos="9356"/>
      </w:tabs>
      <w:spacing w:before="360" w:after="240"/>
      <w:jc w:val="left"/>
      <w:outlineLvl w:val="0"/>
    </w:pPr>
    <w:rPr>
      <w:b/>
      <w:caps/>
      <w:sz w:val="24"/>
    </w:rPr>
  </w:style>
  <w:style w:type="paragraph" w:customStyle="1" w:styleId="Rtextobsah">
    <w:name w:val="R text obsah"/>
    <w:basedOn w:val="Rbntext"/>
    <w:rsid w:val="001B08A1"/>
    <w:pPr>
      <w:tabs>
        <w:tab w:val="right" w:leader="dot" w:pos="4423"/>
      </w:tabs>
      <w:ind w:left="454" w:hanging="454"/>
    </w:pPr>
    <w:rPr>
      <w:bCs/>
    </w:rPr>
  </w:style>
  <w:style w:type="paragraph" w:customStyle="1" w:styleId="poznamka">
    <w:name w:val="poznamka"/>
    <w:basedOn w:val="Normln"/>
    <w:rsid w:val="001B08A1"/>
    <w:pPr>
      <w:spacing w:before="100" w:beforeAutospacing="1" w:after="100" w:afterAutospacing="1"/>
      <w:jc w:val="left"/>
    </w:pPr>
    <w:rPr>
      <w:rFonts w:ascii="Arial Unicode MS" w:eastAsia="Arial Unicode MS" w:hAnsi="Arial Unicode MS" w:cs="Arial Unicode MS"/>
      <w:color w:val="000000"/>
      <w:sz w:val="24"/>
    </w:rPr>
  </w:style>
  <w:style w:type="paragraph" w:customStyle="1" w:styleId="NORMAArialCE">
    <w:name w:val="NORMA Arial CE"/>
    <w:basedOn w:val="Normln"/>
    <w:rsid w:val="001B08A1"/>
    <w:pPr>
      <w:spacing w:before="120" w:after="120"/>
    </w:pPr>
  </w:style>
  <w:style w:type="paragraph" w:customStyle="1" w:styleId="RbntextA">
    <w:name w:val="R běžný text A"/>
    <w:basedOn w:val="Rbntext"/>
    <w:rsid w:val="001B08A1"/>
    <w:rPr>
      <w:i/>
      <w:lang w:val="en-GB"/>
    </w:rPr>
  </w:style>
  <w:style w:type="paragraph" w:customStyle="1" w:styleId="Ptext">
    <w:name w:val="P text"/>
    <w:rsid w:val="001B08A1"/>
    <w:pPr>
      <w:spacing w:before="60" w:after="120"/>
      <w:jc w:val="both"/>
    </w:pPr>
    <w:rPr>
      <w:rFonts w:ascii="Arial" w:hAnsi="Arial"/>
    </w:rPr>
  </w:style>
  <w:style w:type="paragraph" w:customStyle="1" w:styleId="PGraf">
    <w:name w:val="P Graf"/>
    <w:basedOn w:val="Ptext"/>
    <w:next w:val="Ptext"/>
    <w:rsid w:val="001B08A1"/>
    <w:pPr>
      <w:spacing w:before="120" w:after="0"/>
      <w:jc w:val="left"/>
    </w:pPr>
    <w:rPr>
      <w:b/>
    </w:rPr>
  </w:style>
  <w:style w:type="paragraph" w:styleId="Obsah1">
    <w:name w:val="toc 1"/>
    <w:basedOn w:val="Normln"/>
    <w:next w:val="Normln"/>
    <w:autoRedefine/>
    <w:uiPriority w:val="39"/>
    <w:unhideWhenUsed/>
    <w:rsid w:val="00AA4E10"/>
    <w:pPr>
      <w:tabs>
        <w:tab w:val="left" w:pos="284"/>
        <w:tab w:val="right" w:leader="dot" w:pos="9628"/>
      </w:tabs>
      <w:spacing w:before="120" w:after="120"/>
    </w:pPr>
  </w:style>
  <w:style w:type="paragraph" w:customStyle="1" w:styleId="Default">
    <w:name w:val="Default"/>
    <w:rsid w:val="00F55804"/>
    <w:pPr>
      <w:autoSpaceDE w:val="0"/>
      <w:autoSpaceDN w:val="0"/>
      <w:adjustRightInd w:val="0"/>
    </w:pPr>
    <w:rPr>
      <w:rFonts w:ascii="Arial" w:hAnsi="Arial" w:cs="Arial"/>
      <w:color w:val="000000"/>
      <w:sz w:val="24"/>
      <w:szCs w:val="24"/>
    </w:rPr>
  </w:style>
  <w:style w:type="character" w:customStyle="1" w:styleId="Zkladntext2Char">
    <w:name w:val="Základní text 2 Char"/>
    <w:basedOn w:val="Standardnpsmoodstavce"/>
    <w:link w:val="Zkladntext2"/>
    <w:semiHidden/>
    <w:rsid w:val="008A6FE9"/>
    <w:rPr>
      <w:rFonts w:ascii="Arial" w:hAnsi="Arial" w:cs="Arial"/>
      <w:szCs w:val="24"/>
    </w:rPr>
  </w:style>
</w:styles>
</file>

<file path=word/webSettings.xml><?xml version="1.0" encoding="utf-8"?>
<w:webSettings xmlns:r="http://schemas.openxmlformats.org/officeDocument/2006/relationships" xmlns:w="http://schemas.openxmlformats.org/wordprocessingml/2006/main">
  <w:divs>
    <w:div w:id="815295910">
      <w:bodyDiv w:val="1"/>
      <w:marLeft w:val="0"/>
      <w:marRight w:val="0"/>
      <w:marTop w:val="0"/>
      <w:marBottom w:val="0"/>
      <w:divBdr>
        <w:top w:val="none" w:sz="0" w:space="0" w:color="auto"/>
        <w:left w:val="none" w:sz="0" w:space="0" w:color="auto"/>
        <w:bottom w:val="none" w:sz="0" w:space="0" w:color="auto"/>
        <w:right w:val="none" w:sz="0" w:space="0" w:color="auto"/>
      </w:divBdr>
    </w:div>
    <w:div w:id="119650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100.emf"/><Relationship Id="rId21" Type="http://schemas.openxmlformats.org/officeDocument/2006/relationships/image" Target="media/image5.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5.wmf"/><Relationship Id="rId16" Type="http://schemas.openxmlformats.org/officeDocument/2006/relationships/footer" Target="footer7.xml"/><Relationship Id="rId107" Type="http://schemas.openxmlformats.org/officeDocument/2006/relationships/image" Target="media/image90.emf"/><Relationship Id="rId11" Type="http://schemas.openxmlformats.org/officeDocument/2006/relationships/footer" Target="footer4.xml"/><Relationship Id="rId32" Type="http://schemas.openxmlformats.org/officeDocument/2006/relationships/image" Target="media/image16.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65.emf"/><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image" Target="media/image3.emf"/><Relationship Id="rId14" Type="http://schemas.openxmlformats.org/officeDocument/2006/relationships/footer" Target="footer6.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113" Type="http://schemas.openxmlformats.org/officeDocument/2006/relationships/image" Target="media/image96.emf"/><Relationship Id="rId118" Type="http://schemas.openxmlformats.org/officeDocument/2006/relationships/image" Target="media/image101.emf"/><Relationship Id="rId8" Type="http://schemas.openxmlformats.org/officeDocument/2006/relationships/footer" Target="footer1.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104.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image" Target="media/image86.emf"/><Relationship Id="rId108" Type="http://schemas.openxmlformats.org/officeDocument/2006/relationships/image" Target="media/image91.emf"/><Relationship Id="rId116" Type="http://schemas.openxmlformats.org/officeDocument/2006/relationships/image" Target="media/image99.wmf"/><Relationship Id="rId124"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9.emf"/><Relationship Id="rId114" Type="http://schemas.openxmlformats.org/officeDocument/2006/relationships/image" Target="media/image97.wmf"/><Relationship Id="rId119" Type="http://schemas.openxmlformats.org/officeDocument/2006/relationships/image" Target="media/image102.emf"/><Relationship Id="rId10" Type="http://schemas.openxmlformats.org/officeDocument/2006/relationships/footer" Target="footer3.xml"/><Relationship Id="rId31" Type="http://schemas.openxmlformats.org/officeDocument/2006/relationships/image" Target="media/image15.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w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2.emf"/><Relationship Id="rId39" Type="http://schemas.openxmlformats.org/officeDocument/2006/relationships/image" Target="media/image22.emf"/><Relationship Id="rId109" Type="http://schemas.openxmlformats.org/officeDocument/2006/relationships/image" Target="media/image92.emf"/><Relationship Id="rId34" Type="http://schemas.openxmlformats.org/officeDocument/2006/relationships/footer" Target="footer8.xml"/><Relationship Id="rId50" Type="http://schemas.openxmlformats.org/officeDocument/2006/relationships/image" Target="media/image33.png"/><Relationship Id="rId55" Type="http://schemas.openxmlformats.org/officeDocument/2006/relationships/image" Target="media/image38.emf"/><Relationship Id="rId76" Type="http://schemas.openxmlformats.org/officeDocument/2006/relationships/image" Target="media/image59.png"/><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w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8BA70-A2BD-473D-846B-74CA62E5B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4673</TotalTime>
  <Pages>78</Pages>
  <Words>21673</Words>
  <Characters>108632</Characters>
  <Application>Microsoft Office Word</Application>
  <DocSecurity>0</DocSecurity>
  <Lines>905</Lines>
  <Paragraphs>260</Paragraphs>
  <ScaleCrop>false</ScaleCrop>
  <HeadingPairs>
    <vt:vector size="2" baseType="variant">
      <vt:variant>
        <vt:lpstr>Název</vt:lpstr>
      </vt:variant>
      <vt:variant>
        <vt:i4>1</vt:i4>
      </vt:variant>
    </vt:vector>
  </HeadingPairs>
  <TitlesOfParts>
    <vt:vector size="1" baseType="lpstr">
      <vt:lpstr>Úvod</vt:lpstr>
    </vt:vector>
  </TitlesOfParts>
  <Company>CSU</Company>
  <LinksUpToDate>false</LinksUpToDate>
  <CharactersWithSpaces>130045</CharactersWithSpaces>
  <SharedDoc>false</SharedDoc>
  <HLinks>
    <vt:vector size="6" baseType="variant">
      <vt:variant>
        <vt:i4>5636130</vt:i4>
      </vt:variant>
      <vt:variant>
        <vt:i4>0</vt:i4>
      </vt:variant>
      <vt:variant>
        <vt:i4>0</vt:i4>
      </vt:variant>
      <vt:variant>
        <vt:i4>5</vt:i4>
      </vt:variant>
      <vt:variant>
        <vt:lpwstr>mailto:ivana.duskova@czso.cz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subject/>
  <dc:creator>Dubska</dc:creator>
  <cp:keywords/>
  <dc:description/>
  <cp:lastModifiedBy>operator</cp:lastModifiedBy>
  <cp:revision>200</cp:revision>
  <cp:lastPrinted>2015-08-27T09:02:00Z</cp:lastPrinted>
  <dcterms:created xsi:type="dcterms:W3CDTF">2014-07-24T08:37:00Z</dcterms:created>
  <dcterms:modified xsi:type="dcterms:W3CDTF">2015-09-09T13:39:00Z</dcterms:modified>
</cp:coreProperties>
</file>