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14" w:rsidRPr="00CE5F96" w:rsidRDefault="00CF3D14" w:rsidP="00CF3D14">
      <w:pPr>
        <w:pStyle w:val="Nadpis2"/>
        <w:keepNext w:val="0"/>
        <w:widowControl w:val="0"/>
        <w:ind w:firstLine="0"/>
        <w:rPr>
          <w:rFonts w:ascii="Arial" w:hAnsi="Arial" w:cs="Arial"/>
          <w:b w:val="0"/>
          <w:sz w:val="20"/>
          <w:szCs w:val="20"/>
        </w:rPr>
      </w:pPr>
      <w:r w:rsidRPr="00CE5F96">
        <w:rPr>
          <w:rFonts w:ascii="Arial" w:hAnsi="Arial" w:cs="Arial"/>
          <w:sz w:val="20"/>
          <w:szCs w:val="20"/>
        </w:rPr>
        <w:t xml:space="preserve">NOVĚ ZAŘAZENÉ TABULKY VE STATISTICKÉ ROČENCE ČESKÉ REPUBLIKY </w:t>
      </w:r>
      <w:r w:rsidR="004A79D4" w:rsidRPr="00CE5F96">
        <w:rPr>
          <w:rFonts w:ascii="Arial" w:hAnsi="Arial" w:cs="Arial"/>
          <w:sz w:val="20"/>
          <w:szCs w:val="20"/>
        </w:rPr>
        <w:t>201</w:t>
      </w:r>
      <w:r w:rsidR="008A5798" w:rsidRPr="00CE5F96">
        <w:rPr>
          <w:rFonts w:ascii="Arial" w:hAnsi="Arial" w:cs="Arial"/>
          <w:sz w:val="20"/>
          <w:szCs w:val="20"/>
        </w:rPr>
        <w:t>6</w:t>
      </w:r>
    </w:p>
    <w:p w:rsidR="00497C80" w:rsidRPr="00CE5F96" w:rsidRDefault="00497C80" w:rsidP="00497C80">
      <w:pPr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CE5F96">
        <w:rPr>
          <w:rFonts w:ascii="Arial" w:hAnsi="Arial" w:cs="Arial"/>
          <w:b/>
          <w:iCs/>
          <w:sz w:val="20"/>
          <w:szCs w:val="20"/>
        </w:rPr>
        <w:t>3. Životní prostředí</w:t>
      </w:r>
    </w:p>
    <w:p w:rsidR="00497C80" w:rsidRPr="00364F62" w:rsidRDefault="00497C80" w:rsidP="00497C80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 w:rsidRPr="00CE5F96">
        <w:rPr>
          <w:rFonts w:ascii="Arial" w:hAnsi="Arial" w:cs="Arial"/>
          <w:b/>
          <w:iCs/>
          <w:sz w:val="20"/>
          <w:szCs w:val="20"/>
        </w:rPr>
        <w:t>3</w:t>
      </w:r>
      <w:r w:rsidRPr="00CE5F96">
        <w:rPr>
          <w:rFonts w:ascii="Arial" w:hAnsi="Arial" w:cs="Arial"/>
          <w:iCs/>
          <w:sz w:val="20"/>
          <w:szCs w:val="20"/>
        </w:rPr>
        <w:t>-23</w:t>
      </w:r>
      <w:r w:rsidRPr="00CE5F96">
        <w:rPr>
          <w:rFonts w:ascii="Arial" w:hAnsi="Arial" w:cs="Arial"/>
          <w:b/>
          <w:iCs/>
          <w:sz w:val="20"/>
          <w:szCs w:val="20"/>
        </w:rPr>
        <w:t>.</w:t>
      </w:r>
      <w:r w:rsidRPr="00CE5F96">
        <w:rPr>
          <w:rFonts w:ascii="Arial" w:hAnsi="Arial" w:cs="Arial"/>
          <w:iCs/>
          <w:sz w:val="20"/>
          <w:szCs w:val="20"/>
        </w:rPr>
        <w:tab/>
        <w:t>Vodní díla</w:t>
      </w:r>
    </w:p>
    <w:p w:rsidR="006E19E2" w:rsidRPr="00364F62" w:rsidRDefault="006E19E2" w:rsidP="00055FAB">
      <w:pPr>
        <w:spacing w:before="120"/>
        <w:ind w:left="567" w:hanging="567"/>
        <w:jc w:val="both"/>
        <w:rPr>
          <w:rFonts w:ascii="Arial" w:hAnsi="Arial" w:cs="Arial"/>
          <w:b/>
          <w:iCs/>
          <w:sz w:val="20"/>
          <w:szCs w:val="20"/>
        </w:rPr>
      </w:pPr>
      <w:r w:rsidRPr="00364F62">
        <w:rPr>
          <w:rFonts w:ascii="Arial" w:hAnsi="Arial" w:cs="Arial"/>
          <w:b/>
          <w:iCs/>
          <w:sz w:val="20"/>
          <w:szCs w:val="20"/>
        </w:rPr>
        <w:t>4. Obyvatelstvo</w:t>
      </w:r>
    </w:p>
    <w:p w:rsidR="006E19E2" w:rsidRPr="00364F62" w:rsidRDefault="006E19E2" w:rsidP="006E19E2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4</w:t>
      </w:r>
      <w:r w:rsidRPr="00364F62">
        <w:rPr>
          <w:rFonts w:ascii="Arial" w:hAnsi="Arial" w:cs="Arial"/>
          <w:sz w:val="20"/>
          <w:szCs w:val="20"/>
        </w:rPr>
        <w:t>-</w:t>
      </w:r>
      <w:r w:rsidR="008A5798" w:rsidRPr="00364F62">
        <w:rPr>
          <w:rFonts w:ascii="Arial" w:hAnsi="Arial" w:cs="Arial"/>
          <w:sz w:val="20"/>
          <w:szCs w:val="20"/>
        </w:rPr>
        <w:t>16</w:t>
      </w:r>
      <w:r w:rsidRPr="00364F62">
        <w:rPr>
          <w:rFonts w:ascii="Arial" w:hAnsi="Arial" w:cs="Arial"/>
          <w:sz w:val="20"/>
          <w:szCs w:val="20"/>
        </w:rPr>
        <w:t>.</w:t>
      </w:r>
      <w:r w:rsidRPr="00364F62">
        <w:rPr>
          <w:rFonts w:ascii="Arial" w:hAnsi="Arial" w:cs="Arial"/>
          <w:sz w:val="20"/>
          <w:szCs w:val="20"/>
        </w:rPr>
        <w:tab/>
      </w:r>
      <w:r w:rsidR="008A5798" w:rsidRPr="00364F62">
        <w:rPr>
          <w:rFonts w:ascii="Arial" w:hAnsi="Arial" w:cs="Arial"/>
          <w:sz w:val="20"/>
          <w:szCs w:val="20"/>
        </w:rPr>
        <w:t>Zemřelí podle vybraných příčin smrti a pohlaví</w:t>
      </w:r>
    </w:p>
    <w:p w:rsidR="00055FAB" w:rsidRPr="00364F62" w:rsidRDefault="00055FAB" w:rsidP="00055FAB">
      <w:pPr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364F62">
        <w:rPr>
          <w:rFonts w:ascii="Arial" w:hAnsi="Arial" w:cs="Arial"/>
          <w:b/>
          <w:iCs/>
          <w:sz w:val="20"/>
          <w:szCs w:val="20"/>
        </w:rPr>
        <w:t>13. Zemědělství</w:t>
      </w:r>
    </w:p>
    <w:p w:rsidR="00E25AD1" w:rsidRPr="00364F62" w:rsidRDefault="00E25AD1" w:rsidP="00E25AD1">
      <w:pPr>
        <w:spacing w:before="60"/>
        <w:ind w:left="992" w:hanging="652"/>
        <w:rPr>
          <w:rFonts w:ascii="Arial" w:hAnsi="Arial" w:cs="Arial"/>
          <w:iCs/>
          <w:sz w:val="20"/>
          <w:szCs w:val="20"/>
        </w:rPr>
      </w:pPr>
      <w:r w:rsidRPr="00364F62">
        <w:rPr>
          <w:rFonts w:ascii="Arial" w:hAnsi="Arial" w:cs="Arial"/>
          <w:b/>
          <w:iCs/>
          <w:sz w:val="20"/>
          <w:szCs w:val="20"/>
        </w:rPr>
        <w:t>13</w:t>
      </w:r>
      <w:r w:rsidR="00882F7F" w:rsidRPr="00364F62">
        <w:rPr>
          <w:rFonts w:ascii="Arial" w:hAnsi="Arial" w:cs="Arial"/>
          <w:iCs/>
          <w:sz w:val="20"/>
          <w:szCs w:val="20"/>
        </w:rPr>
        <w:t>-31.</w:t>
      </w:r>
      <w:r w:rsidR="00882F7F" w:rsidRPr="00364F62">
        <w:rPr>
          <w:rFonts w:ascii="Arial" w:hAnsi="Arial" w:cs="Arial"/>
          <w:iCs/>
          <w:sz w:val="20"/>
          <w:szCs w:val="20"/>
        </w:rPr>
        <w:tab/>
      </w:r>
      <w:r w:rsidRPr="00364F62">
        <w:rPr>
          <w:rFonts w:ascii="Arial" w:hAnsi="Arial" w:cs="Arial"/>
          <w:iCs/>
          <w:sz w:val="20"/>
          <w:szCs w:val="20"/>
        </w:rPr>
        <w:t>Pěstitelé vinné révy a plocha vinic podle druhu produkce k 31. 7. 2015</w:t>
      </w:r>
    </w:p>
    <w:p w:rsidR="00E25AD1" w:rsidRPr="00364F62" w:rsidRDefault="00E25AD1" w:rsidP="00E25AD1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364F62">
        <w:rPr>
          <w:rFonts w:ascii="Arial" w:hAnsi="Arial" w:cs="Arial"/>
          <w:b/>
          <w:iCs/>
          <w:sz w:val="20"/>
          <w:szCs w:val="20"/>
        </w:rPr>
        <w:t>13</w:t>
      </w:r>
      <w:r w:rsidR="00882F7F" w:rsidRPr="00364F62">
        <w:rPr>
          <w:rFonts w:ascii="Arial" w:hAnsi="Arial" w:cs="Arial"/>
          <w:iCs/>
          <w:sz w:val="20"/>
          <w:szCs w:val="20"/>
        </w:rPr>
        <w:t>-32.</w:t>
      </w:r>
      <w:r w:rsidR="00882F7F" w:rsidRPr="00364F62">
        <w:rPr>
          <w:rFonts w:ascii="Arial" w:hAnsi="Arial" w:cs="Arial"/>
          <w:iCs/>
          <w:sz w:val="20"/>
          <w:szCs w:val="20"/>
        </w:rPr>
        <w:tab/>
      </w:r>
      <w:r w:rsidRPr="00364F62">
        <w:rPr>
          <w:rFonts w:ascii="Arial" w:hAnsi="Arial" w:cs="Arial"/>
          <w:iCs/>
          <w:sz w:val="20"/>
          <w:szCs w:val="20"/>
        </w:rPr>
        <w:t>Pěstitelé vinné révy a plocha vinic podle velikostních kategorií k 31. 7. 2015</w:t>
      </w:r>
    </w:p>
    <w:p w:rsidR="00E25AD1" w:rsidRPr="00364F62" w:rsidRDefault="00E25AD1" w:rsidP="00E25AD1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364F62">
        <w:rPr>
          <w:rFonts w:ascii="Arial" w:hAnsi="Arial" w:cs="Arial"/>
          <w:b/>
          <w:iCs/>
          <w:sz w:val="20"/>
          <w:szCs w:val="20"/>
        </w:rPr>
        <w:t>13</w:t>
      </w:r>
      <w:r w:rsidR="00882F7F" w:rsidRPr="00364F62">
        <w:rPr>
          <w:rFonts w:ascii="Arial" w:hAnsi="Arial" w:cs="Arial"/>
          <w:iCs/>
          <w:sz w:val="20"/>
          <w:szCs w:val="20"/>
        </w:rPr>
        <w:t>-33.</w:t>
      </w:r>
      <w:r w:rsidR="00882F7F" w:rsidRPr="00364F62">
        <w:rPr>
          <w:rFonts w:ascii="Arial" w:hAnsi="Arial" w:cs="Arial"/>
          <w:iCs/>
          <w:sz w:val="20"/>
          <w:szCs w:val="20"/>
        </w:rPr>
        <w:tab/>
      </w:r>
      <w:r w:rsidRPr="00364F62">
        <w:rPr>
          <w:rFonts w:ascii="Arial" w:hAnsi="Arial" w:cs="Arial"/>
          <w:iCs/>
          <w:sz w:val="20"/>
          <w:szCs w:val="20"/>
        </w:rPr>
        <w:t>Plocha vinic podle odrůd vinné révy a stáří výsadby k 31. 7. 2015</w:t>
      </w:r>
    </w:p>
    <w:p w:rsidR="00657762" w:rsidRPr="00364F62" w:rsidRDefault="00657762" w:rsidP="00657762">
      <w:pPr>
        <w:spacing w:before="120"/>
        <w:ind w:firstLine="0"/>
        <w:jc w:val="both"/>
        <w:rPr>
          <w:rFonts w:ascii="Arial" w:hAnsi="Arial" w:cs="Arial"/>
          <w:iCs/>
          <w:sz w:val="20"/>
          <w:szCs w:val="20"/>
        </w:rPr>
      </w:pPr>
      <w:r w:rsidRPr="00364F62">
        <w:rPr>
          <w:rFonts w:ascii="Arial" w:hAnsi="Arial" w:cs="Arial"/>
          <w:b/>
          <w:iCs/>
          <w:sz w:val="20"/>
          <w:szCs w:val="20"/>
        </w:rPr>
        <w:t xml:space="preserve">21. Informační </w:t>
      </w:r>
      <w:r w:rsidR="007D7C54" w:rsidRPr="00364F62">
        <w:rPr>
          <w:rFonts w:ascii="Arial" w:hAnsi="Arial" w:cs="Arial"/>
          <w:b/>
          <w:iCs/>
          <w:sz w:val="20"/>
          <w:szCs w:val="20"/>
        </w:rPr>
        <w:t>společnost</w:t>
      </w:r>
    </w:p>
    <w:p w:rsidR="007D7C54" w:rsidRPr="00364F62" w:rsidRDefault="007D7C54" w:rsidP="007D7C54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 w:rsidRPr="00364F62">
        <w:rPr>
          <w:rFonts w:ascii="Arial" w:hAnsi="Arial" w:cs="Arial"/>
          <w:b/>
          <w:iCs/>
          <w:sz w:val="20"/>
          <w:szCs w:val="20"/>
        </w:rPr>
        <w:t>21</w:t>
      </w:r>
      <w:r w:rsidRPr="00364F62">
        <w:rPr>
          <w:rFonts w:ascii="Arial" w:hAnsi="Arial" w:cs="Arial"/>
          <w:iCs/>
          <w:sz w:val="20"/>
          <w:szCs w:val="20"/>
        </w:rPr>
        <w:t>-</w:t>
      </w:r>
      <w:r w:rsidR="00D575AE" w:rsidRPr="00364F62">
        <w:rPr>
          <w:rFonts w:ascii="Arial" w:hAnsi="Arial" w:cs="Arial"/>
          <w:iCs/>
          <w:sz w:val="20"/>
          <w:szCs w:val="20"/>
        </w:rPr>
        <w:t>26.</w:t>
      </w:r>
      <w:r w:rsidR="008A5798" w:rsidRPr="00364F62">
        <w:rPr>
          <w:rFonts w:ascii="Arial" w:hAnsi="Arial" w:cs="Arial"/>
          <w:iCs/>
          <w:sz w:val="20"/>
          <w:szCs w:val="20"/>
        </w:rPr>
        <w:tab/>
      </w:r>
      <w:r w:rsidR="00D575AE" w:rsidRPr="00364F62">
        <w:rPr>
          <w:rFonts w:ascii="Arial" w:hAnsi="Arial" w:cs="Arial"/>
          <w:iCs/>
          <w:sz w:val="20"/>
          <w:szCs w:val="20"/>
        </w:rPr>
        <w:t>Počítačové a internetové dovednosti</w:t>
      </w:r>
      <w:r w:rsidR="00835AF9" w:rsidRPr="00364F62">
        <w:rPr>
          <w:rFonts w:ascii="Arial" w:hAnsi="Arial" w:cs="Arial"/>
          <w:iCs/>
          <w:sz w:val="20"/>
          <w:szCs w:val="20"/>
        </w:rPr>
        <w:t xml:space="preserve"> v roce 2016</w:t>
      </w:r>
    </w:p>
    <w:p w:rsidR="00055FAB" w:rsidRPr="00364F62" w:rsidRDefault="007D7C54" w:rsidP="00055FAB">
      <w:pPr>
        <w:spacing w:before="120"/>
        <w:ind w:firstLine="0"/>
        <w:jc w:val="both"/>
        <w:rPr>
          <w:rFonts w:ascii="Arial" w:hAnsi="Arial" w:cs="Arial"/>
          <w:iCs/>
          <w:sz w:val="20"/>
          <w:szCs w:val="20"/>
        </w:rPr>
      </w:pPr>
      <w:r w:rsidRPr="00364F62">
        <w:rPr>
          <w:rFonts w:ascii="Arial" w:hAnsi="Arial" w:cs="Arial"/>
          <w:b/>
          <w:iCs/>
          <w:sz w:val="20"/>
          <w:szCs w:val="20"/>
        </w:rPr>
        <w:t xml:space="preserve">22. Věda, </w:t>
      </w:r>
      <w:r w:rsidR="00055FAB" w:rsidRPr="00364F62">
        <w:rPr>
          <w:rFonts w:ascii="Arial" w:hAnsi="Arial" w:cs="Arial"/>
          <w:b/>
          <w:iCs/>
          <w:sz w:val="20"/>
          <w:szCs w:val="20"/>
        </w:rPr>
        <w:t>výzkum</w:t>
      </w:r>
      <w:r w:rsidRPr="00364F62">
        <w:rPr>
          <w:rFonts w:ascii="Arial" w:hAnsi="Arial" w:cs="Arial"/>
          <w:b/>
          <w:iCs/>
          <w:sz w:val="20"/>
          <w:szCs w:val="20"/>
        </w:rPr>
        <w:t xml:space="preserve"> a inovace</w:t>
      </w:r>
    </w:p>
    <w:p w:rsidR="007D7C54" w:rsidRPr="00364F62" w:rsidRDefault="007D7C54" w:rsidP="0096797C">
      <w:pPr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 w:rsidRPr="00364F62">
        <w:rPr>
          <w:rFonts w:ascii="Arial" w:hAnsi="Arial" w:cs="Arial"/>
          <w:b/>
          <w:iCs/>
          <w:sz w:val="20"/>
          <w:szCs w:val="20"/>
        </w:rPr>
        <w:t>22</w:t>
      </w:r>
      <w:r w:rsidRPr="00364F62">
        <w:rPr>
          <w:rFonts w:ascii="Arial" w:hAnsi="Arial" w:cs="Arial"/>
          <w:iCs/>
          <w:sz w:val="20"/>
          <w:szCs w:val="20"/>
        </w:rPr>
        <w:t>-</w:t>
      </w:r>
      <w:r w:rsidR="00D575AE" w:rsidRPr="00364F62">
        <w:rPr>
          <w:rFonts w:ascii="Arial" w:hAnsi="Arial" w:cs="Arial"/>
          <w:iCs/>
          <w:sz w:val="20"/>
          <w:szCs w:val="20"/>
        </w:rPr>
        <w:t>18</w:t>
      </w:r>
      <w:r w:rsidR="00364F62" w:rsidRPr="00364F62">
        <w:rPr>
          <w:rFonts w:ascii="Arial" w:hAnsi="Arial" w:cs="Arial"/>
          <w:iCs/>
          <w:sz w:val="20"/>
          <w:szCs w:val="20"/>
        </w:rPr>
        <w:t>.</w:t>
      </w:r>
      <w:r w:rsidR="008A5798" w:rsidRPr="00364F62">
        <w:rPr>
          <w:rFonts w:ascii="Arial" w:hAnsi="Arial" w:cs="Arial"/>
          <w:iCs/>
          <w:sz w:val="20"/>
          <w:szCs w:val="20"/>
        </w:rPr>
        <w:tab/>
      </w:r>
      <w:r w:rsidR="00D575AE" w:rsidRPr="00364F62">
        <w:rPr>
          <w:rFonts w:ascii="Arial" w:hAnsi="Arial" w:cs="Arial"/>
          <w:iCs/>
          <w:sz w:val="20"/>
          <w:szCs w:val="20"/>
        </w:rPr>
        <w:t>Inovující podniky podle vlastnictví, velikostních skupin a ekonomických činností</w:t>
      </w:r>
      <w:r w:rsidR="00B14F4C" w:rsidRPr="00364F62">
        <w:rPr>
          <w:rFonts w:ascii="Arial" w:hAnsi="Arial" w:cs="Arial"/>
          <w:iCs/>
          <w:sz w:val="20"/>
          <w:szCs w:val="20"/>
        </w:rPr>
        <w:t xml:space="preserve"> v období 2012–2014</w:t>
      </w:r>
    </w:p>
    <w:p w:rsidR="00D575AE" w:rsidRPr="00364F62" w:rsidRDefault="00D575AE" w:rsidP="0096797C">
      <w:pPr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iCs/>
          <w:sz w:val="20"/>
          <w:szCs w:val="20"/>
        </w:rPr>
        <w:t>22</w:t>
      </w:r>
      <w:r w:rsidRPr="00364F62">
        <w:rPr>
          <w:rFonts w:ascii="Arial" w:hAnsi="Arial" w:cs="Arial"/>
          <w:sz w:val="20"/>
          <w:szCs w:val="20"/>
        </w:rPr>
        <w:t>-19.</w:t>
      </w:r>
      <w:r w:rsidRPr="00364F62">
        <w:rPr>
          <w:rFonts w:ascii="Arial" w:hAnsi="Arial" w:cs="Arial"/>
          <w:sz w:val="20"/>
          <w:szCs w:val="20"/>
        </w:rPr>
        <w:tab/>
        <w:t>Náklady na produktové a procesní inovace v podnicích</w:t>
      </w:r>
    </w:p>
    <w:p w:rsidR="00D575AE" w:rsidRPr="00364F62" w:rsidRDefault="00D575AE" w:rsidP="0096797C">
      <w:pPr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iCs/>
          <w:sz w:val="20"/>
          <w:szCs w:val="20"/>
        </w:rPr>
        <w:t>22</w:t>
      </w:r>
      <w:r w:rsidRPr="00364F62">
        <w:rPr>
          <w:rFonts w:ascii="Arial" w:hAnsi="Arial" w:cs="Arial"/>
          <w:sz w:val="20"/>
          <w:szCs w:val="20"/>
        </w:rPr>
        <w:t>-20.</w:t>
      </w:r>
      <w:r w:rsidRPr="00364F62">
        <w:rPr>
          <w:rFonts w:ascii="Arial" w:hAnsi="Arial" w:cs="Arial"/>
          <w:sz w:val="20"/>
          <w:szCs w:val="20"/>
        </w:rPr>
        <w:tab/>
        <w:t>Náklady na produktové a procesní inovace v podnicích podle vlastnictví, velikostních skupin</w:t>
      </w:r>
      <w:r w:rsidR="00B14F4C" w:rsidRPr="00364F62">
        <w:rPr>
          <w:rFonts w:ascii="Arial" w:hAnsi="Arial" w:cs="Arial"/>
          <w:sz w:val="20"/>
          <w:szCs w:val="20"/>
        </w:rPr>
        <w:t xml:space="preserve"> a ekonomických činností v roce 2014</w:t>
      </w:r>
    </w:p>
    <w:p w:rsidR="00D575AE" w:rsidRPr="00364F62" w:rsidRDefault="00D575AE" w:rsidP="0096797C">
      <w:pPr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iCs/>
          <w:sz w:val="20"/>
          <w:szCs w:val="20"/>
        </w:rPr>
        <w:t>22</w:t>
      </w:r>
      <w:r w:rsidRPr="00364F62">
        <w:rPr>
          <w:rFonts w:ascii="Arial" w:hAnsi="Arial" w:cs="Arial"/>
          <w:sz w:val="20"/>
          <w:szCs w:val="20"/>
        </w:rPr>
        <w:t>-21.</w:t>
      </w:r>
      <w:r w:rsidRPr="00364F62">
        <w:rPr>
          <w:rFonts w:ascii="Arial" w:hAnsi="Arial" w:cs="Arial"/>
          <w:sz w:val="20"/>
          <w:szCs w:val="20"/>
        </w:rPr>
        <w:tab/>
        <w:t>Tržby podniků s produktovou inovací</w:t>
      </w:r>
    </w:p>
    <w:p w:rsidR="00D575AE" w:rsidRPr="00364F62" w:rsidRDefault="00D575AE" w:rsidP="0096797C">
      <w:pPr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iCs/>
          <w:sz w:val="20"/>
          <w:szCs w:val="20"/>
        </w:rPr>
        <w:t>22</w:t>
      </w:r>
      <w:r w:rsidRPr="00364F62">
        <w:rPr>
          <w:rFonts w:ascii="Arial" w:hAnsi="Arial" w:cs="Arial"/>
          <w:sz w:val="20"/>
          <w:szCs w:val="20"/>
        </w:rPr>
        <w:t>-22.</w:t>
      </w:r>
      <w:r w:rsidRPr="00364F62">
        <w:rPr>
          <w:rFonts w:ascii="Arial" w:hAnsi="Arial" w:cs="Arial"/>
          <w:sz w:val="20"/>
          <w:szCs w:val="20"/>
        </w:rPr>
        <w:tab/>
        <w:t>Tržby podniků s produktovou inovací podle vlastnictví, velikostních skupin</w:t>
      </w:r>
      <w:r w:rsidR="00B14F4C" w:rsidRPr="00364F62">
        <w:rPr>
          <w:rFonts w:ascii="Arial" w:hAnsi="Arial" w:cs="Arial"/>
          <w:sz w:val="20"/>
          <w:szCs w:val="20"/>
        </w:rPr>
        <w:t xml:space="preserve"> a ekonomických činností v roce 2014</w:t>
      </w:r>
    </w:p>
    <w:p w:rsidR="00EE106B" w:rsidRPr="00364F62" w:rsidRDefault="00EE106B" w:rsidP="00EE106B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23. Vzdělávání</w:t>
      </w:r>
    </w:p>
    <w:p w:rsidR="00D331C7" w:rsidRPr="00364F62" w:rsidRDefault="00D331C7" w:rsidP="00D331C7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23</w:t>
      </w:r>
      <w:r w:rsidRPr="00364F62">
        <w:rPr>
          <w:rFonts w:ascii="Arial" w:hAnsi="Arial" w:cs="Arial"/>
          <w:sz w:val="20"/>
          <w:szCs w:val="20"/>
        </w:rPr>
        <w:t>-4.</w:t>
      </w:r>
      <w:r w:rsidRPr="00364F62">
        <w:rPr>
          <w:rFonts w:ascii="Arial" w:hAnsi="Arial" w:cs="Arial"/>
          <w:sz w:val="20"/>
          <w:szCs w:val="20"/>
        </w:rPr>
        <w:tab/>
        <w:t>Základní školy – žáci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23</w:t>
      </w:r>
      <w:r w:rsidRPr="00364F62">
        <w:rPr>
          <w:rFonts w:ascii="Arial" w:hAnsi="Arial" w:cs="Arial"/>
          <w:iCs/>
          <w:sz w:val="20"/>
          <w:szCs w:val="20"/>
        </w:rPr>
        <w:t>-6.</w:t>
      </w:r>
      <w:r w:rsidRPr="00364F62">
        <w:rPr>
          <w:rFonts w:ascii="Arial" w:hAnsi="Arial" w:cs="Arial"/>
          <w:iCs/>
          <w:sz w:val="20"/>
          <w:szCs w:val="20"/>
        </w:rPr>
        <w:tab/>
        <w:t>Střední školy – žáci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23</w:t>
      </w:r>
      <w:r w:rsidRPr="00364F62">
        <w:rPr>
          <w:rFonts w:ascii="Arial" w:hAnsi="Arial" w:cs="Arial"/>
          <w:iCs/>
          <w:sz w:val="20"/>
          <w:szCs w:val="20"/>
        </w:rPr>
        <w:t>-20.</w:t>
      </w:r>
      <w:r w:rsidRPr="00364F62">
        <w:rPr>
          <w:rFonts w:ascii="Arial" w:hAnsi="Arial" w:cs="Arial"/>
          <w:iCs/>
          <w:sz w:val="20"/>
          <w:szCs w:val="20"/>
        </w:rPr>
        <w:tab/>
        <w:t>Vysoké školy veřejné – studenti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23</w:t>
      </w:r>
      <w:r w:rsidRPr="00364F62">
        <w:rPr>
          <w:rFonts w:ascii="Arial" w:hAnsi="Arial" w:cs="Arial"/>
          <w:iCs/>
          <w:sz w:val="20"/>
          <w:szCs w:val="20"/>
        </w:rPr>
        <w:t>-21.</w:t>
      </w:r>
      <w:r w:rsidRPr="00364F62">
        <w:rPr>
          <w:rFonts w:ascii="Arial" w:hAnsi="Arial" w:cs="Arial"/>
          <w:iCs/>
          <w:sz w:val="20"/>
          <w:szCs w:val="20"/>
        </w:rPr>
        <w:tab/>
        <w:t>Vysoké školy soukromé – studenti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23</w:t>
      </w:r>
      <w:r w:rsidRPr="00364F62">
        <w:rPr>
          <w:rFonts w:ascii="Arial" w:hAnsi="Arial" w:cs="Arial"/>
          <w:iCs/>
          <w:sz w:val="20"/>
          <w:szCs w:val="20"/>
        </w:rPr>
        <w:t>-27.</w:t>
      </w:r>
      <w:r w:rsidRPr="00364F62">
        <w:rPr>
          <w:rFonts w:ascii="Arial" w:hAnsi="Arial" w:cs="Arial"/>
          <w:iCs/>
          <w:sz w:val="20"/>
          <w:szCs w:val="20"/>
        </w:rPr>
        <w:tab/>
        <w:t xml:space="preserve">Vysoké školy veřejné – uchazeči o studium </w:t>
      </w:r>
      <w:r w:rsidR="00534E64" w:rsidRPr="00364F62">
        <w:rPr>
          <w:rFonts w:ascii="Arial" w:hAnsi="Arial" w:cs="Arial"/>
          <w:iCs/>
          <w:sz w:val="20"/>
          <w:szCs w:val="20"/>
        </w:rPr>
        <w:t xml:space="preserve">od 1. 11. 2014 do 31. 10. </w:t>
      </w:r>
      <w:r w:rsidRPr="00364F62">
        <w:rPr>
          <w:rFonts w:ascii="Arial" w:hAnsi="Arial" w:cs="Arial"/>
          <w:iCs/>
          <w:sz w:val="20"/>
          <w:szCs w:val="20"/>
        </w:rPr>
        <w:t>2015, podle instituce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23</w:t>
      </w:r>
      <w:r w:rsidRPr="00364F62">
        <w:rPr>
          <w:rFonts w:ascii="Arial" w:hAnsi="Arial" w:cs="Arial"/>
          <w:iCs/>
          <w:sz w:val="20"/>
          <w:szCs w:val="20"/>
        </w:rPr>
        <w:t>-28.</w:t>
      </w:r>
      <w:r w:rsidRPr="00364F62">
        <w:rPr>
          <w:rFonts w:ascii="Arial" w:hAnsi="Arial" w:cs="Arial"/>
          <w:iCs/>
          <w:sz w:val="20"/>
          <w:szCs w:val="20"/>
        </w:rPr>
        <w:tab/>
        <w:t xml:space="preserve">Vysoké školy soukromé – uchazeči o studium </w:t>
      </w:r>
      <w:r w:rsidR="00534E64" w:rsidRPr="00364F62">
        <w:rPr>
          <w:rFonts w:ascii="Arial" w:hAnsi="Arial" w:cs="Arial"/>
          <w:iCs/>
          <w:sz w:val="20"/>
          <w:szCs w:val="20"/>
        </w:rPr>
        <w:t xml:space="preserve">od 1. 11. 2014 do 31. 10. </w:t>
      </w:r>
      <w:r w:rsidRPr="00364F62">
        <w:rPr>
          <w:rFonts w:ascii="Arial" w:hAnsi="Arial" w:cs="Arial"/>
          <w:iCs/>
          <w:sz w:val="20"/>
          <w:szCs w:val="20"/>
        </w:rPr>
        <w:t>2015, podle instituce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23</w:t>
      </w:r>
      <w:r w:rsidRPr="00364F62">
        <w:rPr>
          <w:rFonts w:ascii="Arial" w:hAnsi="Arial" w:cs="Arial"/>
          <w:iCs/>
          <w:sz w:val="20"/>
          <w:szCs w:val="20"/>
        </w:rPr>
        <w:t>-29.</w:t>
      </w:r>
      <w:r w:rsidRPr="00364F62">
        <w:rPr>
          <w:rFonts w:ascii="Arial" w:hAnsi="Arial" w:cs="Arial"/>
          <w:iCs/>
          <w:sz w:val="20"/>
          <w:szCs w:val="20"/>
        </w:rPr>
        <w:tab/>
        <w:t>Vysoké školy veřejné a státní – studenti podle instituce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23</w:t>
      </w:r>
      <w:r w:rsidRPr="00364F62">
        <w:rPr>
          <w:rFonts w:ascii="Arial" w:hAnsi="Arial" w:cs="Arial"/>
          <w:iCs/>
          <w:sz w:val="20"/>
          <w:szCs w:val="20"/>
        </w:rPr>
        <w:t>-30.</w:t>
      </w:r>
      <w:r w:rsidRPr="00364F62">
        <w:rPr>
          <w:rFonts w:ascii="Arial" w:hAnsi="Arial" w:cs="Arial"/>
          <w:iCs/>
          <w:sz w:val="20"/>
          <w:szCs w:val="20"/>
        </w:rPr>
        <w:tab/>
        <w:t>Vysoké školy veřejné a státní – absolventi podle instituce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23</w:t>
      </w:r>
      <w:r w:rsidRPr="00364F62">
        <w:rPr>
          <w:rFonts w:ascii="Arial" w:hAnsi="Arial" w:cs="Arial"/>
          <w:iCs/>
          <w:sz w:val="20"/>
          <w:szCs w:val="20"/>
        </w:rPr>
        <w:t>-32.</w:t>
      </w:r>
      <w:r w:rsidRPr="00364F62">
        <w:rPr>
          <w:rFonts w:ascii="Arial" w:hAnsi="Arial" w:cs="Arial"/>
          <w:iCs/>
          <w:sz w:val="20"/>
          <w:szCs w:val="20"/>
        </w:rPr>
        <w:tab/>
        <w:t>Vysoké školy soukromé – absolventi podle instituce</w:t>
      </w:r>
    </w:p>
    <w:p w:rsidR="007772F9" w:rsidRPr="00364F62" w:rsidRDefault="007772F9" w:rsidP="007772F9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</w:t>
      </w:r>
      <w:r w:rsidR="00DC1C5F" w:rsidRPr="00364F62">
        <w:rPr>
          <w:rFonts w:ascii="Arial" w:hAnsi="Arial" w:cs="Arial"/>
          <w:b/>
          <w:sz w:val="20"/>
          <w:szCs w:val="20"/>
        </w:rPr>
        <w:t>4</w:t>
      </w:r>
      <w:r w:rsidRPr="00364F62">
        <w:rPr>
          <w:rFonts w:ascii="Arial" w:hAnsi="Arial" w:cs="Arial"/>
          <w:b/>
          <w:sz w:val="20"/>
          <w:szCs w:val="20"/>
        </w:rPr>
        <w:t xml:space="preserve">. </w:t>
      </w:r>
      <w:r w:rsidR="00DC1C5F" w:rsidRPr="00364F62">
        <w:rPr>
          <w:rFonts w:ascii="Arial" w:hAnsi="Arial" w:cs="Arial"/>
          <w:b/>
          <w:sz w:val="20"/>
          <w:szCs w:val="20"/>
        </w:rPr>
        <w:t>Zdravotnictví</w:t>
      </w:r>
    </w:p>
    <w:p w:rsidR="00D331C7" w:rsidRPr="00364F62" w:rsidRDefault="00D331C7" w:rsidP="00D331C7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-2.</w:t>
      </w:r>
      <w:r w:rsidRPr="00364F62">
        <w:rPr>
          <w:rFonts w:ascii="Arial" w:hAnsi="Arial" w:cs="Arial"/>
          <w:sz w:val="20"/>
          <w:szCs w:val="20"/>
        </w:rPr>
        <w:tab/>
        <w:t>Lůžková péče v nemocnicích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-3.</w:t>
      </w:r>
      <w:r w:rsidRPr="00364F62">
        <w:rPr>
          <w:rFonts w:ascii="Arial" w:hAnsi="Arial" w:cs="Arial"/>
          <w:sz w:val="20"/>
          <w:szCs w:val="20"/>
        </w:rPr>
        <w:tab/>
        <w:t>Lůžková péče v nemocnicích podle oddělení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-4.</w:t>
      </w:r>
      <w:r w:rsidRPr="00364F62">
        <w:rPr>
          <w:rFonts w:ascii="Arial" w:hAnsi="Arial" w:cs="Arial"/>
          <w:sz w:val="20"/>
          <w:szCs w:val="20"/>
        </w:rPr>
        <w:tab/>
        <w:t>Lůžková péče v odborných léčebných ústavech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-5.</w:t>
      </w:r>
      <w:r w:rsidRPr="00364F62">
        <w:rPr>
          <w:rFonts w:ascii="Arial" w:hAnsi="Arial" w:cs="Arial"/>
          <w:sz w:val="20"/>
          <w:szCs w:val="20"/>
        </w:rPr>
        <w:tab/>
        <w:t>Lázeňské léčebny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-6.</w:t>
      </w:r>
      <w:r w:rsidRPr="00364F62">
        <w:rPr>
          <w:rFonts w:ascii="Arial" w:hAnsi="Arial" w:cs="Arial"/>
          <w:sz w:val="20"/>
          <w:szCs w:val="20"/>
        </w:rPr>
        <w:tab/>
        <w:t>Lázeňská péče pro dospělé, dorost a děti v roce 2015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-7.</w:t>
      </w:r>
      <w:r w:rsidRPr="00364F62">
        <w:rPr>
          <w:rFonts w:ascii="Arial" w:hAnsi="Arial" w:cs="Arial"/>
          <w:sz w:val="20"/>
          <w:szCs w:val="20"/>
        </w:rPr>
        <w:tab/>
        <w:t>Pacienti přijatí do ústavní péče lázeňských léčeben podle onemocnění v roce 2015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-9.</w:t>
      </w:r>
      <w:r w:rsidRPr="00364F62">
        <w:rPr>
          <w:rFonts w:ascii="Arial" w:hAnsi="Arial" w:cs="Arial"/>
          <w:sz w:val="20"/>
          <w:szCs w:val="20"/>
        </w:rPr>
        <w:tab/>
        <w:t>Pracovní neschopnost pro nemoc a úraz – základní ukazatele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-10.</w:t>
      </w:r>
      <w:r w:rsidRPr="00364F62">
        <w:rPr>
          <w:rFonts w:ascii="Arial" w:hAnsi="Arial" w:cs="Arial"/>
          <w:sz w:val="20"/>
          <w:szCs w:val="20"/>
        </w:rPr>
        <w:tab/>
        <w:t>Smrtelné pracovní úrazy a nemoci z povolání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-11.</w:t>
      </w:r>
      <w:r w:rsidRPr="00364F62">
        <w:rPr>
          <w:rFonts w:ascii="Arial" w:hAnsi="Arial" w:cs="Arial"/>
          <w:sz w:val="20"/>
          <w:szCs w:val="20"/>
        </w:rPr>
        <w:tab/>
        <w:t>Ukončené případy pracovní neschopnosti podle pohlaví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-12.</w:t>
      </w:r>
      <w:r w:rsidRPr="00364F62">
        <w:rPr>
          <w:rFonts w:ascii="Arial" w:hAnsi="Arial" w:cs="Arial"/>
          <w:sz w:val="20"/>
          <w:szCs w:val="20"/>
        </w:rPr>
        <w:tab/>
        <w:t>Ukončené případy pracovní neschopnosti podle pohlaví a věkových skupin v roce 2015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-13.</w:t>
      </w:r>
      <w:r w:rsidRPr="00364F62">
        <w:rPr>
          <w:rFonts w:ascii="Arial" w:hAnsi="Arial" w:cs="Arial"/>
          <w:sz w:val="20"/>
          <w:szCs w:val="20"/>
        </w:rPr>
        <w:tab/>
        <w:t>Ukončené případy pracovní neschopnosti podle příčin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-14.</w:t>
      </w:r>
      <w:r w:rsidRPr="00364F62">
        <w:rPr>
          <w:rFonts w:ascii="Arial" w:hAnsi="Arial" w:cs="Arial"/>
          <w:sz w:val="20"/>
          <w:szCs w:val="20"/>
        </w:rPr>
        <w:tab/>
        <w:t>Ukončené případy pracovní neschopnosti podle pohlaví a příčin v roce 2015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-18.</w:t>
      </w:r>
      <w:r w:rsidRPr="00364F62">
        <w:rPr>
          <w:rFonts w:ascii="Arial" w:hAnsi="Arial" w:cs="Arial"/>
          <w:sz w:val="20"/>
          <w:szCs w:val="20"/>
        </w:rPr>
        <w:tab/>
        <w:t>Výdaje zdravotních pojišťoven na zdravotní péči podle vybraných diagnóz, pohlaví a věkových skupin v roce 2014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-20.</w:t>
      </w:r>
      <w:r w:rsidRPr="00364F62">
        <w:rPr>
          <w:rFonts w:ascii="Arial" w:hAnsi="Arial" w:cs="Arial"/>
          <w:sz w:val="20"/>
          <w:szCs w:val="20"/>
        </w:rPr>
        <w:tab/>
        <w:t>Výdaje domácností na zdravotní péči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-22.</w:t>
      </w:r>
      <w:r w:rsidRPr="00364F62">
        <w:rPr>
          <w:rFonts w:ascii="Arial" w:hAnsi="Arial" w:cs="Arial"/>
          <w:sz w:val="20"/>
          <w:szCs w:val="20"/>
        </w:rPr>
        <w:tab/>
        <w:t>Charakteristiky zdravotního stavu podle pohlaví a věkových skupin v roce 2014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-23.</w:t>
      </w:r>
      <w:r w:rsidRPr="00364F62">
        <w:rPr>
          <w:rFonts w:ascii="Arial" w:hAnsi="Arial" w:cs="Arial"/>
          <w:sz w:val="20"/>
          <w:szCs w:val="20"/>
        </w:rPr>
        <w:tab/>
        <w:t>Výskyt vybraných zdravotních problémů podle pohlaví a věkových skupin v roce 2014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-24.</w:t>
      </w:r>
      <w:r w:rsidRPr="00364F62">
        <w:rPr>
          <w:rFonts w:ascii="Arial" w:hAnsi="Arial" w:cs="Arial"/>
          <w:sz w:val="20"/>
          <w:szCs w:val="20"/>
        </w:rPr>
        <w:tab/>
        <w:t>Index tělesné hmotnosti, konzumace ovoce a zeleniny a f</w:t>
      </w:r>
      <w:r w:rsidR="00364F62" w:rsidRPr="00364F62">
        <w:rPr>
          <w:rFonts w:ascii="Arial" w:hAnsi="Arial" w:cs="Arial"/>
          <w:sz w:val="20"/>
          <w:szCs w:val="20"/>
        </w:rPr>
        <w:t>yzická aktivita podle pohlaví a </w:t>
      </w:r>
      <w:r w:rsidRPr="00364F62">
        <w:rPr>
          <w:rFonts w:ascii="Arial" w:hAnsi="Arial" w:cs="Arial"/>
          <w:sz w:val="20"/>
          <w:szCs w:val="20"/>
        </w:rPr>
        <w:t>věkových skupin v roce 2014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-25.</w:t>
      </w:r>
      <w:r w:rsidRPr="00364F62">
        <w:rPr>
          <w:rFonts w:ascii="Arial" w:hAnsi="Arial" w:cs="Arial"/>
          <w:sz w:val="20"/>
          <w:szCs w:val="20"/>
        </w:rPr>
        <w:tab/>
        <w:t>Kuřáci tabákových výrobků a konzumace alkoholu podle p</w:t>
      </w:r>
      <w:r w:rsidR="00364F62" w:rsidRPr="00364F62">
        <w:rPr>
          <w:rFonts w:ascii="Arial" w:hAnsi="Arial" w:cs="Arial"/>
          <w:sz w:val="20"/>
          <w:szCs w:val="20"/>
        </w:rPr>
        <w:t>ohlaví a věkových skupin v roce </w:t>
      </w:r>
      <w:r w:rsidRPr="00364F62">
        <w:rPr>
          <w:rFonts w:ascii="Arial" w:hAnsi="Arial" w:cs="Arial"/>
          <w:sz w:val="20"/>
          <w:szCs w:val="20"/>
        </w:rPr>
        <w:t>2014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24</w:t>
      </w:r>
      <w:r w:rsidRPr="00364F62">
        <w:rPr>
          <w:rFonts w:ascii="Arial" w:hAnsi="Arial" w:cs="Arial"/>
          <w:sz w:val="20"/>
          <w:szCs w:val="20"/>
        </w:rPr>
        <w:t>-26.</w:t>
      </w:r>
      <w:r w:rsidRPr="00364F62">
        <w:rPr>
          <w:rFonts w:ascii="Arial" w:hAnsi="Arial" w:cs="Arial"/>
          <w:sz w:val="20"/>
          <w:szCs w:val="20"/>
        </w:rPr>
        <w:tab/>
        <w:t xml:space="preserve"> Využívání preventivní péče podle pohlaví a věkových skupin v roce 2014</w:t>
      </w:r>
    </w:p>
    <w:p w:rsidR="00D331C7" w:rsidRPr="00364F62" w:rsidRDefault="00D331C7" w:rsidP="00D331C7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lastRenderedPageBreak/>
        <w:t>25. Sociální zabezpečení</w:t>
      </w:r>
    </w:p>
    <w:p w:rsidR="00D331C7" w:rsidRPr="00364F62" w:rsidRDefault="00D331C7" w:rsidP="00D331C7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25</w:t>
      </w:r>
      <w:r w:rsidRPr="00364F62">
        <w:rPr>
          <w:rFonts w:ascii="Arial" w:hAnsi="Arial" w:cs="Arial"/>
          <w:sz w:val="20"/>
          <w:szCs w:val="20"/>
        </w:rPr>
        <w:t>-3.</w:t>
      </w:r>
      <w:r w:rsidRPr="00364F62">
        <w:rPr>
          <w:rFonts w:ascii="Arial" w:hAnsi="Arial" w:cs="Arial"/>
          <w:sz w:val="20"/>
          <w:szCs w:val="20"/>
        </w:rPr>
        <w:tab/>
        <w:t>Příjemci důchodů podle druhu důchodu a pohlaví (stav k 31. 12.)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25</w:t>
      </w:r>
      <w:r w:rsidRPr="00364F62">
        <w:rPr>
          <w:rFonts w:ascii="Arial" w:hAnsi="Arial" w:cs="Arial"/>
          <w:sz w:val="20"/>
          <w:szCs w:val="20"/>
        </w:rPr>
        <w:t>-9.</w:t>
      </w:r>
      <w:r w:rsidRPr="00364F62">
        <w:rPr>
          <w:rFonts w:ascii="Arial" w:hAnsi="Arial" w:cs="Arial"/>
          <w:sz w:val="20"/>
          <w:szCs w:val="20"/>
        </w:rPr>
        <w:tab/>
        <w:t>Průměrný měsíční počet případů výplaty dávek nemocenského pojištění podle druhů dávek a pohlaví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25</w:t>
      </w:r>
      <w:r w:rsidRPr="00364F62">
        <w:rPr>
          <w:rFonts w:ascii="Arial" w:hAnsi="Arial" w:cs="Arial"/>
          <w:sz w:val="20"/>
          <w:szCs w:val="20"/>
        </w:rPr>
        <w:t>-13.</w:t>
      </w:r>
      <w:r w:rsidRPr="00364F62">
        <w:rPr>
          <w:rFonts w:ascii="Arial" w:hAnsi="Arial" w:cs="Arial"/>
          <w:sz w:val="20"/>
          <w:szCs w:val="20"/>
        </w:rPr>
        <w:tab/>
        <w:t>Dávky podpory v nezaměstnanosti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25</w:t>
      </w:r>
      <w:r w:rsidRPr="00364F62">
        <w:rPr>
          <w:rFonts w:ascii="Arial" w:hAnsi="Arial" w:cs="Arial"/>
          <w:sz w:val="20"/>
          <w:szCs w:val="20"/>
        </w:rPr>
        <w:t>-15.</w:t>
      </w:r>
      <w:r w:rsidRPr="00364F62">
        <w:rPr>
          <w:rFonts w:ascii="Arial" w:hAnsi="Arial" w:cs="Arial"/>
          <w:sz w:val="20"/>
          <w:szCs w:val="20"/>
        </w:rPr>
        <w:tab/>
        <w:t>Vybrané údaje o poskytnutých sociálních službách</w:t>
      </w:r>
    </w:p>
    <w:p w:rsidR="00D331C7" w:rsidRPr="00364F62" w:rsidRDefault="00D331C7" w:rsidP="00D331C7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26. Kultura a sport</w:t>
      </w:r>
    </w:p>
    <w:p w:rsidR="00D331C7" w:rsidRPr="00364F62" w:rsidRDefault="00D331C7" w:rsidP="00D331C7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26</w:t>
      </w:r>
      <w:r w:rsidRPr="00364F62">
        <w:rPr>
          <w:rFonts w:ascii="Arial" w:hAnsi="Arial" w:cs="Arial"/>
          <w:sz w:val="20"/>
          <w:szCs w:val="20"/>
        </w:rPr>
        <w:t>-2.</w:t>
      </w:r>
      <w:r w:rsidRPr="00364F62">
        <w:rPr>
          <w:rFonts w:ascii="Arial" w:hAnsi="Arial" w:cs="Arial"/>
          <w:sz w:val="20"/>
          <w:szCs w:val="20"/>
        </w:rPr>
        <w:tab/>
        <w:t>Státní, krajská a městská divadla – ekonomické ukazatele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26</w:t>
      </w:r>
      <w:r w:rsidRPr="00364F62">
        <w:rPr>
          <w:rFonts w:ascii="Arial" w:hAnsi="Arial" w:cs="Arial"/>
          <w:sz w:val="20"/>
          <w:szCs w:val="20"/>
        </w:rPr>
        <w:t>-5.</w:t>
      </w:r>
      <w:r w:rsidRPr="00364F62">
        <w:rPr>
          <w:rFonts w:ascii="Arial" w:hAnsi="Arial" w:cs="Arial"/>
          <w:sz w:val="20"/>
          <w:szCs w:val="20"/>
        </w:rPr>
        <w:tab/>
        <w:t>Státní, krajská a městská muzea, památníky a galerie – ekonomické ukazatele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26</w:t>
      </w:r>
      <w:r w:rsidRPr="00364F62">
        <w:rPr>
          <w:rFonts w:ascii="Arial" w:hAnsi="Arial" w:cs="Arial"/>
          <w:sz w:val="20"/>
          <w:szCs w:val="20"/>
        </w:rPr>
        <w:t>-8.</w:t>
      </w:r>
      <w:r w:rsidRPr="00364F62">
        <w:rPr>
          <w:rFonts w:ascii="Arial" w:hAnsi="Arial" w:cs="Arial"/>
          <w:sz w:val="20"/>
          <w:szCs w:val="20"/>
        </w:rPr>
        <w:tab/>
        <w:t>Státní, krajské a městské památkové objekty s kulturním využitím – ekonomické ukazatele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26</w:t>
      </w:r>
      <w:r w:rsidRPr="00364F62">
        <w:rPr>
          <w:rFonts w:ascii="Arial" w:hAnsi="Arial" w:cs="Arial"/>
          <w:sz w:val="20"/>
          <w:szCs w:val="20"/>
        </w:rPr>
        <w:t>-11.</w:t>
      </w:r>
      <w:r w:rsidRPr="00364F62">
        <w:rPr>
          <w:rFonts w:ascii="Arial" w:hAnsi="Arial" w:cs="Arial"/>
          <w:sz w:val="20"/>
          <w:szCs w:val="20"/>
        </w:rPr>
        <w:tab/>
        <w:t>Knihovny zřízené Ministerstvem kultury, kraji a knihovny s regionálními funkcemi – ekonomické ukazatele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26</w:t>
      </w:r>
      <w:r w:rsidRPr="00364F62">
        <w:rPr>
          <w:rFonts w:ascii="Arial" w:hAnsi="Arial" w:cs="Arial"/>
          <w:sz w:val="20"/>
          <w:szCs w:val="20"/>
        </w:rPr>
        <w:t>-22.</w:t>
      </w:r>
      <w:r w:rsidRPr="00364F62">
        <w:rPr>
          <w:rFonts w:ascii="Arial" w:hAnsi="Arial" w:cs="Arial"/>
          <w:sz w:val="20"/>
          <w:szCs w:val="20"/>
        </w:rPr>
        <w:tab/>
        <w:t>Festivaly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26</w:t>
      </w:r>
      <w:r w:rsidRPr="00364F62">
        <w:rPr>
          <w:rFonts w:ascii="Arial" w:hAnsi="Arial" w:cs="Arial"/>
          <w:sz w:val="20"/>
          <w:szCs w:val="20"/>
        </w:rPr>
        <w:t>-23.</w:t>
      </w:r>
      <w:r w:rsidRPr="00364F62">
        <w:rPr>
          <w:rFonts w:ascii="Arial" w:hAnsi="Arial" w:cs="Arial"/>
          <w:sz w:val="20"/>
          <w:szCs w:val="20"/>
        </w:rPr>
        <w:tab/>
        <w:t>Festivaly – ekonomické ukazatele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26</w:t>
      </w:r>
      <w:r w:rsidRPr="00364F62">
        <w:rPr>
          <w:rFonts w:ascii="Arial" w:hAnsi="Arial" w:cs="Arial"/>
          <w:sz w:val="20"/>
          <w:szCs w:val="20"/>
        </w:rPr>
        <w:t>-25.</w:t>
      </w:r>
      <w:r w:rsidRPr="00364F62">
        <w:rPr>
          <w:rFonts w:ascii="Arial" w:hAnsi="Arial" w:cs="Arial"/>
          <w:sz w:val="20"/>
          <w:szCs w:val="20"/>
        </w:rPr>
        <w:tab/>
        <w:t>Vydávání novin a časopisů a maloobchod s periodickým tiskem</w:t>
      </w:r>
    </w:p>
    <w:p w:rsidR="00D331C7" w:rsidRPr="00364F62" w:rsidRDefault="00D331C7" w:rsidP="00D331C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26</w:t>
      </w:r>
      <w:r w:rsidRPr="00364F62">
        <w:rPr>
          <w:rFonts w:ascii="Arial" w:hAnsi="Arial" w:cs="Arial"/>
          <w:sz w:val="20"/>
          <w:szCs w:val="20"/>
        </w:rPr>
        <w:t>-27.</w:t>
      </w:r>
      <w:r w:rsidRPr="00364F62">
        <w:rPr>
          <w:rFonts w:ascii="Arial" w:hAnsi="Arial" w:cs="Arial"/>
          <w:sz w:val="20"/>
          <w:szCs w:val="20"/>
        </w:rPr>
        <w:tab/>
        <w:t>Vydávání knih a maloobchod s neperiodickým tiskem</w:t>
      </w:r>
    </w:p>
    <w:p w:rsidR="00D8756F" w:rsidRPr="00364F62" w:rsidRDefault="00D8756F" w:rsidP="00D8756F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28. Mezinárodní srovnání</w:t>
      </w:r>
    </w:p>
    <w:p w:rsidR="003561A5" w:rsidRPr="00364F62" w:rsidRDefault="00497C80" w:rsidP="00497C80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sz w:val="20"/>
          <w:szCs w:val="20"/>
        </w:rPr>
        <w:t>28</w:t>
      </w:r>
      <w:r w:rsidRPr="00364F62">
        <w:rPr>
          <w:rFonts w:ascii="Arial" w:hAnsi="Arial" w:cs="Arial"/>
          <w:sz w:val="20"/>
          <w:szCs w:val="20"/>
        </w:rPr>
        <w:t>-14.</w:t>
      </w:r>
      <w:r w:rsidRPr="00364F62">
        <w:rPr>
          <w:rFonts w:ascii="Arial" w:hAnsi="Arial" w:cs="Arial"/>
          <w:sz w:val="20"/>
          <w:szCs w:val="20"/>
        </w:rPr>
        <w:tab/>
        <w:t>Celoživotní vzdělávání</w:t>
      </w:r>
    </w:p>
    <w:sectPr w:rsidR="003561A5" w:rsidRPr="00364F62" w:rsidSect="0083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D4" w:rsidRDefault="006D78D4">
      <w:r>
        <w:separator/>
      </w:r>
    </w:p>
  </w:endnote>
  <w:endnote w:type="continuationSeparator" w:id="0">
    <w:p w:rsidR="006D78D4" w:rsidRDefault="006D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D4" w:rsidRDefault="006D78D4">
      <w:r>
        <w:separator/>
      </w:r>
    </w:p>
  </w:footnote>
  <w:footnote w:type="continuationSeparator" w:id="0">
    <w:p w:rsidR="006D78D4" w:rsidRDefault="006D7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E5B"/>
    <w:rsid w:val="00001C8D"/>
    <w:rsid w:val="00017D2C"/>
    <w:rsid w:val="0002719E"/>
    <w:rsid w:val="000320B6"/>
    <w:rsid w:val="00037DE4"/>
    <w:rsid w:val="00046EB0"/>
    <w:rsid w:val="00050709"/>
    <w:rsid w:val="00055FAB"/>
    <w:rsid w:val="00061C93"/>
    <w:rsid w:val="00073789"/>
    <w:rsid w:val="00084992"/>
    <w:rsid w:val="000913C0"/>
    <w:rsid w:val="00093845"/>
    <w:rsid w:val="00094E6F"/>
    <w:rsid w:val="000A01C8"/>
    <w:rsid w:val="000A051A"/>
    <w:rsid w:val="000A31BF"/>
    <w:rsid w:val="000A3C6B"/>
    <w:rsid w:val="000A52CC"/>
    <w:rsid w:val="000B5E32"/>
    <w:rsid w:val="000F1964"/>
    <w:rsid w:val="000F6EE9"/>
    <w:rsid w:val="000F7B66"/>
    <w:rsid w:val="0010355C"/>
    <w:rsid w:val="00117001"/>
    <w:rsid w:val="00123C87"/>
    <w:rsid w:val="00136165"/>
    <w:rsid w:val="00141355"/>
    <w:rsid w:val="0014210B"/>
    <w:rsid w:val="0015531C"/>
    <w:rsid w:val="00174A59"/>
    <w:rsid w:val="00181FD2"/>
    <w:rsid w:val="00192927"/>
    <w:rsid w:val="00192A39"/>
    <w:rsid w:val="001931FE"/>
    <w:rsid w:val="001C07DC"/>
    <w:rsid w:val="001C5F0B"/>
    <w:rsid w:val="001C7E2C"/>
    <w:rsid w:val="001F6F9C"/>
    <w:rsid w:val="00205FE7"/>
    <w:rsid w:val="00207F26"/>
    <w:rsid w:val="00213227"/>
    <w:rsid w:val="002139A0"/>
    <w:rsid w:val="00227802"/>
    <w:rsid w:val="00231D3F"/>
    <w:rsid w:val="00235B58"/>
    <w:rsid w:val="0023635F"/>
    <w:rsid w:val="00243A7C"/>
    <w:rsid w:val="002469FE"/>
    <w:rsid w:val="002542AA"/>
    <w:rsid w:val="00257C02"/>
    <w:rsid w:val="0026010C"/>
    <w:rsid w:val="00267218"/>
    <w:rsid w:val="00272275"/>
    <w:rsid w:val="00281B90"/>
    <w:rsid w:val="00281D6C"/>
    <w:rsid w:val="00282B5E"/>
    <w:rsid w:val="00297041"/>
    <w:rsid w:val="002C5248"/>
    <w:rsid w:val="002C7F59"/>
    <w:rsid w:val="002D1007"/>
    <w:rsid w:val="002D3B88"/>
    <w:rsid w:val="00302426"/>
    <w:rsid w:val="003165FB"/>
    <w:rsid w:val="00321663"/>
    <w:rsid w:val="003259FB"/>
    <w:rsid w:val="00327FD0"/>
    <w:rsid w:val="0033764F"/>
    <w:rsid w:val="00343DED"/>
    <w:rsid w:val="00344D9C"/>
    <w:rsid w:val="003523BA"/>
    <w:rsid w:val="003561A5"/>
    <w:rsid w:val="00364F62"/>
    <w:rsid w:val="00374356"/>
    <w:rsid w:val="003925B0"/>
    <w:rsid w:val="003928D9"/>
    <w:rsid w:val="003A1762"/>
    <w:rsid w:val="003B3EE8"/>
    <w:rsid w:val="003B4334"/>
    <w:rsid w:val="003B664D"/>
    <w:rsid w:val="003C3FD3"/>
    <w:rsid w:val="003D1E8C"/>
    <w:rsid w:val="003E4CD0"/>
    <w:rsid w:val="003E6B21"/>
    <w:rsid w:val="00403764"/>
    <w:rsid w:val="00435781"/>
    <w:rsid w:val="004459CC"/>
    <w:rsid w:val="00462BB5"/>
    <w:rsid w:val="00464C71"/>
    <w:rsid w:val="00471479"/>
    <w:rsid w:val="0047214F"/>
    <w:rsid w:val="0047488A"/>
    <w:rsid w:val="00497C80"/>
    <w:rsid w:val="004A79D4"/>
    <w:rsid w:val="004B4F3C"/>
    <w:rsid w:val="004C412A"/>
    <w:rsid w:val="004E062F"/>
    <w:rsid w:val="004E7D09"/>
    <w:rsid w:val="004F6041"/>
    <w:rsid w:val="004F7F4E"/>
    <w:rsid w:val="00520F6D"/>
    <w:rsid w:val="0052155F"/>
    <w:rsid w:val="005308DE"/>
    <w:rsid w:val="00534E64"/>
    <w:rsid w:val="00535A84"/>
    <w:rsid w:val="005426EC"/>
    <w:rsid w:val="0054754B"/>
    <w:rsid w:val="00547D53"/>
    <w:rsid w:val="00562697"/>
    <w:rsid w:val="00564CDE"/>
    <w:rsid w:val="005651E3"/>
    <w:rsid w:val="00571D2B"/>
    <w:rsid w:val="00575575"/>
    <w:rsid w:val="005848B9"/>
    <w:rsid w:val="005A35B7"/>
    <w:rsid w:val="005A55E2"/>
    <w:rsid w:val="005B06D4"/>
    <w:rsid w:val="005B6CB5"/>
    <w:rsid w:val="005B76A3"/>
    <w:rsid w:val="005B77A2"/>
    <w:rsid w:val="005F3C19"/>
    <w:rsid w:val="00614C5B"/>
    <w:rsid w:val="00617514"/>
    <w:rsid w:val="006219FC"/>
    <w:rsid w:val="006474CC"/>
    <w:rsid w:val="00651E98"/>
    <w:rsid w:val="00657762"/>
    <w:rsid w:val="00666471"/>
    <w:rsid w:val="00667F2D"/>
    <w:rsid w:val="006823C5"/>
    <w:rsid w:val="00683513"/>
    <w:rsid w:val="006C00F8"/>
    <w:rsid w:val="006D01AC"/>
    <w:rsid w:val="006D78D4"/>
    <w:rsid w:val="006E19E2"/>
    <w:rsid w:val="007044B5"/>
    <w:rsid w:val="007045F8"/>
    <w:rsid w:val="00707A73"/>
    <w:rsid w:val="00733126"/>
    <w:rsid w:val="007350A0"/>
    <w:rsid w:val="007512B3"/>
    <w:rsid w:val="007602CE"/>
    <w:rsid w:val="007668ED"/>
    <w:rsid w:val="007772F9"/>
    <w:rsid w:val="00791FB3"/>
    <w:rsid w:val="007A0AA8"/>
    <w:rsid w:val="007A3BAA"/>
    <w:rsid w:val="007A598D"/>
    <w:rsid w:val="007A6BC4"/>
    <w:rsid w:val="007B2B26"/>
    <w:rsid w:val="007C2830"/>
    <w:rsid w:val="007D7C54"/>
    <w:rsid w:val="007F0621"/>
    <w:rsid w:val="007F1231"/>
    <w:rsid w:val="007F325D"/>
    <w:rsid w:val="007F6720"/>
    <w:rsid w:val="00810EAC"/>
    <w:rsid w:val="00815C29"/>
    <w:rsid w:val="00822D1D"/>
    <w:rsid w:val="0082513B"/>
    <w:rsid w:val="0082768A"/>
    <w:rsid w:val="00831F25"/>
    <w:rsid w:val="00832F02"/>
    <w:rsid w:val="00835AF9"/>
    <w:rsid w:val="00863CD5"/>
    <w:rsid w:val="008717CE"/>
    <w:rsid w:val="00871BD2"/>
    <w:rsid w:val="008821A6"/>
    <w:rsid w:val="00882F7F"/>
    <w:rsid w:val="00885C21"/>
    <w:rsid w:val="00887559"/>
    <w:rsid w:val="00890C61"/>
    <w:rsid w:val="00895907"/>
    <w:rsid w:val="008A5798"/>
    <w:rsid w:val="008B5013"/>
    <w:rsid w:val="008C50D5"/>
    <w:rsid w:val="008C7B72"/>
    <w:rsid w:val="008D55C6"/>
    <w:rsid w:val="008E1267"/>
    <w:rsid w:val="008E3D6D"/>
    <w:rsid w:val="009023C6"/>
    <w:rsid w:val="00904D69"/>
    <w:rsid w:val="009064D1"/>
    <w:rsid w:val="00914ADC"/>
    <w:rsid w:val="00931562"/>
    <w:rsid w:val="00934641"/>
    <w:rsid w:val="00935489"/>
    <w:rsid w:val="0093637E"/>
    <w:rsid w:val="00942946"/>
    <w:rsid w:val="00943BB6"/>
    <w:rsid w:val="00955BA3"/>
    <w:rsid w:val="0095700E"/>
    <w:rsid w:val="0096797C"/>
    <w:rsid w:val="00974AC7"/>
    <w:rsid w:val="00976943"/>
    <w:rsid w:val="00981E5B"/>
    <w:rsid w:val="0098583B"/>
    <w:rsid w:val="0098619A"/>
    <w:rsid w:val="009A1E0A"/>
    <w:rsid w:val="009A4F0A"/>
    <w:rsid w:val="009C285F"/>
    <w:rsid w:val="009D05F8"/>
    <w:rsid w:val="00A167A8"/>
    <w:rsid w:val="00A311B3"/>
    <w:rsid w:val="00A31D5D"/>
    <w:rsid w:val="00A377C5"/>
    <w:rsid w:val="00A403D2"/>
    <w:rsid w:val="00A42D86"/>
    <w:rsid w:val="00A42D97"/>
    <w:rsid w:val="00A45011"/>
    <w:rsid w:val="00A45770"/>
    <w:rsid w:val="00A644AE"/>
    <w:rsid w:val="00A70652"/>
    <w:rsid w:val="00A7371B"/>
    <w:rsid w:val="00A808E5"/>
    <w:rsid w:val="00A85633"/>
    <w:rsid w:val="00A95479"/>
    <w:rsid w:val="00A965F8"/>
    <w:rsid w:val="00AA65B2"/>
    <w:rsid w:val="00AD371A"/>
    <w:rsid w:val="00AD4B1B"/>
    <w:rsid w:val="00AD738B"/>
    <w:rsid w:val="00AE229C"/>
    <w:rsid w:val="00B14F4C"/>
    <w:rsid w:val="00B21CF1"/>
    <w:rsid w:val="00B23F71"/>
    <w:rsid w:val="00B25BBB"/>
    <w:rsid w:val="00B357BB"/>
    <w:rsid w:val="00B35C2C"/>
    <w:rsid w:val="00B45F74"/>
    <w:rsid w:val="00B5547E"/>
    <w:rsid w:val="00B74AAD"/>
    <w:rsid w:val="00B82650"/>
    <w:rsid w:val="00B82945"/>
    <w:rsid w:val="00B90B77"/>
    <w:rsid w:val="00BC7C7F"/>
    <w:rsid w:val="00BD1B93"/>
    <w:rsid w:val="00BD4B41"/>
    <w:rsid w:val="00BD5B15"/>
    <w:rsid w:val="00BE47E9"/>
    <w:rsid w:val="00BF6237"/>
    <w:rsid w:val="00C278F1"/>
    <w:rsid w:val="00C36706"/>
    <w:rsid w:val="00C4050F"/>
    <w:rsid w:val="00C41D8B"/>
    <w:rsid w:val="00C50878"/>
    <w:rsid w:val="00C80BF4"/>
    <w:rsid w:val="00C83E25"/>
    <w:rsid w:val="00C85491"/>
    <w:rsid w:val="00CA07EC"/>
    <w:rsid w:val="00CB07D8"/>
    <w:rsid w:val="00CC0575"/>
    <w:rsid w:val="00CD5C37"/>
    <w:rsid w:val="00CD6AC2"/>
    <w:rsid w:val="00CE5F96"/>
    <w:rsid w:val="00CF3D14"/>
    <w:rsid w:val="00CF5F3A"/>
    <w:rsid w:val="00CF6B64"/>
    <w:rsid w:val="00D05F35"/>
    <w:rsid w:val="00D26D3E"/>
    <w:rsid w:val="00D32F22"/>
    <w:rsid w:val="00D331C7"/>
    <w:rsid w:val="00D34E58"/>
    <w:rsid w:val="00D37EFF"/>
    <w:rsid w:val="00D5412C"/>
    <w:rsid w:val="00D575AE"/>
    <w:rsid w:val="00D63335"/>
    <w:rsid w:val="00D65C81"/>
    <w:rsid w:val="00D75F6D"/>
    <w:rsid w:val="00D7754E"/>
    <w:rsid w:val="00D83ECB"/>
    <w:rsid w:val="00D8756F"/>
    <w:rsid w:val="00D87CEF"/>
    <w:rsid w:val="00DC0FE6"/>
    <w:rsid w:val="00DC1C5F"/>
    <w:rsid w:val="00DD1322"/>
    <w:rsid w:val="00DD52A0"/>
    <w:rsid w:val="00DE390F"/>
    <w:rsid w:val="00DF0AD0"/>
    <w:rsid w:val="00E0259F"/>
    <w:rsid w:val="00E1067F"/>
    <w:rsid w:val="00E13369"/>
    <w:rsid w:val="00E13593"/>
    <w:rsid w:val="00E236BE"/>
    <w:rsid w:val="00E25AD1"/>
    <w:rsid w:val="00E46F72"/>
    <w:rsid w:val="00E52355"/>
    <w:rsid w:val="00E626BC"/>
    <w:rsid w:val="00E66377"/>
    <w:rsid w:val="00E712F8"/>
    <w:rsid w:val="00E828BE"/>
    <w:rsid w:val="00E85E4F"/>
    <w:rsid w:val="00E87179"/>
    <w:rsid w:val="00E948C1"/>
    <w:rsid w:val="00E96697"/>
    <w:rsid w:val="00EB33FA"/>
    <w:rsid w:val="00EC75C6"/>
    <w:rsid w:val="00EE106B"/>
    <w:rsid w:val="00EF2E6B"/>
    <w:rsid w:val="00EF710C"/>
    <w:rsid w:val="00F16993"/>
    <w:rsid w:val="00F33C79"/>
    <w:rsid w:val="00F37045"/>
    <w:rsid w:val="00F60962"/>
    <w:rsid w:val="00F62C24"/>
    <w:rsid w:val="00F639BA"/>
    <w:rsid w:val="00F779AB"/>
    <w:rsid w:val="00F90D8E"/>
    <w:rsid w:val="00FA4C4E"/>
    <w:rsid w:val="00FB2FEC"/>
    <w:rsid w:val="00FC4E9F"/>
    <w:rsid w:val="00FC542A"/>
    <w:rsid w:val="00FD5631"/>
    <w:rsid w:val="00FE2530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5F8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7045F8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7045F8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45F8"/>
    <w:pPr>
      <w:jc w:val="both"/>
    </w:pPr>
  </w:style>
  <w:style w:type="paragraph" w:styleId="Zkladntextodsazen">
    <w:name w:val="Body Text Indent"/>
    <w:basedOn w:val="Normln"/>
    <w:semiHidden/>
    <w:rsid w:val="007045F8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7045F8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7045F8"/>
    <w:pPr>
      <w:ind w:left="1418" w:hanging="709"/>
      <w:jc w:val="both"/>
    </w:pPr>
  </w:style>
  <w:style w:type="paragraph" w:styleId="Zhlav">
    <w:name w:val="header"/>
    <w:basedOn w:val="Normln"/>
    <w:semiHidden/>
    <w:rsid w:val="007045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45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045F8"/>
  </w:style>
  <w:style w:type="paragraph" w:customStyle="1" w:styleId="Zkladntext21">
    <w:name w:val="Základní text 21"/>
    <w:basedOn w:val="Normln"/>
    <w:rsid w:val="007045F8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46D8-F235-4C1D-90C5-E7A951C9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Ing. Dana Habartová</cp:lastModifiedBy>
  <cp:revision>2</cp:revision>
  <cp:lastPrinted>2016-09-29T08:45:00Z</cp:lastPrinted>
  <dcterms:created xsi:type="dcterms:W3CDTF">2016-10-25T12:16:00Z</dcterms:created>
  <dcterms:modified xsi:type="dcterms:W3CDTF">2016-10-25T12:16:00Z</dcterms:modified>
</cp:coreProperties>
</file>