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F8" w:rsidRPr="00F43D2E" w:rsidRDefault="00475CF8" w:rsidP="00960769">
      <w:pPr>
        <w:rPr>
          <w:sz w:val="2"/>
          <w:szCs w:val="2"/>
          <w:lang w:val="en-GB"/>
        </w:rPr>
      </w:pPr>
    </w:p>
    <w:p w:rsidR="00475CF8" w:rsidRPr="00F43D2E" w:rsidRDefault="00475CF8" w:rsidP="00960769">
      <w:pPr>
        <w:rPr>
          <w:sz w:val="2"/>
          <w:szCs w:val="2"/>
          <w:lang w:val="en-GB"/>
        </w:rPr>
      </w:pPr>
    </w:p>
    <w:p w:rsidR="00475CF8" w:rsidRPr="00F43D2E" w:rsidRDefault="00475CF8" w:rsidP="00960769">
      <w:pPr>
        <w:rPr>
          <w:sz w:val="2"/>
          <w:szCs w:val="2"/>
          <w:lang w:val="en-GB"/>
        </w:rPr>
      </w:pPr>
    </w:p>
    <w:p w:rsidR="002E435E" w:rsidRPr="00F43D2E" w:rsidRDefault="002E435E" w:rsidP="00376A9D">
      <w:pPr>
        <w:pStyle w:val="Nadpis1"/>
        <w:numPr>
          <w:ilvl w:val="0"/>
          <w:numId w:val="7"/>
        </w:numPr>
        <w:jc w:val="both"/>
        <w:rPr>
          <w:lang w:val="en-GB"/>
        </w:rPr>
      </w:pPr>
      <w:bookmarkStart w:id="0" w:name="_Toc454185155"/>
      <w:r w:rsidRPr="00F43D2E">
        <w:rPr>
          <w:lang w:val="en-GB"/>
        </w:rPr>
        <w:t>St</w:t>
      </w:r>
      <w:r w:rsidR="00827E77" w:rsidRPr="00F43D2E">
        <w:rPr>
          <w:lang w:val="en-GB"/>
        </w:rPr>
        <w:t>ate Budget</w:t>
      </w:r>
      <w:bookmarkEnd w:id="0"/>
    </w:p>
    <w:tbl>
      <w:tblPr>
        <w:tblW w:w="5000" w:type="pct"/>
        <w:tblCellMar>
          <w:left w:w="28" w:type="dxa"/>
          <w:right w:w="28" w:type="dxa"/>
        </w:tblCellMar>
        <w:tblLook w:val="04A0"/>
      </w:tblPr>
      <w:tblGrid>
        <w:gridCol w:w="2044"/>
        <w:gridCol w:w="275"/>
        <w:gridCol w:w="7375"/>
      </w:tblGrid>
      <w:tr w:rsidR="000F74B6" w:rsidRPr="00F43D2E" w:rsidTr="00AF5D62">
        <w:tc>
          <w:tcPr>
            <w:tcW w:w="1054" w:type="pct"/>
          </w:tcPr>
          <w:p w:rsidR="000F74B6" w:rsidRPr="00F43D2E" w:rsidRDefault="002C0E23" w:rsidP="003B4683">
            <w:pPr>
              <w:spacing w:line="240" w:lineRule="auto"/>
              <w:rPr>
                <w:rFonts w:cs="Arial"/>
                <w:color w:val="0D0D0D" w:themeColor="text1" w:themeTint="F2"/>
                <w:spacing w:val="-4"/>
                <w:sz w:val="16"/>
                <w:szCs w:val="16"/>
                <w:lang w:val="en-GB"/>
              </w:rPr>
            </w:pPr>
            <w:r w:rsidRPr="00F43D2E">
              <w:rPr>
                <w:color w:val="0D0D0D"/>
                <w:sz w:val="16"/>
                <w:szCs w:val="16"/>
                <w:lang w:val="en-GB"/>
              </w:rPr>
              <w:t>Continuing swift growth of the economy in combination with the effects of irregular drawing on the European funds</w:t>
            </w:r>
            <w:r w:rsidR="003B4683" w:rsidRPr="00F43D2E">
              <w:rPr>
                <w:color w:val="0D0D0D"/>
                <w:sz w:val="16"/>
                <w:szCs w:val="16"/>
                <w:lang w:val="en-GB"/>
              </w:rPr>
              <w:t xml:space="preserve"> led </w:t>
            </w:r>
            <w:r w:rsidRPr="00F43D2E">
              <w:rPr>
                <w:color w:val="0D0D0D"/>
                <w:sz w:val="16"/>
                <w:szCs w:val="16"/>
                <w:lang w:val="en-GB"/>
              </w:rPr>
              <w:t>to the so far record size of the SB surplus</w:t>
            </w:r>
            <w:proofErr w:type="gramStart"/>
            <w:r w:rsidRPr="00F43D2E">
              <w:rPr>
                <w:color w:val="0D0D0D"/>
                <w:sz w:val="16"/>
                <w:szCs w:val="16"/>
                <w:lang w:val="en-GB"/>
              </w:rPr>
              <w:t>,…</w:t>
            </w:r>
            <w:proofErr w:type="gramEnd"/>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27D6C" w:rsidRDefault="002C0E23" w:rsidP="00AF5D62">
            <w:pPr>
              <w:pStyle w:val="Textpoznpodarou"/>
              <w:jc w:val="both"/>
              <w:rPr>
                <w:lang w:val="en-GB"/>
              </w:rPr>
            </w:pPr>
            <w:r w:rsidRPr="00F43D2E">
              <w:rPr>
                <w:color w:val="0D0D0D"/>
                <w:lang w:val="en-GB"/>
              </w:rPr>
              <w:t xml:space="preserve">The irregularities in drawing of funds from the EU budget were essentially reflected in the results of the state budget (SB) during the year 2016. While the revenues (in cash fulfilment) were still significantly strengthened by the finishing financial flows linked to the recently completed programme period, capital </w:t>
            </w:r>
            <w:r w:rsidR="00902BDD" w:rsidRPr="00F43D2E">
              <w:rPr>
                <w:color w:val="0D0D0D"/>
                <w:lang w:val="en-GB"/>
              </w:rPr>
              <w:t>expenditure</w:t>
            </w:r>
            <w:r w:rsidRPr="00F43D2E">
              <w:rPr>
                <w:color w:val="0D0D0D"/>
                <w:lang w:val="en-GB"/>
              </w:rPr>
              <w:t xml:space="preserve"> on the common CR and EU projects considerably muted due to the overall low readiness of larger projects on the start of a new programme period this year. </w:t>
            </w:r>
            <w:r w:rsidR="00555463">
              <w:rPr>
                <w:color w:val="0D0D0D"/>
                <w:lang w:val="en-GB"/>
              </w:rPr>
              <w:t>Beside these effects</w:t>
            </w:r>
            <w:r w:rsidR="003D3D90">
              <w:rPr>
                <w:color w:val="0D0D0D"/>
                <w:lang w:val="en-GB"/>
              </w:rPr>
              <w:t>,</w:t>
            </w:r>
            <w:r w:rsidR="00555463">
              <w:rPr>
                <w:color w:val="0D0D0D"/>
                <w:lang w:val="en-GB"/>
              </w:rPr>
              <w:t xml:space="preserve"> </w:t>
            </w:r>
            <w:r w:rsidR="00902BDD" w:rsidRPr="00F43D2E">
              <w:rPr>
                <w:color w:val="0D0D0D"/>
                <w:lang w:val="en-GB"/>
              </w:rPr>
              <w:t>the economic growth have been mirrored mainly in the revenue side of the budget more and more visibly several quarters in a row, especially via the growing collection of direct taxes.  </w:t>
            </w:r>
            <w:r w:rsidR="00902BDD" w:rsidRPr="00F43D2E">
              <w:rPr>
                <w:rFonts w:cs="Arial"/>
                <w:color w:val="0D0D0D"/>
                <w:spacing w:val="-4"/>
                <w:sz w:val="15"/>
                <w:szCs w:val="15"/>
                <w:lang w:val="en-GB"/>
              </w:rPr>
              <w:t xml:space="preserve"> </w:t>
            </w:r>
          </w:p>
          <w:p w:rsidR="002C0E23" w:rsidRPr="00F43D2E" w:rsidRDefault="002C0E23"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2C0E23" w:rsidP="00AF5D62">
            <w:pPr>
              <w:spacing w:line="240" w:lineRule="auto"/>
              <w:rPr>
                <w:rFonts w:cs="Arial"/>
                <w:color w:val="0D0D0D" w:themeColor="text1" w:themeTint="F2"/>
                <w:spacing w:val="-4"/>
                <w:sz w:val="16"/>
                <w:szCs w:val="16"/>
                <w:lang w:val="en-GB"/>
              </w:rPr>
            </w:pPr>
            <w:r w:rsidRPr="00F43D2E">
              <w:rPr>
                <w:color w:val="0D0D0D"/>
                <w:lang w:val="en-GB"/>
              </w:rPr>
              <w:t>…</w:t>
            </w:r>
            <w:r w:rsidR="00EF1542">
              <w:rPr>
                <w:color w:val="0D0D0D"/>
                <w:sz w:val="16"/>
                <w:szCs w:val="16"/>
                <w:lang w:val="en-GB"/>
              </w:rPr>
              <w:t>which arrived at 1.8</w:t>
            </w:r>
            <w:r w:rsidRPr="00F43D2E">
              <w:rPr>
                <w:color w:val="0D0D0D"/>
                <w:sz w:val="16"/>
                <w:szCs w:val="16"/>
                <w:lang w:val="en-GB"/>
              </w:rPr>
              <w:t>% in relation to the GDP</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2C0E23" w:rsidP="00AF5D62">
            <w:pPr>
              <w:pStyle w:val="Textpoznpodarou"/>
              <w:jc w:val="both"/>
              <w:rPr>
                <w:rFonts w:cs="Arial"/>
                <w:color w:val="000000" w:themeColor="text1"/>
                <w:spacing w:val="-2"/>
                <w:lang w:val="en-GB"/>
              </w:rPr>
            </w:pPr>
            <w:r w:rsidRPr="00F43D2E">
              <w:rPr>
                <w:color w:val="0D0D0D"/>
                <w:lang w:val="en-GB"/>
              </w:rPr>
              <w:t xml:space="preserve">The state budget surplus nearly doubled year-on-year in H1 2016 (to 40.6 </w:t>
            </w:r>
            <w:r w:rsidR="007A46C3" w:rsidRPr="00F43D2E">
              <w:rPr>
                <w:color w:val="0D0D0D"/>
                <w:lang w:val="en-GB"/>
              </w:rPr>
              <w:t>CZK bn</w:t>
            </w:r>
            <w:r w:rsidRPr="00F43D2E">
              <w:rPr>
                <w:color w:val="0D0D0D"/>
                <w:lang w:val="en-GB"/>
              </w:rPr>
              <w:t>)</w:t>
            </w:r>
            <w:bookmarkStart w:id="1" w:name="_ftnref21"/>
            <w:r w:rsidR="00D132AE" w:rsidRPr="00F43D2E">
              <w:rPr>
                <w:color w:val="0D0D0D"/>
                <w:lang w:val="en-GB"/>
              </w:rPr>
              <w:t>.</w:t>
            </w:r>
            <w:r w:rsidR="00D132AE" w:rsidRPr="00F43D2E">
              <w:rPr>
                <w:rStyle w:val="Znakapoznpodarou"/>
                <w:color w:val="0D0D0D" w:themeColor="text1" w:themeTint="F2"/>
                <w:spacing w:val="-2"/>
                <w:lang w:val="en-GB"/>
              </w:rPr>
              <w:footnoteReference w:id="1"/>
            </w:r>
            <w:bookmarkEnd w:id="1"/>
            <w:r w:rsidR="00D132AE" w:rsidRPr="00F43D2E">
              <w:rPr>
                <w:color w:val="0D0D0D"/>
                <w:lang w:val="en-GB"/>
              </w:rPr>
              <w:t xml:space="preserve"> </w:t>
            </w:r>
            <w:r w:rsidRPr="00F43D2E">
              <w:rPr>
                <w:color w:val="0D0D0D"/>
                <w:lang w:val="en-GB"/>
              </w:rPr>
              <w:t xml:space="preserve">At the same time it </w:t>
            </w:r>
            <w:r w:rsidR="00555463">
              <w:rPr>
                <w:color w:val="0D0D0D"/>
                <w:lang w:val="en-GB"/>
              </w:rPr>
              <w:t>was</w:t>
            </w:r>
            <w:r w:rsidRPr="00F43D2E">
              <w:rPr>
                <w:color w:val="0D0D0D"/>
                <w:lang w:val="en-GB"/>
              </w:rPr>
              <w:t xml:space="preserve"> the best result </w:t>
            </w:r>
            <w:r w:rsidR="00555463">
              <w:rPr>
                <w:color w:val="0D0D0D"/>
                <w:lang w:val="en-GB"/>
              </w:rPr>
              <w:t>(</w:t>
            </w:r>
            <w:r w:rsidRPr="00F43D2E">
              <w:rPr>
                <w:color w:val="0D0D0D"/>
                <w:lang w:val="en-GB"/>
              </w:rPr>
              <w:t>of this time period of the year</w:t>
            </w:r>
            <w:r w:rsidR="00555463">
              <w:rPr>
                <w:color w:val="0D0D0D"/>
                <w:lang w:val="en-GB"/>
              </w:rPr>
              <w:t>)</w:t>
            </w:r>
            <w:r w:rsidRPr="00F43D2E">
              <w:rPr>
                <w:color w:val="0D0D0D"/>
                <w:lang w:val="en-GB"/>
              </w:rPr>
              <w:t xml:space="preserve"> in the history of the CR itself. The SB balance in relation to the nominal GDP also reached a</w:t>
            </w:r>
            <w:r w:rsidR="00EF1542">
              <w:rPr>
                <w:color w:val="0D0D0D"/>
                <w:lang w:val="en-GB"/>
              </w:rPr>
              <w:t xml:space="preserve"> record level of +1.8</w:t>
            </w:r>
            <w:r w:rsidRPr="00F43D2E">
              <w:rPr>
                <w:color w:val="0D0D0D"/>
                <w:lang w:val="en-GB"/>
              </w:rPr>
              <w:t xml:space="preserve">% </w:t>
            </w:r>
            <w:r w:rsidR="00EF1542">
              <w:rPr>
                <w:color w:val="000000"/>
                <w:lang w:val="en-GB"/>
              </w:rPr>
              <w:t>(+1.0</w:t>
            </w:r>
            <w:r w:rsidRPr="00F43D2E">
              <w:rPr>
                <w:color w:val="000000"/>
                <w:lang w:val="en-GB"/>
              </w:rPr>
              <w:t>% on a year ago). Total revenues of the SB</w:t>
            </w:r>
            <w:bookmarkStart w:id="2" w:name="_ftnref22"/>
            <w:r w:rsidR="00D132AE" w:rsidRPr="00F43D2E">
              <w:rPr>
                <w:rStyle w:val="Znakapoznpodarou"/>
                <w:color w:val="000000" w:themeColor="text1"/>
                <w:spacing w:val="-2"/>
                <w:lang w:val="en-GB"/>
              </w:rPr>
              <w:footnoteReference w:id="2"/>
            </w:r>
            <w:bookmarkEnd w:id="2"/>
            <w:r w:rsidR="00EF1542">
              <w:rPr>
                <w:color w:val="000000"/>
                <w:lang w:val="en-GB"/>
              </w:rPr>
              <w:t xml:space="preserve"> (+2.3</w:t>
            </w:r>
            <w:r w:rsidRPr="00F43D2E">
              <w:rPr>
                <w:color w:val="000000"/>
                <w:lang w:val="en-GB"/>
              </w:rPr>
              <w:t xml:space="preserve">%) grew exclusively thanks to the tax revenues incl. </w:t>
            </w:r>
            <w:r w:rsidR="00902BDD" w:rsidRPr="00F43D2E">
              <w:rPr>
                <w:color w:val="000000"/>
                <w:lang w:val="en-GB"/>
              </w:rPr>
              <w:t>i</w:t>
            </w:r>
            <w:r w:rsidRPr="00F43D2E">
              <w:rPr>
                <w:color w:val="000000"/>
                <w:lang w:val="en-GB"/>
              </w:rPr>
              <w:t xml:space="preserve">nsurance (higher by 35.9 </w:t>
            </w:r>
            <w:r w:rsidR="007A46C3" w:rsidRPr="00F43D2E">
              <w:rPr>
                <w:color w:val="000000"/>
                <w:lang w:val="en-GB"/>
              </w:rPr>
              <w:t>CZK bn</w:t>
            </w:r>
            <w:r w:rsidRPr="00F43D2E">
              <w:rPr>
                <w:color w:val="000000"/>
                <w:lang w:val="en-GB"/>
              </w:rPr>
              <w:t xml:space="preserve"> in total) in H1.</w:t>
            </w:r>
            <w:r w:rsidRPr="00F43D2E">
              <w:rPr>
                <w:rFonts w:cs="Arial"/>
                <w:color w:val="000000" w:themeColor="text1"/>
                <w:spacing w:val="-2"/>
                <w:lang w:val="en-GB"/>
              </w:rPr>
              <w:t xml:space="preserve"> </w:t>
            </w:r>
            <w:r w:rsidR="000F74B6" w:rsidRPr="00F43D2E">
              <w:rPr>
                <w:rFonts w:cs="Arial"/>
                <w:color w:val="000000" w:themeColor="text1"/>
                <w:spacing w:val="-2"/>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2C0E23" w:rsidP="00AF5D62">
            <w:pPr>
              <w:spacing w:line="240" w:lineRule="auto"/>
              <w:rPr>
                <w:rFonts w:cs="Arial"/>
                <w:bCs/>
                <w:iCs/>
                <w:color w:val="0D0D0D" w:themeColor="text1" w:themeTint="F2"/>
                <w:spacing w:val="-2"/>
                <w:sz w:val="16"/>
                <w:szCs w:val="16"/>
                <w:lang w:val="en-GB"/>
              </w:rPr>
            </w:pPr>
            <w:r w:rsidRPr="00F43D2E">
              <w:rPr>
                <w:color w:val="0D0D0D"/>
                <w:sz w:val="16"/>
                <w:szCs w:val="16"/>
                <w:lang w:val="en-GB"/>
              </w:rPr>
              <w:t xml:space="preserve">High year-on-year growth of final consumption expenditure in the economy as well as the </w:t>
            </w:r>
            <w:r w:rsidR="00555463">
              <w:rPr>
                <w:color w:val="0D0D0D"/>
                <w:sz w:val="16"/>
                <w:szCs w:val="16"/>
                <w:lang w:val="en-GB"/>
              </w:rPr>
              <w:t>more intensive</w:t>
            </w:r>
            <w:r w:rsidRPr="00F43D2E">
              <w:rPr>
                <w:color w:val="0D0D0D"/>
                <w:sz w:val="16"/>
                <w:szCs w:val="16"/>
                <w:lang w:val="en-GB"/>
              </w:rPr>
              <w:t xml:space="preserve"> control measures aimed at the tax collection were reflected in the GVA collection</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2C0E23" w:rsidP="00AF5D62">
            <w:pPr>
              <w:pStyle w:val="Textpoznpodarou"/>
              <w:jc w:val="both"/>
              <w:rPr>
                <w:color w:val="0D0D0D"/>
                <w:lang w:val="en-GB"/>
              </w:rPr>
            </w:pPr>
            <w:r w:rsidRPr="00F43D2E">
              <w:rPr>
                <w:color w:val="0D0D0D"/>
                <w:lang w:val="en-GB"/>
              </w:rPr>
              <w:t xml:space="preserve">State wide collection of the tax most significant by weight </w:t>
            </w:r>
            <w:r w:rsidRPr="00F43D2E">
              <w:rPr>
                <w:color w:val="000000"/>
                <w:lang w:val="en-GB"/>
              </w:rPr>
              <w:t xml:space="preserve">– GVA – increased by </w:t>
            </w:r>
            <w:r w:rsidR="00EF1542">
              <w:rPr>
                <w:color w:val="0D0D0D"/>
                <w:lang w:val="en-GB"/>
              </w:rPr>
              <w:t>6% (by 4.4</w:t>
            </w:r>
            <w:r w:rsidRPr="00F43D2E">
              <w:rPr>
                <w:color w:val="0D0D0D"/>
                <w:lang w:val="en-GB"/>
              </w:rPr>
              <w:t>% at the SB level). It mirrored the stable growth rates of final consumption expend</w:t>
            </w:r>
            <w:r w:rsidR="00EF1542">
              <w:rPr>
                <w:color w:val="0D0D0D"/>
                <w:lang w:val="en-GB"/>
              </w:rPr>
              <w:t>iture, both for households (2.7</w:t>
            </w:r>
            <w:r w:rsidRPr="00F43D2E">
              <w:rPr>
                <w:color w:val="0D0D0D"/>
                <w:lang w:val="en-GB"/>
              </w:rPr>
              <w:t>% nominally in H1) a</w:t>
            </w:r>
            <w:r w:rsidR="00EF1542">
              <w:rPr>
                <w:color w:val="0D0D0D"/>
                <w:lang w:val="en-GB"/>
              </w:rPr>
              <w:t>nd government institutions (4.3</w:t>
            </w:r>
            <w:r w:rsidRPr="00F43D2E">
              <w:rPr>
                <w:color w:val="0D0D0D"/>
                <w:lang w:val="en-GB"/>
              </w:rPr>
              <w:t xml:space="preserve">%). The </w:t>
            </w:r>
            <w:r w:rsidR="00420C0B">
              <w:rPr>
                <w:color w:val="0D0D0D"/>
                <w:lang w:val="en-GB"/>
              </w:rPr>
              <w:t>VAT</w:t>
            </w:r>
            <w:r w:rsidRPr="00F43D2E">
              <w:rPr>
                <w:color w:val="0D0D0D"/>
                <w:lang w:val="en-GB"/>
              </w:rPr>
              <w:t xml:space="preserve"> was also affected by the</w:t>
            </w:r>
            <w:r w:rsidR="00555463">
              <w:rPr>
                <w:color w:val="0D0D0D"/>
                <w:lang w:val="en-GB"/>
              </w:rPr>
              <w:t xml:space="preserve"> more intensive</w:t>
            </w:r>
            <w:r w:rsidRPr="00F43D2E">
              <w:rPr>
                <w:color w:val="0D0D0D"/>
                <w:lang w:val="en-GB"/>
              </w:rPr>
              <w:t xml:space="preserve"> control measures for tax collection, which </w:t>
            </w:r>
            <w:r w:rsidR="00555463">
              <w:rPr>
                <w:color w:val="0D0D0D"/>
                <w:lang w:val="en-GB"/>
              </w:rPr>
              <w:t xml:space="preserve">were </w:t>
            </w:r>
            <w:r w:rsidRPr="00F43D2E">
              <w:rPr>
                <w:color w:val="0D0D0D"/>
                <w:lang w:val="en-GB"/>
              </w:rPr>
              <w:t>aim</w:t>
            </w:r>
            <w:r w:rsidR="00555463">
              <w:rPr>
                <w:color w:val="0D0D0D"/>
                <w:lang w:val="en-GB"/>
              </w:rPr>
              <w:t>ed</w:t>
            </w:r>
            <w:r w:rsidRPr="00F43D2E">
              <w:rPr>
                <w:color w:val="0D0D0D"/>
                <w:lang w:val="en-GB"/>
              </w:rPr>
              <w:t xml:space="preserve"> especially at the </w:t>
            </w:r>
            <w:proofErr w:type="spellStart"/>
            <w:r w:rsidRPr="00F43D2E">
              <w:rPr>
                <w:color w:val="0D0D0D"/>
                <w:lang w:val="en-GB"/>
              </w:rPr>
              <w:t>unentitled</w:t>
            </w:r>
            <w:proofErr w:type="spellEnd"/>
            <w:r w:rsidRPr="00F43D2E">
              <w:rPr>
                <w:color w:val="0D0D0D"/>
                <w:lang w:val="en-GB"/>
              </w:rPr>
              <w:t xml:space="preserve"> claims and excessive </w:t>
            </w:r>
            <w:r w:rsidR="00555463">
              <w:rPr>
                <w:color w:val="0D0D0D"/>
                <w:lang w:val="en-GB"/>
              </w:rPr>
              <w:t>VAT</w:t>
            </w:r>
            <w:r w:rsidRPr="00F43D2E">
              <w:rPr>
                <w:color w:val="0D0D0D"/>
                <w:lang w:val="en-GB"/>
              </w:rPr>
              <w:t xml:space="preserve"> deductions. </w:t>
            </w:r>
          </w:p>
          <w:p w:rsidR="002C0E23" w:rsidRPr="00F43D2E" w:rsidRDefault="002C0E23"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6E5D21" w:rsidP="00AF5D62">
            <w:pPr>
              <w:spacing w:line="240" w:lineRule="auto"/>
              <w:rPr>
                <w:rFonts w:cs="Arial"/>
                <w:bCs/>
                <w:iCs/>
                <w:color w:val="0D0D0D" w:themeColor="text1" w:themeTint="F2"/>
                <w:sz w:val="16"/>
                <w:szCs w:val="16"/>
                <w:lang w:val="en-GB"/>
              </w:rPr>
            </w:pPr>
            <w:r w:rsidRPr="00F43D2E">
              <w:rPr>
                <w:color w:val="0D0D0D"/>
                <w:sz w:val="16"/>
                <w:szCs w:val="16"/>
                <w:lang w:val="en-GB"/>
              </w:rPr>
              <w:t>The rise of the tax rates on the tobacco products stood behind the higher collection of consumption tax since the beginning of the year</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EF1542" w:rsidP="00AF5D62">
            <w:pPr>
              <w:pStyle w:val="Textpoznpodarou"/>
              <w:jc w:val="both"/>
              <w:rPr>
                <w:rFonts w:cs="Arial"/>
                <w:color w:val="0D0D0D" w:themeColor="text1" w:themeTint="F2"/>
                <w:spacing w:val="-4"/>
                <w:lang w:val="en-GB"/>
              </w:rPr>
            </w:pPr>
            <w:r>
              <w:rPr>
                <w:color w:val="0D0D0D"/>
                <w:lang w:val="en-GB"/>
              </w:rPr>
              <w:t>The SB gained by nearly 8</w:t>
            </w:r>
            <w:r w:rsidR="006E5D21" w:rsidRPr="00F43D2E">
              <w:rPr>
                <w:color w:val="0D0D0D"/>
                <w:lang w:val="en-GB"/>
              </w:rPr>
              <w:t xml:space="preserve">% more from the consumption taxes compared to H1 of the last year. </w:t>
            </w:r>
            <w:r w:rsidR="000F40CD">
              <w:rPr>
                <w:color w:val="0D0D0D"/>
                <w:lang w:val="en-GB"/>
              </w:rPr>
              <w:t>This was mainly due to the</w:t>
            </w:r>
            <w:r w:rsidR="006E5D21" w:rsidRPr="00F43D2E">
              <w:rPr>
                <w:color w:val="0D0D0D"/>
                <w:lang w:val="en-GB"/>
              </w:rPr>
              <w:t xml:space="preserve"> growing tax collection</w:t>
            </w:r>
            <w:r>
              <w:rPr>
                <w:color w:val="0D0D0D"/>
                <w:lang w:val="en-GB"/>
              </w:rPr>
              <w:t xml:space="preserve"> on the tobacco products (+14.6</w:t>
            </w:r>
            <w:r w:rsidR="006E5D21" w:rsidRPr="00F43D2E">
              <w:rPr>
                <w:color w:val="0D0D0D"/>
                <w:lang w:val="en-GB"/>
              </w:rPr>
              <w:t>%) supported by the increase of the tax rate</w:t>
            </w:r>
            <w:proofErr w:type="gramStart"/>
            <w:r w:rsidR="000F40CD">
              <w:rPr>
                <w:color w:val="0D0D0D"/>
                <w:lang w:val="en-GB"/>
              </w:rPr>
              <w:t>.</w:t>
            </w:r>
            <w:r w:rsidR="006E5D21" w:rsidRPr="00F43D2E">
              <w:rPr>
                <w:color w:val="0D0D0D"/>
                <w:lang w:val="en-GB"/>
              </w:rPr>
              <w:t>.</w:t>
            </w:r>
            <w:proofErr w:type="gramEnd"/>
            <w:r w:rsidR="006E5D21" w:rsidRPr="00F43D2E">
              <w:rPr>
                <w:color w:val="0D0D0D"/>
                <w:lang w:val="en-GB"/>
              </w:rPr>
              <w:t xml:space="preserve"> The rate of growth of collection of this tax was not affected by a marked pre-stocking any more unlike in the previous years. The collection of weight dominant tax on the m</w:t>
            </w:r>
            <w:r>
              <w:rPr>
                <w:color w:val="0D0D0D"/>
                <w:lang w:val="en-GB"/>
              </w:rPr>
              <w:t>ineral oils strengthened by 4.8</w:t>
            </w:r>
            <w:r w:rsidR="006E5D21" w:rsidRPr="00F43D2E">
              <w:rPr>
                <w:color w:val="0D0D0D"/>
                <w:lang w:val="en-GB"/>
              </w:rPr>
              <w:t>%. Favourable prices of</w:t>
            </w:r>
            <w:r w:rsidR="00431A03" w:rsidRPr="00F43D2E">
              <w:rPr>
                <w:color w:val="0D0D0D"/>
                <w:lang w:val="en-GB"/>
              </w:rPr>
              <w:t xml:space="preserve"> automotive fuels </w:t>
            </w:r>
            <w:r w:rsidR="000F40CD">
              <w:rPr>
                <w:color w:val="0D0D0D"/>
                <w:lang w:val="en-GB"/>
              </w:rPr>
              <w:t>as well as</w:t>
            </w:r>
            <w:r w:rsidR="006E5D21" w:rsidRPr="00F43D2E">
              <w:rPr>
                <w:color w:val="0D0D0D"/>
                <w:lang w:val="en-GB"/>
              </w:rPr>
              <w:t xml:space="preserve"> growth of demand for transportation stimulated by the economic growth contributed to a higher consumption.</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0F40CD" w:rsidP="00AF5D62">
            <w:pPr>
              <w:spacing w:line="240" w:lineRule="auto"/>
              <w:rPr>
                <w:rFonts w:cs="Arial"/>
                <w:bCs/>
                <w:iCs/>
                <w:color w:val="0D0D0D" w:themeColor="text1" w:themeTint="F2"/>
                <w:spacing w:val="-2"/>
                <w:sz w:val="16"/>
                <w:szCs w:val="16"/>
                <w:lang w:val="en-GB"/>
              </w:rPr>
            </w:pPr>
            <w:r>
              <w:rPr>
                <w:color w:val="0D0D0D"/>
                <w:sz w:val="16"/>
                <w:szCs w:val="16"/>
                <w:lang w:val="en-GB"/>
              </w:rPr>
              <w:t>The growth rate</w:t>
            </w:r>
            <w:r w:rsidR="006E5D21" w:rsidRPr="00F43D2E">
              <w:rPr>
                <w:color w:val="0D0D0D"/>
                <w:sz w:val="16"/>
                <w:szCs w:val="16"/>
                <w:lang w:val="en-GB"/>
              </w:rPr>
              <w:t xml:space="preserve"> of collection of corporate taxes year-on-year has been hitting double digit numbers for already nine quarters</w:t>
            </w:r>
          </w:p>
          <w:p w:rsidR="000F74B6" w:rsidRPr="00F43D2E" w:rsidRDefault="000F74B6" w:rsidP="00AF5D62">
            <w:pPr>
              <w:spacing w:line="240" w:lineRule="auto"/>
              <w:rPr>
                <w:rFonts w:cs="Arial"/>
                <w:bCs/>
                <w:iCs/>
                <w:color w:val="0D0D0D" w:themeColor="text1" w:themeTint="F2"/>
                <w:sz w:val="16"/>
                <w:szCs w:val="16"/>
                <w:lang w:val="en-GB"/>
              </w:rPr>
            </w:pPr>
          </w:p>
        </w:tc>
        <w:tc>
          <w:tcPr>
            <w:tcW w:w="142" w:type="pct"/>
          </w:tcPr>
          <w:p w:rsidR="000F74B6" w:rsidRPr="00F43D2E" w:rsidRDefault="000F74B6" w:rsidP="00AF5D62">
            <w:pPr>
              <w:pStyle w:val="Textpoznpodarou"/>
              <w:jc w:val="both"/>
              <w:rPr>
                <w:rFonts w:cs="Arial"/>
                <w:color w:val="0D0D0D" w:themeColor="text1" w:themeTint="F2"/>
                <w:spacing w:val="-4"/>
                <w:lang w:val="en-GB"/>
              </w:rPr>
            </w:pPr>
          </w:p>
        </w:tc>
        <w:tc>
          <w:tcPr>
            <w:tcW w:w="3804" w:type="pct"/>
          </w:tcPr>
          <w:p w:rsidR="000F74B6" w:rsidRPr="00F43D2E" w:rsidRDefault="006E5D21" w:rsidP="00AF5D62">
            <w:pPr>
              <w:pStyle w:val="Textpoznpodarou"/>
              <w:jc w:val="both"/>
              <w:rPr>
                <w:rFonts w:cs="Arial"/>
                <w:spacing w:val="-4"/>
                <w:sz w:val="15"/>
                <w:szCs w:val="15"/>
                <w:lang w:val="en-GB"/>
              </w:rPr>
            </w:pPr>
            <w:r w:rsidRPr="00F43D2E">
              <w:rPr>
                <w:lang w:val="en-GB"/>
              </w:rPr>
              <w:t xml:space="preserve">Among the direct taxes, the corporate taxes achieved the highest state wide collection in the absolute terms this year. They were by nearly one eighth higher for the first half-year, </w:t>
            </w:r>
            <w:r w:rsidR="000F40CD">
              <w:rPr>
                <w:lang w:val="en-GB"/>
              </w:rPr>
              <w:t>since</w:t>
            </w:r>
            <w:r w:rsidRPr="00F43D2E">
              <w:rPr>
                <w:lang w:val="en-GB"/>
              </w:rPr>
              <w:t xml:space="preserve"> they capitalised mostly from the fast growing profits of businesses in the preceding two years. However, </w:t>
            </w:r>
            <w:r w:rsidR="00EF1542">
              <w:rPr>
                <w:lang w:val="en-GB"/>
              </w:rPr>
              <w:t>their collection was still by 7</w:t>
            </w:r>
            <w:r w:rsidRPr="00F43D2E">
              <w:rPr>
                <w:lang w:val="en-GB"/>
              </w:rPr>
              <w:t xml:space="preserve">% lower in comparison to the current peak in the boom year 2008 this year (in contrast, the collection of </w:t>
            </w:r>
            <w:r w:rsidR="00431A03" w:rsidRPr="00F43D2E">
              <w:rPr>
                <w:lang w:val="en-GB"/>
              </w:rPr>
              <w:t xml:space="preserve">income taxes of natural persons from dependent activity </w:t>
            </w:r>
            <w:r w:rsidRPr="00F43D2E">
              <w:rPr>
                <w:lang w:val="en-GB"/>
              </w:rPr>
              <w:t>exceeded their pre-crisis peak already by one fifth). </w:t>
            </w:r>
            <w:r w:rsidRPr="00F43D2E">
              <w:rPr>
                <w:rFonts w:cs="Arial"/>
                <w:spacing w:val="-4"/>
                <w:sz w:val="15"/>
                <w:szCs w:val="15"/>
                <w:lang w:val="en-GB"/>
              </w:rPr>
              <w:t xml:space="preserve"> </w:t>
            </w:r>
          </w:p>
          <w:p w:rsidR="006E5D21" w:rsidRPr="00F43D2E" w:rsidRDefault="006E5D21" w:rsidP="00AF5D62">
            <w:pPr>
              <w:pStyle w:val="Textpoznpodarou"/>
              <w:jc w:val="both"/>
              <w:rPr>
                <w:rFonts w:cs="Arial"/>
                <w:spacing w:val="-4"/>
                <w:sz w:val="15"/>
                <w:szCs w:val="15"/>
                <w:lang w:val="en-GB"/>
              </w:rPr>
            </w:pPr>
          </w:p>
        </w:tc>
      </w:tr>
      <w:tr w:rsidR="000F74B6" w:rsidRPr="00F43D2E" w:rsidTr="00AF5D62">
        <w:tc>
          <w:tcPr>
            <w:tcW w:w="1054" w:type="pct"/>
          </w:tcPr>
          <w:p w:rsidR="000F74B6" w:rsidRPr="00F43D2E" w:rsidRDefault="00DB76AC" w:rsidP="00431A03">
            <w:pPr>
              <w:spacing w:line="240" w:lineRule="auto"/>
              <w:rPr>
                <w:rFonts w:cs="Arial"/>
                <w:bCs/>
                <w:iCs/>
                <w:color w:val="0D0D0D" w:themeColor="text1" w:themeTint="F2"/>
                <w:sz w:val="16"/>
                <w:szCs w:val="16"/>
                <w:lang w:val="en-GB"/>
              </w:rPr>
            </w:pPr>
            <w:r w:rsidRPr="00F43D2E">
              <w:rPr>
                <w:color w:val="0D0D0D"/>
                <w:sz w:val="16"/>
                <w:szCs w:val="16"/>
                <w:lang w:val="en-GB"/>
              </w:rPr>
              <w:t>Taxes from</w:t>
            </w:r>
            <w:r w:rsidR="00431A03" w:rsidRPr="00F43D2E">
              <w:rPr>
                <w:color w:val="0D0D0D"/>
                <w:sz w:val="16"/>
                <w:szCs w:val="16"/>
                <w:lang w:val="en-GB"/>
              </w:rPr>
              <w:t xml:space="preserve"> income of employees from </w:t>
            </w:r>
            <w:r w:rsidRPr="00F43D2E">
              <w:rPr>
                <w:color w:val="0D0D0D"/>
                <w:sz w:val="16"/>
                <w:szCs w:val="16"/>
                <w:lang w:val="en-GB"/>
              </w:rPr>
              <w:t>grew by the highest rate since the year 2007 in H1</w:t>
            </w:r>
          </w:p>
        </w:tc>
        <w:tc>
          <w:tcPr>
            <w:tcW w:w="142" w:type="pct"/>
          </w:tcPr>
          <w:p w:rsidR="000F74B6" w:rsidRPr="00F43D2E" w:rsidRDefault="000F74B6" w:rsidP="00AF5D62">
            <w:pPr>
              <w:pStyle w:val="Textpoznpodarou"/>
              <w:jc w:val="both"/>
              <w:rPr>
                <w:rFonts w:cs="Arial"/>
                <w:color w:val="0D0D0D" w:themeColor="text1" w:themeTint="F2"/>
                <w:spacing w:val="-4"/>
                <w:lang w:val="en-GB"/>
              </w:rPr>
            </w:pPr>
          </w:p>
        </w:tc>
        <w:tc>
          <w:tcPr>
            <w:tcW w:w="3804" w:type="pct"/>
          </w:tcPr>
          <w:p w:rsidR="000F74B6" w:rsidRPr="00F43D2E" w:rsidRDefault="00DB76AC" w:rsidP="00AF5D62">
            <w:pPr>
              <w:pStyle w:val="Textpoznpodarou"/>
              <w:jc w:val="both"/>
              <w:rPr>
                <w:rFonts w:cs="Arial"/>
                <w:spacing w:val="-4"/>
                <w:lang w:val="en-GB"/>
              </w:rPr>
            </w:pPr>
            <w:r w:rsidRPr="00F43D2E">
              <w:rPr>
                <w:color w:val="0D0D0D"/>
                <w:lang w:val="en-GB"/>
              </w:rPr>
              <w:t>State wide collection of</w:t>
            </w:r>
            <w:r w:rsidR="00B97DCE" w:rsidRPr="00F43D2E">
              <w:rPr>
                <w:color w:val="0D0D0D"/>
                <w:lang w:val="en-GB"/>
              </w:rPr>
              <w:t xml:space="preserve"> income taxes of natural person (ITNP) from dependent activity </w:t>
            </w:r>
            <w:r w:rsidR="00EF1542">
              <w:rPr>
                <w:color w:val="0D0D0D"/>
                <w:lang w:val="en-GB"/>
              </w:rPr>
              <w:t>strengthened by high 10.7</w:t>
            </w:r>
            <w:r w:rsidRPr="00F43D2E">
              <w:rPr>
                <w:color w:val="0D0D0D"/>
                <w:lang w:val="en-GB"/>
              </w:rPr>
              <w:t xml:space="preserve">%, the year-on-year </w:t>
            </w:r>
            <w:r w:rsidR="00EF1542">
              <w:rPr>
                <w:color w:val="0D0D0D"/>
                <w:lang w:val="en-GB"/>
              </w:rPr>
              <w:t>growth arrived even at 13.3</w:t>
            </w:r>
            <w:r w:rsidRPr="00F43D2E">
              <w:rPr>
                <w:color w:val="0D0D0D"/>
                <w:lang w:val="en-GB"/>
              </w:rPr>
              <w:t xml:space="preserve">% in Q2 2016 itself. It fully reflected </w:t>
            </w:r>
            <w:r w:rsidR="000F40CD">
              <w:rPr>
                <w:color w:val="0D0D0D"/>
                <w:lang w:val="en-GB"/>
              </w:rPr>
              <w:t>favourable</w:t>
            </w:r>
            <w:r w:rsidRPr="00F43D2E">
              <w:rPr>
                <w:color w:val="0D0D0D"/>
                <w:lang w:val="en-GB"/>
              </w:rPr>
              <w:t xml:space="preserve"> situation on the labour market </w:t>
            </w:r>
            <w:r w:rsidR="000F40CD">
              <w:rPr>
                <w:color w:val="0D0D0D"/>
                <w:lang w:val="en-GB"/>
              </w:rPr>
              <w:t xml:space="preserve">(i.e. </w:t>
            </w:r>
            <w:r w:rsidRPr="00F43D2E">
              <w:rPr>
                <w:color w:val="0D0D0D"/>
                <w:lang w:val="en-GB"/>
              </w:rPr>
              <w:t>growth of the average wages as well as the record number of employees</w:t>
            </w:r>
            <w:r w:rsidR="000F40CD">
              <w:rPr>
                <w:color w:val="0D0D0D"/>
                <w:lang w:val="en-GB"/>
              </w:rPr>
              <w:t>)</w:t>
            </w:r>
            <w:r w:rsidRPr="00F43D2E">
              <w:rPr>
                <w:color w:val="0D0D0D"/>
                <w:lang w:val="en-GB"/>
              </w:rPr>
              <w:t>. Both the development of the economy and the legislative changes</w:t>
            </w:r>
            <w:bookmarkStart w:id="3" w:name="_ftnref23"/>
            <w:r w:rsidR="003366FC" w:rsidRPr="00F43D2E">
              <w:rPr>
                <w:rStyle w:val="Znakapoznpodarou"/>
                <w:spacing w:val="-4"/>
                <w:lang w:val="en-GB"/>
              </w:rPr>
              <w:footnoteReference w:id="3"/>
            </w:r>
            <w:bookmarkEnd w:id="3"/>
            <w:r w:rsidRPr="00F43D2E">
              <w:rPr>
                <w:rFonts w:cs="Arial"/>
                <w:lang w:val="en-GB"/>
              </w:rPr>
              <w:t xml:space="preserve"> </w:t>
            </w:r>
            <w:r w:rsidRPr="00F43D2E">
              <w:rPr>
                <w:lang w:val="en-GB"/>
              </w:rPr>
              <w:t xml:space="preserve">supported the collection of </w:t>
            </w:r>
            <w:r w:rsidR="00B97DCE" w:rsidRPr="00F43D2E">
              <w:rPr>
                <w:lang w:val="en-GB"/>
              </w:rPr>
              <w:t>ITNP</w:t>
            </w:r>
            <w:r w:rsidRPr="00F43D2E">
              <w:rPr>
                <w:lang w:val="en-GB"/>
              </w:rPr>
              <w:t xml:space="preserve"> paid based on the tax return – the result was by 3.7 </w:t>
            </w:r>
            <w:r w:rsidR="007A46C3" w:rsidRPr="00F43D2E">
              <w:rPr>
                <w:lang w:val="en-GB"/>
              </w:rPr>
              <w:t>CZK bn</w:t>
            </w:r>
            <w:r w:rsidRPr="00F43D2E">
              <w:rPr>
                <w:lang w:val="en-GB"/>
              </w:rPr>
              <w:t xml:space="preserve"> year-on-year more favourable (after allowing for the regular refund) at the end of the half-year. The total collection advanced for the first time in the last six years into the positive values. On the contrary, the collection of </w:t>
            </w:r>
            <w:r w:rsidR="00583715" w:rsidRPr="00F43D2E">
              <w:rPr>
                <w:lang w:val="en-GB"/>
              </w:rPr>
              <w:t>ITNP</w:t>
            </w:r>
            <w:r w:rsidRPr="00F43D2E">
              <w:rPr>
                <w:lang w:val="en-GB"/>
              </w:rPr>
              <w:t xml:space="preserve"> from capital yields increased only very negligibly year-on-year for now. As for the other taxes, the SB </w:t>
            </w:r>
            <w:r w:rsidRPr="00F43D2E">
              <w:rPr>
                <w:lang w:val="en-GB"/>
              </w:rPr>
              <w:lastRenderedPageBreak/>
              <w:t xml:space="preserve">gained a more significant resources from the </w:t>
            </w:r>
            <w:r w:rsidR="00B97DCE" w:rsidRPr="00F43D2E">
              <w:rPr>
                <w:lang w:val="en-GB"/>
              </w:rPr>
              <w:t xml:space="preserve">real estate </w:t>
            </w:r>
            <w:r w:rsidRPr="00F43D2E">
              <w:rPr>
                <w:lang w:val="en-GB"/>
              </w:rPr>
              <w:t>tax</w:t>
            </w:r>
            <w:r w:rsidR="00B97DCE" w:rsidRPr="00F43D2E">
              <w:rPr>
                <w:lang w:val="en-GB"/>
              </w:rPr>
              <w:t xml:space="preserve">, </w:t>
            </w:r>
            <w:r w:rsidRPr="00F43D2E">
              <w:rPr>
                <w:lang w:val="en-GB"/>
              </w:rPr>
              <w:t xml:space="preserve">whose swift growth (+1.1 </w:t>
            </w:r>
            <w:r w:rsidR="007A46C3" w:rsidRPr="00F43D2E">
              <w:rPr>
                <w:lang w:val="en-GB"/>
              </w:rPr>
              <w:t>CZK bn</w:t>
            </w:r>
            <w:r w:rsidRPr="00F43D2E">
              <w:rPr>
                <w:lang w:val="en-GB"/>
              </w:rPr>
              <w:t>, similarly to the last year) proved the revival of the real estate market.</w:t>
            </w:r>
            <w:r w:rsidRPr="00F43D2E">
              <w:rPr>
                <w:rFonts w:cs="Arial"/>
                <w:spacing w:val="-4"/>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337107" w:rsidP="00AF5D62">
            <w:pPr>
              <w:spacing w:line="240" w:lineRule="auto"/>
              <w:rPr>
                <w:rFonts w:cs="Arial"/>
                <w:bCs/>
                <w:iCs/>
                <w:color w:val="0D0D0D" w:themeColor="text1" w:themeTint="F2"/>
                <w:spacing w:val="-4"/>
                <w:sz w:val="16"/>
                <w:szCs w:val="16"/>
                <w:lang w:val="en-GB"/>
              </w:rPr>
            </w:pPr>
            <w:r w:rsidRPr="00F43D2E">
              <w:rPr>
                <w:color w:val="0D0D0D"/>
                <w:sz w:val="16"/>
                <w:szCs w:val="16"/>
                <w:lang w:val="en-GB"/>
              </w:rPr>
              <w:lastRenderedPageBreak/>
              <w:t>SB revenues from the EU weakened by one seventh year-on-year, but exceeded the whole-year amount anticipated by the budget already during May</w:t>
            </w:r>
          </w:p>
        </w:tc>
        <w:tc>
          <w:tcPr>
            <w:tcW w:w="142" w:type="pct"/>
          </w:tcPr>
          <w:p w:rsidR="000F74B6" w:rsidRPr="00F43D2E" w:rsidRDefault="000F74B6" w:rsidP="00AF5D62">
            <w:pPr>
              <w:pStyle w:val="Textpoznpodarou"/>
              <w:jc w:val="both"/>
              <w:rPr>
                <w:rFonts w:cs="Arial"/>
                <w:color w:val="000000" w:themeColor="text1"/>
                <w:spacing w:val="-4"/>
                <w:lang w:val="en-GB"/>
              </w:rPr>
            </w:pPr>
          </w:p>
        </w:tc>
        <w:tc>
          <w:tcPr>
            <w:tcW w:w="3804" w:type="pct"/>
          </w:tcPr>
          <w:p w:rsidR="000F74B6" w:rsidRPr="00F43D2E" w:rsidRDefault="00337107" w:rsidP="00AF5D62">
            <w:pPr>
              <w:pStyle w:val="Textpoznpodarou"/>
              <w:jc w:val="both"/>
              <w:rPr>
                <w:color w:val="000000"/>
                <w:lang w:val="en-GB"/>
              </w:rPr>
            </w:pPr>
            <w:r w:rsidRPr="00F43D2E">
              <w:rPr>
                <w:color w:val="000000"/>
                <w:lang w:val="en-GB"/>
              </w:rPr>
              <w:t xml:space="preserve">The SB gained 115.5 </w:t>
            </w:r>
            <w:r w:rsidR="007A46C3" w:rsidRPr="00F43D2E">
              <w:rPr>
                <w:color w:val="000000"/>
                <w:lang w:val="en-GB"/>
              </w:rPr>
              <w:t>CZK bn</w:t>
            </w:r>
            <w:r w:rsidRPr="00F43D2E">
              <w:rPr>
                <w:color w:val="000000"/>
                <w:lang w:val="en-GB"/>
              </w:rPr>
              <w:t xml:space="preserve"> on the revenues from the EU in H1 (the overwhelming majority still bound to the </w:t>
            </w:r>
            <w:r w:rsidR="000F40CD">
              <w:rPr>
                <w:color w:val="000000"/>
                <w:lang w:val="en-GB"/>
              </w:rPr>
              <w:t xml:space="preserve">previous </w:t>
            </w:r>
            <w:r w:rsidRPr="00F43D2E">
              <w:rPr>
                <w:color w:val="000000"/>
                <w:lang w:val="en-GB"/>
              </w:rPr>
              <w:t>programme period). Even though their siz</w:t>
            </w:r>
            <w:r w:rsidR="00EF1542">
              <w:rPr>
                <w:color w:val="000000"/>
                <w:lang w:val="en-GB"/>
              </w:rPr>
              <w:t>e decreased year-on-year (by 14</w:t>
            </w:r>
            <w:r w:rsidRPr="00F43D2E">
              <w:rPr>
                <w:color w:val="000000"/>
                <w:lang w:val="en-GB"/>
              </w:rPr>
              <w:t xml:space="preserve">%), it already exceeded the amount anticipated by the annual budget by more than 20 </w:t>
            </w:r>
            <w:r w:rsidR="00406292" w:rsidRPr="00F43D2E">
              <w:rPr>
                <w:color w:val="000000"/>
                <w:lang w:val="en-GB"/>
              </w:rPr>
              <w:t xml:space="preserve">CZK </w:t>
            </w:r>
            <w:r w:rsidRPr="00F43D2E">
              <w:rPr>
                <w:color w:val="000000"/>
                <w:lang w:val="en-GB"/>
              </w:rPr>
              <w:t xml:space="preserve">bn. Total net position of the CR towards the EU budget amounted to 66.6 </w:t>
            </w:r>
            <w:r w:rsidR="007A46C3" w:rsidRPr="00F43D2E">
              <w:rPr>
                <w:color w:val="000000"/>
                <w:lang w:val="en-GB"/>
              </w:rPr>
              <w:t>CZK bn</w:t>
            </w:r>
            <w:r w:rsidRPr="00F43D2E">
              <w:rPr>
                <w:color w:val="000000"/>
                <w:lang w:val="en-GB"/>
              </w:rPr>
              <w:t xml:space="preserve">. It reached approximately only half of the record last year's level. Nevertheless, it was by 10 </w:t>
            </w:r>
            <w:r w:rsidR="007A46C3" w:rsidRPr="00F43D2E">
              <w:rPr>
                <w:color w:val="000000"/>
                <w:lang w:val="en-GB"/>
              </w:rPr>
              <w:t>CZK bn</w:t>
            </w:r>
            <w:r w:rsidRPr="00F43D2E">
              <w:rPr>
                <w:color w:val="000000"/>
                <w:lang w:val="en-GB"/>
              </w:rPr>
              <w:t xml:space="preserve"> higher against H1 2014. Mostly the lower inflow of finances from the structural funds stood behind the year-on-year weaker result this year (by nearly two thirds)</w:t>
            </w:r>
            <w:proofErr w:type="gramStart"/>
            <w:r w:rsidRPr="00F43D2E">
              <w:rPr>
                <w:color w:val="000000"/>
                <w:lang w:val="en-GB"/>
              </w:rPr>
              <w:t>,</w:t>
            </w:r>
            <w:proofErr w:type="gramEnd"/>
            <w:r w:rsidRPr="00F43D2E">
              <w:rPr>
                <w:color w:val="000000"/>
                <w:lang w:val="en-GB"/>
              </w:rPr>
              <w:t xml:space="preserve"> on the contrary the direct payments into agriculture were falling more mildly – by less than one quarter. </w:t>
            </w:r>
          </w:p>
          <w:p w:rsidR="00337107" w:rsidRPr="00F43D2E" w:rsidRDefault="00337107" w:rsidP="00AF5D62">
            <w:pPr>
              <w:pStyle w:val="Textpoznpodarou"/>
              <w:jc w:val="both"/>
              <w:rPr>
                <w:rFonts w:cs="Arial"/>
                <w:color w:val="000000" w:themeColor="text1"/>
                <w:spacing w:val="-4"/>
                <w:sz w:val="15"/>
                <w:szCs w:val="15"/>
                <w:lang w:val="en-GB"/>
              </w:rPr>
            </w:pPr>
          </w:p>
        </w:tc>
      </w:tr>
      <w:tr w:rsidR="000F74B6" w:rsidRPr="00F43D2E" w:rsidTr="00AF5D62">
        <w:tc>
          <w:tcPr>
            <w:tcW w:w="1054" w:type="pct"/>
          </w:tcPr>
          <w:p w:rsidR="00337107" w:rsidRPr="00F43D2E" w:rsidRDefault="00337107" w:rsidP="00337107">
            <w:pPr>
              <w:spacing w:line="240" w:lineRule="auto"/>
              <w:rPr>
                <w:rFonts w:cs="Arial"/>
                <w:color w:val="0D0D0D" w:themeColor="text1" w:themeTint="F2"/>
                <w:spacing w:val="-2"/>
                <w:sz w:val="16"/>
                <w:szCs w:val="16"/>
                <w:lang w:val="en-GB"/>
              </w:rPr>
            </w:pPr>
            <w:r w:rsidRPr="00F43D2E">
              <w:rPr>
                <w:rFonts w:cs="Arial"/>
                <w:color w:val="0D0D0D" w:themeColor="text1" w:themeTint="F2"/>
                <w:spacing w:val="-2"/>
                <w:sz w:val="16"/>
                <w:szCs w:val="16"/>
                <w:lang w:val="en-GB"/>
              </w:rPr>
              <w:t xml:space="preserve">Capital </w:t>
            </w:r>
            <w:r w:rsidR="00406292" w:rsidRPr="00F43D2E">
              <w:rPr>
                <w:rFonts w:cs="Arial"/>
                <w:color w:val="0D0D0D" w:themeColor="text1" w:themeTint="F2"/>
                <w:spacing w:val="-2"/>
                <w:sz w:val="16"/>
                <w:szCs w:val="16"/>
                <w:lang w:val="en-GB"/>
              </w:rPr>
              <w:t>expenditure</w:t>
            </w:r>
            <w:r w:rsidRPr="00F43D2E">
              <w:rPr>
                <w:rFonts w:cs="Arial"/>
                <w:color w:val="0D0D0D" w:themeColor="text1" w:themeTint="F2"/>
                <w:spacing w:val="-2"/>
                <w:sz w:val="16"/>
                <w:szCs w:val="16"/>
                <w:lang w:val="en-GB"/>
              </w:rPr>
              <w:t xml:space="preserve"> sank sharply </w:t>
            </w:r>
            <w:r w:rsidR="000F40CD">
              <w:rPr>
                <w:rFonts w:cs="Arial"/>
                <w:color w:val="0D0D0D" w:themeColor="text1" w:themeTint="F2"/>
                <w:spacing w:val="-2"/>
                <w:sz w:val="16"/>
                <w:szCs w:val="16"/>
                <w:lang w:val="en-GB"/>
              </w:rPr>
              <w:t>(</w:t>
            </w:r>
            <w:r w:rsidRPr="00F43D2E">
              <w:rPr>
                <w:rFonts w:cs="Arial"/>
                <w:color w:val="0D0D0D" w:themeColor="text1" w:themeTint="F2"/>
                <w:spacing w:val="-2"/>
                <w:sz w:val="16"/>
                <w:szCs w:val="16"/>
                <w:lang w:val="en-GB"/>
              </w:rPr>
              <w:t>in line with the budget anticipations</w:t>
            </w:r>
            <w:r w:rsidR="000F40CD">
              <w:rPr>
                <w:rFonts w:cs="Arial"/>
                <w:color w:val="0D0D0D" w:themeColor="text1" w:themeTint="F2"/>
                <w:spacing w:val="-2"/>
                <w:sz w:val="16"/>
                <w:szCs w:val="16"/>
                <w:lang w:val="en-GB"/>
              </w:rPr>
              <w:t>)</w:t>
            </w:r>
            <w:r w:rsidRPr="00F43D2E">
              <w:rPr>
                <w:rFonts w:cs="Arial"/>
                <w:color w:val="0D0D0D" w:themeColor="text1" w:themeTint="F2"/>
                <w:spacing w:val="-2"/>
                <w:sz w:val="16"/>
                <w:szCs w:val="16"/>
                <w:lang w:val="en-GB"/>
              </w:rPr>
              <w:t xml:space="preserve"> year-on-year, their volume was the third lowest after year 2007</w:t>
            </w:r>
          </w:p>
          <w:p w:rsidR="000F74B6" w:rsidRPr="00F43D2E" w:rsidRDefault="00337107" w:rsidP="00337107">
            <w:pPr>
              <w:spacing w:line="240" w:lineRule="auto"/>
              <w:rPr>
                <w:rFonts w:cs="Arial"/>
                <w:color w:val="0D0D0D" w:themeColor="text1" w:themeTint="F2"/>
                <w:spacing w:val="-2"/>
                <w:sz w:val="16"/>
                <w:szCs w:val="16"/>
                <w:lang w:val="en-GB"/>
              </w:rPr>
            </w:pPr>
            <w:r w:rsidRPr="00F43D2E">
              <w:rPr>
                <w:rFonts w:cs="Arial"/>
                <w:color w:val="0D0D0D" w:themeColor="text1" w:themeTint="F2"/>
                <w:spacing w:val="-2"/>
                <w:sz w:val="16"/>
                <w:szCs w:val="16"/>
                <w:lang w:val="en-GB"/>
              </w:rPr>
              <w:t xml:space="preserve"> </w:t>
            </w:r>
          </w:p>
          <w:p w:rsidR="00337107" w:rsidRPr="00F43D2E" w:rsidRDefault="00337107" w:rsidP="00337107">
            <w:pPr>
              <w:spacing w:line="240" w:lineRule="auto"/>
              <w:rPr>
                <w:rFonts w:cs="Arial"/>
                <w:bCs/>
                <w:iCs/>
                <w:color w:val="0D0D0D" w:themeColor="text1" w:themeTint="F2"/>
                <w:spacing w:val="-4"/>
                <w:sz w:val="16"/>
                <w:szCs w:val="16"/>
                <w:lang w:val="en-GB"/>
              </w:rPr>
            </w:pPr>
            <w:r w:rsidRPr="00F43D2E">
              <w:rPr>
                <w:rFonts w:cs="Arial"/>
                <w:bCs/>
                <w:iCs/>
                <w:color w:val="0D0D0D" w:themeColor="text1" w:themeTint="F2"/>
                <w:spacing w:val="-4"/>
                <w:sz w:val="16"/>
                <w:szCs w:val="16"/>
                <w:lang w:val="en-GB"/>
              </w:rPr>
              <w:t>Allocation of the SB investment aimed at the development projects in the new programme period stays very low for now</w:t>
            </w:r>
          </w:p>
          <w:p w:rsidR="000F74B6" w:rsidRPr="00F43D2E" w:rsidRDefault="000F74B6" w:rsidP="00337107">
            <w:pPr>
              <w:spacing w:line="240" w:lineRule="auto"/>
              <w:rPr>
                <w:rFonts w:cs="Arial"/>
                <w:color w:val="0D0D0D" w:themeColor="text1" w:themeTint="F2"/>
                <w:spacing w:val="-2"/>
                <w:sz w:val="16"/>
                <w:szCs w:val="16"/>
                <w:lang w:val="en-GB"/>
              </w:rPr>
            </w:pP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EF1542" w:rsidP="00AF5D62">
            <w:pPr>
              <w:pStyle w:val="Textpoznpodarou"/>
              <w:jc w:val="both"/>
              <w:rPr>
                <w:rFonts w:cs="Arial"/>
                <w:color w:val="0D0D0D" w:themeColor="text1" w:themeTint="F2"/>
                <w:spacing w:val="-4"/>
                <w:lang w:val="en-GB"/>
              </w:rPr>
            </w:pPr>
            <w:r>
              <w:rPr>
                <w:color w:val="0D0D0D"/>
                <w:lang w:val="en-GB"/>
              </w:rPr>
              <w:t>Total SB outlays fell by 0.5</w:t>
            </w:r>
            <w:r w:rsidR="00337107" w:rsidRPr="00F43D2E">
              <w:rPr>
                <w:color w:val="0D0D0D"/>
                <w:lang w:val="en-GB"/>
              </w:rPr>
              <w:t xml:space="preserve">%. It </w:t>
            </w:r>
            <w:r w:rsidR="000F40CD">
              <w:rPr>
                <w:color w:val="0D0D0D"/>
                <w:lang w:val="en-GB"/>
              </w:rPr>
              <w:t>was</w:t>
            </w:r>
            <w:r w:rsidR="00337107" w:rsidRPr="00F43D2E">
              <w:rPr>
                <w:color w:val="0D0D0D"/>
                <w:lang w:val="en-GB"/>
              </w:rPr>
              <w:t xml:space="preserve"> only the second year-on-year decline within the first half-year after year 2000. However, in contrast to year 2011, decline of this year occurred in the period of a stable economic growth and was as well anticipated by the budget. It was caused by the slump of investment, whose size attained 39.1 </w:t>
            </w:r>
            <w:r w:rsidR="007A46C3" w:rsidRPr="00F43D2E">
              <w:rPr>
                <w:color w:val="0D0D0D"/>
                <w:lang w:val="en-GB"/>
              </w:rPr>
              <w:t>CZK bn</w:t>
            </w:r>
            <w:r w:rsidR="00337107" w:rsidRPr="00F43D2E">
              <w:rPr>
                <w:color w:val="0D0D0D"/>
                <w:lang w:val="en-GB"/>
              </w:rPr>
              <w:t xml:space="preserve"> and appro</w:t>
            </w:r>
            <w:r w:rsidR="00E33433">
              <w:rPr>
                <w:color w:val="0D0D0D"/>
                <w:lang w:val="en-GB"/>
              </w:rPr>
              <w:t>ached the level from years 2012</w:t>
            </w:r>
            <w:r w:rsidR="00E33433" w:rsidRPr="00CF2816">
              <w:rPr>
                <w:lang w:val="en-GB"/>
              </w:rPr>
              <w:t>–</w:t>
            </w:r>
            <w:r w:rsidR="00337107" w:rsidRPr="00F43D2E">
              <w:rPr>
                <w:color w:val="0D0D0D"/>
                <w:lang w:val="en-GB"/>
              </w:rPr>
              <w:t xml:space="preserve">2013, when the public </w:t>
            </w:r>
            <w:r w:rsidR="00406292" w:rsidRPr="00F43D2E">
              <w:rPr>
                <w:color w:val="0D0D0D"/>
                <w:lang w:val="en-GB"/>
              </w:rPr>
              <w:t>expenditure was</w:t>
            </w:r>
            <w:r w:rsidR="00337107" w:rsidRPr="00F43D2E">
              <w:rPr>
                <w:color w:val="0D0D0D"/>
                <w:lang w:val="en-GB"/>
              </w:rPr>
              <w:t xml:space="preserve"> strongly affected by the restrictive measures. </w:t>
            </w:r>
            <w:r w:rsidR="007A46C3" w:rsidRPr="00F43D2E">
              <w:rPr>
                <w:color w:val="0D0D0D"/>
                <w:lang w:val="en-GB"/>
              </w:rPr>
              <w:t>Two thirds of this year's investment was related to the common programmes of the CR and the EU, they were however still connected to the programme period 2007</w:t>
            </w:r>
            <w:r w:rsidR="007A46C3" w:rsidRPr="00F43D2E">
              <w:rPr>
                <w:color w:val="000000"/>
                <w:lang w:val="en-GB"/>
              </w:rPr>
              <w:t>–</w:t>
            </w:r>
            <w:r w:rsidR="007A46C3" w:rsidRPr="00F43D2E">
              <w:rPr>
                <w:color w:val="0D0D0D"/>
                <w:lang w:val="en-GB"/>
              </w:rPr>
              <w:t xml:space="preserve">13 in the vast majority. </w:t>
            </w:r>
            <w:r w:rsidR="00337107" w:rsidRPr="00F43D2E">
              <w:rPr>
                <w:color w:val="0D0D0D"/>
                <w:lang w:val="en-GB"/>
              </w:rPr>
              <w:t>The reason was a lower overall readiness of larger (transport) projects at the beginning of new programme perio</w:t>
            </w:r>
            <w:r w:rsidR="003366FC" w:rsidRPr="00F43D2E">
              <w:rPr>
                <w:color w:val="0D0D0D"/>
                <w:lang w:val="en-GB"/>
              </w:rPr>
              <w:t>d.</w:t>
            </w:r>
            <w:r w:rsidR="003366FC" w:rsidRPr="00F43D2E">
              <w:rPr>
                <w:rStyle w:val="Znakapoznpodarou"/>
                <w:color w:val="0D0D0D" w:themeColor="text1" w:themeTint="F2"/>
                <w:spacing w:val="-4"/>
                <w:lang w:val="en-GB"/>
              </w:rPr>
              <w:footnoteReference w:id="4"/>
            </w:r>
            <w:r w:rsidR="00337107" w:rsidRPr="00F43D2E">
              <w:rPr>
                <w:color w:val="0D0D0D"/>
                <w:lang w:val="en-GB"/>
              </w:rPr>
              <w:t xml:space="preserve"> </w:t>
            </w:r>
            <w:r w:rsidR="000F40CD">
              <w:rPr>
                <w:color w:val="0D0D0D"/>
                <w:lang w:val="en-GB"/>
              </w:rPr>
              <w:t>Total i</w:t>
            </w:r>
            <w:r w:rsidR="00337107" w:rsidRPr="00F43D2E">
              <w:rPr>
                <w:color w:val="0D0D0D"/>
                <w:lang w:val="en-GB"/>
              </w:rPr>
              <w:t xml:space="preserve">nvestment has shared in the total state </w:t>
            </w:r>
            <w:r w:rsidR="00406292" w:rsidRPr="00F43D2E">
              <w:rPr>
                <w:color w:val="0D0D0D"/>
                <w:lang w:val="en-GB"/>
              </w:rPr>
              <w:t>expenditure</w:t>
            </w:r>
            <w:r>
              <w:rPr>
                <w:color w:val="0D0D0D"/>
                <w:lang w:val="en-GB"/>
              </w:rPr>
              <w:t xml:space="preserve"> by 6.4</w:t>
            </w:r>
            <w:r w:rsidR="00337107" w:rsidRPr="00F43D2E">
              <w:rPr>
                <w:color w:val="0D0D0D"/>
                <w:lang w:val="en-GB"/>
              </w:rPr>
              <w:t>% so far.</w:t>
            </w:r>
            <w:r w:rsidR="000F74B6" w:rsidRPr="00F43D2E">
              <w:rPr>
                <w:rFonts w:cs="Arial"/>
                <w:color w:val="0D0D0D" w:themeColor="text1" w:themeTint="F2"/>
                <w:spacing w:val="-4"/>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0F74B6" w:rsidRPr="00F43D2E" w:rsidRDefault="00337107" w:rsidP="00406292">
            <w:pPr>
              <w:spacing w:line="240" w:lineRule="auto"/>
              <w:rPr>
                <w:rFonts w:cs="Arial"/>
                <w:bCs/>
                <w:iCs/>
                <w:color w:val="0D0D0D" w:themeColor="text1" w:themeTint="F2"/>
                <w:sz w:val="16"/>
                <w:szCs w:val="16"/>
                <w:lang w:val="en-GB"/>
              </w:rPr>
            </w:pPr>
            <w:r w:rsidRPr="00F43D2E">
              <w:rPr>
                <w:color w:val="0D0D0D"/>
                <w:sz w:val="16"/>
                <w:szCs w:val="16"/>
                <w:lang w:val="en-GB"/>
              </w:rPr>
              <w:t>Expenditure on pensions grew the fastest in the last five years, however thanks to a strong growth of th</w:t>
            </w:r>
            <w:r w:rsidR="00EF1542">
              <w:rPr>
                <w:color w:val="0D0D0D"/>
                <w:sz w:val="16"/>
                <w:szCs w:val="16"/>
                <w:lang w:val="en-GB"/>
              </w:rPr>
              <w:t>e collection of insurance (+5.2</w:t>
            </w:r>
            <w:r w:rsidRPr="00F43D2E">
              <w:rPr>
                <w:color w:val="0D0D0D"/>
                <w:sz w:val="16"/>
                <w:szCs w:val="16"/>
                <w:lang w:val="en-GB"/>
              </w:rPr>
              <w:t xml:space="preserve">%) the pension account deficit kept shrinking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337107" w:rsidP="00AF5D62">
            <w:pPr>
              <w:pStyle w:val="Textpoznpodarou"/>
              <w:jc w:val="both"/>
              <w:rPr>
                <w:rFonts w:cs="Arial"/>
                <w:color w:val="000000" w:themeColor="text1"/>
                <w:spacing w:val="-4"/>
                <w:lang w:val="en-GB"/>
              </w:rPr>
            </w:pPr>
            <w:r w:rsidRPr="00F43D2E">
              <w:rPr>
                <w:color w:val="0D0D0D"/>
                <w:lang w:val="en-GB"/>
              </w:rPr>
              <w:t>Rate of growth</w:t>
            </w:r>
            <w:r w:rsidR="00EF1542">
              <w:rPr>
                <w:color w:val="0D0D0D"/>
                <w:lang w:val="en-GB"/>
              </w:rPr>
              <w:t xml:space="preserve"> of current SB expenditure (2.1</w:t>
            </w:r>
            <w:r w:rsidRPr="00F43D2E">
              <w:rPr>
                <w:color w:val="0D0D0D"/>
                <w:lang w:val="en-GB"/>
              </w:rPr>
              <w:t>%)</w:t>
            </w:r>
            <w:r w:rsidR="00AC1E88">
              <w:rPr>
                <w:color w:val="0D0D0D"/>
                <w:lang w:val="en-GB"/>
              </w:rPr>
              <w:t xml:space="preserve"> had </w:t>
            </w:r>
            <w:r w:rsidR="000F40CD">
              <w:rPr>
                <w:color w:val="0D0D0D"/>
                <w:lang w:val="en-GB"/>
              </w:rPr>
              <w:t>similar pace as recorded in</w:t>
            </w:r>
            <w:r w:rsidRPr="00F43D2E">
              <w:rPr>
                <w:color w:val="0D0D0D"/>
                <w:lang w:val="en-GB"/>
              </w:rPr>
              <w:t xml:space="preserve"> the last five years</w:t>
            </w:r>
            <w:r w:rsidR="000F40CD">
              <w:rPr>
                <w:color w:val="0D0D0D"/>
                <w:lang w:val="en-GB"/>
              </w:rPr>
              <w:t>.</w:t>
            </w:r>
            <w:r w:rsidRPr="00F43D2E">
              <w:rPr>
                <w:color w:val="0D0D0D"/>
                <w:lang w:val="en-GB"/>
              </w:rPr>
              <w:t xml:space="preserve"> </w:t>
            </w:r>
            <w:r w:rsidR="000F40CD">
              <w:rPr>
                <w:color w:val="0D0D0D"/>
                <w:lang w:val="en-GB"/>
              </w:rPr>
              <w:t>T</w:t>
            </w:r>
            <w:r w:rsidRPr="00F43D2E">
              <w:rPr>
                <w:color w:val="0D0D0D"/>
                <w:lang w:val="en-GB"/>
              </w:rPr>
              <w:t xml:space="preserve">he social benefits were traditionally instrumental in the higher expenditure (by 10 </w:t>
            </w:r>
            <w:r w:rsidR="007A46C3" w:rsidRPr="00F43D2E">
              <w:rPr>
                <w:color w:val="0D0D0D"/>
                <w:lang w:val="en-GB"/>
              </w:rPr>
              <w:t>CZK bn</w:t>
            </w:r>
            <w:r w:rsidRPr="00F43D2E">
              <w:rPr>
                <w:color w:val="0D0D0D"/>
                <w:lang w:val="en-GB"/>
              </w:rPr>
              <w:t xml:space="preserve"> </w:t>
            </w:r>
            <w:proofErr w:type="gramStart"/>
            <w:r w:rsidRPr="00F43D2E">
              <w:rPr>
                <w:color w:val="0D0D0D"/>
                <w:lang w:val="en-GB"/>
              </w:rPr>
              <w:t>year-on-year</w:t>
            </w:r>
            <w:proofErr w:type="gramEnd"/>
            <w:r w:rsidRPr="00F43D2E">
              <w:rPr>
                <w:color w:val="0D0D0D"/>
                <w:lang w:val="en-GB"/>
              </w:rPr>
              <w:t>). More than three quarters were directed</w:t>
            </w:r>
            <w:r w:rsidR="00EF1542">
              <w:rPr>
                <w:color w:val="0D0D0D"/>
                <w:lang w:val="en-GB"/>
              </w:rPr>
              <w:t xml:space="preserve"> to pensions, which grew by 4.8</w:t>
            </w:r>
            <w:r w:rsidRPr="00F43D2E">
              <w:rPr>
                <w:color w:val="0D0D0D"/>
                <w:lang w:val="en-GB"/>
              </w:rPr>
              <w:t>%, the fastest in the last five years. The effect of the one-time February allowance (1</w:t>
            </w:r>
            <w:r w:rsidRPr="00F43D2E">
              <w:rPr>
                <w:color w:val="000000"/>
                <w:lang w:val="en-GB"/>
              </w:rPr>
              <w:t> </w:t>
            </w:r>
            <w:r w:rsidRPr="00F43D2E">
              <w:rPr>
                <w:color w:val="0D0D0D"/>
                <w:lang w:val="en-GB"/>
              </w:rPr>
              <w:t xml:space="preserve">200 CZK) beyond the standard </w:t>
            </w:r>
            <w:r w:rsidR="00406292" w:rsidRPr="00F43D2E">
              <w:rPr>
                <w:color w:val="0D0D0D"/>
                <w:lang w:val="en-GB"/>
              </w:rPr>
              <w:t>pension adjustment</w:t>
            </w:r>
            <w:r w:rsidRPr="00F43D2E">
              <w:rPr>
                <w:color w:val="0D0D0D"/>
                <w:lang w:val="en-GB"/>
              </w:rPr>
              <w:t xml:space="preserve"> (valid again since January 2015) and partially also the growing number of </w:t>
            </w:r>
            <w:r w:rsidR="00406292" w:rsidRPr="00F43D2E">
              <w:rPr>
                <w:color w:val="0D0D0D"/>
                <w:lang w:val="en-GB"/>
              </w:rPr>
              <w:t>retirees</w:t>
            </w:r>
            <w:r w:rsidR="00EF1542">
              <w:rPr>
                <w:color w:val="0D0D0D"/>
                <w:lang w:val="en-GB"/>
              </w:rPr>
              <w:t xml:space="preserve"> (+0.7</w:t>
            </w:r>
            <w:r w:rsidRPr="00F43D2E">
              <w:rPr>
                <w:color w:val="0D0D0D"/>
                <w:lang w:val="en-GB"/>
              </w:rPr>
              <w:t xml:space="preserve">%, after three years of stagnation) were in play here. The pension account deficit </w:t>
            </w:r>
            <w:r w:rsidRPr="00F43D2E">
              <w:rPr>
                <w:color w:val="000000"/>
                <w:lang w:val="en-GB"/>
              </w:rPr>
              <w:t xml:space="preserve">(the difference between the revenues and expenditure on pensions from the SB) amounted to 11.2 </w:t>
            </w:r>
            <w:r w:rsidR="007A46C3" w:rsidRPr="00F43D2E">
              <w:rPr>
                <w:color w:val="000000"/>
                <w:lang w:val="en-GB"/>
              </w:rPr>
              <w:t>CZK bn</w:t>
            </w:r>
            <w:r w:rsidRPr="00F43D2E">
              <w:rPr>
                <w:color w:val="000000"/>
                <w:lang w:val="en-GB"/>
              </w:rPr>
              <w:t xml:space="preserve"> in H1 and was again more favourable year-on-year, already the fifth time in a row.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722CE0" w:rsidRPr="00F43D2E" w:rsidRDefault="007A46C3" w:rsidP="00722CE0">
            <w:pPr>
              <w:spacing w:line="240" w:lineRule="auto"/>
              <w:rPr>
                <w:rFonts w:cs="Arial"/>
                <w:bCs/>
                <w:iCs/>
                <w:color w:val="000000" w:themeColor="text1"/>
                <w:sz w:val="16"/>
                <w:szCs w:val="16"/>
                <w:lang w:val="en-GB"/>
              </w:rPr>
            </w:pPr>
            <w:r w:rsidRPr="00F43D2E">
              <w:rPr>
                <w:rFonts w:cs="Arial"/>
                <w:bCs/>
                <w:iCs/>
                <w:color w:val="000000" w:themeColor="text1"/>
                <w:sz w:val="16"/>
                <w:szCs w:val="16"/>
                <w:lang w:val="en-GB"/>
              </w:rPr>
              <w:t>Expenditure on other social benefits has been rising already a fourth year in a row, mainly due to the impact of the sickness benefits and partially also the social care benefits (for long-term seriously sick)…</w:t>
            </w:r>
          </w:p>
          <w:p w:rsidR="000F74B6" w:rsidRPr="00F43D2E" w:rsidRDefault="00722CE0" w:rsidP="00722CE0">
            <w:pPr>
              <w:spacing w:line="240" w:lineRule="auto"/>
              <w:rPr>
                <w:rFonts w:cs="Arial"/>
                <w:bCs/>
                <w:iCs/>
                <w:color w:val="000000" w:themeColor="text1"/>
                <w:sz w:val="16"/>
                <w:szCs w:val="16"/>
                <w:lang w:val="en-GB"/>
              </w:rPr>
            </w:pPr>
            <w:r w:rsidRPr="00F43D2E">
              <w:rPr>
                <w:rFonts w:cs="Arial"/>
                <w:bCs/>
                <w:iCs/>
                <w:color w:val="000000" w:themeColor="text1"/>
                <w:sz w:val="16"/>
                <w:szCs w:val="16"/>
                <w:lang w:val="en-GB"/>
              </w:rPr>
              <w:t xml:space="preserve"> </w:t>
            </w: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0F74B6" w:rsidP="00AF5D62">
            <w:pPr>
              <w:spacing w:line="240" w:lineRule="auto"/>
              <w:rPr>
                <w:rFonts w:cs="Arial"/>
                <w:bCs/>
                <w:iCs/>
                <w:color w:val="000000" w:themeColor="text1"/>
                <w:sz w:val="16"/>
                <w:szCs w:val="16"/>
                <w:lang w:val="en-GB"/>
              </w:rPr>
            </w:pPr>
          </w:p>
          <w:p w:rsidR="000F74B6" w:rsidRPr="00F43D2E" w:rsidRDefault="00722CE0" w:rsidP="00B378C5">
            <w:pPr>
              <w:spacing w:line="240" w:lineRule="auto"/>
              <w:rPr>
                <w:rFonts w:cs="Arial"/>
                <w:bCs/>
                <w:iCs/>
                <w:color w:val="000000" w:themeColor="text1"/>
                <w:sz w:val="16"/>
                <w:szCs w:val="16"/>
                <w:lang w:val="en-GB"/>
              </w:rPr>
            </w:pPr>
            <w:r w:rsidRPr="00F43D2E">
              <w:rPr>
                <w:color w:val="000000"/>
                <w:lang w:val="en-GB"/>
              </w:rPr>
              <w:t>…</w:t>
            </w:r>
            <w:r w:rsidRPr="00F43D2E">
              <w:rPr>
                <w:color w:val="000000"/>
                <w:sz w:val="16"/>
                <w:szCs w:val="16"/>
                <w:lang w:val="en-GB"/>
              </w:rPr>
              <w:t>on the contrary the fall of expenditure on the material deprivation benefits deepened</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0F74B6" w:rsidRPr="00F43D2E" w:rsidRDefault="00722CE0" w:rsidP="00AF5D62">
            <w:pPr>
              <w:pStyle w:val="Textpoznpodarou"/>
              <w:jc w:val="both"/>
              <w:rPr>
                <w:rFonts w:cs="Arial"/>
                <w:color w:val="000000" w:themeColor="text1"/>
                <w:spacing w:val="-4"/>
                <w:lang w:val="en-GB"/>
              </w:rPr>
            </w:pPr>
            <w:r w:rsidRPr="00F43D2E">
              <w:rPr>
                <w:color w:val="0D0D0D"/>
                <w:lang w:val="en-GB"/>
              </w:rPr>
              <w:t xml:space="preserve">The stated expended 57.6 </w:t>
            </w:r>
            <w:r w:rsidR="007A46C3" w:rsidRPr="00F43D2E">
              <w:rPr>
                <w:color w:val="0D0D0D"/>
                <w:lang w:val="en-GB"/>
              </w:rPr>
              <w:t>CZK bn</w:t>
            </w:r>
            <w:r w:rsidRPr="00F43D2E">
              <w:rPr>
                <w:color w:val="0D0D0D"/>
                <w:lang w:val="en-GB"/>
              </w:rPr>
              <w:t xml:space="preserve"> for other social benefits (i</w:t>
            </w:r>
            <w:r w:rsidR="00EF1542">
              <w:rPr>
                <w:color w:val="0D0D0D"/>
                <w:lang w:val="en-GB"/>
              </w:rPr>
              <w:t>.e. excluding pensions), by 1.9</w:t>
            </w:r>
            <w:r w:rsidRPr="00F43D2E">
              <w:rPr>
                <w:color w:val="0D0D0D"/>
                <w:lang w:val="en-GB"/>
              </w:rPr>
              <w:t xml:space="preserve">% more year-on-year. The economic growth had a differentiated </w:t>
            </w:r>
            <w:proofErr w:type="gramStart"/>
            <w:r w:rsidRPr="00F43D2E">
              <w:rPr>
                <w:color w:val="0D0D0D"/>
                <w:lang w:val="en-GB"/>
              </w:rPr>
              <w:t>effect,</w:t>
            </w:r>
            <w:proofErr w:type="gramEnd"/>
            <w:r w:rsidRPr="00F43D2E">
              <w:rPr>
                <w:color w:val="0D0D0D"/>
                <w:lang w:val="en-GB"/>
              </w:rPr>
              <w:t xml:space="preserve"> it was overshadowed by legislative changes for some types of benefits. Further, the paid out unemployment benefits were reduc</w:t>
            </w:r>
            <w:r w:rsidR="00EF1542">
              <w:rPr>
                <w:color w:val="0D0D0D"/>
                <w:lang w:val="en-GB"/>
              </w:rPr>
              <w:t>ed (-3</w:t>
            </w:r>
            <w:r w:rsidRPr="00F43D2E">
              <w:rPr>
                <w:color w:val="0D0D0D"/>
                <w:lang w:val="en-GB"/>
              </w:rPr>
              <w:t xml:space="preserve">%), but by a much slower rate </w:t>
            </w:r>
            <w:r w:rsidR="000F40CD">
              <w:rPr>
                <w:color w:val="0D0D0D"/>
                <w:lang w:val="en-GB"/>
              </w:rPr>
              <w:t xml:space="preserve">than </w:t>
            </w:r>
            <w:r w:rsidRPr="00F43D2E">
              <w:rPr>
                <w:color w:val="0D0D0D"/>
                <w:lang w:val="en-GB"/>
              </w:rPr>
              <w:t>on a previous year, since the number of recipients of this benefit stagnated, in contrast to all</w:t>
            </w:r>
            <w:r w:rsidR="00EF1542">
              <w:rPr>
                <w:color w:val="0D0D0D"/>
                <w:lang w:val="en-GB"/>
              </w:rPr>
              <w:t xml:space="preserve"> registered job applicants (-15</w:t>
            </w:r>
            <w:r w:rsidRPr="00F43D2E">
              <w:rPr>
                <w:color w:val="0D0D0D"/>
                <w:lang w:val="en-GB"/>
              </w:rPr>
              <w:t>%). On the contrary, the year-on-year decline deepened for the material deprivation benefit</w:t>
            </w:r>
            <w:r w:rsidR="00EF1542">
              <w:rPr>
                <w:color w:val="0D0D0D"/>
                <w:lang w:val="en-GB"/>
              </w:rPr>
              <w:t>s (from last year's -4.7% to -11.6</w:t>
            </w:r>
            <w:r w:rsidRPr="00F43D2E">
              <w:rPr>
                <w:color w:val="0D0D0D"/>
                <w:lang w:val="en-GB"/>
              </w:rPr>
              <w:t xml:space="preserve">%). The state social </w:t>
            </w:r>
            <w:r w:rsidR="00B378C5" w:rsidRPr="00F43D2E">
              <w:rPr>
                <w:color w:val="0D0D0D"/>
                <w:lang w:val="en-GB"/>
              </w:rPr>
              <w:t>support</w:t>
            </w:r>
            <w:r w:rsidR="004A52AA">
              <w:rPr>
                <w:color w:val="0D0D0D"/>
                <w:lang w:val="en-GB"/>
              </w:rPr>
              <w:t xml:space="preserve"> benefits (significant </w:t>
            </w:r>
            <w:r w:rsidR="00B463F5">
              <w:rPr>
                <w:color w:val="0D0D0D"/>
                <w:lang w:val="en-GB"/>
              </w:rPr>
              <w:t>from the point of view of</w:t>
            </w:r>
            <w:r w:rsidR="004A52AA">
              <w:rPr>
                <w:color w:val="0D0D0D"/>
                <w:lang w:val="en-GB"/>
              </w:rPr>
              <w:t xml:space="preserve"> volume)</w:t>
            </w:r>
            <w:r w:rsidRPr="00F43D2E">
              <w:rPr>
                <w:color w:val="0D0D0D"/>
                <w:lang w:val="en-GB"/>
              </w:rPr>
              <w:t xml:space="preserve"> stagnated. The long-term growth of the social care benefits and mainl</w:t>
            </w:r>
            <w:r w:rsidR="00EF1542">
              <w:rPr>
                <w:color w:val="0D0D0D"/>
                <w:lang w:val="en-GB"/>
              </w:rPr>
              <w:t>y the sickness benefits (by 9.2</w:t>
            </w:r>
            <w:r w:rsidRPr="00F43D2E">
              <w:rPr>
                <w:color w:val="0D0D0D"/>
                <w:lang w:val="en-GB"/>
              </w:rPr>
              <w:t>%) continued</w:t>
            </w:r>
            <w:r w:rsidR="004A52AA">
              <w:rPr>
                <w:color w:val="0D0D0D"/>
                <w:lang w:val="en-GB"/>
              </w:rPr>
              <w:t xml:space="preserve">. </w:t>
            </w:r>
            <w:r w:rsidR="00B463F5">
              <w:rPr>
                <w:color w:val="0D0D0D"/>
                <w:lang w:val="en-GB"/>
              </w:rPr>
              <w:t>This</w:t>
            </w:r>
            <w:r w:rsidR="004A52AA">
              <w:rPr>
                <w:color w:val="0D0D0D"/>
                <w:lang w:val="en-GB"/>
              </w:rPr>
              <w:t xml:space="preserve"> was</w:t>
            </w:r>
            <w:r w:rsidRPr="00F43D2E">
              <w:rPr>
                <w:color w:val="0D0D0D"/>
                <w:lang w:val="en-GB"/>
              </w:rPr>
              <w:t xml:space="preserve"> due to the legislative measures </w:t>
            </w:r>
            <w:r w:rsidRPr="00F43D2E">
              <w:rPr>
                <w:color w:val="000000"/>
                <w:lang w:val="en-GB"/>
              </w:rPr>
              <w:t>(reintroduced sickness payments already from the 15</w:t>
            </w:r>
            <w:r w:rsidRPr="00F43D2E">
              <w:rPr>
                <w:color w:val="000000"/>
                <w:vertAlign w:val="superscript"/>
                <w:lang w:val="en-GB"/>
              </w:rPr>
              <w:t>th</w:t>
            </w:r>
            <w:r w:rsidRPr="00F43D2E">
              <w:rPr>
                <w:color w:val="000000"/>
                <w:lang w:val="en-GB"/>
              </w:rPr>
              <w:t xml:space="preserve"> day), the growth of incapacity to work as well as higher drawing of the maternity benefits. Even though the expenditure on sickness benefits reached a maximum after H1 2009 this year, they were </w:t>
            </w:r>
            <w:proofErr w:type="gramStart"/>
            <w:r w:rsidRPr="00F43D2E">
              <w:rPr>
                <w:color w:val="000000"/>
                <w:lang w:val="en-GB"/>
              </w:rPr>
              <w:t xml:space="preserve">still by 750 </w:t>
            </w:r>
            <w:r w:rsidR="00B378C5" w:rsidRPr="00F43D2E">
              <w:rPr>
                <w:color w:val="000000"/>
                <w:lang w:val="en-GB"/>
              </w:rPr>
              <w:t xml:space="preserve">CZK </w:t>
            </w:r>
            <w:r w:rsidRPr="00F43D2E">
              <w:rPr>
                <w:color w:val="000000"/>
                <w:lang w:val="en-GB"/>
              </w:rPr>
              <w:t>mil</w:t>
            </w:r>
            <w:r w:rsidR="00B378C5" w:rsidRPr="00F43D2E">
              <w:rPr>
                <w:color w:val="000000"/>
                <w:lang w:val="en-GB"/>
              </w:rPr>
              <w:t xml:space="preserve"> </w:t>
            </w:r>
            <w:r w:rsidRPr="00F43D2E">
              <w:rPr>
                <w:color w:val="000000"/>
                <w:lang w:val="en-GB"/>
              </w:rPr>
              <w:t>lower than the volume of the collected insurance</w:t>
            </w:r>
            <w:proofErr w:type="gramEnd"/>
            <w:r w:rsidRPr="00F43D2E">
              <w:rPr>
                <w:color w:val="000000"/>
                <w:lang w:val="en-GB"/>
              </w:rPr>
              <w:t xml:space="preserve">. </w:t>
            </w:r>
          </w:p>
          <w:p w:rsidR="000F74B6" w:rsidRPr="00F43D2E" w:rsidRDefault="000F74B6" w:rsidP="00AF5D62">
            <w:pPr>
              <w:pStyle w:val="Textpoznpodarou"/>
              <w:jc w:val="both"/>
              <w:rPr>
                <w:rFonts w:cs="Arial"/>
                <w:color w:val="0D0D0D" w:themeColor="text1" w:themeTint="F2"/>
                <w:spacing w:val="-4"/>
                <w:sz w:val="15"/>
                <w:szCs w:val="15"/>
                <w:lang w:val="en-GB"/>
              </w:rPr>
            </w:pPr>
          </w:p>
        </w:tc>
      </w:tr>
      <w:tr w:rsidR="000F74B6" w:rsidRPr="00F43D2E" w:rsidTr="00AF5D62">
        <w:tc>
          <w:tcPr>
            <w:tcW w:w="1054" w:type="pct"/>
          </w:tcPr>
          <w:p w:rsidR="00CD3B07" w:rsidRPr="00F43D2E" w:rsidRDefault="00CD3B07" w:rsidP="00CD3B07">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t xml:space="preserve">Fall of net expenditure on the state debt halted after two years, their size (23.8 </w:t>
            </w:r>
            <w:r w:rsidR="007A46C3" w:rsidRPr="00F43D2E">
              <w:rPr>
                <w:rFonts w:cs="Arial"/>
                <w:bCs/>
                <w:iCs/>
                <w:color w:val="0D0D0D" w:themeColor="text1" w:themeTint="F2"/>
                <w:sz w:val="16"/>
                <w:szCs w:val="16"/>
                <w:lang w:val="en-GB"/>
              </w:rPr>
              <w:t>CZK bn</w:t>
            </w:r>
            <w:r w:rsidRPr="00F43D2E">
              <w:rPr>
                <w:rFonts w:cs="Arial"/>
                <w:bCs/>
                <w:iCs/>
                <w:color w:val="0D0D0D" w:themeColor="text1" w:themeTint="F2"/>
                <w:sz w:val="16"/>
                <w:szCs w:val="16"/>
                <w:lang w:val="en-GB"/>
              </w:rPr>
              <w:t>) was still the third lowest since H1 2008</w:t>
            </w:r>
          </w:p>
          <w:p w:rsidR="000F74B6" w:rsidRPr="00F43D2E" w:rsidRDefault="00CD3B07" w:rsidP="00AF5D62">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t xml:space="preserve"> </w:t>
            </w:r>
          </w:p>
          <w:p w:rsidR="000F74B6" w:rsidRPr="00F43D2E" w:rsidRDefault="000F74B6" w:rsidP="00AF5D62">
            <w:pPr>
              <w:spacing w:line="240" w:lineRule="auto"/>
              <w:rPr>
                <w:rFonts w:cs="Arial"/>
                <w:bCs/>
                <w:iCs/>
                <w:color w:val="0D0D0D" w:themeColor="text1" w:themeTint="F2"/>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436227" w:rsidRDefault="00436227" w:rsidP="00CD3B07">
            <w:pPr>
              <w:spacing w:line="240" w:lineRule="auto"/>
              <w:rPr>
                <w:color w:val="000000"/>
                <w:sz w:val="16"/>
                <w:szCs w:val="16"/>
                <w:lang w:val="en-GB"/>
              </w:rPr>
            </w:pPr>
          </w:p>
          <w:p w:rsidR="000F74B6" w:rsidRPr="00F43D2E" w:rsidRDefault="00CD3B07" w:rsidP="00CD3B07">
            <w:pPr>
              <w:spacing w:line="240" w:lineRule="auto"/>
              <w:rPr>
                <w:rFonts w:cs="Arial"/>
                <w:bCs/>
                <w:iCs/>
                <w:color w:val="000000" w:themeColor="text1"/>
                <w:sz w:val="16"/>
                <w:szCs w:val="16"/>
                <w:lang w:val="en-GB"/>
              </w:rPr>
            </w:pPr>
            <w:r w:rsidRPr="00F43D2E">
              <w:rPr>
                <w:color w:val="000000"/>
                <w:sz w:val="16"/>
                <w:szCs w:val="16"/>
                <w:lang w:val="en-GB"/>
              </w:rPr>
              <w:t>Stabilization of the size of the total state debt continued, lasted already 13 quarters in a row</w:t>
            </w:r>
            <w:r w:rsidRPr="00F43D2E">
              <w:rPr>
                <w:rFonts w:cs="Arial"/>
                <w:bCs/>
                <w:iCs/>
                <w:color w:val="000000" w:themeColor="text1"/>
                <w:sz w:val="16"/>
                <w:szCs w:val="16"/>
                <w:lang w:val="en-GB"/>
              </w:rPr>
              <w:t xml:space="preserve"> </w:t>
            </w:r>
            <w:r w:rsidR="000F74B6" w:rsidRPr="00F43D2E">
              <w:rPr>
                <w:rFonts w:cs="Arial"/>
                <w:bCs/>
                <w:iCs/>
                <w:color w:val="000000" w:themeColor="text1"/>
                <w:sz w:val="16"/>
                <w:szCs w:val="16"/>
                <w:lang w:val="en-GB"/>
              </w:rPr>
              <w:t xml:space="preserve">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436227" w:rsidRDefault="00CD3B07" w:rsidP="00AF5D62">
            <w:pPr>
              <w:pStyle w:val="Textpoznpodarou"/>
              <w:jc w:val="both"/>
              <w:rPr>
                <w:lang w:val="en-GB"/>
              </w:rPr>
            </w:pPr>
            <w:r w:rsidRPr="00F43D2E">
              <w:rPr>
                <w:lang w:val="en-GB"/>
              </w:rPr>
              <w:t xml:space="preserve">Expenditure on the wages of state employees </w:t>
            </w:r>
            <w:r w:rsidR="007A46C3" w:rsidRPr="00F43D2E">
              <w:rPr>
                <w:lang w:val="en-GB"/>
              </w:rPr>
              <w:t>was</w:t>
            </w:r>
            <w:r w:rsidRPr="00F43D2E">
              <w:rPr>
                <w:lang w:val="en-GB"/>
              </w:rPr>
              <w:t xml:space="preserve"> expanding (despite the growth of employment </w:t>
            </w:r>
            <w:r w:rsidR="00EF1542">
              <w:rPr>
                <w:lang w:val="en-GB"/>
              </w:rPr>
              <w:t>and wage tariffs) by slight 3.2</w:t>
            </w:r>
            <w:r w:rsidRPr="00F43D2E">
              <w:rPr>
                <w:lang w:val="en-GB"/>
              </w:rPr>
              <w:t>%. A high last year basis, possibly in part reflecting also the expenditure associated with the preparation of the new</w:t>
            </w:r>
            <w:r w:rsidR="00B378C5" w:rsidRPr="00F43D2E">
              <w:rPr>
                <w:lang w:val="en-GB"/>
              </w:rPr>
              <w:t xml:space="preserve"> </w:t>
            </w:r>
            <w:r w:rsidR="004A52AA">
              <w:rPr>
                <w:lang w:val="en-GB"/>
              </w:rPr>
              <w:t>S</w:t>
            </w:r>
            <w:r w:rsidR="00B378C5" w:rsidRPr="00F43D2E">
              <w:rPr>
                <w:lang w:val="en-GB"/>
              </w:rPr>
              <w:t>ervice act</w:t>
            </w:r>
            <w:r w:rsidR="004A52AA">
              <w:rPr>
                <w:lang w:val="en-GB"/>
              </w:rPr>
              <w:t xml:space="preserve"> (which brings new rules for public administration employees)</w:t>
            </w:r>
            <w:r w:rsidRPr="00F43D2E">
              <w:rPr>
                <w:lang w:val="en-GB"/>
              </w:rPr>
              <w:t xml:space="preserve">, stood behind the milder growth. Non-investment transfers to the regional budgets, </w:t>
            </w:r>
            <w:r w:rsidR="00E142B3">
              <w:rPr>
                <w:lang w:val="en-GB"/>
              </w:rPr>
              <w:t>which</w:t>
            </w:r>
            <w:r w:rsidRPr="00F43D2E">
              <w:rPr>
                <w:lang w:val="en-GB"/>
              </w:rPr>
              <w:t xml:space="preserve"> </w:t>
            </w:r>
            <w:r w:rsidRPr="00F43D2E">
              <w:rPr>
                <w:lang w:val="en-GB"/>
              </w:rPr>
              <w:lastRenderedPageBreak/>
              <w:t>are significant</w:t>
            </w:r>
            <w:r w:rsidR="00EF1542">
              <w:rPr>
                <w:lang w:val="en-GB"/>
              </w:rPr>
              <w:t xml:space="preserve"> by volume, strengthened by 3.7</w:t>
            </w:r>
            <w:r w:rsidRPr="00F43D2E">
              <w:rPr>
                <w:lang w:val="en-GB"/>
              </w:rPr>
              <w:t xml:space="preserve">%, mostly representing the funds for the regional education system. State saved somewhat only on the payments to the EU budget (4.5 </w:t>
            </w:r>
            <w:r w:rsidR="007A46C3" w:rsidRPr="00F43D2E">
              <w:rPr>
                <w:lang w:val="en-GB"/>
              </w:rPr>
              <w:t>CZK bn</w:t>
            </w:r>
            <w:r w:rsidRPr="00F43D2E">
              <w:rPr>
                <w:lang w:val="en-GB"/>
              </w:rPr>
              <w:t xml:space="preserve">). </w:t>
            </w:r>
          </w:p>
          <w:p w:rsidR="00436227" w:rsidRPr="00436227" w:rsidRDefault="00436227" w:rsidP="00AF5D62">
            <w:pPr>
              <w:pStyle w:val="Textpoznpodarou"/>
              <w:jc w:val="both"/>
              <w:rPr>
                <w:sz w:val="16"/>
                <w:szCs w:val="16"/>
                <w:lang w:val="en-GB"/>
              </w:rPr>
            </w:pPr>
          </w:p>
          <w:p w:rsidR="000F74B6" w:rsidRPr="00F43D2E" w:rsidRDefault="00CD3B07" w:rsidP="00AF5D62">
            <w:pPr>
              <w:pStyle w:val="Textpoznpodarou"/>
              <w:jc w:val="both"/>
              <w:rPr>
                <w:rFonts w:cs="Arial"/>
                <w:color w:val="0D0D0D" w:themeColor="text1" w:themeTint="F2"/>
                <w:spacing w:val="-4"/>
                <w:lang w:val="en-GB"/>
              </w:rPr>
            </w:pPr>
            <w:r w:rsidRPr="00F43D2E">
              <w:rPr>
                <w:lang w:val="en-GB"/>
              </w:rPr>
              <w:t>Net expenditure on the state debt (i.e. after calculation the revenues of the state debt chapter</w:t>
            </w:r>
            <w:r w:rsidRPr="00F43D2E">
              <w:rPr>
                <w:color w:val="0D0D0D"/>
                <w:lang w:val="en-GB"/>
              </w:rPr>
              <w:t xml:space="preserve">) did not fall any more in contrast to the previous two years. The size of the total state debt amounted to 1 691.3 </w:t>
            </w:r>
            <w:r w:rsidR="007A46C3" w:rsidRPr="00F43D2E">
              <w:rPr>
                <w:color w:val="0D0D0D"/>
                <w:lang w:val="en-GB"/>
              </w:rPr>
              <w:t>CZK bn</w:t>
            </w:r>
            <w:r w:rsidRPr="00F43D2E">
              <w:rPr>
                <w:color w:val="0D0D0D"/>
                <w:lang w:val="en-GB"/>
              </w:rPr>
              <w:t xml:space="preserve"> at the en</w:t>
            </w:r>
            <w:r w:rsidR="00EF1542">
              <w:rPr>
                <w:color w:val="0D0D0D"/>
                <w:lang w:val="en-GB"/>
              </w:rPr>
              <w:t>d of H1, it strengthened by 1.7</w:t>
            </w:r>
            <w:r w:rsidRPr="00F43D2E">
              <w:rPr>
                <w:color w:val="0D0D0D"/>
                <w:lang w:val="en-GB"/>
              </w:rPr>
              <w:t>% year-on-year (its size did not grow any more during the Q2 itself). Higher borrowing activity of the state given the favourable situation on the financial markets and the spreading of the planned repayments of bonds within the year were reflected in the mild growth of the debt. The volume of Czech bonds held by foreign investors gained pace</w:t>
            </w:r>
            <w:r w:rsidR="00E142B3">
              <w:rPr>
                <w:color w:val="0D0D0D"/>
                <w:lang w:val="en-GB"/>
              </w:rPr>
              <w:t>. Non-residents</w:t>
            </w:r>
            <w:r w:rsidRPr="00F43D2E">
              <w:rPr>
                <w:color w:val="0D0D0D"/>
                <w:lang w:val="en-GB"/>
              </w:rPr>
              <w:t xml:space="preserve"> </w:t>
            </w:r>
            <w:r w:rsidR="00DA097A">
              <w:rPr>
                <w:color w:val="0D0D0D"/>
                <w:lang w:val="en-GB"/>
              </w:rPr>
              <w:t>he</w:t>
            </w:r>
            <w:r w:rsidR="00E142B3">
              <w:rPr>
                <w:color w:val="0D0D0D"/>
                <w:lang w:val="en-GB"/>
              </w:rPr>
              <w:t xml:space="preserve">ld </w:t>
            </w:r>
            <w:r w:rsidRPr="00F43D2E">
              <w:rPr>
                <w:color w:val="0D0D0D"/>
                <w:lang w:val="en-GB"/>
              </w:rPr>
              <w:t xml:space="preserve">already by 367 </w:t>
            </w:r>
            <w:r w:rsidR="007A46C3" w:rsidRPr="00F43D2E">
              <w:rPr>
                <w:color w:val="0D0D0D"/>
                <w:lang w:val="en-GB"/>
              </w:rPr>
              <w:t>CZK bn</w:t>
            </w:r>
            <w:r w:rsidRPr="00F43D2E">
              <w:rPr>
                <w:color w:val="0D0D0D"/>
                <w:lang w:val="en-GB"/>
              </w:rPr>
              <w:t xml:space="preserve"> at the end of June</w:t>
            </w:r>
            <w:r w:rsidR="00EF1542">
              <w:rPr>
                <w:color w:val="000000"/>
                <w:lang w:val="en-GB"/>
              </w:rPr>
              <w:t>, resp. 26</w:t>
            </w:r>
            <w:r w:rsidRPr="00F43D2E">
              <w:rPr>
                <w:color w:val="000000"/>
                <w:lang w:val="en-GB"/>
              </w:rPr>
              <w:t>% of the value of all bonds</w:t>
            </w:r>
            <w:r w:rsidR="00A95742">
              <w:rPr>
                <w:color w:val="000000"/>
                <w:lang w:val="en-GB"/>
              </w:rPr>
              <w:t xml:space="preserve"> denominated in Czech Koruna</w:t>
            </w:r>
            <w:r w:rsidRPr="00F43D2E">
              <w:rPr>
                <w:color w:val="000000"/>
                <w:lang w:val="en-GB"/>
              </w:rPr>
              <w:t>.</w:t>
            </w:r>
            <w:r w:rsidRPr="00F43D2E">
              <w:rPr>
                <w:color w:val="000000" w:themeColor="text1"/>
                <w:spacing w:val="-4"/>
                <w:lang w:val="en-GB"/>
              </w:rPr>
              <w:t xml:space="preserve"> </w:t>
            </w:r>
          </w:p>
          <w:p w:rsidR="000F74B6" w:rsidRPr="00F43D2E" w:rsidRDefault="000F74B6" w:rsidP="00AF5D62">
            <w:pPr>
              <w:pStyle w:val="Textpoznpodarou"/>
              <w:jc w:val="both"/>
              <w:rPr>
                <w:spacing w:val="-4"/>
                <w:sz w:val="15"/>
                <w:szCs w:val="15"/>
                <w:lang w:val="en-GB"/>
              </w:rPr>
            </w:pPr>
          </w:p>
        </w:tc>
      </w:tr>
      <w:tr w:rsidR="000F74B6" w:rsidRPr="00F43D2E" w:rsidTr="00AF5D62">
        <w:tc>
          <w:tcPr>
            <w:tcW w:w="1054" w:type="pct"/>
          </w:tcPr>
          <w:p w:rsidR="00ED53D3" w:rsidRPr="00F43D2E" w:rsidRDefault="00ED53D3" w:rsidP="00ED53D3">
            <w:pPr>
              <w:spacing w:line="240" w:lineRule="auto"/>
              <w:rPr>
                <w:rFonts w:cs="Arial"/>
                <w:bCs/>
                <w:iCs/>
                <w:color w:val="0D0D0D" w:themeColor="text1" w:themeTint="F2"/>
                <w:sz w:val="16"/>
                <w:szCs w:val="16"/>
                <w:lang w:val="en-GB"/>
              </w:rPr>
            </w:pPr>
            <w:r w:rsidRPr="00F43D2E">
              <w:rPr>
                <w:rFonts w:cs="Arial"/>
                <w:bCs/>
                <w:iCs/>
                <w:color w:val="0D0D0D" w:themeColor="text1" w:themeTint="F2"/>
                <w:sz w:val="16"/>
                <w:szCs w:val="16"/>
                <w:lang w:val="en-GB"/>
              </w:rPr>
              <w:lastRenderedPageBreak/>
              <w:t>Relative size of debt of the government institutions sector was falling exclusively thanks to the strong growth of GDP</w:t>
            </w: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0F74B6" w:rsidP="00AF5D62">
            <w:pPr>
              <w:spacing w:line="240" w:lineRule="auto"/>
              <w:rPr>
                <w:rFonts w:cs="Arial"/>
                <w:bCs/>
                <w:iCs/>
                <w:color w:val="0D0D0D" w:themeColor="text1" w:themeTint="F2"/>
                <w:sz w:val="16"/>
                <w:szCs w:val="16"/>
                <w:lang w:val="en-GB"/>
              </w:rPr>
            </w:pPr>
          </w:p>
          <w:p w:rsidR="000F74B6" w:rsidRPr="00F43D2E" w:rsidRDefault="00ED53D3" w:rsidP="00AF5D62">
            <w:pPr>
              <w:spacing w:line="240" w:lineRule="auto"/>
              <w:rPr>
                <w:rFonts w:cs="Arial"/>
                <w:color w:val="0D0D0D" w:themeColor="text1" w:themeTint="F2"/>
                <w:spacing w:val="-4"/>
                <w:sz w:val="16"/>
                <w:szCs w:val="16"/>
                <w:lang w:val="en-GB"/>
              </w:rPr>
            </w:pPr>
            <w:r w:rsidRPr="00F43D2E">
              <w:rPr>
                <w:color w:val="0D0D0D"/>
                <w:sz w:val="16"/>
                <w:szCs w:val="16"/>
                <w:lang w:val="en-GB"/>
              </w:rPr>
              <w:t xml:space="preserve">The Czech Republic was the eight least indebted country in the EU at the beginning of </w:t>
            </w:r>
            <w:r w:rsidR="0081315E">
              <w:rPr>
                <w:color w:val="0D0D0D"/>
                <w:sz w:val="16"/>
                <w:szCs w:val="16"/>
                <w:lang w:val="en-GB"/>
              </w:rPr>
              <w:t xml:space="preserve">the </w:t>
            </w:r>
            <w:r w:rsidRPr="00F43D2E">
              <w:rPr>
                <w:color w:val="0D0D0D"/>
                <w:sz w:val="16"/>
                <w:szCs w:val="16"/>
                <w:lang w:val="en-GB"/>
              </w:rPr>
              <w:t>year 2016, the declining trend of relative indebtedness was apparent already since Q2 2015 in the EU</w:t>
            </w:r>
            <w:r w:rsidRPr="00F43D2E">
              <w:rPr>
                <w:rFonts w:cs="Arial"/>
                <w:color w:val="0D0D0D" w:themeColor="text1" w:themeTint="F2"/>
                <w:spacing w:val="-4"/>
                <w:sz w:val="16"/>
                <w:szCs w:val="16"/>
                <w:lang w:val="en-GB"/>
              </w:rPr>
              <w:t xml:space="preserve"> </w:t>
            </w:r>
          </w:p>
        </w:tc>
        <w:tc>
          <w:tcPr>
            <w:tcW w:w="142" w:type="pct"/>
          </w:tcPr>
          <w:p w:rsidR="000F74B6" w:rsidRPr="00F43D2E" w:rsidRDefault="000F74B6" w:rsidP="00AF5D62">
            <w:pPr>
              <w:pStyle w:val="Textpoznpodarou"/>
              <w:jc w:val="both"/>
              <w:rPr>
                <w:rFonts w:cs="Arial"/>
                <w:color w:val="0D0D0D" w:themeColor="text1" w:themeTint="F2"/>
                <w:lang w:val="en-GB"/>
              </w:rPr>
            </w:pPr>
          </w:p>
        </w:tc>
        <w:tc>
          <w:tcPr>
            <w:tcW w:w="3804" w:type="pct"/>
          </w:tcPr>
          <w:p w:rsidR="00436227" w:rsidRDefault="00ED53D3" w:rsidP="001D6655">
            <w:pPr>
              <w:pStyle w:val="Textpoznpodarou"/>
              <w:jc w:val="both"/>
              <w:rPr>
                <w:color w:val="0D0D0D"/>
                <w:lang w:val="en-GB"/>
              </w:rPr>
            </w:pPr>
            <w:r w:rsidRPr="00F43D2E">
              <w:rPr>
                <w:color w:val="0D0D0D"/>
                <w:lang w:val="en-GB"/>
              </w:rPr>
              <w:t xml:space="preserve">Consolidated gross debt of the whole sector of government institutions (including also the </w:t>
            </w:r>
            <w:r w:rsidR="00E142B3">
              <w:rPr>
                <w:color w:val="0D0D0D"/>
                <w:lang w:val="en-GB"/>
              </w:rPr>
              <w:t xml:space="preserve">local </w:t>
            </w:r>
            <w:r w:rsidRPr="00F43D2E">
              <w:rPr>
                <w:color w:val="0D0D0D"/>
                <w:lang w:val="en-GB"/>
              </w:rPr>
              <w:t>budget</w:t>
            </w:r>
            <w:r w:rsidR="00F27D6C">
              <w:rPr>
                <w:color w:val="0D0D0D"/>
                <w:lang w:val="en-GB"/>
              </w:rPr>
              <w:t>s</w:t>
            </w:r>
            <w:r w:rsidRPr="00F43D2E">
              <w:rPr>
                <w:color w:val="0D0D0D"/>
                <w:lang w:val="en-GB"/>
              </w:rPr>
              <w:t xml:space="preserve"> or the social security funds) reached according to the up-to-date data of the CZSO the size 1 857.9 </w:t>
            </w:r>
            <w:r w:rsidR="007A46C3" w:rsidRPr="00F43D2E">
              <w:rPr>
                <w:color w:val="0D0D0D"/>
                <w:lang w:val="en-GB"/>
              </w:rPr>
              <w:t>CZK bn</w:t>
            </w:r>
            <w:r w:rsidRPr="00F43D2E">
              <w:rPr>
                <w:color w:val="0D0D0D"/>
                <w:lang w:val="en-GB"/>
              </w:rPr>
              <w:t xml:space="preserve"> at the end of </w:t>
            </w:r>
            <w:r w:rsidR="00E142B3">
              <w:rPr>
                <w:color w:val="0D0D0D"/>
                <w:lang w:val="en-GB"/>
              </w:rPr>
              <w:t>Q</w:t>
            </w:r>
            <w:r w:rsidRPr="00F43D2E">
              <w:rPr>
                <w:color w:val="0D0D0D"/>
                <w:lang w:val="en-GB"/>
              </w:rPr>
              <w:t>1 2016</w:t>
            </w:r>
            <w:bookmarkStart w:id="4" w:name="_ftnref25"/>
            <w:r w:rsidR="001D6655" w:rsidRPr="00F43D2E">
              <w:rPr>
                <w:rStyle w:val="Znakapoznpodarou"/>
                <w:color w:val="0D0D0D" w:themeColor="text1" w:themeTint="F2"/>
                <w:spacing w:val="-4"/>
                <w:lang w:val="en-GB"/>
              </w:rPr>
              <w:footnoteReference w:id="5"/>
            </w:r>
            <w:bookmarkEnd w:id="4"/>
            <w:r w:rsidRPr="00F43D2E">
              <w:rPr>
                <w:rFonts w:cs="Arial"/>
                <w:color w:val="0D0D0D"/>
                <w:lang w:val="en-GB"/>
              </w:rPr>
              <w:t xml:space="preserve"> </w:t>
            </w:r>
            <w:r w:rsidRPr="00F43D2E">
              <w:rPr>
                <w:color w:val="0D0D0D"/>
                <w:lang w:val="en-GB"/>
              </w:rPr>
              <w:t>and it</w:t>
            </w:r>
            <w:r w:rsidR="00EF1542">
              <w:rPr>
                <w:color w:val="0D0D0D"/>
                <w:lang w:val="en-GB"/>
              </w:rPr>
              <w:t xml:space="preserve"> amounted to 40.4</w:t>
            </w:r>
            <w:r w:rsidRPr="00F43D2E">
              <w:rPr>
                <w:color w:val="0D0D0D"/>
                <w:lang w:val="en-GB"/>
              </w:rPr>
              <w:t xml:space="preserve">% in relation to GDP (it was by 1.5 </w:t>
            </w:r>
            <w:r w:rsidR="00A95742">
              <w:rPr>
                <w:color w:val="0D0D0D"/>
                <w:lang w:val="en-GB"/>
              </w:rPr>
              <w:t>p.p.</w:t>
            </w:r>
            <w:r w:rsidRPr="00F43D2E">
              <w:rPr>
                <w:color w:val="0D0D0D"/>
                <w:lang w:val="en-GB"/>
              </w:rPr>
              <w:t xml:space="preserve"> </w:t>
            </w:r>
            <w:r w:rsidR="007C0CB9" w:rsidRPr="00F43D2E">
              <w:rPr>
                <w:color w:val="0D0D0D"/>
                <w:lang w:val="en-GB"/>
              </w:rPr>
              <w:t>h</w:t>
            </w:r>
            <w:r w:rsidRPr="00F43D2E">
              <w:rPr>
                <w:color w:val="0D0D0D"/>
                <w:lang w:val="en-GB"/>
              </w:rPr>
              <w:t xml:space="preserve">igher in the same period of the preceding year). The reduction of the relative level of debt was exclusively the result of the growth of the nominal GDP, since the absolute level of indebtedness increased (by 22.5 </w:t>
            </w:r>
            <w:r w:rsidR="007A46C3" w:rsidRPr="00F43D2E">
              <w:rPr>
                <w:color w:val="0D0D0D"/>
                <w:lang w:val="en-GB"/>
              </w:rPr>
              <w:t>CZK bn</w:t>
            </w:r>
            <w:r w:rsidRPr="00F43D2E">
              <w:rPr>
                <w:color w:val="0D0D0D"/>
                <w:lang w:val="en-GB"/>
              </w:rPr>
              <w:t xml:space="preserve">). </w:t>
            </w:r>
          </w:p>
          <w:p w:rsidR="00436227" w:rsidRPr="00436227" w:rsidRDefault="00436227" w:rsidP="001D6655">
            <w:pPr>
              <w:pStyle w:val="Textpoznpodarou"/>
              <w:jc w:val="both"/>
              <w:rPr>
                <w:color w:val="0D0D0D"/>
                <w:sz w:val="16"/>
                <w:szCs w:val="16"/>
                <w:lang w:val="en-GB"/>
              </w:rPr>
            </w:pPr>
          </w:p>
          <w:p w:rsidR="000F74B6" w:rsidRPr="00F43D2E" w:rsidRDefault="00ED53D3" w:rsidP="001D6655">
            <w:pPr>
              <w:pStyle w:val="Textpoznpodarou"/>
              <w:jc w:val="both"/>
              <w:rPr>
                <w:spacing w:val="-4"/>
                <w:lang w:val="en-GB"/>
              </w:rPr>
            </w:pPr>
            <w:r w:rsidRPr="00F43D2E">
              <w:rPr>
                <w:color w:val="0D0D0D"/>
                <w:lang w:val="en-GB"/>
              </w:rPr>
              <w:t xml:space="preserve">Budget of the government institutions </w:t>
            </w:r>
            <w:r w:rsidR="00E142B3">
              <w:rPr>
                <w:color w:val="0D0D0D"/>
                <w:lang w:val="en-GB"/>
              </w:rPr>
              <w:t>reached</w:t>
            </w:r>
            <w:r w:rsidRPr="00F43D2E">
              <w:rPr>
                <w:color w:val="0D0D0D"/>
                <w:lang w:val="en-GB"/>
              </w:rPr>
              <w:t xml:space="preserve"> a mild deficit of 8.1 </w:t>
            </w:r>
            <w:r w:rsidR="007A46C3" w:rsidRPr="00F43D2E">
              <w:rPr>
                <w:color w:val="0D0D0D"/>
                <w:lang w:val="en-GB"/>
              </w:rPr>
              <w:t>CZK bn</w:t>
            </w:r>
            <w:r w:rsidRPr="00F43D2E">
              <w:rPr>
                <w:color w:val="0D0D0D"/>
                <w:lang w:val="en-GB"/>
              </w:rPr>
              <w:t xml:space="preserve"> in Q1 2016 (in the accrual expression)</w:t>
            </w:r>
            <w:r w:rsidR="001D6655" w:rsidRPr="00F43D2E">
              <w:rPr>
                <w:rStyle w:val="Znakapoznpodarou"/>
                <w:color w:val="0D0D0D" w:themeColor="text1" w:themeTint="F2"/>
                <w:spacing w:val="-4"/>
                <w:lang w:val="en-GB"/>
              </w:rPr>
              <w:t xml:space="preserve"> </w:t>
            </w:r>
            <w:r w:rsidR="001D6655" w:rsidRPr="00F43D2E">
              <w:rPr>
                <w:rStyle w:val="Znakapoznpodarou"/>
                <w:color w:val="0D0D0D" w:themeColor="text1" w:themeTint="F2"/>
                <w:spacing w:val="-4"/>
                <w:lang w:val="en-GB"/>
              </w:rPr>
              <w:footnoteReference w:id="6"/>
            </w:r>
            <w:r w:rsidRPr="00F43D2E">
              <w:rPr>
                <w:rFonts w:cs="Arial"/>
                <w:color w:val="0D0D0D"/>
                <w:lang w:val="en-GB"/>
              </w:rPr>
              <w:t xml:space="preserve">, </w:t>
            </w:r>
            <w:r w:rsidRPr="00F43D2E">
              <w:rPr>
                <w:color w:val="0D0D0D"/>
                <w:lang w:val="en-GB"/>
              </w:rPr>
              <w:t xml:space="preserve">when the surplus of the local government institutions did not manage to compensate the deeper deficit of the central government institutions. The proportion of the total government sector debt to GDP was the eighth lowest within the EU (Denmark, Sweden, Lithuania or Romania were in a similar position) in the Czech </w:t>
            </w:r>
            <w:r w:rsidR="00A76F5B" w:rsidRPr="00F43D2E">
              <w:rPr>
                <w:color w:val="0D0D0D"/>
                <w:lang w:val="en-GB"/>
              </w:rPr>
              <w:t>R</w:t>
            </w:r>
            <w:r w:rsidRPr="00F43D2E">
              <w:rPr>
                <w:color w:val="0D0D0D"/>
                <w:lang w:val="en-GB"/>
              </w:rPr>
              <w:t xml:space="preserve">epublic (at the end of Q1 2016). Relative debt lowered in half of the EU states compared to the last year's Q1, however by a faster pace only in Ireland, which nevertheless recorded a double indebtedness compared to the Czech </w:t>
            </w:r>
            <w:r w:rsidR="007C0CB9" w:rsidRPr="00F43D2E">
              <w:rPr>
                <w:color w:val="0D0D0D"/>
                <w:lang w:val="en-GB"/>
              </w:rPr>
              <w:t>R</w:t>
            </w:r>
            <w:r w:rsidRPr="00F43D2E">
              <w:rPr>
                <w:color w:val="0D0D0D"/>
                <w:lang w:val="en-GB"/>
              </w:rPr>
              <w:t xml:space="preserve">epublic at the beginning of </w:t>
            </w:r>
            <w:r w:rsidR="0081315E">
              <w:rPr>
                <w:color w:val="0D0D0D"/>
                <w:lang w:val="en-GB"/>
              </w:rPr>
              <w:t xml:space="preserve">the </w:t>
            </w:r>
            <w:r w:rsidRPr="00F43D2E">
              <w:rPr>
                <w:color w:val="0D0D0D"/>
                <w:lang w:val="en-GB"/>
              </w:rPr>
              <w:t>year 2016. Very high indebtedness rate prevailed i</w:t>
            </w:r>
            <w:r w:rsidR="00EF1542">
              <w:rPr>
                <w:color w:val="0D0D0D"/>
                <w:lang w:val="en-GB"/>
              </w:rPr>
              <w:t>n Greece (176</w:t>
            </w:r>
            <w:r w:rsidRPr="00F43D2E">
              <w:rPr>
                <w:color w:val="0D0D0D"/>
                <w:lang w:val="en-GB"/>
              </w:rPr>
              <w:t>% of GDP)</w:t>
            </w:r>
            <w:r w:rsidR="00E142B3">
              <w:rPr>
                <w:color w:val="0D0D0D"/>
                <w:lang w:val="en-GB"/>
              </w:rPr>
              <w:t>.</w:t>
            </w:r>
            <w:r w:rsidRPr="00F43D2E">
              <w:rPr>
                <w:color w:val="0D0D0D"/>
                <w:lang w:val="en-GB"/>
              </w:rPr>
              <w:t xml:space="preserve"> </w:t>
            </w:r>
            <w:r w:rsidR="00E142B3">
              <w:rPr>
                <w:color w:val="0D0D0D"/>
                <w:lang w:val="en-GB"/>
              </w:rPr>
              <w:t>I</w:t>
            </w:r>
            <w:r w:rsidRPr="00F43D2E">
              <w:rPr>
                <w:color w:val="0D0D0D"/>
                <w:lang w:val="en-GB"/>
              </w:rPr>
              <w:t>t was mildly expanding also in the economically stagnating Finland in the last two years.</w:t>
            </w:r>
          </w:p>
        </w:tc>
      </w:tr>
    </w:tbl>
    <w:p w:rsidR="00902D09" w:rsidRDefault="00902D09" w:rsidP="00902D09">
      <w:pPr>
        <w:pStyle w:val="Textpoznpodarou"/>
        <w:jc w:val="both"/>
        <w:rPr>
          <w:rFonts w:cs="Arial"/>
          <w:color w:val="000000" w:themeColor="text1"/>
          <w:spacing w:val="-2"/>
        </w:rPr>
      </w:pPr>
    </w:p>
    <w:tbl>
      <w:tblPr>
        <w:tblW w:w="5000" w:type="pct"/>
        <w:tblCellMar>
          <w:left w:w="28" w:type="dxa"/>
          <w:right w:w="28" w:type="dxa"/>
        </w:tblCellMar>
        <w:tblLook w:val="04A0"/>
      </w:tblPr>
      <w:tblGrid>
        <w:gridCol w:w="586"/>
        <w:gridCol w:w="4223"/>
        <w:gridCol w:w="24"/>
        <w:gridCol w:w="691"/>
        <w:gridCol w:w="4143"/>
        <w:gridCol w:w="27"/>
      </w:tblGrid>
      <w:tr w:rsidR="00902D09" w:rsidRPr="00F43D2E" w:rsidTr="000F40CD">
        <w:trPr>
          <w:gridAfter w:val="1"/>
          <w:wAfter w:w="14" w:type="pct"/>
        </w:trPr>
        <w:tc>
          <w:tcPr>
            <w:tcW w:w="304" w:type="pct"/>
          </w:tcPr>
          <w:p w:rsidR="00902D09" w:rsidRPr="00F43D2E" w:rsidRDefault="00902D09" w:rsidP="000F40CD">
            <w:pPr>
              <w:spacing w:line="240" w:lineRule="auto"/>
              <w:rPr>
                <w:lang w:val="en-GB"/>
              </w:rPr>
            </w:pPr>
            <w:r w:rsidRPr="00F43D2E">
              <w:rPr>
                <w:lang w:val="en-GB"/>
              </w:rPr>
              <w:t>Chart 19</w:t>
            </w:r>
          </w:p>
        </w:tc>
        <w:tc>
          <w:tcPr>
            <w:tcW w:w="2197" w:type="pct"/>
          </w:tcPr>
          <w:p w:rsidR="00902D09" w:rsidRPr="00F43D2E" w:rsidRDefault="00902D09" w:rsidP="000F40CD">
            <w:pPr>
              <w:spacing w:line="240" w:lineRule="auto"/>
              <w:rPr>
                <w:rFonts w:cs="Arial"/>
                <w:b/>
                <w:bCs/>
                <w:lang w:val="en-GB"/>
              </w:rPr>
            </w:pPr>
            <w:r w:rsidRPr="00F43D2E">
              <w:rPr>
                <w:rFonts w:cs="Arial"/>
                <w:b/>
                <w:bCs/>
                <w:lang w:val="en-GB"/>
              </w:rPr>
              <w:t xml:space="preserve">State-wide collections of tax revenues </w:t>
            </w:r>
            <w:r w:rsidRPr="00F43D2E">
              <w:rPr>
                <w:rFonts w:cs="Arial"/>
                <w:bCs/>
                <w:lang w:val="en-GB"/>
              </w:rPr>
              <w:t>(y/y in</w:t>
            </w:r>
            <w:r>
              <w:rPr>
                <w:rFonts w:cs="Arial"/>
                <w:bCs/>
                <w:lang w:val="en-GB"/>
              </w:rPr>
              <w:t xml:space="preserve"> </w:t>
            </w:r>
            <w:r w:rsidRPr="00F43D2E">
              <w:rPr>
                <w:rFonts w:cs="Arial"/>
                <w:bCs/>
                <w:lang w:val="en-GB"/>
              </w:rPr>
              <w:t xml:space="preserve">%) </w:t>
            </w:r>
            <w:r w:rsidRPr="00F43D2E">
              <w:rPr>
                <w:rFonts w:cs="Arial"/>
                <w:b/>
                <w:bCs/>
                <w:lang w:val="en-GB"/>
              </w:rPr>
              <w:t xml:space="preserve">and state budget balance </w:t>
            </w:r>
            <w:r w:rsidRPr="00F43D2E">
              <w:rPr>
                <w:rFonts w:cs="Arial"/>
                <w:bCs/>
                <w:lang w:val="en-GB"/>
              </w:rPr>
              <w:t>(in CZK bn)</w:t>
            </w:r>
          </w:p>
        </w:tc>
        <w:tc>
          <w:tcPr>
            <w:tcW w:w="365" w:type="pct"/>
            <w:gridSpan w:val="2"/>
          </w:tcPr>
          <w:p w:rsidR="00902D09" w:rsidRPr="00F43D2E" w:rsidRDefault="00902D09" w:rsidP="000F40CD">
            <w:pPr>
              <w:spacing w:line="240" w:lineRule="auto"/>
              <w:rPr>
                <w:lang w:val="en-GB"/>
              </w:rPr>
            </w:pPr>
            <w:r w:rsidRPr="00F43D2E">
              <w:rPr>
                <w:lang w:val="en-GB"/>
              </w:rPr>
              <w:t>Chart 20</w:t>
            </w:r>
          </w:p>
        </w:tc>
        <w:tc>
          <w:tcPr>
            <w:tcW w:w="2120" w:type="pct"/>
          </w:tcPr>
          <w:p w:rsidR="00902D09" w:rsidRDefault="00902D09" w:rsidP="000F40CD">
            <w:pPr>
              <w:spacing w:line="240" w:lineRule="auto"/>
              <w:rPr>
                <w:rFonts w:cs="Arial"/>
                <w:b/>
                <w:bCs/>
                <w:lang w:val="en-GB"/>
              </w:rPr>
            </w:pPr>
            <w:r w:rsidRPr="00F43D2E">
              <w:rPr>
                <w:rFonts w:cs="Arial"/>
                <w:b/>
                <w:bCs/>
                <w:lang w:val="en-GB"/>
              </w:rPr>
              <w:t xml:space="preserve">Selected state budget expenditures </w:t>
            </w:r>
          </w:p>
          <w:p w:rsidR="00902D09" w:rsidRPr="00F43D2E" w:rsidRDefault="00902D09" w:rsidP="000F40CD">
            <w:pPr>
              <w:spacing w:line="240" w:lineRule="auto"/>
              <w:rPr>
                <w:rFonts w:cs="Arial"/>
                <w:b/>
                <w:bCs/>
                <w:spacing w:val="-2"/>
                <w:lang w:val="en-GB"/>
              </w:rPr>
            </w:pPr>
            <w:r w:rsidRPr="00F43D2E">
              <w:rPr>
                <w:rFonts w:cs="Arial"/>
                <w:bCs/>
                <w:lang w:val="en-GB"/>
              </w:rPr>
              <w:t>(in CZK bn)</w:t>
            </w:r>
          </w:p>
        </w:tc>
      </w:tr>
      <w:tr w:rsidR="00902D09" w:rsidTr="000F40CD">
        <w:tc>
          <w:tcPr>
            <w:tcW w:w="2513" w:type="pct"/>
            <w:gridSpan w:val="3"/>
          </w:tcPr>
          <w:p w:rsidR="00902D09" w:rsidRDefault="008437F0" w:rsidP="000F40CD">
            <w:pPr>
              <w:pStyle w:val="Textpoznpodarou"/>
              <w:jc w:val="both"/>
            </w:pPr>
            <w:r>
              <w:rPr>
                <w:noProof/>
              </w:rPr>
              <w:drawing>
                <wp:inline distT="0" distB="0" distL="0" distR="0">
                  <wp:extent cx="3040380" cy="2262505"/>
                  <wp:effectExtent l="19050" t="0" r="7620" b="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srcRect/>
                          <a:stretch>
                            <a:fillRect/>
                          </a:stretch>
                        </pic:blipFill>
                        <pic:spPr bwMode="auto">
                          <a:xfrm>
                            <a:off x="0" y="0"/>
                            <a:ext cx="3040380" cy="2262505"/>
                          </a:xfrm>
                          <a:prstGeom prst="rect">
                            <a:avLst/>
                          </a:prstGeom>
                          <a:noFill/>
                          <a:ln w="9525">
                            <a:noFill/>
                            <a:miter lim="800000"/>
                            <a:headEnd/>
                            <a:tailEnd/>
                          </a:ln>
                        </pic:spPr>
                      </pic:pic>
                    </a:graphicData>
                  </a:graphic>
                </wp:inline>
              </w:drawing>
            </w:r>
          </w:p>
        </w:tc>
        <w:tc>
          <w:tcPr>
            <w:tcW w:w="2487" w:type="pct"/>
            <w:gridSpan w:val="3"/>
          </w:tcPr>
          <w:p w:rsidR="00902D09" w:rsidRDefault="008437F0" w:rsidP="000F40CD">
            <w:pPr>
              <w:pStyle w:val="Textpoznpodarou"/>
              <w:jc w:val="both"/>
            </w:pPr>
            <w:r>
              <w:rPr>
                <w:noProof/>
              </w:rPr>
              <w:drawing>
                <wp:inline distT="0" distB="0" distL="0" distR="0">
                  <wp:extent cx="3063875" cy="2268220"/>
                  <wp:effectExtent l="19050" t="0" r="3175" b="0"/>
                  <wp:docPr id="56"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3063875" cy="2268220"/>
                          </a:xfrm>
                          <a:prstGeom prst="rect">
                            <a:avLst/>
                          </a:prstGeom>
                          <a:noFill/>
                          <a:ln w="9525">
                            <a:noFill/>
                            <a:miter lim="800000"/>
                            <a:headEnd/>
                            <a:tailEnd/>
                          </a:ln>
                        </pic:spPr>
                      </pic:pic>
                    </a:graphicData>
                  </a:graphic>
                </wp:inline>
              </w:drawing>
            </w:r>
          </w:p>
        </w:tc>
      </w:tr>
      <w:tr w:rsidR="00902D09" w:rsidRPr="009E6613" w:rsidTr="000F40CD">
        <w:tc>
          <w:tcPr>
            <w:tcW w:w="5000" w:type="pct"/>
            <w:gridSpan w:val="6"/>
          </w:tcPr>
          <w:p w:rsidR="00902D09" w:rsidRPr="00F43D2E" w:rsidRDefault="00902D09" w:rsidP="000F40CD">
            <w:pPr>
              <w:pStyle w:val="Textpoznpodarou"/>
              <w:spacing w:before="40"/>
              <w:rPr>
                <w:sz w:val="18"/>
                <w:szCs w:val="18"/>
                <w:lang w:val="en-GB"/>
              </w:rPr>
            </w:pPr>
            <w:r w:rsidRPr="004C5813">
              <w:rPr>
                <w:sz w:val="18"/>
                <w:szCs w:val="18"/>
              </w:rPr>
              <w:t>*</w:t>
            </w:r>
            <w:r w:rsidRPr="00F43D2E">
              <w:rPr>
                <w:sz w:val="18"/>
                <w:szCs w:val="18"/>
                <w:lang w:val="en-GB"/>
              </w:rPr>
              <w:t xml:space="preserve">* including the foster care benefits         </w:t>
            </w:r>
          </w:p>
          <w:p w:rsidR="00902D09" w:rsidRPr="00F43D2E" w:rsidRDefault="00902D09" w:rsidP="000F40CD">
            <w:pPr>
              <w:pStyle w:val="Textpoznpodarou"/>
              <w:rPr>
                <w:sz w:val="18"/>
                <w:szCs w:val="18"/>
                <w:lang w:val="en-GB"/>
              </w:rPr>
            </w:pPr>
            <w:r w:rsidRPr="00F43D2E">
              <w:rPr>
                <w:spacing w:val="-2"/>
                <w:sz w:val="18"/>
                <w:szCs w:val="18"/>
                <w:lang w:val="en-GB"/>
              </w:rPr>
              <w:t>**</w:t>
            </w:r>
            <w:r w:rsidRPr="00F43D2E">
              <w:rPr>
                <w:rFonts w:cs="Arial"/>
                <w:sz w:val="18"/>
                <w:szCs w:val="18"/>
                <w:lang w:val="en-GB"/>
              </w:rPr>
              <w:t xml:space="preserve"> </w:t>
            </w:r>
            <w:proofErr w:type="gramStart"/>
            <w:r w:rsidRPr="00F43D2E">
              <w:rPr>
                <w:rFonts w:cs="Arial"/>
                <w:sz w:val="18"/>
                <w:szCs w:val="18"/>
                <w:lang w:val="en-GB"/>
              </w:rPr>
              <w:t>material</w:t>
            </w:r>
            <w:proofErr w:type="gramEnd"/>
            <w:r w:rsidRPr="00F43D2E">
              <w:rPr>
                <w:rFonts w:cs="Arial"/>
                <w:sz w:val="18"/>
                <w:szCs w:val="18"/>
                <w:lang w:val="en-GB"/>
              </w:rPr>
              <w:t xml:space="preserve"> deprivation assistance benefits, disability benefits, contribution to care based on Act on State Social Support.</w:t>
            </w:r>
          </w:p>
          <w:p w:rsidR="00902D09" w:rsidRPr="00026AC2" w:rsidRDefault="00902D09" w:rsidP="000F40CD">
            <w:pPr>
              <w:pStyle w:val="Textpoznpodarou"/>
              <w:rPr>
                <w:sz w:val="18"/>
                <w:szCs w:val="18"/>
                <w:lang w:val="en-GB"/>
              </w:rPr>
            </w:pPr>
            <w:r w:rsidRPr="00F43D2E">
              <w:rPr>
                <w:sz w:val="18"/>
                <w:szCs w:val="18"/>
                <w:lang w:val="en-GB"/>
              </w:rPr>
              <w:t xml:space="preserve">*** expenditure calculations also include the revenues in chapter on State Debt  </w:t>
            </w:r>
            <w:r>
              <w:rPr>
                <w:sz w:val="18"/>
                <w:szCs w:val="18"/>
                <w:lang w:val="en-GB"/>
              </w:rPr>
              <w:t xml:space="preserve">                            </w:t>
            </w:r>
            <w:r w:rsidRPr="00F43D2E">
              <w:rPr>
                <w:sz w:val="18"/>
                <w:szCs w:val="18"/>
                <w:lang w:val="en-GB"/>
              </w:rPr>
              <w:t>Source</w:t>
            </w:r>
            <w:r w:rsidRPr="00F43D2E">
              <w:rPr>
                <w:rFonts w:cs="Arial"/>
                <w:sz w:val="18"/>
                <w:szCs w:val="18"/>
                <w:lang w:val="en-GB"/>
              </w:rPr>
              <w:t>: MF CR, MLSA</w:t>
            </w:r>
          </w:p>
        </w:tc>
      </w:tr>
    </w:tbl>
    <w:p w:rsidR="00902D09" w:rsidRDefault="00902D09" w:rsidP="00902D09">
      <w:pPr>
        <w:pStyle w:val="Textpoznpodarou"/>
        <w:jc w:val="both"/>
        <w:rPr>
          <w:rFonts w:cs="Arial"/>
          <w:color w:val="000000" w:themeColor="text1"/>
          <w:spacing w:val="-2"/>
          <w:sz w:val="16"/>
          <w:szCs w:val="16"/>
        </w:rPr>
      </w:pPr>
    </w:p>
    <w:tbl>
      <w:tblPr>
        <w:tblW w:w="5000" w:type="pct"/>
        <w:tblLayout w:type="fixed"/>
        <w:tblCellMar>
          <w:left w:w="28" w:type="dxa"/>
          <w:right w:w="28" w:type="dxa"/>
        </w:tblCellMar>
        <w:tblLook w:val="04A0"/>
      </w:tblPr>
      <w:tblGrid>
        <w:gridCol w:w="745"/>
        <w:gridCol w:w="4048"/>
        <w:gridCol w:w="56"/>
        <w:gridCol w:w="646"/>
        <w:gridCol w:w="4172"/>
        <w:gridCol w:w="27"/>
      </w:tblGrid>
      <w:tr w:rsidR="00902D09" w:rsidRPr="00F43D2E" w:rsidTr="000F40CD">
        <w:tc>
          <w:tcPr>
            <w:tcW w:w="384" w:type="pct"/>
          </w:tcPr>
          <w:p w:rsidR="00902D09" w:rsidRPr="00F43D2E" w:rsidRDefault="00902D09" w:rsidP="000F40CD">
            <w:pPr>
              <w:spacing w:line="240" w:lineRule="auto"/>
              <w:rPr>
                <w:lang w:val="en-GB"/>
              </w:rPr>
            </w:pPr>
            <w:r w:rsidRPr="00F43D2E">
              <w:rPr>
                <w:lang w:val="en-GB"/>
              </w:rPr>
              <w:lastRenderedPageBreak/>
              <w:t>Chart 21</w:t>
            </w:r>
          </w:p>
        </w:tc>
        <w:tc>
          <w:tcPr>
            <w:tcW w:w="2088" w:type="pct"/>
          </w:tcPr>
          <w:p w:rsidR="00902D09" w:rsidRPr="00F43D2E" w:rsidRDefault="00902D09" w:rsidP="000F40CD">
            <w:pPr>
              <w:spacing w:line="240" w:lineRule="auto"/>
              <w:rPr>
                <w:rFonts w:cs="Arial"/>
                <w:b/>
                <w:bCs/>
                <w:lang w:val="en-GB"/>
              </w:rPr>
            </w:pPr>
            <w:r w:rsidRPr="00F43D2E">
              <w:rPr>
                <w:rFonts w:cs="Arial"/>
                <w:b/>
                <w:bCs/>
                <w:lang w:val="en-GB"/>
              </w:rPr>
              <w:t xml:space="preserve">Structure of the CR revenues from the EU budget, total net position </w:t>
            </w:r>
            <w:r w:rsidRPr="00F43D2E">
              <w:rPr>
                <w:rFonts w:cs="Arial"/>
                <w:bCs/>
                <w:lang w:val="en-GB"/>
              </w:rPr>
              <w:t>(in CZK bn)</w:t>
            </w:r>
          </w:p>
        </w:tc>
        <w:tc>
          <w:tcPr>
            <w:tcW w:w="362" w:type="pct"/>
            <w:gridSpan w:val="2"/>
          </w:tcPr>
          <w:p w:rsidR="00902D09" w:rsidRPr="00F43D2E" w:rsidRDefault="00902D09" w:rsidP="000F40CD">
            <w:pPr>
              <w:spacing w:line="240" w:lineRule="auto"/>
              <w:rPr>
                <w:lang w:val="en-GB"/>
              </w:rPr>
            </w:pPr>
            <w:r w:rsidRPr="00F43D2E">
              <w:rPr>
                <w:lang w:val="en-GB"/>
              </w:rPr>
              <w:t>Chart 22</w:t>
            </w:r>
          </w:p>
        </w:tc>
        <w:tc>
          <w:tcPr>
            <w:tcW w:w="2166" w:type="pct"/>
            <w:gridSpan w:val="2"/>
          </w:tcPr>
          <w:p w:rsidR="00902D09" w:rsidRPr="00F43D2E" w:rsidRDefault="00902D09" w:rsidP="000F40CD">
            <w:pPr>
              <w:spacing w:line="240" w:lineRule="auto"/>
              <w:rPr>
                <w:rFonts w:cs="Arial"/>
                <w:b/>
                <w:bCs/>
                <w:spacing w:val="-2"/>
                <w:lang w:val="en-GB"/>
              </w:rPr>
            </w:pPr>
            <w:r w:rsidRPr="00F43D2E">
              <w:rPr>
                <w:rFonts w:cs="Arial"/>
                <w:b/>
                <w:bCs/>
                <w:spacing w:val="-2"/>
                <w:lang w:val="en-GB"/>
              </w:rPr>
              <w:t>Number of pension recipients</w:t>
            </w:r>
            <w:r w:rsidRPr="00F43D2E">
              <w:rPr>
                <w:rFonts w:cs="Arial"/>
                <w:bCs/>
                <w:spacing w:val="-2"/>
                <w:lang w:val="en-GB"/>
              </w:rPr>
              <w:t>,</w:t>
            </w:r>
            <w:r w:rsidRPr="00F43D2E">
              <w:rPr>
                <w:rFonts w:cs="Arial"/>
                <w:b/>
                <w:bCs/>
                <w:spacing w:val="-2"/>
                <w:lang w:val="en-GB"/>
              </w:rPr>
              <w:t xml:space="preserve"> revenues and</w:t>
            </w:r>
            <w:r>
              <w:rPr>
                <w:rFonts w:cs="Arial"/>
                <w:b/>
                <w:bCs/>
                <w:spacing w:val="-2"/>
                <w:lang w:val="en-GB"/>
              </w:rPr>
              <w:t xml:space="preserve"> expenditure on pensions from SB</w:t>
            </w:r>
            <w:r w:rsidRPr="00F43D2E">
              <w:rPr>
                <w:rFonts w:cs="Arial"/>
                <w:b/>
                <w:bCs/>
                <w:spacing w:val="-2"/>
                <w:lang w:val="en-GB"/>
              </w:rPr>
              <w:t xml:space="preserve"> </w:t>
            </w:r>
            <w:r w:rsidRPr="00F43D2E">
              <w:rPr>
                <w:rFonts w:cs="Arial"/>
                <w:bCs/>
                <w:spacing w:val="-2"/>
                <w:lang w:val="en-GB"/>
              </w:rPr>
              <w:t xml:space="preserve">(y/y, in %) </w:t>
            </w:r>
            <w:r w:rsidRPr="00F43D2E">
              <w:rPr>
                <w:rFonts w:cs="Arial"/>
                <w:b/>
                <w:bCs/>
                <w:spacing w:val="-2"/>
                <w:lang w:val="en-GB"/>
              </w:rPr>
              <w:t>and pension account balance</w:t>
            </w:r>
            <w:r>
              <w:rPr>
                <w:rFonts w:cs="Arial"/>
                <w:b/>
                <w:bCs/>
                <w:spacing w:val="-2"/>
                <w:lang w:val="en-GB"/>
              </w:rPr>
              <w:t xml:space="preserve"> </w:t>
            </w:r>
            <w:r w:rsidRPr="00F43D2E">
              <w:rPr>
                <w:rFonts w:cs="Arial"/>
                <w:bCs/>
                <w:spacing w:val="-2"/>
                <w:lang w:val="en-GB"/>
              </w:rPr>
              <w:t xml:space="preserve">(in </w:t>
            </w:r>
            <w:r>
              <w:rPr>
                <w:rFonts w:cs="Arial"/>
                <w:bCs/>
                <w:spacing w:val="-2"/>
                <w:lang w:val="en-GB"/>
              </w:rPr>
              <w:t>CZ</w:t>
            </w:r>
            <w:r w:rsidRPr="00F43D2E">
              <w:rPr>
                <w:rFonts w:cs="Arial"/>
                <w:bCs/>
                <w:spacing w:val="-2"/>
                <w:lang w:val="en-GB"/>
              </w:rPr>
              <w:t>K</w:t>
            </w:r>
            <w:r w:rsidR="008410CF">
              <w:rPr>
                <w:rFonts w:cs="Arial"/>
                <w:bCs/>
                <w:spacing w:val="-2"/>
                <w:lang w:val="en-GB"/>
              </w:rPr>
              <w:t xml:space="preserve"> </w:t>
            </w:r>
            <w:proofErr w:type="spellStart"/>
            <w:r w:rsidR="008410CF">
              <w:rPr>
                <w:rFonts w:cs="Arial"/>
                <w:bCs/>
                <w:spacing w:val="-2"/>
                <w:lang w:val="en-GB"/>
              </w:rPr>
              <w:t>bn</w:t>
            </w:r>
            <w:proofErr w:type="spellEnd"/>
            <w:r w:rsidRPr="00F43D2E">
              <w:rPr>
                <w:rFonts w:cs="Arial"/>
                <w:bCs/>
                <w:spacing w:val="-2"/>
                <w:lang w:val="en-GB"/>
              </w:rPr>
              <w:t>)</w:t>
            </w:r>
            <w:r w:rsidRPr="00F43D2E">
              <w:rPr>
                <w:rFonts w:cs="Arial"/>
                <w:bCs/>
                <w:lang w:val="en-GB"/>
              </w:rPr>
              <w:t xml:space="preserve"> </w:t>
            </w:r>
          </w:p>
        </w:tc>
      </w:tr>
      <w:tr w:rsidR="00902D09" w:rsidTr="000F40CD">
        <w:trPr>
          <w:gridAfter w:val="1"/>
          <w:wAfter w:w="14" w:type="pct"/>
        </w:trPr>
        <w:tc>
          <w:tcPr>
            <w:tcW w:w="2501" w:type="pct"/>
            <w:gridSpan w:val="3"/>
          </w:tcPr>
          <w:p w:rsidR="00902D09" w:rsidRDefault="008437F0" w:rsidP="000F40CD">
            <w:pPr>
              <w:pStyle w:val="Textpoznpodarou"/>
              <w:jc w:val="both"/>
            </w:pPr>
            <w:r>
              <w:rPr>
                <w:noProof/>
              </w:rPr>
              <w:drawing>
                <wp:inline distT="0" distB="0" distL="0" distR="0">
                  <wp:extent cx="3040380" cy="2309495"/>
                  <wp:effectExtent l="19050" t="0" r="762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3040380" cy="2309495"/>
                          </a:xfrm>
                          <a:prstGeom prst="rect">
                            <a:avLst/>
                          </a:prstGeom>
                          <a:noFill/>
                          <a:ln w="9525">
                            <a:noFill/>
                            <a:miter lim="800000"/>
                            <a:headEnd/>
                            <a:tailEnd/>
                          </a:ln>
                        </pic:spPr>
                      </pic:pic>
                    </a:graphicData>
                  </a:graphic>
                </wp:inline>
              </w:drawing>
            </w:r>
          </w:p>
        </w:tc>
        <w:tc>
          <w:tcPr>
            <w:tcW w:w="2485" w:type="pct"/>
            <w:gridSpan w:val="2"/>
          </w:tcPr>
          <w:p w:rsidR="00902D09" w:rsidRDefault="008437F0" w:rsidP="000F40CD">
            <w:pPr>
              <w:pStyle w:val="Textpoznpodarou"/>
              <w:jc w:val="both"/>
            </w:pPr>
            <w:r>
              <w:rPr>
                <w:noProof/>
              </w:rPr>
              <w:drawing>
                <wp:inline distT="0" distB="0" distL="0" distR="0">
                  <wp:extent cx="3010535" cy="2309495"/>
                  <wp:effectExtent l="1905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3010535" cy="2309495"/>
                          </a:xfrm>
                          <a:prstGeom prst="rect">
                            <a:avLst/>
                          </a:prstGeom>
                          <a:noFill/>
                          <a:ln w="9525">
                            <a:noFill/>
                            <a:miter lim="800000"/>
                            <a:headEnd/>
                            <a:tailEnd/>
                          </a:ln>
                        </pic:spPr>
                      </pic:pic>
                    </a:graphicData>
                  </a:graphic>
                </wp:inline>
              </w:drawing>
            </w:r>
          </w:p>
        </w:tc>
      </w:tr>
      <w:tr w:rsidR="00902D09" w:rsidTr="000F40CD">
        <w:trPr>
          <w:gridAfter w:val="1"/>
          <w:wAfter w:w="14" w:type="pct"/>
        </w:trPr>
        <w:tc>
          <w:tcPr>
            <w:tcW w:w="4986" w:type="pct"/>
            <w:gridSpan w:val="5"/>
          </w:tcPr>
          <w:p w:rsidR="00902D09" w:rsidRPr="00F43D2E" w:rsidRDefault="00902D09" w:rsidP="000F40CD">
            <w:pPr>
              <w:autoSpaceDE w:val="0"/>
              <w:autoSpaceDN w:val="0"/>
              <w:adjustRightInd w:val="0"/>
              <w:spacing w:before="40" w:line="240" w:lineRule="auto"/>
              <w:rPr>
                <w:spacing w:val="-3"/>
                <w:sz w:val="18"/>
                <w:szCs w:val="18"/>
                <w:lang w:val="en-GB" w:eastAsia="ar-SA"/>
              </w:rPr>
            </w:pPr>
            <w:r w:rsidRPr="00F43D2E">
              <w:rPr>
                <w:sz w:val="18"/>
                <w:szCs w:val="18"/>
                <w:lang w:val="en-GB" w:eastAsia="ar-SA"/>
              </w:rPr>
              <w:t>*</w:t>
            </w:r>
            <w:r w:rsidRPr="00F43D2E">
              <w:rPr>
                <w:spacing w:val="-3"/>
                <w:sz w:val="18"/>
                <w:szCs w:val="18"/>
                <w:lang w:val="en-GB" w:eastAsia="ar-SA"/>
              </w:rPr>
              <w:t xml:space="preserve"> </w:t>
            </w:r>
            <w:proofErr w:type="spellStart"/>
            <w:r w:rsidRPr="00F43D2E">
              <w:rPr>
                <w:spacing w:val="-3"/>
                <w:sz w:val="18"/>
                <w:szCs w:val="18"/>
                <w:lang w:val="en-GB" w:eastAsia="ar-SA"/>
              </w:rPr>
              <w:t>Ist</w:t>
            </w:r>
            <w:proofErr w:type="spellEnd"/>
            <w:r w:rsidRPr="00F43D2E">
              <w:rPr>
                <w:spacing w:val="-3"/>
                <w:sz w:val="18"/>
                <w:szCs w:val="18"/>
                <w:lang w:val="en-GB" w:eastAsia="ar-SA"/>
              </w:rPr>
              <w:t xml:space="preserve"> pillar </w:t>
            </w:r>
            <w:r w:rsidRPr="00F43D2E">
              <w:rPr>
                <w:sz w:val="18"/>
                <w:szCs w:val="18"/>
                <w:lang w:val="en-GB"/>
              </w:rPr>
              <w:t xml:space="preserve">includes funds for direct payments, market measures and vet. </w:t>
            </w:r>
            <w:proofErr w:type="gramStart"/>
            <w:r w:rsidRPr="00F43D2E">
              <w:rPr>
                <w:sz w:val="18"/>
                <w:szCs w:val="18"/>
                <w:lang w:val="en-GB"/>
              </w:rPr>
              <w:t>measures</w:t>
            </w:r>
            <w:proofErr w:type="gramEnd"/>
            <w:r w:rsidRPr="00F43D2E">
              <w:rPr>
                <w:spacing w:val="-3"/>
                <w:sz w:val="18"/>
                <w:szCs w:val="18"/>
                <w:lang w:val="en-GB" w:eastAsia="ar-SA"/>
              </w:rPr>
              <w:t xml:space="preserve">, </w:t>
            </w:r>
            <w:proofErr w:type="spellStart"/>
            <w:r w:rsidRPr="00F43D2E">
              <w:rPr>
                <w:spacing w:val="-3"/>
                <w:sz w:val="18"/>
                <w:szCs w:val="18"/>
                <w:lang w:val="en-GB" w:eastAsia="ar-SA"/>
              </w:rPr>
              <w:t>IInd</w:t>
            </w:r>
            <w:proofErr w:type="spellEnd"/>
            <w:r w:rsidRPr="00F43D2E">
              <w:rPr>
                <w:spacing w:val="-3"/>
                <w:sz w:val="18"/>
                <w:szCs w:val="18"/>
                <w:lang w:val="en-GB" w:eastAsia="ar-SA"/>
              </w:rPr>
              <w:t xml:space="preserve"> pillar resources for d</w:t>
            </w:r>
            <w:r w:rsidRPr="00F43D2E">
              <w:rPr>
                <w:rFonts w:cs="Arial"/>
                <w:sz w:val="18"/>
                <w:szCs w:val="16"/>
                <w:lang w:val="en-GB"/>
              </w:rPr>
              <w:t>evelopment of rural areas and fishing</w:t>
            </w:r>
            <w:r w:rsidRPr="00F43D2E">
              <w:rPr>
                <w:spacing w:val="-3"/>
                <w:sz w:val="18"/>
                <w:szCs w:val="18"/>
                <w:lang w:val="en-GB" w:eastAsia="ar-SA"/>
              </w:rPr>
              <w:t>.</w:t>
            </w:r>
          </w:p>
          <w:p w:rsidR="00902D09" w:rsidRPr="00245006" w:rsidRDefault="00902D09" w:rsidP="000F40CD">
            <w:pPr>
              <w:autoSpaceDE w:val="0"/>
              <w:autoSpaceDN w:val="0"/>
              <w:adjustRightInd w:val="0"/>
              <w:spacing w:line="240" w:lineRule="auto"/>
              <w:rPr>
                <w:sz w:val="18"/>
                <w:szCs w:val="18"/>
                <w:lang w:eastAsia="ar-SA"/>
              </w:rPr>
            </w:pPr>
            <w:r w:rsidRPr="00F43D2E">
              <w:rPr>
                <w:sz w:val="18"/>
                <w:szCs w:val="18"/>
                <w:lang w:val="en-GB" w:eastAsia="ar-SA"/>
              </w:rPr>
              <w:t xml:space="preserve">** Pre-accession tools, internal policies, compensation payments.                      </w:t>
            </w:r>
            <w:r>
              <w:rPr>
                <w:sz w:val="18"/>
                <w:szCs w:val="18"/>
                <w:lang w:val="en-GB" w:eastAsia="ar-SA"/>
              </w:rPr>
              <w:t xml:space="preserve">                               </w:t>
            </w:r>
            <w:r w:rsidRPr="00F43D2E">
              <w:rPr>
                <w:sz w:val="18"/>
                <w:szCs w:val="18"/>
                <w:lang w:val="en-GB" w:eastAsia="ar-SA"/>
              </w:rPr>
              <w:t xml:space="preserve">    Source</w:t>
            </w:r>
            <w:r w:rsidRPr="00F43D2E">
              <w:rPr>
                <w:rFonts w:cs="Arial"/>
                <w:sz w:val="18"/>
                <w:szCs w:val="18"/>
                <w:lang w:val="en-GB"/>
              </w:rPr>
              <w:t>: MF, CSSA</w:t>
            </w:r>
          </w:p>
        </w:tc>
      </w:tr>
    </w:tbl>
    <w:p w:rsidR="00902D09" w:rsidRPr="00F43D2E" w:rsidRDefault="00902D09" w:rsidP="000F74B6">
      <w:pPr>
        <w:pStyle w:val="Textpoznpodarou"/>
        <w:jc w:val="both"/>
        <w:rPr>
          <w:rFonts w:cs="Arial"/>
          <w:color w:val="000000" w:themeColor="text1"/>
          <w:spacing w:val="-2"/>
          <w:lang w:val="en-GB"/>
        </w:rPr>
      </w:pPr>
    </w:p>
    <w:sectPr w:rsidR="00902D09" w:rsidRPr="00F43D2E" w:rsidSect="00D43998">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70" w:rsidRDefault="004E3470" w:rsidP="00E71A58">
      <w:r>
        <w:separator/>
      </w:r>
    </w:p>
  </w:endnote>
  <w:endnote w:type="continuationSeparator" w:id="0">
    <w:p w:rsidR="004E3470" w:rsidRDefault="004E3470"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6152E8" w:rsidRPr="005A21E0">
      <w:rPr>
        <w:rFonts w:ascii="Arial" w:hAnsi="Arial" w:cs="Arial"/>
        <w:sz w:val="16"/>
        <w:szCs w:val="16"/>
      </w:rPr>
      <w:fldChar w:fldCharType="begin"/>
    </w:r>
    <w:r w:rsidRPr="005A21E0">
      <w:rPr>
        <w:rFonts w:ascii="Arial" w:hAnsi="Arial" w:cs="Arial"/>
        <w:sz w:val="16"/>
        <w:szCs w:val="16"/>
      </w:rPr>
      <w:instrText>PAGE   \* MERGEFORMAT</w:instrText>
    </w:r>
    <w:r w:rsidR="006152E8" w:rsidRPr="005A21E0">
      <w:rPr>
        <w:rFonts w:ascii="Arial" w:hAnsi="Arial" w:cs="Arial"/>
        <w:sz w:val="16"/>
        <w:szCs w:val="16"/>
      </w:rPr>
      <w:fldChar w:fldCharType="separate"/>
    </w:r>
    <w:r w:rsidR="00376A9D">
      <w:rPr>
        <w:rFonts w:ascii="Arial" w:hAnsi="Arial" w:cs="Arial"/>
        <w:noProof/>
        <w:sz w:val="16"/>
        <w:szCs w:val="16"/>
      </w:rPr>
      <w:t>2</w:t>
    </w:r>
    <w:r w:rsidR="006152E8"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6152E8"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6152E8" w:rsidRPr="00223E00">
      <w:rPr>
        <w:rFonts w:ascii="Arial" w:hAnsi="Arial" w:cs="Arial"/>
        <w:sz w:val="16"/>
        <w:szCs w:val="16"/>
      </w:rPr>
      <w:fldChar w:fldCharType="separate"/>
    </w:r>
    <w:r w:rsidR="00376A9D">
      <w:rPr>
        <w:rFonts w:ascii="Arial" w:hAnsi="Arial" w:cs="Arial"/>
        <w:noProof/>
        <w:sz w:val="16"/>
        <w:szCs w:val="16"/>
      </w:rPr>
      <w:t>1</w:t>
    </w:r>
    <w:r w:rsidR="006152E8"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70" w:rsidRDefault="004E3470" w:rsidP="00E71A58">
      <w:r>
        <w:separator/>
      </w:r>
    </w:p>
  </w:footnote>
  <w:footnote w:type="continuationSeparator" w:id="0">
    <w:p w:rsidR="004E3470" w:rsidRDefault="004E3470" w:rsidP="00E71A58">
      <w:r>
        <w:continuationSeparator/>
      </w:r>
    </w:p>
  </w:footnote>
  <w:footnote w:id="1">
    <w:p w:rsidR="008437F0" w:rsidRPr="00A20AAE" w:rsidRDefault="008437F0" w:rsidP="00A20AAE">
      <w:pPr>
        <w:pStyle w:val="Textpoznpodarou"/>
        <w:jc w:val="both"/>
        <w:rPr>
          <w:sz w:val="16"/>
          <w:szCs w:val="16"/>
          <w:lang w:val="en-GB"/>
        </w:rPr>
      </w:pPr>
      <w:r w:rsidRPr="006A5244">
        <w:rPr>
          <w:rStyle w:val="Znakapoznpodarou"/>
          <w:sz w:val="16"/>
          <w:szCs w:val="16"/>
        </w:rPr>
        <w:footnoteRef/>
      </w:r>
      <w:r>
        <w:rPr>
          <w:sz w:val="16"/>
          <w:szCs w:val="16"/>
        </w:rPr>
        <w:t xml:space="preserve"> </w:t>
      </w:r>
      <w:r w:rsidRPr="00A20AAE">
        <w:rPr>
          <w:sz w:val="16"/>
          <w:szCs w:val="16"/>
          <w:lang w:val="en-GB"/>
        </w:rPr>
        <w:t xml:space="preserve">The SB surplus doubled at the end of August compared to the data towards the end of H1 (to 81.2 CZK </w:t>
      </w:r>
      <w:proofErr w:type="spellStart"/>
      <w:r w:rsidRPr="00A20AAE">
        <w:rPr>
          <w:sz w:val="16"/>
          <w:szCs w:val="16"/>
          <w:lang w:val="en-GB"/>
        </w:rPr>
        <w:t>bn</w:t>
      </w:r>
      <w:proofErr w:type="spellEnd"/>
      <w:r w:rsidRPr="00A20AAE">
        <w:rPr>
          <w:sz w:val="16"/>
          <w:szCs w:val="16"/>
          <w:lang w:val="en-GB"/>
        </w:rPr>
        <w:t>). Next to the mildly strengthening tax revenues, mainly the irregularities in the drawing on European funds contributed to this result. Transfers from the EU budget (as a consequence of exceptionally intensive last year finalisation of drawing) exceeded 140 CZK bn (they were even by 2.2 % higher year-on-year)</w:t>
      </w:r>
      <w:proofErr w:type="gramStart"/>
      <w:r w:rsidRPr="00A20AAE">
        <w:rPr>
          <w:sz w:val="16"/>
          <w:szCs w:val="16"/>
          <w:lang w:val="en-GB"/>
        </w:rPr>
        <w:t>,</w:t>
      </w:r>
      <w:proofErr w:type="gramEnd"/>
      <w:r w:rsidRPr="00A20AAE">
        <w:rPr>
          <w:sz w:val="16"/>
          <w:szCs w:val="16"/>
          <w:lang w:val="en-GB"/>
        </w:rPr>
        <w:t xml:space="preserve"> at the same time the decline of capital expenditure kept deepening (down to 40 %, resp. 31 CZK bn).</w:t>
      </w:r>
    </w:p>
  </w:footnote>
  <w:footnote w:id="2">
    <w:p w:rsidR="008437F0" w:rsidRPr="00A20AAE" w:rsidRDefault="008437F0" w:rsidP="00A20AAE">
      <w:pPr>
        <w:pStyle w:val="Textpoznpodarou"/>
        <w:jc w:val="both"/>
        <w:rPr>
          <w:sz w:val="16"/>
          <w:szCs w:val="16"/>
          <w:lang w:val="en-GB"/>
        </w:rPr>
      </w:pPr>
      <w:r w:rsidRPr="00A20AAE">
        <w:rPr>
          <w:rStyle w:val="Znakapoznpodarou"/>
          <w:sz w:val="16"/>
          <w:szCs w:val="16"/>
          <w:lang w:val="en-GB"/>
        </w:rPr>
        <w:footnoteRef/>
      </w:r>
      <w:r w:rsidRPr="00A20AAE">
        <w:rPr>
          <w:sz w:val="16"/>
          <w:szCs w:val="16"/>
          <w:lang w:val="en-GB"/>
        </w:rPr>
        <w:t xml:space="preserve"> SB revenues are adversely impacted by the change in the budget allocation of taxes in 2016</w:t>
      </w:r>
      <w:r w:rsidRPr="00A20AAE">
        <w:rPr>
          <w:rFonts w:cs="Arial"/>
          <w:color w:val="000000" w:themeColor="text1"/>
          <w:spacing w:val="-2"/>
          <w:sz w:val="16"/>
          <w:szCs w:val="16"/>
          <w:lang w:val="en-GB"/>
        </w:rPr>
        <w:t>, which lowers the share of the SB on the state-wide collection approximately by 1 p.p., both for the VAT and income tax of natural persons from the dependent activity.</w:t>
      </w:r>
    </w:p>
  </w:footnote>
  <w:footnote w:id="3">
    <w:p w:rsidR="008437F0" w:rsidRPr="004E4DE8" w:rsidRDefault="008437F0" w:rsidP="003366FC">
      <w:pPr>
        <w:autoSpaceDE w:val="0"/>
        <w:autoSpaceDN w:val="0"/>
        <w:adjustRightInd w:val="0"/>
        <w:spacing w:line="240" w:lineRule="auto"/>
        <w:jc w:val="both"/>
        <w:rPr>
          <w:rFonts w:cs="Arial"/>
          <w:sz w:val="16"/>
          <w:szCs w:val="16"/>
          <w:lang w:val="en-GB"/>
        </w:rPr>
      </w:pPr>
      <w:r w:rsidRPr="004E4DE8">
        <w:rPr>
          <w:rStyle w:val="Znakapoznpodarou"/>
          <w:sz w:val="16"/>
          <w:szCs w:val="16"/>
          <w:lang w:val="en-GB"/>
        </w:rPr>
        <w:footnoteRef/>
      </w:r>
      <w:r w:rsidRPr="004E4DE8">
        <w:rPr>
          <w:sz w:val="16"/>
          <w:szCs w:val="16"/>
          <w:lang w:val="en-GB"/>
        </w:rPr>
        <w:t xml:space="preserve"> It was related to setting a ceiling to the expenditure flat rate for the self-employed persons </w:t>
      </w:r>
      <w:r w:rsidRPr="004E4DE8">
        <w:rPr>
          <w:rFonts w:cs="Arial"/>
          <w:sz w:val="16"/>
          <w:szCs w:val="16"/>
          <w:lang w:val="en-GB"/>
        </w:rPr>
        <w:t xml:space="preserve">(60 % and 80 %) to the size </w:t>
      </w:r>
      <w:proofErr w:type="gramStart"/>
      <w:r w:rsidRPr="004E4DE8">
        <w:rPr>
          <w:rFonts w:cs="Arial"/>
          <w:sz w:val="16"/>
          <w:szCs w:val="16"/>
          <w:lang w:val="en-GB"/>
        </w:rPr>
        <w:t>of 2 CZK mil</w:t>
      </w:r>
      <w:proofErr w:type="gramEnd"/>
      <w:r w:rsidRPr="004E4DE8">
        <w:rPr>
          <w:rFonts w:cs="Arial"/>
          <w:sz w:val="16"/>
          <w:szCs w:val="16"/>
          <w:lang w:val="en-GB"/>
        </w:rPr>
        <w:t xml:space="preserve">. On the contrary, the increase of the tax deduction for the second and further child, kindergarten fees or the reintroduction of discounts to working retirees affected the collection somewhat negatively (these changes </w:t>
      </w:r>
      <w:r>
        <w:rPr>
          <w:rFonts w:cs="Arial"/>
          <w:sz w:val="16"/>
          <w:szCs w:val="16"/>
          <w:lang w:val="en-GB"/>
        </w:rPr>
        <w:t xml:space="preserve">have been </w:t>
      </w:r>
      <w:r w:rsidRPr="004E4DE8">
        <w:rPr>
          <w:rFonts w:cs="Arial"/>
          <w:sz w:val="16"/>
          <w:szCs w:val="16"/>
          <w:lang w:val="en-GB"/>
        </w:rPr>
        <w:t xml:space="preserve">effective since 2015, however as a result of the </w:t>
      </w:r>
      <w:r>
        <w:rPr>
          <w:rFonts w:cs="Arial"/>
          <w:sz w:val="16"/>
          <w:szCs w:val="16"/>
          <w:lang w:val="en-GB"/>
        </w:rPr>
        <w:t xml:space="preserve">maturity of the payment </w:t>
      </w:r>
      <w:r w:rsidRPr="004E4DE8">
        <w:rPr>
          <w:rFonts w:cs="Arial"/>
          <w:sz w:val="16"/>
          <w:szCs w:val="16"/>
          <w:lang w:val="en-GB"/>
        </w:rPr>
        <w:t>of the tax, they impact its collection only in 2016).</w:t>
      </w:r>
    </w:p>
  </w:footnote>
  <w:footnote w:id="4">
    <w:p w:rsidR="008437F0" w:rsidRPr="00550ACB" w:rsidRDefault="008437F0" w:rsidP="003366FC">
      <w:pPr>
        <w:pStyle w:val="Textpoznpodarou"/>
        <w:jc w:val="both"/>
        <w:rPr>
          <w:rFonts w:cs="Arial"/>
          <w:sz w:val="16"/>
          <w:szCs w:val="16"/>
          <w:lang w:val="en-GB"/>
        </w:rPr>
      </w:pPr>
      <w:r w:rsidRPr="00952517">
        <w:rPr>
          <w:rStyle w:val="Znakapoznpodarou"/>
          <w:sz w:val="16"/>
          <w:szCs w:val="16"/>
        </w:rPr>
        <w:footnoteRef/>
      </w:r>
      <w:r w:rsidRPr="00952517">
        <w:rPr>
          <w:sz w:val="16"/>
          <w:szCs w:val="16"/>
        </w:rPr>
        <w:t xml:space="preserve"> </w:t>
      </w:r>
      <w:r w:rsidRPr="00550ACB">
        <w:rPr>
          <w:rFonts w:cs="Arial"/>
          <w:spacing w:val="-2"/>
          <w:sz w:val="16"/>
          <w:szCs w:val="16"/>
          <w:lang w:val="en-GB"/>
        </w:rPr>
        <w:t>Situation has not changed much during the vacation period either. All capital expenditure of the SB reached 46.5 CZK bn in the first eight months of 2016. Only 8.4 CZK bn were bound to the EU new programme period (resp. 16.2 bn after calculating also the current expenditure).</w:t>
      </w:r>
    </w:p>
  </w:footnote>
  <w:footnote w:id="5">
    <w:p w:rsidR="008437F0" w:rsidRPr="00550ACB" w:rsidRDefault="008437F0" w:rsidP="001D6655">
      <w:pPr>
        <w:pStyle w:val="Textpoznpodarou"/>
        <w:jc w:val="both"/>
        <w:rPr>
          <w:rFonts w:cs="Arial"/>
          <w:sz w:val="16"/>
          <w:szCs w:val="16"/>
          <w:lang w:val="en-GB"/>
        </w:rPr>
      </w:pPr>
      <w:r w:rsidRPr="00550ACB">
        <w:rPr>
          <w:rStyle w:val="Znakapoznpodarou"/>
          <w:rFonts w:cs="Arial"/>
          <w:sz w:val="16"/>
          <w:szCs w:val="16"/>
          <w:lang w:val="en-GB"/>
        </w:rPr>
        <w:footnoteRef/>
      </w:r>
      <w:r w:rsidRPr="00550ACB">
        <w:rPr>
          <w:rFonts w:cs="Arial"/>
          <w:sz w:val="16"/>
          <w:szCs w:val="16"/>
          <w:lang w:val="en-GB"/>
        </w:rPr>
        <w:t xml:space="preserve"> Preliminary data regarding the debt and deficit of the government institutions sector for Q2 will be published by the CZSO on 3rd October 2016, by Eurostat then on 24th October.</w:t>
      </w:r>
    </w:p>
  </w:footnote>
  <w:footnote w:id="6">
    <w:p w:rsidR="008437F0" w:rsidRPr="00550ACB" w:rsidRDefault="008437F0" w:rsidP="001D6655">
      <w:pPr>
        <w:pStyle w:val="Textpoznpodarou"/>
        <w:jc w:val="both"/>
        <w:rPr>
          <w:sz w:val="16"/>
          <w:szCs w:val="16"/>
          <w:lang w:val="en-GB"/>
        </w:rPr>
      </w:pPr>
      <w:r w:rsidRPr="00550ACB">
        <w:rPr>
          <w:rStyle w:val="Znakapoznpodarou"/>
          <w:rFonts w:cs="Arial"/>
          <w:sz w:val="16"/>
          <w:szCs w:val="16"/>
          <w:lang w:val="en-GB"/>
        </w:rPr>
        <w:footnoteRef/>
      </w:r>
      <w:r w:rsidRPr="00550ACB">
        <w:rPr>
          <w:rFonts w:cs="Arial"/>
          <w:sz w:val="16"/>
          <w:szCs w:val="16"/>
          <w:lang w:val="en-GB"/>
        </w:rPr>
        <w:t xml:space="preserve"> Indi</w:t>
      </w:r>
      <w:r>
        <w:rPr>
          <w:rFonts w:cs="Arial"/>
          <w:sz w:val="16"/>
          <w:szCs w:val="16"/>
          <w:lang w:val="en-GB"/>
        </w:rPr>
        <w:t xml:space="preserve">cators of the budget balance and government institutions debt are based on the accrual principle required by the methodology </w:t>
      </w:r>
      <w:r w:rsidRPr="00550ACB">
        <w:rPr>
          <w:rFonts w:cs="Arial"/>
          <w:sz w:val="16"/>
          <w:szCs w:val="16"/>
          <w:lang w:val="en-GB"/>
        </w:rPr>
        <w:t>ESA2010 a</w:t>
      </w:r>
      <w:r>
        <w:rPr>
          <w:rFonts w:cs="Arial"/>
          <w:sz w:val="16"/>
          <w:szCs w:val="16"/>
          <w:lang w:val="en-GB"/>
        </w:rPr>
        <w:t xml:space="preserve">nd </w:t>
      </w:r>
      <w:r w:rsidRPr="00D42F89">
        <w:rPr>
          <w:rFonts w:cs="Arial"/>
          <w:sz w:val="16"/>
          <w:szCs w:val="16"/>
          <w:lang w:val="en-GB"/>
        </w:rPr>
        <w:t xml:space="preserve">Manual on Government </w:t>
      </w:r>
      <w:bookmarkStart w:id="5" w:name="_GoBack"/>
      <w:bookmarkEnd w:id="5"/>
      <w:r w:rsidRPr="00D42F89">
        <w:rPr>
          <w:rFonts w:cs="Arial"/>
          <w:sz w:val="16"/>
          <w:szCs w:val="16"/>
          <w:lang w:val="en-GB"/>
        </w:rPr>
        <w:t>Deficit and Debt</w:t>
      </w:r>
      <w:r w:rsidRPr="00550ACB">
        <w:rPr>
          <w:rFonts w:cs="Arial"/>
          <w:sz w:val="16"/>
          <w:szCs w:val="16"/>
          <w:lang w:val="en-GB"/>
        </w:rPr>
        <w:t xml:space="preserve">. </w:t>
      </w:r>
      <w:r>
        <w:rPr>
          <w:rFonts w:cs="Arial"/>
          <w:sz w:val="16"/>
          <w:szCs w:val="16"/>
          <w:lang w:val="en-GB"/>
        </w:rPr>
        <w:t xml:space="preserve">According to the accrual principle, the revenues and expenditure are assigned to the period, to which they relate by type, i.e. regardless of the period of the actual realisation of the cash flow </w:t>
      </w:r>
      <w:r w:rsidRPr="00550ACB">
        <w:rPr>
          <w:rFonts w:cs="Arial"/>
          <w:sz w:val="16"/>
          <w:szCs w:val="16"/>
          <w:lang w:val="en-GB"/>
        </w:rPr>
        <w:t>(</w:t>
      </w:r>
      <w:r>
        <w:rPr>
          <w:rFonts w:cs="Arial"/>
          <w:sz w:val="16"/>
          <w:szCs w:val="16"/>
          <w:lang w:val="en-GB"/>
        </w:rPr>
        <w:t>as in the case of cash fulfilment</w:t>
      </w:r>
      <w:r w:rsidRPr="00550ACB">
        <w:rPr>
          <w:rFonts w:cs="Arial"/>
          <w:sz w:val="16"/>
          <w:szCs w:val="16"/>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67D9D"/>
    <w:multiLevelType w:val="hybridMultilevel"/>
    <w:tmpl w:val="77240588"/>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97DB3"/>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A9D"/>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3470"/>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2E8"/>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A62A6"/>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5F8B"/>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37FB"/>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63A70-B649-4C9C-A34C-0109DA7C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TotalTime>
  <Pages>4</Pages>
  <Words>1894</Words>
  <Characters>11180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2016-10-21T17:07:00Z</dcterms:created>
  <dcterms:modified xsi:type="dcterms:W3CDTF">2016-10-21T17:08:00Z</dcterms:modified>
</cp:coreProperties>
</file>