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Pr="00D7344B" w:rsidRDefault="0063769A" w:rsidP="00E369B9">
      <w:pPr>
        <w:pStyle w:val="Nadpis1"/>
        <w:numPr>
          <w:ilvl w:val="0"/>
          <w:numId w:val="7"/>
        </w:numPr>
        <w:jc w:val="both"/>
        <w:rPr>
          <w:lang w:val="en-GB"/>
        </w:rPr>
      </w:pPr>
      <w:bookmarkStart w:id="0" w:name="_Toc454185150"/>
      <w:r w:rsidRPr="00D7344B">
        <w:rPr>
          <w:lang w:val="en-GB"/>
        </w:rPr>
        <w:t>Branches Performance</w:t>
      </w:r>
      <w:bookmarkEnd w:id="0"/>
    </w:p>
    <w:tbl>
      <w:tblPr>
        <w:tblW w:w="4999" w:type="pct"/>
        <w:tblCellMar>
          <w:left w:w="28" w:type="dxa"/>
          <w:right w:w="28" w:type="dxa"/>
        </w:tblCellMar>
        <w:tblLook w:val="04A0"/>
      </w:tblPr>
      <w:tblGrid>
        <w:gridCol w:w="2113"/>
        <w:gridCol w:w="281"/>
        <w:gridCol w:w="7298"/>
      </w:tblGrid>
      <w:tr w:rsidR="00080AA8" w:rsidRPr="00F43D2E" w:rsidTr="00AF5D62">
        <w:tc>
          <w:tcPr>
            <w:tcW w:w="1090" w:type="pct"/>
          </w:tcPr>
          <w:p w:rsidR="00080AA8" w:rsidRPr="00F43D2E" w:rsidRDefault="00327FF5" w:rsidP="00327FF5">
            <w:pPr>
              <w:spacing w:line="240" w:lineRule="auto"/>
              <w:rPr>
                <w:color w:val="0D0D0D" w:themeColor="text1" w:themeTint="F2"/>
                <w:sz w:val="16"/>
                <w:szCs w:val="16"/>
                <w:lang w:val="en-GB"/>
              </w:rPr>
            </w:pPr>
            <w:r w:rsidRPr="00F43D2E">
              <w:rPr>
                <w:color w:val="0D0D0D" w:themeColor="text1" w:themeTint="F2"/>
                <w:sz w:val="16"/>
                <w:szCs w:val="16"/>
                <w:lang w:val="en-GB"/>
              </w:rPr>
              <w:t>R</w:t>
            </w:r>
            <w:r w:rsidRPr="00F43D2E">
              <w:rPr>
                <w:color w:val="0D0D0D"/>
                <w:sz w:val="16"/>
                <w:szCs w:val="16"/>
                <w:lang w:val="en-GB"/>
              </w:rPr>
              <w:t xml:space="preserve">ate of growth of gross value added (GVA) slowed down year-on-year in comparison to the extraordinary year 2015, the quarter-on-quarter growth however continued and it was even enhanced in Q2 itself </w:t>
            </w:r>
          </w:p>
        </w:tc>
        <w:tc>
          <w:tcPr>
            <w:tcW w:w="145" w:type="pct"/>
          </w:tcPr>
          <w:p w:rsidR="00080AA8" w:rsidRPr="00F43D2E" w:rsidRDefault="00080AA8" w:rsidP="00AF5D62">
            <w:pPr>
              <w:pStyle w:val="Textpoznpodarou"/>
              <w:jc w:val="both"/>
              <w:rPr>
                <w:lang w:val="en-GB"/>
              </w:rPr>
            </w:pPr>
          </w:p>
        </w:tc>
        <w:tc>
          <w:tcPr>
            <w:tcW w:w="3765" w:type="pct"/>
          </w:tcPr>
          <w:p w:rsidR="00080AA8" w:rsidRPr="00F43D2E" w:rsidRDefault="00327FF5" w:rsidP="00AF5D62">
            <w:pPr>
              <w:pStyle w:val="Textpoznpodarou"/>
              <w:jc w:val="both"/>
              <w:rPr>
                <w:spacing w:val="-4"/>
                <w:lang w:val="en-GB"/>
              </w:rPr>
            </w:pPr>
            <w:r w:rsidRPr="00F43D2E">
              <w:rPr>
                <w:spacing w:val="-4"/>
                <w:lang w:val="en-GB"/>
              </w:rPr>
              <w:t>P</w:t>
            </w:r>
            <w:r w:rsidRPr="00F43D2E">
              <w:rPr>
                <w:lang w:val="en-GB"/>
              </w:rPr>
              <w:t>erformance of all branches of economy, captured by the gross value added in these branches (GVA)</w:t>
            </w:r>
            <w:bookmarkStart w:id="1" w:name="_ftnref7"/>
            <w:r w:rsidR="009319E3" w:rsidRPr="00F43D2E">
              <w:rPr>
                <w:rStyle w:val="Znakapoznpodarou"/>
                <w:spacing w:val="-4"/>
                <w:lang w:val="en-GB"/>
              </w:rPr>
              <w:t xml:space="preserve"> </w:t>
            </w:r>
            <w:r w:rsidR="009319E3" w:rsidRPr="00F43D2E">
              <w:rPr>
                <w:rStyle w:val="Znakapoznpodarou"/>
                <w:spacing w:val="-4"/>
                <w:lang w:val="en-GB"/>
              </w:rPr>
              <w:footnoteReference w:id="1"/>
            </w:r>
            <w:bookmarkEnd w:id="1"/>
            <w:r w:rsidR="00EF1542">
              <w:rPr>
                <w:lang w:val="en-GB"/>
              </w:rPr>
              <w:t>, expanded by 2.7</w:t>
            </w:r>
            <w:r w:rsidRPr="00F43D2E">
              <w:rPr>
                <w:lang w:val="en-GB"/>
              </w:rPr>
              <w:t>% year-on-year – by the same pace both in Q1 and Q2 of this year. These rates represented milder paces compared to the strong last year's gr</w:t>
            </w:r>
            <w:r w:rsidR="00EF1542">
              <w:rPr>
                <w:lang w:val="en-GB"/>
              </w:rPr>
              <w:t>owth (always exceeding 4</w:t>
            </w:r>
            <w:r w:rsidRPr="00F43D2E">
              <w:rPr>
                <w:lang w:val="en-GB"/>
              </w:rPr>
              <w:t>% in all first three quarters) in connection to a gradual dissipation of the extraordinary growth</w:t>
            </w:r>
            <w:r w:rsidR="00DA097A">
              <w:rPr>
                <w:lang w:val="en-GB"/>
              </w:rPr>
              <w:t xml:space="preserve"> factors. The GVA growth</w:t>
            </w:r>
            <w:r w:rsidRPr="00F43D2E">
              <w:rPr>
                <w:lang w:val="en-GB"/>
              </w:rPr>
              <w:t xml:space="preserve"> slowed down already towards t</w:t>
            </w:r>
            <w:r w:rsidR="00EF1542">
              <w:rPr>
                <w:lang w:val="en-GB"/>
              </w:rPr>
              <w:t>he end of the last year (to 0.3</w:t>
            </w:r>
            <w:r w:rsidRPr="00F43D2E">
              <w:rPr>
                <w:lang w:val="en-GB"/>
              </w:rPr>
              <w:t>%</w:t>
            </w:r>
            <w:r w:rsidR="00DA097A">
              <w:rPr>
                <w:lang w:val="en-GB"/>
              </w:rPr>
              <w:t xml:space="preserve"> </w:t>
            </w:r>
            <w:r w:rsidR="00DA097A" w:rsidRPr="00F43D2E">
              <w:rPr>
                <w:lang w:val="en-GB"/>
              </w:rPr>
              <w:t>–</w:t>
            </w:r>
            <w:r w:rsidR="00DA097A">
              <w:rPr>
                <w:lang w:val="en-GB"/>
              </w:rPr>
              <w:t xml:space="preserve"> as compared to previous quarter</w:t>
            </w:r>
            <w:r w:rsidRPr="00F43D2E">
              <w:rPr>
                <w:lang w:val="en-GB"/>
              </w:rPr>
              <w:t xml:space="preserve">). The development during the H1 2016 however gradually </w:t>
            </w:r>
            <w:r w:rsidR="00F220A9" w:rsidRPr="00F43D2E">
              <w:rPr>
                <w:lang w:val="en-GB"/>
              </w:rPr>
              <w:t>signalled</w:t>
            </w:r>
            <w:r w:rsidRPr="00F43D2E">
              <w:rPr>
                <w:lang w:val="en-GB"/>
              </w:rPr>
              <w:t xml:space="preserve"> a sign of a positive turn, since the</w:t>
            </w:r>
            <w:r w:rsidR="00EF1542">
              <w:rPr>
                <w:lang w:val="en-GB"/>
              </w:rPr>
              <w:t xml:space="preserve"> GVA increased by a notable 0.9</w:t>
            </w:r>
            <w:r w:rsidR="00DA097A">
              <w:rPr>
                <w:lang w:val="en-GB"/>
              </w:rPr>
              <w:t>% in Q2 (t</w:t>
            </w:r>
            <w:r w:rsidRPr="00F43D2E">
              <w:rPr>
                <w:lang w:val="en-GB"/>
              </w:rPr>
              <w:t>he quarter-on-quarter growth of GVA was evident already</w:t>
            </w:r>
            <w:r w:rsidR="00DA097A">
              <w:rPr>
                <w:lang w:val="en-GB"/>
              </w:rPr>
              <w:t xml:space="preserve"> a thirteenth quarter in a row).</w:t>
            </w:r>
          </w:p>
          <w:p w:rsidR="00080AA8" w:rsidRPr="00F43D2E" w:rsidRDefault="00080AA8" w:rsidP="00AF5D62">
            <w:pPr>
              <w:pStyle w:val="Textpoznpodarou"/>
              <w:jc w:val="both"/>
              <w:rPr>
                <w:spacing w:val="-4"/>
                <w:sz w:val="14"/>
                <w:szCs w:val="14"/>
                <w:lang w:val="en-GB"/>
              </w:rPr>
            </w:pPr>
          </w:p>
        </w:tc>
      </w:tr>
      <w:tr w:rsidR="00080AA8" w:rsidRPr="00F43D2E" w:rsidTr="00AF5D62">
        <w:tc>
          <w:tcPr>
            <w:tcW w:w="1090" w:type="pct"/>
          </w:tcPr>
          <w:p w:rsidR="00080AA8" w:rsidRPr="00F43D2E" w:rsidRDefault="00327FF5" w:rsidP="00327FF5">
            <w:pPr>
              <w:spacing w:line="240" w:lineRule="auto"/>
              <w:rPr>
                <w:spacing w:val="-2"/>
                <w:sz w:val="16"/>
                <w:szCs w:val="16"/>
                <w:lang w:val="en-GB"/>
              </w:rPr>
            </w:pPr>
            <w:r w:rsidRPr="00F43D2E">
              <w:rPr>
                <w:sz w:val="16"/>
                <w:szCs w:val="16"/>
                <w:lang w:val="en-GB"/>
              </w:rPr>
              <w:t xml:space="preserve">Manufacturing sustained a dominant position thanks to strong foreign demand, without this industry, the GVA would grow by only a halved rate in the whole economy </w:t>
            </w:r>
          </w:p>
        </w:tc>
        <w:tc>
          <w:tcPr>
            <w:tcW w:w="145" w:type="pct"/>
          </w:tcPr>
          <w:p w:rsidR="00080AA8" w:rsidRPr="00F43D2E" w:rsidRDefault="00080AA8" w:rsidP="00AF5D62">
            <w:pPr>
              <w:pStyle w:val="Textpoznpodarou"/>
              <w:jc w:val="both"/>
              <w:rPr>
                <w:lang w:val="en-GB"/>
              </w:rPr>
            </w:pPr>
          </w:p>
        </w:tc>
        <w:tc>
          <w:tcPr>
            <w:tcW w:w="3765" w:type="pct"/>
          </w:tcPr>
          <w:p w:rsidR="00080AA8" w:rsidRPr="00F43D2E" w:rsidRDefault="00327FF5" w:rsidP="00AF5D62">
            <w:pPr>
              <w:pStyle w:val="Textpoznpodarou"/>
              <w:jc w:val="both"/>
              <w:rPr>
                <w:spacing w:val="-4"/>
                <w:lang w:val="en-GB"/>
              </w:rPr>
            </w:pPr>
            <w:r w:rsidRPr="00F43D2E">
              <w:rPr>
                <w:lang w:val="en-GB"/>
              </w:rPr>
              <w:t xml:space="preserve">Manufacturing traditionally contributed the most to the growth of the total value added. It shared from one half on </w:t>
            </w:r>
            <w:r w:rsidR="00DA097A">
              <w:rPr>
                <w:lang w:val="en-GB"/>
              </w:rPr>
              <w:t>(</w:t>
            </w:r>
            <w:r w:rsidRPr="00F43D2E">
              <w:rPr>
                <w:lang w:val="en-GB"/>
              </w:rPr>
              <w:t>the more favourable</w:t>
            </w:r>
            <w:r w:rsidR="00DA097A">
              <w:rPr>
                <w:lang w:val="en-GB"/>
              </w:rPr>
              <w:t>)</w:t>
            </w:r>
            <w:r w:rsidRPr="00F43D2E">
              <w:rPr>
                <w:lang w:val="en-GB"/>
              </w:rPr>
              <w:t xml:space="preserve"> year-on-year result of all branches this year (it has held a similarly dominant role since the half of 2014). The GVA was </w:t>
            </w:r>
            <w:r w:rsidR="00124572">
              <w:rPr>
                <w:lang w:val="en-GB"/>
              </w:rPr>
              <w:t>(</w:t>
            </w:r>
            <w:r w:rsidRPr="00F43D2E">
              <w:rPr>
                <w:lang w:val="en-GB"/>
              </w:rPr>
              <w:t>against the exceptionall</w:t>
            </w:r>
            <w:r w:rsidR="00EF1542">
              <w:rPr>
                <w:lang w:val="en-GB"/>
              </w:rPr>
              <w:t>y high last year's basis</w:t>
            </w:r>
            <w:r w:rsidR="00124572">
              <w:rPr>
                <w:lang w:val="en-GB"/>
              </w:rPr>
              <w:t>)</w:t>
            </w:r>
            <w:r w:rsidR="00EF1542">
              <w:rPr>
                <w:lang w:val="en-GB"/>
              </w:rPr>
              <w:t xml:space="preserve"> by 4.8</w:t>
            </w:r>
            <w:r w:rsidRPr="00F43D2E">
              <w:rPr>
                <w:lang w:val="en-GB"/>
              </w:rPr>
              <w:t>% higher in manufacturing in both this year's quarters, overtaking markedly the dynamics of most other branches. A strong demand (in traditional export branches) became evident in a higher employment</w:t>
            </w:r>
            <w:bookmarkStart w:id="2" w:name="_ftnref8"/>
            <w:r w:rsidR="009319E3" w:rsidRPr="00F43D2E">
              <w:rPr>
                <w:rStyle w:val="Znakapoznpodarou"/>
                <w:spacing w:val="-4"/>
                <w:lang w:val="en-GB"/>
              </w:rPr>
              <w:footnoteReference w:id="2"/>
            </w:r>
            <w:bookmarkEnd w:id="2"/>
            <w:r w:rsidR="00EF1542">
              <w:rPr>
                <w:lang w:val="en-GB"/>
              </w:rPr>
              <w:t xml:space="preserve"> (which grew slightly above 3</w:t>
            </w:r>
            <w:r w:rsidRPr="00F43D2E">
              <w:rPr>
                <w:lang w:val="en-GB"/>
              </w:rPr>
              <w:t xml:space="preserve">% this year similarly to the last year's H1, by a double </w:t>
            </w:r>
            <w:r w:rsidR="00F220A9" w:rsidRPr="00F43D2E">
              <w:rPr>
                <w:lang w:val="en-GB"/>
              </w:rPr>
              <w:t>pace</w:t>
            </w:r>
            <w:r w:rsidRPr="00F43D2E">
              <w:rPr>
                <w:lang w:val="en-GB"/>
              </w:rPr>
              <w:t xml:space="preserve"> in comparison to the whole economy in both cases). The businesses tried to cover the growth of </w:t>
            </w:r>
            <w:r w:rsidR="00124572">
              <w:rPr>
                <w:lang w:val="en-GB"/>
              </w:rPr>
              <w:t xml:space="preserve">new </w:t>
            </w:r>
            <w:r w:rsidRPr="00F43D2E">
              <w:rPr>
                <w:lang w:val="en-GB"/>
              </w:rPr>
              <w:t>orders also by a more intensive utilisation of the existing labour force. The number of hour</w:t>
            </w:r>
            <w:r w:rsidR="00124572">
              <w:rPr>
                <w:lang w:val="en-GB"/>
              </w:rPr>
              <w:t xml:space="preserve">s worked </w:t>
            </w:r>
            <w:r w:rsidRPr="00F43D2E">
              <w:rPr>
                <w:lang w:val="en-GB"/>
              </w:rPr>
              <w:t>increased against the last year's</w:t>
            </w:r>
            <w:r w:rsidR="00EF1542">
              <w:rPr>
                <w:lang w:val="en-GB"/>
              </w:rPr>
              <w:t xml:space="preserve"> level by the unprecedented 6.1</w:t>
            </w:r>
            <w:r w:rsidRPr="00F43D2E">
              <w:rPr>
                <w:lang w:val="en-GB"/>
              </w:rPr>
              <w:t xml:space="preserve">% in H1. </w:t>
            </w:r>
          </w:p>
          <w:p w:rsidR="00080AA8" w:rsidRPr="00F43D2E" w:rsidRDefault="00080AA8" w:rsidP="00AF5D62">
            <w:pPr>
              <w:pStyle w:val="Textpoznpodarou"/>
              <w:jc w:val="both"/>
              <w:rPr>
                <w:spacing w:val="-4"/>
                <w:sz w:val="14"/>
                <w:szCs w:val="14"/>
                <w:lang w:val="en-GB"/>
              </w:rPr>
            </w:pPr>
          </w:p>
        </w:tc>
      </w:tr>
      <w:tr w:rsidR="00080AA8" w:rsidRPr="00F43D2E" w:rsidTr="00AF5D62">
        <w:tc>
          <w:tcPr>
            <w:tcW w:w="1090" w:type="pct"/>
          </w:tcPr>
          <w:p w:rsidR="00080AA8" w:rsidRPr="00F43D2E" w:rsidRDefault="006D4927" w:rsidP="00F220A9">
            <w:pPr>
              <w:spacing w:line="240" w:lineRule="auto"/>
              <w:rPr>
                <w:sz w:val="16"/>
                <w:szCs w:val="16"/>
                <w:lang w:val="en-GB"/>
              </w:rPr>
            </w:pPr>
            <w:r w:rsidRPr="00F43D2E">
              <w:rPr>
                <w:sz w:val="16"/>
                <w:szCs w:val="16"/>
                <w:lang w:val="en-GB"/>
              </w:rPr>
              <w:t>Good harvest of basic</w:t>
            </w:r>
            <w:r w:rsidR="00F220A9" w:rsidRPr="00F43D2E">
              <w:rPr>
                <w:sz w:val="16"/>
                <w:szCs w:val="16"/>
                <w:lang w:val="en-GB"/>
              </w:rPr>
              <w:t xml:space="preserve"> cereals and oil plants </w:t>
            </w:r>
            <w:r w:rsidRPr="00F43D2E">
              <w:rPr>
                <w:sz w:val="16"/>
                <w:szCs w:val="16"/>
                <w:lang w:val="en-GB"/>
              </w:rPr>
              <w:t xml:space="preserve">also contributed to the higher value added in agriculture this year </w:t>
            </w:r>
            <w:r w:rsidR="00080AA8" w:rsidRPr="00F43D2E">
              <w:rPr>
                <w:sz w:val="16"/>
                <w:szCs w:val="16"/>
                <w:lang w:val="en-GB"/>
              </w:rPr>
              <w:t xml:space="preserve"> </w:t>
            </w: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F43D2E" w:rsidRDefault="006D4927" w:rsidP="00AF5D62">
            <w:pPr>
              <w:pStyle w:val="Textpoznpodarou"/>
              <w:jc w:val="both"/>
              <w:rPr>
                <w:spacing w:val="-4"/>
                <w:lang w:val="en-GB"/>
              </w:rPr>
            </w:pPr>
            <w:r w:rsidRPr="00F43D2E">
              <w:rPr>
                <w:lang w:val="en-GB"/>
              </w:rPr>
              <w:t>Agriculture, forestry and fishing also thrived, driven especially by the plant production. The good harvest of basic</w:t>
            </w:r>
            <w:r w:rsidR="00F220A9" w:rsidRPr="00F43D2E">
              <w:rPr>
                <w:lang w:val="en-GB"/>
              </w:rPr>
              <w:t xml:space="preserve"> cereals and oil plants</w:t>
            </w:r>
            <w:r w:rsidRPr="00F43D2E">
              <w:rPr>
                <w:lang w:val="en-GB"/>
              </w:rPr>
              <w:t xml:space="preserve"> made a major impact here this year. GVA in the whole</w:t>
            </w:r>
            <w:r w:rsidR="00F220A9" w:rsidRPr="00F43D2E">
              <w:rPr>
                <w:lang w:val="en-GB"/>
              </w:rPr>
              <w:t xml:space="preserve"> branch</w:t>
            </w:r>
            <w:r w:rsidRPr="00F43D2E">
              <w:rPr>
                <w:lang w:val="en-GB"/>
              </w:rPr>
              <w:t xml:space="preserve"> </w:t>
            </w:r>
            <w:r w:rsidR="008F3A8A" w:rsidRPr="00F43D2E">
              <w:rPr>
                <w:lang w:val="en-GB"/>
              </w:rPr>
              <w:t>strengthened</w:t>
            </w:r>
            <w:r w:rsidR="00EF1542">
              <w:rPr>
                <w:lang w:val="en-GB"/>
              </w:rPr>
              <w:t xml:space="preserve"> by 5.1</w:t>
            </w:r>
            <w:r w:rsidRPr="00F43D2E">
              <w:rPr>
                <w:lang w:val="en-GB"/>
              </w:rPr>
              <w:t xml:space="preserve">% </w:t>
            </w:r>
            <w:r w:rsidR="00124572">
              <w:rPr>
                <w:lang w:val="en-GB"/>
              </w:rPr>
              <w:t xml:space="preserve">in H1 </w:t>
            </w:r>
            <w:r w:rsidRPr="00F43D2E">
              <w:rPr>
                <w:lang w:val="en-GB"/>
              </w:rPr>
              <w:t xml:space="preserve">year-on-year and recorded a growth for a third year in a row. </w:t>
            </w:r>
            <w:r w:rsidR="00080AA8" w:rsidRPr="00F43D2E">
              <w:rPr>
                <w:spacing w:val="-4"/>
                <w:lang w:val="en-GB"/>
              </w:rPr>
              <w:t xml:space="preserve"> </w:t>
            </w:r>
          </w:p>
          <w:p w:rsidR="00080AA8" w:rsidRPr="00F43D2E" w:rsidRDefault="00080AA8" w:rsidP="00AF5D62">
            <w:pPr>
              <w:pStyle w:val="Textpoznpodarou"/>
              <w:jc w:val="both"/>
              <w:rPr>
                <w:spacing w:val="-4"/>
                <w:sz w:val="14"/>
                <w:szCs w:val="14"/>
                <w:lang w:val="en-GB"/>
              </w:rPr>
            </w:pPr>
          </w:p>
        </w:tc>
      </w:tr>
      <w:tr w:rsidR="00080AA8" w:rsidRPr="00F43D2E" w:rsidTr="00AF5D62">
        <w:tc>
          <w:tcPr>
            <w:tcW w:w="1090" w:type="pct"/>
          </w:tcPr>
          <w:p w:rsidR="00124572" w:rsidRDefault="008F3A8A" w:rsidP="008F3A8A">
            <w:pPr>
              <w:spacing w:line="240" w:lineRule="auto"/>
              <w:rPr>
                <w:sz w:val="16"/>
                <w:szCs w:val="16"/>
                <w:lang w:val="en-GB"/>
              </w:rPr>
            </w:pPr>
            <w:r w:rsidRPr="00F43D2E">
              <w:rPr>
                <w:sz w:val="16"/>
                <w:szCs w:val="16"/>
                <w:lang w:val="en-GB"/>
              </w:rPr>
              <w:t xml:space="preserve">Value added was falling in construction already a third time in a row </w:t>
            </w:r>
            <w:r w:rsidR="00124572">
              <w:rPr>
                <w:sz w:val="16"/>
                <w:szCs w:val="16"/>
                <w:lang w:val="en-GB"/>
              </w:rPr>
              <w:t>(</w:t>
            </w:r>
            <w:r w:rsidRPr="00F43D2E">
              <w:rPr>
                <w:sz w:val="16"/>
                <w:szCs w:val="16"/>
                <w:lang w:val="en-GB"/>
              </w:rPr>
              <w:t>quarter-on-quarter</w:t>
            </w:r>
            <w:r w:rsidR="00124572">
              <w:rPr>
                <w:sz w:val="16"/>
                <w:szCs w:val="16"/>
                <w:lang w:val="en-GB"/>
              </w:rPr>
              <w:t>)</w:t>
            </w:r>
            <w:r w:rsidRPr="00F43D2E">
              <w:rPr>
                <w:sz w:val="16"/>
                <w:szCs w:val="16"/>
                <w:lang w:val="en-GB"/>
              </w:rPr>
              <w:t>,</w:t>
            </w:r>
          </w:p>
          <w:p w:rsidR="00080AA8" w:rsidRPr="00F43D2E" w:rsidRDefault="008F3A8A" w:rsidP="008F3A8A">
            <w:pPr>
              <w:spacing w:line="240" w:lineRule="auto"/>
              <w:rPr>
                <w:spacing w:val="-4"/>
                <w:sz w:val="16"/>
                <w:szCs w:val="16"/>
                <w:lang w:val="en-GB"/>
              </w:rPr>
            </w:pPr>
            <w:r w:rsidRPr="00F43D2E">
              <w:rPr>
                <w:sz w:val="16"/>
                <w:szCs w:val="16"/>
                <w:lang w:val="en-GB"/>
              </w:rPr>
              <w:t>the branch faced a lack of more significant public order</w:t>
            </w:r>
            <w:r w:rsidR="00235541">
              <w:rPr>
                <w:sz w:val="16"/>
                <w:szCs w:val="16"/>
                <w:lang w:val="en-GB"/>
              </w:rPr>
              <w:t>s after the dissipation of the “doping effect”</w:t>
            </w:r>
            <w:r w:rsidRPr="00F43D2E">
              <w:rPr>
                <w:sz w:val="16"/>
                <w:szCs w:val="16"/>
                <w:lang w:val="en-GB"/>
              </w:rPr>
              <w:t xml:space="preserve"> of the European subsidies  </w:t>
            </w:r>
          </w:p>
        </w:tc>
        <w:tc>
          <w:tcPr>
            <w:tcW w:w="145" w:type="pct"/>
          </w:tcPr>
          <w:p w:rsidR="00080AA8" w:rsidRPr="00F43D2E" w:rsidRDefault="00080AA8" w:rsidP="00AF5D62">
            <w:pPr>
              <w:rPr>
                <w:color w:val="000000" w:themeColor="text1"/>
                <w:szCs w:val="16"/>
                <w:lang w:val="en-GB"/>
              </w:rPr>
            </w:pPr>
          </w:p>
        </w:tc>
        <w:tc>
          <w:tcPr>
            <w:tcW w:w="3765" w:type="pct"/>
          </w:tcPr>
          <w:p w:rsidR="00080AA8" w:rsidRPr="00F43D2E" w:rsidRDefault="008F3A8A" w:rsidP="008F3A8A">
            <w:pPr>
              <w:pStyle w:val="Textpoznpodarou"/>
              <w:jc w:val="both"/>
              <w:rPr>
                <w:color w:val="000000" w:themeColor="text1"/>
                <w:spacing w:val="-4"/>
                <w:lang w:val="en-GB"/>
              </w:rPr>
            </w:pPr>
            <w:r w:rsidRPr="00F43D2E">
              <w:rPr>
                <w:color w:val="000000" w:themeColor="text1"/>
                <w:spacing w:val="-4"/>
                <w:lang w:val="en-GB"/>
              </w:rPr>
              <w:t>C</w:t>
            </w:r>
            <w:r w:rsidRPr="00F43D2E">
              <w:rPr>
                <w:color w:val="000000"/>
                <w:lang w:val="en-GB"/>
              </w:rPr>
              <w:t>onstruction was the only more significant branch, which did not contribute to the growth of value added this year. The GVA decreased in the quarter-on-quarter comparison already at the end of the last year, the</w:t>
            </w:r>
            <w:r w:rsidR="00EF1542">
              <w:rPr>
                <w:color w:val="000000"/>
                <w:lang w:val="en-GB"/>
              </w:rPr>
              <w:t xml:space="preserve"> slumps deepened – down to -4.7</w:t>
            </w:r>
            <w:r w:rsidRPr="00F43D2E">
              <w:rPr>
                <w:color w:val="000000"/>
                <w:lang w:val="en-GB"/>
              </w:rPr>
              <w:t xml:space="preserve">% in Q2 </w:t>
            </w:r>
            <w:r w:rsidR="00124572">
              <w:rPr>
                <w:color w:val="000000"/>
                <w:lang w:val="en-GB"/>
              </w:rPr>
              <w:t xml:space="preserve">2016 </w:t>
            </w:r>
            <w:r w:rsidRPr="00F43D2E">
              <w:rPr>
                <w:color w:val="000000"/>
                <w:lang w:val="en-GB"/>
              </w:rPr>
              <w:t>(which was also reflected in the year-on-year comparison, where the GVA fell for the first time after twelve months) since then. The relatively favourabl</w:t>
            </w:r>
            <w:r w:rsidR="00F220A9" w:rsidRPr="00F43D2E">
              <w:rPr>
                <w:color w:val="000000"/>
                <w:lang w:val="en-GB"/>
              </w:rPr>
              <w:t>e</w:t>
            </w:r>
            <w:r w:rsidRPr="00F43D2E">
              <w:rPr>
                <w:color w:val="000000"/>
                <w:lang w:val="en-GB"/>
              </w:rPr>
              <w:t xml:space="preserve"> development in the intermediate consumption prevented an even weaker result, since the production itself underwent in comparison to the GVA deeper declines in construction. The performance in construction </w:t>
            </w:r>
            <w:r w:rsidR="00F220A9" w:rsidRPr="00F43D2E">
              <w:rPr>
                <w:color w:val="000000"/>
                <w:lang w:val="en-GB"/>
              </w:rPr>
              <w:t>adversely</w:t>
            </w:r>
            <w:r w:rsidRPr="00F43D2E">
              <w:rPr>
                <w:color w:val="000000"/>
                <w:lang w:val="en-GB"/>
              </w:rPr>
              <w:t xml:space="preserve"> affected the area of employment.</w:t>
            </w:r>
            <w:r w:rsidR="00080AA8" w:rsidRPr="00F43D2E">
              <w:rPr>
                <w:color w:val="000000" w:themeColor="text1"/>
                <w:spacing w:val="-4"/>
                <w:lang w:val="en-GB"/>
              </w:rPr>
              <w:t xml:space="preserve"> </w:t>
            </w:r>
          </w:p>
          <w:p w:rsidR="008F3A8A" w:rsidRPr="00F43D2E" w:rsidRDefault="008F3A8A" w:rsidP="008F3A8A">
            <w:pPr>
              <w:pStyle w:val="Textpoznpodarou"/>
              <w:jc w:val="both"/>
              <w:rPr>
                <w:color w:val="000000" w:themeColor="text1"/>
                <w:spacing w:val="-4"/>
                <w:sz w:val="14"/>
                <w:szCs w:val="14"/>
                <w:lang w:val="en-GB"/>
              </w:rPr>
            </w:pPr>
          </w:p>
        </w:tc>
      </w:tr>
      <w:tr w:rsidR="00080AA8" w:rsidRPr="00F43D2E" w:rsidTr="00AF5D62">
        <w:tc>
          <w:tcPr>
            <w:tcW w:w="1090" w:type="pct"/>
          </w:tcPr>
          <w:p w:rsidR="00080AA8" w:rsidRPr="00F43D2E" w:rsidRDefault="00FA36EF" w:rsidP="0028751D">
            <w:pPr>
              <w:spacing w:line="240" w:lineRule="auto"/>
              <w:rPr>
                <w:color w:val="000000" w:themeColor="text1"/>
                <w:spacing w:val="-2"/>
                <w:sz w:val="16"/>
                <w:szCs w:val="16"/>
                <w:lang w:val="en-GB"/>
              </w:rPr>
            </w:pPr>
            <w:r w:rsidRPr="00F43D2E">
              <w:rPr>
                <w:sz w:val="16"/>
                <w:szCs w:val="16"/>
                <w:lang w:val="en-GB"/>
              </w:rPr>
              <w:t xml:space="preserve">Tertiary sector contributed to the higher GVA year-on-year 1.6 </w:t>
            </w:r>
            <w:r w:rsidR="00A95742">
              <w:rPr>
                <w:sz w:val="16"/>
                <w:szCs w:val="16"/>
                <w:lang w:val="en-GB"/>
              </w:rPr>
              <w:t>p.p.</w:t>
            </w:r>
            <w:r w:rsidRPr="00F43D2E">
              <w:rPr>
                <w:sz w:val="16"/>
                <w:szCs w:val="16"/>
                <w:lang w:val="en-GB"/>
              </w:rPr>
              <w:t xml:space="preserve"> this year, the branch presenting a significant weight trade, transport</w:t>
            </w:r>
            <w:r w:rsidR="008F3423" w:rsidRPr="00F43D2E">
              <w:rPr>
                <w:sz w:val="16"/>
                <w:szCs w:val="16"/>
                <w:lang w:val="en-GB"/>
              </w:rPr>
              <w:t>ation</w:t>
            </w:r>
            <w:r w:rsidRPr="00F43D2E">
              <w:rPr>
                <w:sz w:val="16"/>
                <w:szCs w:val="16"/>
                <w:lang w:val="en-GB"/>
              </w:rPr>
              <w:t xml:space="preserve">, accommodation and food service assisted by a whole one third to this contribution </w:t>
            </w:r>
          </w:p>
        </w:tc>
        <w:tc>
          <w:tcPr>
            <w:tcW w:w="145" w:type="pct"/>
          </w:tcPr>
          <w:p w:rsidR="00080AA8" w:rsidRPr="00F43D2E" w:rsidRDefault="00080AA8" w:rsidP="00AF5D62">
            <w:pPr>
              <w:pStyle w:val="Textpoznpodarou"/>
              <w:jc w:val="both"/>
              <w:rPr>
                <w:color w:val="000000" w:themeColor="text1"/>
                <w:spacing w:val="-2"/>
                <w:lang w:val="en-GB"/>
              </w:rPr>
            </w:pPr>
          </w:p>
        </w:tc>
        <w:tc>
          <w:tcPr>
            <w:tcW w:w="3765" w:type="pct"/>
          </w:tcPr>
          <w:p w:rsidR="00057C8B" w:rsidRDefault="00EF1542" w:rsidP="00AF5D62">
            <w:pPr>
              <w:pStyle w:val="Textpoznpodarou"/>
              <w:jc w:val="both"/>
              <w:rPr>
                <w:color w:val="0D0D0D"/>
                <w:lang w:val="en-GB"/>
              </w:rPr>
            </w:pPr>
            <w:r>
              <w:rPr>
                <w:color w:val="000000"/>
                <w:lang w:val="en-GB"/>
              </w:rPr>
              <w:t>Value added increased by 2.6</w:t>
            </w:r>
            <w:r w:rsidR="00FA36EF" w:rsidRPr="00F43D2E">
              <w:rPr>
                <w:color w:val="000000"/>
                <w:lang w:val="en-GB"/>
              </w:rPr>
              <w:t xml:space="preserve">% in the </w:t>
            </w:r>
            <w:r w:rsidR="00057C8B">
              <w:rPr>
                <w:color w:val="000000"/>
                <w:lang w:val="en-GB"/>
              </w:rPr>
              <w:t xml:space="preserve">whole </w:t>
            </w:r>
            <w:r w:rsidR="00FA36EF" w:rsidRPr="00F43D2E">
              <w:rPr>
                <w:color w:val="000000"/>
                <w:lang w:val="en-GB"/>
              </w:rPr>
              <w:t>services sector year-on-year in</w:t>
            </w:r>
            <w:r>
              <w:rPr>
                <w:color w:val="000000"/>
                <w:lang w:val="en-GB"/>
              </w:rPr>
              <w:t xml:space="preserve"> H1 (the growth amounted to 3.6</w:t>
            </w:r>
            <w:r w:rsidR="00FA36EF" w:rsidRPr="00F43D2E">
              <w:rPr>
                <w:color w:val="000000"/>
                <w:lang w:val="en-GB"/>
              </w:rPr>
              <w:t>% in the same period of the last year). The rates of growth were on the whole quite equal within the main</w:t>
            </w:r>
            <w:r w:rsidR="00F220A9" w:rsidRPr="00F43D2E">
              <w:rPr>
                <w:color w:val="000000"/>
                <w:lang w:val="en-GB"/>
              </w:rPr>
              <w:t xml:space="preserve"> branches </w:t>
            </w:r>
            <w:r w:rsidR="00FA36EF" w:rsidRPr="00F43D2E">
              <w:rPr>
                <w:color w:val="000000"/>
                <w:lang w:val="en-GB"/>
              </w:rPr>
              <w:t xml:space="preserve">of services. Only the professional, scientific, technical and administrative activities deviated somewhat, when it reached </w:t>
            </w:r>
            <w:r w:rsidR="00FA36EF" w:rsidRPr="00F43D2E">
              <w:rPr>
                <w:color w:val="0D0D0D"/>
                <w:lang w:val="en-GB"/>
              </w:rPr>
              <w:t>3.5% growth of the GVA despite the year-on-year decline of production</w:t>
            </w:r>
            <w:r w:rsidR="00FA36EF" w:rsidRPr="00F43D2E">
              <w:rPr>
                <w:color w:val="1F497D" w:themeColor="dark2"/>
                <w:lang w:val="en-GB"/>
              </w:rPr>
              <w:t xml:space="preserve"> </w:t>
            </w:r>
            <w:r w:rsidR="00FA36EF" w:rsidRPr="00F43D2E">
              <w:rPr>
                <w:color w:val="0D0D0D"/>
                <w:lang w:val="en-GB"/>
              </w:rPr>
              <w:t xml:space="preserve">(since the intermediate consumption </w:t>
            </w:r>
            <w:r w:rsidR="00057C8B">
              <w:rPr>
                <w:color w:val="0D0D0D"/>
                <w:lang w:val="en-GB"/>
              </w:rPr>
              <w:t xml:space="preserve">in this branch </w:t>
            </w:r>
            <w:r w:rsidR="00FA36EF" w:rsidRPr="00F43D2E">
              <w:rPr>
                <w:color w:val="0D0D0D"/>
                <w:lang w:val="en-GB"/>
              </w:rPr>
              <w:t xml:space="preserve">was falling by even a higher rate). The </w:t>
            </w:r>
            <w:r w:rsidR="0028751D" w:rsidRPr="00F43D2E">
              <w:rPr>
                <w:color w:val="0D0D0D"/>
                <w:lang w:val="en-GB"/>
              </w:rPr>
              <w:t>f</w:t>
            </w:r>
            <w:r w:rsidR="00FA36EF" w:rsidRPr="00F43D2E">
              <w:rPr>
                <w:color w:val="0D0D0D"/>
                <w:lang w:val="en-GB"/>
              </w:rPr>
              <w:t xml:space="preserve">inancial and insurance activities also reached more than 3% increase of GVA and thus </w:t>
            </w:r>
            <w:proofErr w:type="gramStart"/>
            <w:r w:rsidR="00FA36EF" w:rsidRPr="00F43D2E">
              <w:rPr>
                <w:color w:val="0D0D0D"/>
                <w:lang w:val="en-GB"/>
              </w:rPr>
              <w:t>indicated,</w:t>
            </w:r>
            <w:proofErr w:type="gramEnd"/>
            <w:r w:rsidR="00FA36EF" w:rsidRPr="00F43D2E">
              <w:rPr>
                <w:color w:val="0D0D0D"/>
                <w:lang w:val="en-GB"/>
              </w:rPr>
              <w:t xml:space="preserve"> that the last year's fall of GVA (accompanied by a more substantial reduction of employment) was only a temporary fluctuation</w:t>
            </w:r>
            <w:bookmarkStart w:id="3" w:name="_ftnref9"/>
            <w:r w:rsidR="009319E3" w:rsidRPr="00F43D2E">
              <w:rPr>
                <w:rStyle w:val="Znakapoznpodarou"/>
                <w:color w:val="0D0D0D" w:themeColor="text1" w:themeTint="F2"/>
                <w:spacing w:val="-4"/>
                <w:lang w:val="en-GB"/>
              </w:rPr>
              <w:footnoteReference w:id="3"/>
            </w:r>
            <w:bookmarkEnd w:id="3"/>
            <w:r w:rsidR="00FA36EF" w:rsidRPr="00F43D2E">
              <w:rPr>
                <w:color w:val="0D0D0D"/>
                <w:lang w:val="en-GB"/>
              </w:rPr>
              <w:t>. Information and communication activities are also developing in the long-term, which is reflected in the above average creation of ne</w:t>
            </w:r>
            <w:r w:rsidR="00057C8B">
              <w:rPr>
                <w:color w:val="0D0D0D"/>
                <w:lang w:val="en-GB"/>
              </w:rPr>
              <w:t>w job positions (not only for employees</w:t>
            </w:r>
            <w:r w:rsidR="00FA36EF" w:rsidRPr="00F43D2E">
              <w:rPr>
                <w:color w:val="0D0D0D"/>
                <w:lang w:val="en-GB"/>
              </w:rPr>
              <w:t xml:space="preserve">) in the last four years. </w:t>
            </w:r>
          </w:p>
          <w:p w:rsidR="00057C8B" w:rsidRDefault="00057C8B" w:rsidP="00AF5D62">
            <w:pPr>
              <w:pStyle w:val="Textpoznpodarou"/>
              <w:jc w:val="both"/>
              <w:rPr>
                <w:color w:val="0D0D0D"/>
                <w:lang w:val="en-GB"/>
              </w:rPr>
            </w:pPr>
          </w:p>
          <w:p w:rsidR="00080AA8" w:rsidRPr="00F43D2E" w:rsidRDefault="00FA36EF" w:rsidP="00AF5D62">
            <w:pPr>
              <w:pStyle w:val="Textpoznpodarou"/>
              <w:jc w:val="both"/>
              <w:rPr>
                <w:color w:val="000000" w:themeColor="text1"/>
                <w:spacing w:val="-4"/>
                <w:lang w:val="en-GB"/>
              </w:rPr>
            </w:pPr>
            <w:r w:rsidRPr="00F43D2E">
              <w:rPr>
                <w:color w:val="0D0D0D"/>
                <w:lang w:val="en-GB"/>
              </w:rPr>
              <w:t xml:space="preserve">The GVA was strengthening a bit more modestly in the branches with a significant weight proportion with the state </w:t>
            </w:r>
            <w:bookmarkStart w:id="4" w:name="_ftnref10"/>
            <w:r w:rsidRPr="00F43D2E">
              <w:rPr>
                <w:color w:val="0D0D0D"/>
                <w:lang w:val="en-GB"/>
              </w:rPr>
              <w:t>domination</w:t>
            </w:r>
            <w:r w:rsidR="009319E3" w:rsidRPr="00F43D2E">
              <w:rPr>
                <w:rStyle w:val="Znakapoznpodarou"/>
                <w:color w:val="0D0D0D" w:themeColor="text1" w:themeTint="F2"/>
                <w:spacing w:val="-4"/>
                <w:lang w:val="en-GB"/>
              </w:rPr>
              <w:footnoteReference w:id="4"/>
            </w:r>
            <w:bookmarkEnd w:id="4"/>
            <w:r w:rsidR="009319E3" w:rsidRPr="00F43D2E">
              <w:rPr>
                <w:color w:val="0D0D0D"/>
                <w:lang w:val="en-GB"/>
              </w:rPr>
              <w:t xml:space="preserve"> </w:t>
            </w:r>
            <w:r w:rsidR="00EF1542">
              <w:rPr>
                <w:color w:val="0D0D0D"/>
                <w:lang w:val="en-GB"/>
              </w:rPr>
              <w:t>(+1.9</w:t>
            </w:r>
            <w:r w:rsidR="00057C8B">
              <w:rPr>
                <w:color w:val="0D0D0D"/>
                <w:lang w:val="en-GB"/>
              </w:rPr>
              <w:t>%) this year. T</w:t>
            </w:r>
            <w:r w:rsidRPr="00F43D2E">
              <w:rPr>
                <w:color w:val="0D0D0D"/>
                <w:lang w:val="en-GB"/>
              </w:rPr>
              <w:t xml:space="preserve">he low growth of the volume of paid out wages stood behind this occurrence in the </w:t>
            </w:r>
            <w:r w:rsidRPr="00F43D2E">
              <w:rPr>
                <w:color w:val="0D0D0D"/>
                <w:lang w:val="en-GB"/>
              </w:rPr>
              <w:lastRenderedPageBreak/>
              <w:t>education</w:t>
            </w:r>
            <w:r w:rsidR="0028751D" w:rsidRPr="00F43D2E">
              <w:rPr>
                <w:color w:val="0D0D0D"/>
                <w:lang w:val="en-GB"/>
              </w:rPr>
              <w:t>al</w:t>
            </w:r>
            <w:r w:rsidRPr="00F43D2E">
              <w:rPr>
                <w:color w:val="0D0D0D"/>
                <w:lang w:val="en-GB"/>
              </w:rPr>
              <w:t xml:space="preserve"> system. The branch trade, transport</w:t>
            </w:r>
            <w:r w:rsidR="008F3423" w:rsidRPr="00F43D2E">
              <w:rPr>
                <w:color w:val="0D0D0D"/>
                <w:lang w:val="en-GB"/>
              </w:rPr>
              <w:t>ation</w:t>
            </w:r>
            <w:r w:rsidRPr="00F43D2E">
              <w:rPr>
                <w:color w:val="0D0D0D"/>
                <w:lang w:val="en-GB"/>
              </w:rPr>
              <w:t xml:space="preserve">, accommodation and food service activities could </w:t>
            </w:r>
            <w:r w:rsidR="0028751D" w:rsidRPr="00F43D2E">
              <w:rPr>
                <w:color w:val="0D0D0D"/>
                <w:lang w:val="en-GB"/>
              </w:rPr>
              <w:t xml:space="preserve">have </w:t>
            </w:r>
            <w:r w:rsidRPr="00F43D2E">
              <w:rPr>
                <w:color w:val="0D0D0D"/>
                <w:lang w:val="en-GB"/>
              </w:rPr>
              <w:t>capitalise</w:t>
            </w:r>
            <w:r w:rsidR="0028751D" w:rsidRPr="00F43D2E">
              <w:rPr>
                <w:color w:val="0D0D0D"/>
                <w:lang w:val="en-GB"/>
              </w:rPr>
              <w:t>d</w:t>
            </w:r>
            <w:r w:rsidRPr="00F43D2E">
              <w:rPr>
                <w:color w:val="0D0D0D"/>
                <w:lang w:val="en-GB"/>
              </w:rPr>
              <w:t xml:space="preserve"> on the positive consumer sentiment </w:t>
            </w:r>
            <w:r w:rsidRPr="00F43D2E">
              <w:rPr>
                <w:color w:val="000000"/>
                <w:lang w:val="en-GB"/>
              </w:rPr>
              <w:t>(supported by a large growth of both employment and real wages), on the growth of demand for freight transport, as well as more frequent arrivals of both domestic and foreign guests</w:t>
            </w:r>
            <w:r w:rsidR="00057C8B">
              <w:rPr>
                <w:color w:val="000000"/>
                <w:lang w:val="en-GB"/>
              </w:rPr>
              <w:t xml:space="preserve">. </w:t>
            </w:r>
            <w:proofErr w:type="spellStart"/>
            <w:proofErr w:type="gramStart"/>
            <w:r w:rsidR="00057C8B">
              <w:rPr>
                <w:color w:val="000000"/>
                <w:lang w:val="en-GB"/>
              </w:rPr>
              <w:t>Its</w:t>
            </w:r>
            <w:proofErr w:type="spellEnd"/>
            <w:r w:rsidR="00057C8B">
              <w:rPr>
                <w:color w:val="000000"/>
                <w:lang w:val="en-GB"/>
              </w:rPr>
              <w:t xml:space="preserve"> this</w:t>
            </w:r>
            <w:proofErr w:type="gramEnd"/>
            <w:r w:rsidR="00057C8B">
              <w:rPr>
                <w:color w:val="000000"/>
                <w:lang w:val="en-GB"/>
              </w:rPr>
              <w:t xml:space="preserve"> year's results were near to</w:t>
            </w:r>
            <w:r w:rsidRPr="00F43D2E">
              <w:rPr>
                <w:color w:val="000000"/>
                <w:lang w:val="en-GB"/>
              </w:rPr>
              <w:t xml:space="preserve"> the grow</w:t>
            </w:r>
            <w:r w:rsidR="00057C8B">
              <w:rPr>
                <w:color w:val="000000"/>
                <w:lang w:val="en-GB"/>
              </w:rPr>
              <w:t>th rates of both GVA</w:t>
            </w:r>
            <w:r w:rsidRPr="00F43D2E">
              <w:rPr>
                <w:color w:val="000000"/>
                <w:lang w:val="en-GB"/>
              </w:rPr>
              <w:t xml:space="preserve"> and </w:t>
            </w:r>
            <w:r w:rsidR="00230F82" w:rsidRPr="00F43D2E">
              <w:rPr>
                <w:color w:val="000000"/>
                <w:lang w:val="en-GB"/>
              </w:rPr>
              <w:t>employment</w:t>
            </w:r>
            <w:r w:rsidRPr="00F43D2E">
              <w:rPr>
                <w:color w:val="000000"/>
                <w:lang w:val="en-GB"/>
              </w:rPr>
              <w:t xml:space="preserve"> in the whole economy.</w:t>
            </w:r>
          </w:p>
          <w:p w:rsidR="00080AA8" w:rsidRPr="00F43D2E" w:rsidRDefault="00080AA8" w:rsidP="00AF5D62">
            <w:pPr>
              <w:pStyle w:val="Textpoznpodarou"/>
              <w:jc w:val="both"/>
              <w:rPr>
                <w:color w:val="000000" w:themeColor="text1"/>
                <w:spacing w:val="-4"/>
                <w:sz w:val="14"/>
                <w:szCs w:val="14"/>
                <w:lang w:val="en-GB"/>
              </w:rPr>
            </w:pPr>
          </w:p>
        </w:tc>
      </w:tr>
      <w:tr w:rsidR="00080AA8" w:rsidRPr="00F43D2E" w:rsidTr="00AF5D62">
        <w:tc>
          <w:tcPr>
            <w:tcW w:w="1090" w:type="pct"/>
          </w:tcPr>
          <w:p w:rsidR="00080AA8" w:rsidRPr="00F43D2E" w:rsidRDefault="00230F82" w:rsidP="00AF5D62">
            <w:pPr>
              <w:spacing w:line="240" w:lineRule="auto"/>
              <w:rPr>
                <w:sz w:val="16"/>
                <w:szCs w:val="16"/>
                <w:lang w:val="en-GB"/>
              </w:rPr>
            </w:pPr>
            <w:r w:rsidRPr="00F43D2E">
              <w:rPr>
                <w:sz w:val="16"/>
                <w:szCs w:val="16"/>
                <w:lang w:val="en-GB"/>
              </w:rPr>
              <w:lastRenderedPageBreak/>
              <w:t xml:space="preserve">Year-on-year dynamics of the industrial production was significantly influenced by higher number of working days in Q2 </w:t>
            </w:r>
            <w:r w:rsidR="00080AA8" w:rsidRPr="00F43D2E">
              <w:rPr>
                <w:sz w:val="16"/>
                <w:szCs w:val="16"/>
                <w:lang w:val="en-GB"/>
              </w:rPr>
              <w:t xml:space="preserve"> </w:t>
            </w:r>
          </w:p>
          <w:p w:rsidR="00080AA8" w:rsidRPr="00F43D2E" w:rsidRDefault="00080AA8" w:rsidP="00AF5D62">
            <w:pPr>
              <w:spacing w:line="240" w:lineRule="auto"/>
              <w:rPr>
                <w:sz w:val="16"/>
                <w:szCs w:val="16"/>
                <w:lang w:val="en-GB"/>
              </w:rPr>
            </w:pPr>
          </w:p>
          <w:p w:rsidR="00080AA8" w:rsidRPr="00F43D2E" w:rsidRDefault="00080AA8" w:rsidP="00AF5D62">
            <w:pPr>
              <w:spacing w:line="240" w:lineRule="auto"/>
              <w:rPr>
                <w:sz w:val="16"/>
                <w:szCs w:val="16"/>
                <w:lang w:val="en-GB"/>
              </w:rPr>
            </w:pPr>
          </w:p>
          <w:p w:rsidR="00080AA8" w:rsidRPr="00F43D2E" w:rsidRDefault="00080AA8" w:rsidP="00AF5D62">
            <w:pPr>
              <w:spacing w:line="240" w:lineRule="auto"/>
              <w:rPr>
                <w:sz w:val="16"/>
                <w:szCs w:val="16"/>
                <w:lang w:val="en-GB"/>
              </w:rPr>
            </w:pPr>
          </w:p>
          <w:p w:rsidR="00080AA8" w:rsidRPr="00F43D2E" w:rsidRDefault="00080AA8" w:rsidP="00AF5D62">
            <w:pPr>
              <w:spacing w:line="240" w:lineRule="auto"/>
              <w:rPr>
                <w:sz w:val="16"/>
                <w:szCs w:val="16"/>
                <w:lang w:val="en-GB"/>
              </w:rPr>
            </w:pPr>
          </w:p>
          <w:p w:rsidR="00080AA8" w:rsidRDefault="00080AA8" w:rsidP="00AF5D62">
            <w:pPr>
              <w:spacing w:line="240" w:lineRule="auto"/>
              <w:rPr>
                <w:sz w:val="16"/>
                <w:szCs w:val="16"/>
                <w:lang w:val="en-GB"/>
              </w:rPr>
            </w:pPr>
          </w:p>
          <w:p w:rsidR="00057C8B" w:rsidRPr="00F43D2E" w:rsidRDefault="00057C8B" w:rsidP="00AF5D62">
            <w:pPr>
              <w:spacing w:line="240" w:lineRule="auto"/>
              <w:rPr>
                <w:sz w:val="16"/>
                <w:szCs w:val="16"/>
                <w:lang w:val="en-GB"/>
              </w:rPr>
            </w:pPr>
          </w:p>
          <w:p w:rsidR="00080AA8" w:rsidRPr="00F43D2E" w:rsidRDefault="00230F82" w:rsidP="0028751D">
            <w:pPr>
              <w:spacing w:line="240" w:lineRule="auto"/>
              <w:rPr>
                <w:sz w:val="16"/>
                <w:szCs w:val="16"/>
                <w:lang w:val="en-GB"/>
              </w:rPr>
            </w:pPr>
            <w:r w:rsidRPr="00F43D2E">
              <w:rPr>
                <w:sz w:val="16"/>
                <w:szCs w:val="16"/>
                <w:lang w:val="en-GB"/>
              </w:rPr>
              <w:t xml:space="preserve">Production stagnation in the </w:t>
            </w:r>
            <w:r w:rsidR="0028751D" w:rsidRPr="00F43D2E">
              <w:rPr>
                <w:sz w:val="16"/>
                <w:szCs w:val="16"/>
                <w:lang w:val="en-GB"/>
              </w:rPr>
              <w:t>energy</w:t>
            </w:r>
            <w:r w:rsidRPr="00F43D2E">
              <w:rPr>
                <w:sz w:val="16"/>
                <w:szCs w:val="16"/>
                <w:lang w:val="en-GB"/>
              </w:rPr>
              <w:t xml:space="preserve"> industry, as well as the long-term slump in the mining and quarrying continued in the first half of </w:t>
            </w:r>
            <w:r w:rsidR="00332214">
              <w:rPr>
                <w:sz w:val="16"/>
                <w:szCs w:val="16"/>
                <w:lang w:val="en-GB"/>
              </w:rPr>
              <w:t>2016</w:t>
            </w: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F43D2E" w:rsidRDefault="00230F82" w:rsidP="00AF5D62">
            <w:pPr>
              <w:pStyle w:val="Textpoznpodarou"/>
              <w:jc w:val="both"/>
              <w:rPr>
                <w:lang w:val="en-GB"/>
              </w:rPr>
            </w:pPr>
            <w:r w:rsidRPr="00F43D2E">
              <w:rPr>
                <w:color w:val="000000"/>
                <w:lang w:val="en-GB"/>
              </w:rPr>
              <w:t>The performance of industry (gauged by the index of industrial production)</w:t>
            </w:r>
            <w:bookmarkStart w:id="5" w:name="_ftnref11"/>
            <w:r w:rsidR="001D70E4" w:rsidRPr="00F43D2E">
              <w:rPr>
                <w:color w:val="000000" w:themeColor="text1"/>
                <w:spacing w:val="-4"/>
                <w:vertAlign w:val="superscript"/>
                <w:lang w:val="en-GB"/>
              </w:rPr>
              <w:t xml:space="preserve"> </w:t>
            </w:r>
            <w:r w:rsidR="001D70E4" w:rsidRPr="00F43D2E">
              <w:rPr>
                <w:color w:val="000000" w:themeColor="text1"/>
                <w:spacing w:val="-4"/>
                <w:vertAlign w:val="superscript"/>
                <w:lang w:val="en-GB"/>
              </w:rPr>
              <w:footnoteReference w:id="5"/>
            </w:r>
            <w:bookmarkEnd w:id="5"/>
            <w:r w:rsidR="00EF1542">
              <w:rPr>
                <w:color w:val="000000"/>
                <w:lang w:val="en-GB"/>
              </w:rPr>
              <w:t xml:space="preserve"> strengthened by 4.3% year-on-year in H1 (resp. 2.9</w:t>
            </w:r>
            <w:r w:rsidRPr="00F43D2E">
              <w:rPr>
                <w:color w:val="000000"/>
                <w:lang w:val="en-GB"/>
              </w:rPr>
              <w:t>% after adjustment for calendar effects). Calendar effects impacted especially the production in Q</w:t>
            </w:r>
            <w:r w:rsidRPr="00F43D2E">
              <w:rPr>
                <w:lang w:val="en-GB"/>
              </w:rPr>
              <w:t>2, which had compared to the same period of the last year by three working days more this year. The differ</w:t>
            </w:r>
            <w:r w:rsidR="00EF1542">
              <w:rPr>
                <w:lang w:val="en-GB"/>
              </w:rPr>
              <w:t>ence between the adjusted (+2.3</w:t>
            </w:r>
            <w:r w:rsidRPr="00F43D2E">
              <w:rPr>
                <w:lang w:val="en-GB"/>
              </w:rPr>
              <w:t>%) and non-adjusted production (+5.7%) was significant and lastly seen in such extent in Q3 2008. The higher last year's basis, when</w:t>
            </w:r>
            <w:r w:rsidR="0087798D">
              <w:rPr>
                <w:lang w:val="en-GB"/>
              </w:rPr>
              <w:t xml:space="preserve"> the industrial production</w:t>
            </w:r>
            <w:r w:rsidRPr="00F43D2E">
              <w:rPr>
                <w:lang w:val="en-GB"/>
              </w:rPr>
              <w:t xml:space="preserve"> successfully headed for 5% rates of growth, also had an effect. More essentially, the quarter-on-quarter rates of growth ha</w:t>
            </w:r>
            <w:r w:rsidR="0028751D" w:rsidRPr="00F43D2E">
              <w:rPr>
                <w:lang w:val="en-GB"/>
              </w:rPr>
              <w:t>ve</w:t>
            </w:r>
            <w:r w:rsidRPr="00F43D2E">
              <w:rPr>
                <w:lang w:val="en-GB"/>
              </w:rPr>
              <w:t xml:space="preserve"> not indicated a more notable slowdown of growth so far. Manufacturing exclusively contributed to the higher industrial production year-on-year (growth of</w:t>
            </w:r>
            <w:r w:rsidR="00EF1542">
              <w:rPr>
                <w:lang w:val="en-GB"/>
              </w:rPr>
              <w:t xml:space="preserve"> the branch itself attained 5.4</w:t>
            </w:r>
            <w:r w:rsidRPr="00F43D2E">
              <w:rPr>
                <w:lang w:val="en-GB"/>
              </w:rPr>
              <w:t xml:space="preserve">%). </w:t>
            </w:r>
            <w:r w:rsidR="0028751D" w:rsidRPr="00F43D2E">
              <w:rPr>
                <w:lang w:val="en-GB"/>
              </w:rPr>
              <w:t xml:space="preserve">Energy production, </w:t>
            </w:r>
            <w:r w:rsidRPr="00F43D2E">
              <w:rPr>
                <w:lang w:val="en-GB"/>
              </w:rPr>
              <w:t xml:space="preserve">which still struggled with the impacts of the long-term unplanned shutdowns of production facilities in </w:t>
            </w:r>
            <w:proofErr w:type="gramStart"/>
            <w:r w:rsidRPr="00F43D2E">
              <w:rPr>
                <w:lang w:val="en-GB"/>
              </w:rPr>
              <w:t>fact</w:t>
            </w:r>
            <w:proofErr w:type="gramEnd"/>
            <w:r w:rsidRPr="00F43D2E">
              <w:rPr>
                <w:lang w:val="en-GB"/>
              </w:rPr>
              <w:t xml:space="preserve"> stagnated (similarly to last year's H1). Controlled reduction of the currently little profitable mining of black coal manifested in the production of the whole mining industry – it was reduced by nearly one tenth against the level from the first three months of 2016 in Q</w:t>
            </w:r>
            <w:r w:rsidR="00EF1542">
              <w:rPr>
                <w:lang w:val="en-GB"/>
              </w:rPr>
              <w:t>2. The production slumped by 31</w:t>
            </w:r>
            <w:r w:rsidRPr="00F43D2E">
              <w:rPr>
                <w:lang w:val="en-GB"/>
              </w:rPr>
              <w:t>% in the coal mining in the last five years (resp. against the H1 2011), which corresponded to the context of the EU countries</w:t>
            </w:r>
            <w:r w:rsidR="009A3030" w:rsidRPr="00F43D2E">
              <w:rPr>
                <w:lang w:val="en-GB"/>
              </w:rPr>
              <w:t>.</w:t>
            </w:r>
            <w:r w:rsidR="009A3030" w:rsidRPr="00F43D2E">
              <w:rPr>
                <w:rStyle w:val="Znakapoznpodarou"/>
                <w:spacing w:val="-4"/>
                <w:lang w:val="en-GB"/>
              </w:rPr>
              <w:footnoteReference w:id="6"/>
            </w:r>
          </w:p>
          <w:p w:rsidR="00230F82" w:rsidRPr="00F43D2E" w:rsidRDefault="00230F82" w:rsidP="00AF5D62">
            <w:pPr>
              <w:pStyle w:val="Textpoznpodarou"/>
              <w:jc w:val="both"/>
              <w:rPr>
                <w:spacing w:val="-4"/>
                <w:sz w:val="14"/>
                <w:szCs w:val="14"/>
                <w:lang w:val="en-GB"/>
              </w:rPr>
            </w:pPr>
          </w:p>
        </w:tc>
      </w:tr>
      <w:tr w:rsidR="00080AA8" w:rsidRPr="00F43D2E" w:rsidTr="00AF5D62">
        <w:trPr>
          <w:trHeight w:val="269"/>
        </w:trPr>
        <w:tc>
          <w:tcPr>
            <w:tcW w:w="1090" w:type="pct"/>
          </w:tcPr>
          <w:p w:rsidR="00080AA8" w:rsidRPr="00F43D2E" w:rsidRDefault="00095C0E" w:rsidP="00AF5D62">
            <w:pPr>
              <w:spacing w:line="240" w:lineRule="auto"/>
              <w:rPr>
                <w:sz w:val="16"/>
                <w:szCs w:val="16"/>
                <w:lang w:val="en-GB"/>
              </w:rPr>
            </w:pPr>
            <w:r w:rsidRPr="00F43D2E">
              <w:rPr>
                <w:sz w:val="16"/>
                <w:szCs w:val="16"/>
                <w:lang w:val="en-GB"/>
              </w:rPr>
              <w:t>Year-on-year growth of both production and sales reached double digit values in the motor vehicle manufacturing…</w:t>
            </w:r>
          </w:p>
          <w:p w:rsidR="00080AA8" w:rsidRPr="00F43D2E" w:rsidRDefault="00080AA8" w:rsidP="00AF5D62">
            <w:pPr>
              <w:spacing w:line="240" w:lineRule="auto"/>
              <w:rPr>
                <w:sz w:val="16"/>
                <w:szCs w:val="16"/>
                <w:lang w:val="en-GB"/>
              </w:rPr>
            </w:pPr>
          </w:p>
          <w:p w:rsidR="00080AA8" w:rsidRPr="00F43D2E" w:rsidRDefault="00080AA8" w:rsidP="00AF5D62">
            <w:pPr>
              <w:spacing w:line="240" w:lineRule="auto"/>
              <w:rPr>
                <w:sz w:val="16"/>
                <w:szCs w:val="16"/>
                <w:lang w:val="en-GB"/>
              </w:rPr>
            </w:pPr>
          </w:p>
          <w:p w:rsidR="00080AA8" w:rsidRPr="00F43D2E" w:rsidRDefault="00095C0E" w:rsidP="00AF5D62">
            <w:pPr>
              <w:spacing w:line="240" w:lineRule="auto"/>
              <w:rPr>
                <w:sz w:val="16"/>
                <w:szCs w:val="16"/>
                <w:lang w:val="en-GB"/>
              </w:rPr>
            </w:pPr>
            <w:r w:rsidRPr="00F43D2E">
              <w:rPr>
                <w:sz w:val="16"/>
                <w:szCs w:val="16"/>
                <w:lang w:val="en-GB"/>
              </w:rPr>
              <w:t xml:space="preserve">… …the long-term dominant position of this branch within industry was even enhanced this year, the industrial production would grow by 3 </w:t>
            </w:r>
            <w:r w:rsidR="00A95742">
              <w:rPr>
                <w:sz w:val="16"/>
                <w:szCs w:val="16"/>
                <w:lang w:val="en-GB"/>
              </w:rPr>
              <w:t>p.p.</w:t>
            </w:r>
            <w:r w:rsidRPr="00F43D2E">
              <w:rPr>
                <w:sz w:val="16"/>
                <w:szCs w:val="16"/>
                <w:lang w:val="en-GB"/>
              </w:rPr>
              <w:t xml:space="preserve"> less without it </w:t>
            </w:r>
          </w:p>
          <w:p w:rsidR="00080AA8" w:rsidRPr="00F43D2E" w:rsidRDefault="00080AA8" w:rsidP="00AF5D62">
            <w:pPr>
              <w:spacing w:line="240" w:lineRule="auto"/>
              <w:rPr>
                <w:sz w:val="16"/>
                <w:szCs w:val="16"/>
                <w:lang w:val="en-GB"/>
              </w:rPr>
            </w:pPr>
            <w:r w:rsidRPr="00F43D2E">
              <w:rPr>
                <w:sz w:val="16"/>
                <w:szCs w:val="16"/>
                <w:lang w:val="en-GB"/>
              </w:rPr>
              <w:t xml:space="preserve"> </w:t>
            </w:r>
          </w:p>
        </w:tc>
        <w:tc>
          <w:tcPr>
            <w:tcW w:w="145" w:type="pct"/>
          </w:tcPr>
          <w:p w:rsidR="00080AA8" w:rsidRPr="00F43D2E" w:rsidRDefault="00080AA8" w:rsidP="00AF5D62">
            <w:pPr>
              <w:rPr>
                <w:spacing w:val="-4"/>
                <w:szCs w:val="20"/>
                <w:lang w:val="en-GB"/>
              </w:rPr>
            </w:pPr>
          </w:p>
        </w:tc>
        <w:tc>
          <w:tcPr>
            <w:tcW w:w="3765" w:type="pct"/>
          </w:tcPr>
          <w:p w:rsidR="008269C3" w:rsidRDefault="00095C0E" w:rsidP="00AF5D62">
            <w:pPr>
              <w:pStyle w:val="Textpoznpodarou"/>
              <w:jc w:val="both"/>
              <w:rPr>
                <w:lang w:val="en-GB"/>
              </w:rPr>
            </w:pPr>
            <w:r w:rsidRPr="00F43D2E">
              <w:rPr>
                <w:lang w:val="en-GB"/>
              </w:rPr>
              <w:t xml:space="preserve">Manufacturing of motor vehicles (comprising nearly one quarter of production of the whole </w:t>
            </w:r>
            <w:r w:rsidR="00EF1542">
              <w:rPr>
                <w:lang w:val="en-GB"/>
              </w:rPr>
              <w:t>industry) increased by 16</w:t>
            </w:r>
            <w:r w:rsidRPr="00F43D2E">
              <w:rPr>
                <w:lang w:val="en-GB"/>
              </w:rPr>
              <w:t>% year-on</w:t>
            </w:r>
            <w:r w:rsidR="00EF1542">
              <w:rPr>
                <w:lang w:val="en-GB"/>
              </w:rPr>
              <w:t>-year in H1 2016, already by 53</w:t>
            </w:r>
            <w:r w:rsidRPr="00F43D2E">
              <w:rPr>
                <w:lang w:val="en-GB"/>
              </w:rPr>
              <w:t>% since the end of the last recession (Q1 2013)</w:t>
            </w:r>
            <w:r w:rsidR="009A3030" w:rsidRPr="00F43D2E">
              <w:rPr>
                <w:rStyle w:val="Znakapoznpodarou"/>
                <w:spacing w:val="-4"/>
                <w:lang w:val="en-GB"/>
              </w:rPr>
              <w:t xml:space="preserve"> </w:t>
            </w:r>
            <w:r w:rsidR="009A3030" w:rsidRPr="00F43D2E">
              <w:rPr>
                <w:rStyle w:val="Znakapoznpodarou"/>
                <w:spacing w:val="-4"/>
                <w:lang w:val="en-GB"/>
              </w:rPr>
              <w:footnoteReference w:id="7"/>
            </w:r>
            <w:r w:rsidR="00332214">
              <w:rPr>
                <w:lang w:val="en-GB"/>
              </w:rPr>
              <w:t>. Sales (in current prices</w:t>
            </w:r>
            <w:r w:rsidR="00EF1542">
              <w:rPr>
                <w:lang w:val="en-GB"/>
              </w:rPr>
              <w:t>) were by 13</w:t>
            </w:r>
            <w:r w:rsidRPr="00F43D2E">
              <w:rPr>
                <w:lang w:val="en-GB"/>
              </w:rPr>
              <w:t>% higher year-on-year, both the domestic as well as those from the direct exports. The physical number of manufactured personal motor vehicles</w:t>
            </w:r>
            <w:bookmarkStart w:id="6" w:name="_ftnref14"/>
            <w:r w:rsidR="0028751D" w:rsidRPr="00F43D2E">
              <w:rPr>
                <w:lang w:val="en-GB"/>
              </w:rPr>
              <w:t xml:space="preserve"> also attained a record value.</w:t>
            </w:r>
            <w:r w:rsidR="009A3030" w:rsidRPr="00F43D2E">
              <w:rPr>
                <w:rStyle w:val="Znakapoznpodarou"/>
                <w:spacing w:val="-4"/>
                <w:lang w:val="en-GB"/>
              </w:rPr>
              <w:footnoteReference w:id="8"/>
            </w:r>
            <w:bookmarkEnd w:id="6"/>
            <w:r w:rsidRPr="00F43D2E">
              <w:rPr>
                <w:lang w:val="en-GB"/>
              </w:rPr>
              <w:t xml:space="preserve">. The manufacturers of other (especially </w:t>
            </w:r>
            <w:r w:rsidR="00EF1542">
              <w:rPr>
                <w:lang w:val="en-GB"/>
              </w:rPr>
              <w:t xml:space="preserve">rail) transport vehicles </w:t>
            </w:r>
            <w:r w:rsidRPr="00F43D2E">
              <w:rPr>
                <w:lang w:val="en-GB"/>
              </w:rPr>
              <w:t>also recorded an above average rate of production</w:t>
            </w:r>
            <w:r w:rsidR="00332214">
              <w:rPr>
                <w:lang w:val="en-GB"/>
              </w:rPr>
              <w:t xml:space="preserve"> (+5.4</w:t>
            </w:r>
            <w:r w:rsidR="00332214" w:rsidRPr="00F43D2E">
              <w:rPr>
                <w:lang w:val="en-GB"/>
              </w:rPr>
              <w:t>%)</w:t>
            </w:r>
            <w:r w:rsidR="00332214">
              <w:rPr>
                <w:lang w:val="en-GB"/>
              </w:rPr>
              <w:t>, mostly due to the rising</w:t>
            </w:r>
            <w:r w:rsidRPr="00F43D2E">
              <w:rPr>
                <w:lang w:val="en-GB"/>
              </w:rPr>
              <w:t xml:space="preserve"> the domestic demand. The main support activities of the motor vehicle industry did not fully take up in the successful last year (e.g. the year-</w:t>
            </w:r>
            <w:r w:rsidR="00EF1542">
              <w:rPr>
                <w:lang w:val="en-GB"/>
              </w:rPr>
              <w:t>on-year growth slackened to 2.7</w:t>
            </w:r>
            <w:r w:rsidRPr="00F43D2E">
              <w:rPr>
                <w:lang w:val="en-GB"/>
              </w:rPr>
              <w:t xml:space="preserve">% in the manufacturing of electrical equipment and the sales from both exports and the domestic market even slightly decreased). </w:t>
            </w:r>
          </w:p>
          <w:p w:rsidR="008269C3" w:rsidRDefault="008269C3" w:rsidP="00AF5D62">
            <w:pPr>
              <w:pStyle w:val="Textpoznpodarou"/>
              <w:jc w:val="both"/>
              <w:rPr>
                <w:lang w:val="en-GB"/>
              </w:rPr>
            </w:pPr>
          </w:p>
          <w:p w:rsidR="00080AA8" w:rsidRPr="00F43D2E" w:rsidRDefault="00095C0E" w:rsidP="00AF5D62">
            <w:pPr>
              <w:pStyle w:val="Textpoznpodarou"/>
              <w:jc w:val="both"/>
              <w:rPr>
                <w:spacing w:val="-4"/>
                <w:lang w:val="en-GB"/>
              </w:rPr>
            </w:pPr>
            <w:r w:rsidRPr="00F43D2E">
              <w:rPr>
                <w:lang w:val="en-GB"/>
              </w:rPr>
              <w:t>On the contrary, the development of production in the proportionally strong branches of ma</w:t>
            </w:r>
            <w:r w:rsidR="00EF1542">
              <w:rPr>
                <w:lang w:val="en-GB"/>
              </w:rPr>
              <w:t>nufacture of basic metals (+7.2%) and machinery (+2.3</w:t>
            </w:r>
            <w:r w:rsidRPr="00F43D2E">
              <w:rPr>
                <w:lang w:val="en-GB"/>
              </w:rPr>
              <w:t>%) remained stable. The manufacturers of furniture (their production increased by one fifth in three years) or printing (benefiting fr</w:t>
            </w:r>
            <w:r w:rsidR="00041F1F" w:rsidRPr="00F43D2E">
              <w:rPr>
                <w:lang w:val="en-GB"/>
              </w:rPr>
              <w:t>o</w:t>
            </w:r>
            <w:r w:rsidRPr="00F43D2E">
              <w:rPr>
                <w:lang w:val="en-GB"/>
              </w:rPr>
              <w:t>m the higher domestic demand) prospered out of the smaller branches. The mild revival continued for the long-term subdued clothing industry. Production in the textile industry already neared the level of H1 of the boom year 2008 (one half of manufacturing activit</w:t>
            </w:r>
            <w:r w:rsidR="00235541">
              <w:rPr>
                <w:lang w:val="en-GB"/>
              </w:rPr>
              <w:t>ies still has not reached this “mark”</w:t>
            </w:r>
            <w:r w:rsidRPr="00F43D2E">
              <w:rPr>
                <w:lang w:val="en-GB"/>
              </w:rPr>
              <w:t>).</w:t>
            </w:r>
          </w:p>
          <w:p w:rsidR="00080AA8" w:rsidRPr="00F43D2E" w:rsidRDefault="00080AA8" w:rsidP="00AF5D62">
            <w:pPr>
              <w:pStyle w:val="Textpoznpodarou"/>
              <w:jc w:val="both"/>
              <w:rPr>
                <w:spacing w:val="-4"/>
                <w:sz w:val="14"/>
                <w:szCs w:val="14"/>
                <w:lang w:val="en-GB"/>
              </w:rPr>
            </w:pPr>
          </w:p>
        </w:tc>
      </w:tr>
      <w:tr w:rsidR="00080AA8" w:rsidRPr="00F43D2E" w:rsidTr="00AF5D62">
        <w:tc>
          <w:tcPr>
            <w:tcW w:w="1090" w:type="pct"/>
          </w:tcPr>
          <w:p w:rsidR="002B1BF4" w:rsidRPr="00F43D2E" w:rsidRDefault="002B1BF4" w:rsidP="002B1BF4">
            <w:pPr>
              <w:spacing w:line="240" w:lineRule="auto"/>
              <w:rPr>
                <w:spacing w:val="-4"/>
                <w:sz w:val="16"/>
                <w:szCs w:val="16"/>
                <w:lang w:val="en-GB"/>
              </w:rPr>
            </w:pPr>
            <w:r w:rsidRPr="00F43D2E">
              <w:rPr>
                <w:spacing w:val="-4"/>
                <w:sz w:val="16"/>
                <w:szCs w:val="16"/>
                <w:lang w:val="en-GB"/>
              </w:rPr>
              <w:t xml:space="preserve">Among more significant manufacturing activities, the production was declining only in metallurgy (due to the surplus of steel on the European markets), chemical industry (caused by breakdowns of the production facilities) and for the first time </w:t>
            </w:r>
            <w:r w:rsidRPr="00F43D2E">
              <w:rPr>
                <w:spacing w:val="-4"/>
                <w:sz w:val="16"/>
                <w:szCs w:val="16"/>
                <w:lang w:val="en-GB"/>
              </w:rPr>
              <w:lastRenderedPageBreak/>
              <w:t xml:space="preserve">after eight quarters also in the food industry </w:t>
            </w:r>
          </w:p>
          <w:p w:rsidR="00080AA8" w:rsidRPr="00F43D2E" w:rsidRDefault="00080AA8" w:rsidP="002B1BF4">
            <w:pPr>
              <w:spacing w:line="240" w:lineRule="auto"/>
              <w:rPr>
                <w:spacing w:val="-4"/>
                <w:sz w:val="16"/>
                <w:szCs w:val="16"/>
                <w:lang w:val="en-GB"/>
              </w:rPr>
            </w:pPr>
          </w:p>
        </w:tc>
        <w:tc>
          <w:tcPr>
            <w:tcW w:w="145" w:type="pct"/>
          </w:tcPr>
          <w:p w:rsidR="00080AA8" w:rsidRPr="00F43D2E" w:rsidRDefault="00080AA8" w:rsidP="00AF5D62">
            <w:pPr>
              <w:pStyle w:val="Textpoznpodarou"/>
              <w:jc w:val="both"/>
              <w:rPr>
                <w:lang w:val="en-GB"/>
              </w:rPr>
            </w:pPr>
          </w:p>
        </w:tc>
        <w:tc>
          <w:tcPr>
            <w:tcW w:w="3765" w:type="pct"/>
          </w:tcPr>
          <w:p w:rsidR="00080AA8" w:rsidRPr="00F43D2E" w:rsidRDefault="002B1BF4" w:rsidP="00AF5D62">
            <w:pPr>
              <w:pStyle w:val="Textpoznpodarou"/>
              <w:jc w:val="both"/>
              <w:rPr>
                <w:color w:val="000000" w:themeColor="text1"/>
                <w:spacing w:val="-4"/>
                <w:lang w:val="en-GB"/>
              </w:rPr>
            </w:pPr>
            <w:r w:rsidRPr="00F43D2E">
              <w:rPr>
                <w:color w:val="000000"/>
                <w:lang w:val="en-GB"/>
              </w:rPr>
              <w:t xml:space="preserve">Despite the overall favourable development, manufacturing activities still existed, that were facing obstacles. Shutdowns of some operations have been limiting the production capacities in the chemical industry for already one </w:t>
            </w:r>
            <w:proofErr w:type="gramStart"/>
            <w:r w:rsidRPr="00F43D2E">
              <w:rPr>
                <w:color w:val="000000"/>
                <w:lang w:val="en-GB"/>
              </w:rPr>
              <w:t>year,</w:t>
            </w:r>
            <w:proofErr w:type="gramEnd"/>
            <w:r w:rsidRPr="00F43D2E">
              <w:rPr>
                <w:color w:val="000000"/>
                <w:lang w:val="en-GB"/>
              </w:rPr>
              <w:t xml:space="preserve"> its production slumped by one seventh this year. It presented (together with wood</w:t>
            </w:r>
            <w:r w:rsidR="00D56BA2" w:rsidRPr="00F43D2E">
              <w:rPr>
                <w:color w:val="000000"/>
                <w:lang w:val="en-GB"/>
              </w:rPr>
              <w:t xml:space="preserve"> industry</w:t>
            </w:r>
            <w:r w:rsidRPr="00F43D2E">
              <w:rPr>
                <w:color w:val="000000"/>
                <w:lang w:val="en-GB"/>
              </w:rPr>
              <w:t xml:space="preserve"> holding a smaller weight) the only manufacturing activity, whose production has not overtaken the level of its production from the beginning of </w:t>
            </w:r>
            <w:r w:rsidR="0081315E">
              <w:rPr>
                <w:color w:val="000000"/>
                <w:lang w:val="en-GB"/>
              </w:rPr>
              <w:t xml:space="preserve">the </w:t>
            </w:r>
            <w:r w:rsidRPr="00F43D2E">
              <w:rPr>
                <w:color w:val="000000"/>
                <w:lang w:val="en-GB"/>
              </w:rPr>
              <w:t xml:space="preserve">year 2013 (the trough of the last economic recession). Production also fell in metallurgy and </w:t>
            </w:r>
            <w:r w:rsidRPr="00F43D2E">
              <w:rPr>
                <w:color w:val="000000"/>
                <w:lang w:val="en-GB"/>
              </w:rPr>
              <w:lastRenderedPageBreak/>
              <w:t>foundry industry this year. Even the majority of signif</w:t>
            </w:r>
            <w:r w:rsidR="002B2789">
              <w:rPr>
                <w:color w:val="000000"/>
                <w:lang w:val="en-GB"/>
              </w:rPr>
              <w:t>icant European manufacturers have been</w:t>
            </w:r>
            <w:r w:rsidRPr="00F43D2E">
              <w:rPr>
                <w:color w:val="000000"/>
                <w:lang w:val="en-GB"/>
              </w:rPr>
              <w:t xml:space="preserve"> confronted with the negative consequences of the excess supply of steel on </w:t>
            </w:r>
            <w:r w:rsidR="002B2789">
              <w:rPr>
                <w:color w:val="000000"/>
                <w:lang w:val="en-GB"/>
              </w:rPr>
              <w:t>the European markets in the recent</w:t>
            </w:r>
            <w:r w:rsidRPr="00F43D2E">
              <w:rPr>
                <w:color w:val="000000"/>
                <w:lang w:val="en-GB"/>
              </w:rPr>
              <w:t xml:space="preserve"> months. The mild growth of production halted in the </w:t>
            </w:r>
            <w:r w:rsidR="00104174">
              <w:rPr>
                <w:color w:val="000000"/>
                <w:lang w:val="en-GB"/>
              </w:rPr>
              <w:t>(</w:t>
            </w:r>
            <w:r w:rsidRPr="00F43D2E">
              <w:rPr>
                <w:color w:val="000000"/>
                <w:lang w:val="en-GB"/>
              </w:rPr>
              <w:t>volume significant</w:t>
            </w:r>
            <w:r w:rsidR="00104174">
              <w:rPr>
                <w:color w:val="000000"/>
                <w:lang w:val="en-GB"/>
              </w:rPr>
              <w:t>)</w:t>
            </w:r>
            <w:r w:rsidRPr="00F43D2E">
              <w:rPr>
                <w:color w:val="000000"/>
                <w:lang w:val="en-GB"/>
              </w:rPr>
              <w:t xml:space="preserve"> food industry for the first time after eight quarters. Even a shallow</w:t>
            </w:r>
            <w:r w:rsidR="00EF1542">
              <w:rPr>
                <w:color w:val="000000"/>
                <w:lang w:val="en-GB"/>
              </w:rPr>
              <w:t xml:space="preserve"> year-on-year reduction (by 2.2</w:t>
            </w:r>
            <w:r w:rsidRPr="00F43D2E">
              <w:rPr>
                <w:color w:val="000000"/>
                <w:lang w:val="en-GB"/>
              </w:rPr>
              <w:t>%) signified in this stable (mostly on the domestic market oriented branch</w:t>
            </w:r>
            <w:r w:rsidR="00104174">
              <w:rPr>
                <w:color w:val="000000"/>
                <w:lang w:val="en-GB"/>
              </w:rPr>
              <w:t>)</w:t>
            </w:r>
            <w:r w:rsidRPr="00F43D2E">
              <w:rPr>
                <w:color w:val="000000"/>
                <w:lang w:val="en-GB"/>
              </w:rPr>
              <w:t xml:space="preserve"> the worse result since the end of </w:t>
            </w:r>
            <w:r w:rsidR="004E75F9">
              <w:rPr>
                <w:color w:val="000000"/>
                <w:lang w:val="en-GB"/>
              </w:rPr>
              <w:t xml:space="preserve">the </w:t>
            </w:r>
            <w:r w:rsidRPr="00F43D2E">
              <w:rPr>
                <w:color w:val="000000"/>
                <w:lang w:val="en-GB"/>
              </w:rPr>
              <w:t>year</w:t>
            </w:r>
            <w:r w:rsidR="00104174">
              <w:rPr>
                <w:color w:val="000000"/>
                <w:lang w:val="en-GB"/>
              </w:rPr>
              <w:t xml:space="preserve"> 2011</w:t>
            </w:r>
            <w:r w:rsidRPr="00F43D2E">
              <w:rPr>
                <w:color w:val="000000"/>
                <w:lang w:val="en-GB"/>
              </w:rPr>
              <w:t>.</w:t>
            </w:r>
          </w:p>
          <w:p w:rsidR="00080AA8" w:rsidRPr="00F43D2E" w:rsidRDefault="00080AA8" w:rsidP="00AF5D62">
            <w:pPr>
              <w:pStyle w:val="Textpoznpodarou"/>
              <w:jc w:val="both"/>
              <w:rPr>
                <w:color w:val="000000" w:themeColor="text1"/>
                <w:spacing w:val="-4"/>
                <w:sz w:val="14"/>
                <w:szCs w:val="14"/>
                <w:lang w:val="en-GB"/>
              </w:rPr>
            </w:pPr>
          </w:p>
        </w:tc>
      </w:tr>
      <w:tr w:rsidR="00080AA8" w:rsidRPr="00F43D2E" w:rsidTr="00AF5D62">
        <w:tc>
          <w:tcPr>
            <w:tcW w:w="1090" w:type="pct"/>
          </w:tcPr>
          <w:p w:rsidR="00080AA8" w:rsidRPr="00F43D2E" w:rsidRDefault="002B1BF4" w:rsidP="00AF5D62">
            <w:pPr>
              <w:spacing w:line="240" w:lineRule="auto"/>
              <w:rPr>
                <w:spacing w:val="-2"/>
                <w:sz w:val="16"/>
                <w:szCs w:val="16"/>
                <w:lang w:val="en-GB"/>
              </w:rPr>
            </w:pPr>
            <w:r w:rsidRPr="00F43D2E">
              <w:rPr>
                <w:spacing w:val="-2"/>
                <w:sz w:val="16"/>
                <w:szCs w:val="16"/>
                <w:lang w:val="en-GB"/>
              </w:rPr>
              <w:lastRenderedPageBreak/>
              <w:t>Significant acceleration of the rate of growth of new orders in motor vehicle manufacturing in Q2, however the dynamics was weak in other branches (machinery), alternatively the value of orders was even falling (chemical industry, metallurgy)</w:t>
            </w:r>
          </w:p>
          <w:p w:rsidR="00080AA8" w:rsidRPr="00F43D2E" w:rsidRDefault="00080AA8" w:rsidP="00AF5D62">
            <w:pPr>
              <w:spacing w:line="240" w:lineRule="auto"/>
              <w:rPr>
                <w:spacing w:val="-2"/>
                <w:sz w:val="16"/>
                <w:szCs w:val="16"/>
                <w:lang w:val="en-GB"/>
              </w:rPr>
            </w:pPr>
          </w:p>
          <w:p w:rsidR="00080AA8" w:rsidRPr="00F43D2E" w:rsidRDefault="002B1BF4" w:rsidP="00AF5D62">
            <w:pPr>
              <w:spacing w:line="240" w:lineRule="auto"/>
              <w:rPr>
                <w:spacing w:val="-2"/>
                <w:sz w:val="16"/>
                <w:szCs w:val="16"/>
                <w:lang w:val="en-GB"/>
              </w:rPr>
            </w:pPr>
            <w:r w:rsidRPr="00F43D2E">
              <w:rPr>
                <w:sz w:val="16"/>
                <w:szCs w:val="16"/>
                <w:lang w:val="en-GB"/>
              </w:rPr>
              <w:t xml:space="preserve">Industrial businesses </w:t>
            </w:r>
            <w:r w:rsidR="00BE3282" w:rsidRPr="00F43D2E">
              <w:rPr>
                <w:sz w:val="16"/>
                <w:szCs w:val="16"/>
                <w:lang w:val="en-GB"/>
              </w:rPr>
              <w:t>experience</w:t>
            </w:r>
            <w:r w:rsidRPr="00F43D2E">
              <w:rPr>
                <w:sz w:val="16"/>
                <w:szCs w:val="16"/>
                <w:lang w:val="en-GB"/>
              </w:rPr>
              <w:t xml:space="preserve"> the lack of labour force as a growth barrier more and more frequently since the half of </w:t>
            </w:r>
            <w:r w:rsidR="0081315E">
              <w:rPr>
                <w:sz w:val="16"/>
                <w:szCs w:val="16"/>
                <w:lang w:val="en-GB"/>
              </w:rPr>
              <w:t xml:space="preserve">the </w:t>
            </w:r>
            <w:r w:rsidRPr="00F43D2E">
              <w:rPr>
                <w:sz w:val="16"/>
                <w:szCs w:val="16"/>
                <w:lang w:val="en-GB"/>
              </w:rPr>
              <w:t>year 2015</w:t>
            </w:r>
          </w:p>
        </w:tc>
        <w:tc>
          <w:tcPr>
            <w:tcW w:w="145" w:type="pct"/>
          </w:tcPr>
          <w:p w:rsidR="00080AA8" w:rsidRPr="00F43D2E" w:rsidRDefault="00080AA8" w:rsidP="00AF5D62">
            <w:pPr>
              <w:pStyle w:val="Textpoznpodarou"/>
              <w:jc w:val="both"/>
              <w:rPr>
                <w:spacing w:val="-2"/>
                <w:lang w:val="en-GB"/>
              </w:rPr>
            </w:pPr>
          </w:p>
        </w:tc>
        <w:tc>
          <w:tcPr>
            <w:tcW w:w="3765" w:type="pct"/>
          </w:tcPr>
          <w:p w:rsidR="004A2517" w:rsidRDefault="002B1BF4" w:rsidP="00AF5D62">
            <w:pPr>
              <w:pStyle w:val="Textpoznpodarou"/>
              <w:jc w:val="both"/>
              <w:rPr>
                <w:lang w:val="en-GB"/>
              </w:rPr>
            </w:pPr>
            <w:r w:rsidRPr="00F43D2E">
              <w:rPr>
                <w:lang w:val="en-GB"/>
              </w:rPr>
              <w:t>The development</w:t>
            </w:r>
            <w:r w:rsidR="008269C3">
              <w:rPr>
                <w:lang w:val="en-GB"/>
              </w:rPr>
              <w:t xml:space="preserve"> of new orders indicates a positive</w:t>
            </w:r>
            <w:r w:rsidRPr="00F43D2E">
              <w:rPr>
                <w:lang w:val="en-GB"/>
              </w:rPr>
              <w:t xml:space="preserve"> short-term outlook for the industry. The rate of growth of their value considerably slackened at th</w:t>
            </w:r>
            <w:r w:rsidR="00EF1542">
              <w:rPr>
                <w:lang w:val="en-GB"/>
              </w:rPr>
              <w:t>e beginning of the year (to 0.9</w:t>
            </w:r>
            <w:r w:rsidRPr="00F43D2E">
              <w:rPr>
                <w:lang w:val="en-GB"/>
              </w:rPr>
              <w:t xml:space="preserve">% year-on-year, i.e. the </w:t>
            </w:r>
            <w:r w:rsidR="007A46C3" w:rsidRPr="00F43D2E">
              <w:rPr>
                <w:lang w:val="en-GB"/>
              </w:rPr>
              <w:t>slowest</w:t>
            </w:r>
            <w:r w:rsidRPr="00F43D2E">
              <w:rPr>
                <w:lang w:val="en-GB"/>
              </w:rPr>
              <w:t xml:space="preserve"> pace since the end of recession)</w:t>
            </w:r>
            <w:proofErr w:type="gramStart"/>
            <w:r w:rsidRPr="00F43D2E">
              <w:rPr>
                <w:lang w:val="en-GB"/>
              </w:rPr>
              <w:t>,</w:t>
            </w:r>
            <w:proofErr w:type="gramEnd"/>
            <w:r w:rsidRPr="00F43D2E">
              <w:rPr>
                <w:lang w:val="en-GB"/>
              </w:rPr>
              <w:t xml:space="preserve"> however it tightly breached the 10% boundary in Q2. Manufacturing of motor vehicles contributed in a decisiv</w:t>
            </w:r>
            <w:r w:rsidR="00EF1542">
              <w:rPr>
                <w:lang w:val="en-GB"/>
              </w:rPr>
              <w:t>e way (the growth arrived at 11% in Q1, 30</w:t>
            </w:r>
            <w:r w:rsidRPr="00F43D2E">
              <w:rPr>
                <w:lang w:val="en-GB"/>
              </w:rPr>
              <w:t xml:space="preserve">% in Q2). </w:t>
            </w:r>
          </w:p>
          <w:p w:rsidR="004A2517" w:rsidRPr="00EF76A9" w:rsidRDefault="004A2517" w:rsidP="00AF5D62">
            <w:pPr>
              <w:pStyle w:val="Textpoznpodarou"/>
              <w:jc w:val="both"/>
              <w:rPr>
                <w:sz w:val="16"/>
                <w:szCs w:val="16"/>
                <w:lang w:val="en-GB"/>
              </w:rPr>
            </w:pPr>
          </w:p>
          <w:p w:rsidR="00EF76A9" w:rsidRPr="00EF76A9" w:rsidRDefault="002B1BF4" w:rsidP="00AF5D62">
            <w:pPr>
              <w:pStyle w:val="Textpoznpodarou"/>
              <w:jc w:val="both"/>
              <w:rPr>
                <w:color w:val="000000"/>
                <w:spacing w:val="-2"/>
                <w:lang w:val="en-GB"/>
              </w:rPr>
            </w:pPr>
            <w:r w:rsidRPr="00EF76A9">
              <w:rPr>
                <w:spacing w:val="-2"/>
                <w:lang w:val="en-GB"/>
              </w:rPr>
              <w:t xml:space="preserve">A mildly positive entrepreneur sentiment prevailed in industry during H1. </w:t>
            </w:r>
            <w:r w:rsidR="007A46C3" w:rsidRPr="00EF76A9">
              <w:rPr>
                <w:spacing w:val="-2"/>
                <w:lang w:val="en-GB"/>
              </w:rPr>
              <w:t xml:space="preserve">Seasonally adjusted balances of business confidence indicator have kept attaining stable values for already two and a half years. </w:t>
            </w:r>
            <w:r w:rsidR="00EF1542" w:rsidRPr="00EF76A9">
              <w:rPr>
                <w:spacing w:val="-2"/>
                <w:lang w:val="en-GB"/>
              </w:rPr>
              <w:t>22</w:t>
            </w:r>
            <w:r w:rsidRPr="00EF76A9">
              <w:rPr>
                <w:spacing w:val="-2"/>
                <w:lang w:val="en-GB"/>
              </w:rPr>
              <w:t>% of industrial businesses anticipated a growth of the production activity in the upco</w:t>
            </w:r>
            <w:r w:rsidR="00EF1542" w:rsidRPr="00EF76A9">
              <w:rPr>
                <w:spacing w:val="-2"/>
                <w:lang w:val="en-GB"/>
              </w:rPr>
              <w:t>ming three months in August</w:t>
            </w:r>
            <w:r w:rsidR="004A2517" w:rsidRPr="00EF76A9">
              <w:rPr>
                <w:spacing w:val="-2"/>
                <w:lang w:val="en-GB"/>
              </w:rPr>
              <w:t xml:space="preserve"> 2016</w:t>
            </w:r>
            <w:r w:rsidR="00EF1542" w:rsidRPr="00EF76A9">
              <w:rPr>
                <w:spacing w:val="-2"/>
                <w:lang w:val="en-GB"/>
              </w:rPr>
              <w:t>, 16</w:t>
            </w:r>
            <w:r w:rsidR="004A2517" w:rsidRPr="00EF76A9">
              <w:rPr>
                <w:spacing w:val="-2"/>
                <w:lang w:val="en-GB"/>
              </w:rPr>
              <w:t>% for employment. T</w:t>
            </w:r>
            <w:r w:rsidRPr="00EF76A9">
              <w:rPr>
                <w:spacing w:val="-2"/>
                <w:lang w:val="en-GB"/>
              </w:rPr>
              <w:t xml:space="preserve">he values were mildly higher in both cases compared to August </w:t>
            </w:r>
            <w:r w:rsidRPr="00EF76A9">
              <w:rPr>
                <w:color w:val="000000"/>
                <w:spacing w:val="-2"/>
                <w:lang w:val="en-GB"/>
              </w:rPr>
              <w:t>2015. On the contrary, the share of businesses, that consider the lack of labour force as a barrier to growth, notab</w:t>
            </w:r>
            <w:r w:rsidR="00EF1542" w:rsidRPr="00EF76A9">
              <w:rPr>
                <w:color w:val="000000"/>
                <w:spacing w:val="-2"/>
                <w:lang w:val="en-GB"/>
              </w:rPr>
              <w:t>ly quickened. It was already 19</w:t>
            </w:r>
            <w:r w:rsidRPr="00EF76A9">
              <w:rPr>
                <w:color w:val="000000"/>
                <w:spacing w:val="-2"/>
                <w:lang w:val="en-GB"/>
              </w:rPr>
              <w:t xml:space="preserve">% of companies at the beginning of Q3 2016, </w:t>
            </w:r>
            <w:r w:rsidR="004A2517" w:rsidRPr="00EF76A9">
              <w:rPr>
                <w:color w:val="000000"/>
                <w:spacing w:val="-2"/>
                <w:lang w:val="en-GB"/>
              </w:rPr>
              <w:t xml:space="preserve">but </w:t>
            </w:r>
            <w:r w:rsidRPr="00EF76A9">
              <w:rPr>
                <w:color w:val="000000"/>
                <w:spacing w:val="-2"/>
                <w:lang w:val="en-GB"/>
              </w:rPr>
              <w:t>o</w:t>
            </w:r>
            <w:r w:rsidR="00EF1542" w:rsidRPr="00EF76A9">
              <w:rPr>
                <w:color w:val="000000"/>
                <w:spacing w:val="-2"/>
                <w:lang w:val="en-GB"/>
              </w:rPr>
              <w:t>nly 8</w:t>
            </w:r>
            <w:r w:rsidRPr="00EF76A9">
              <w:rPr>
                <w:color w:val="000000"/>
                <w:spacing w:val="-2"/>
                <w:lang w:val="en-GB"/>
              </w:rPr>
              <w:t xml:space="preserve">% the year ago. </w:t>
            </w:r>
          </w:p>
          <w:p w:rsidR="00EF76A9" w:rsidRPr="00EF76A9" w:rsidRDefault="00EF76A9" w:rsidP="00AF5D62">
            <w:pPr>
              <w:pStyle w:val="Textpoznpodarou"/>
              <w:jc w:val="both"/>
              <w:rPr>
                <w:color w:val="000000"/>
                <w:sz w:val="15"/>
                <w:szCs w:val="15"/>
                <w:lang w:val="en-GB"/>
              </w:rPr>
            </w:pPr>
          </w:p>
          <w:p w:rsidR="00080AA8" w:rsidRDefault="002B1BF4" w:rsidP="00AF5D62">
            <w:pPr>
              <w:pStyle w:val="Textpoznpodarou"/>
              <w:jc w:val="both"/>
              <w:rPr>
                <w:color w:val="000000"/>
                <w:lang w:val="en-GB"/>
              </w:rPr>
            </w:pPr>
            <w:r w:rsidRPr="00F43D2E">
              <w:rPr>
                <w:color w:val="000000"/>
                <w:lang w:val="en-GB"/>
              </w:rPr>
              <w:t xml:space="preserve">The dynamics of </w:t>
            </w:r>
            <w:r w:rsidR="004A2517">
              <w:rPr>
                <w:color w:val="000000"/>
                <w:lang w:val="en-GB"/>
              </w:rPr>
              <w:t xml:space="preserve">both </w:t>
            </w:r>
            <w:r w:rsidRPr="00F43D2E">
              <w:rPr>
                <w:color w:val="000000"/>
                <w:lang w:val="en-GB"/>
              </w:rPr>
              <w:t xml:space="preserve">employment and wages slightly </w:t>
            </w:r>
            <w:r w:rsidR="00BE3282" w:rsidRPr="00F43D2E">
              <w:rPr>
                <w:color w:val="000000"/>
                <w:lang w:val="en-GB"/>
              </w:rPr>
              <w:t>strengthened</w:t>
            </w:r>
            <w:r w:rsidRPr="00F43D2E">
              <w:rPr>
                <w:color w:val="000000"/>
                <w:lang w:val="en-GB"/>
              </w:rPr>
              <w:t xml:space="preserve">. The </w:t>
            </w:r>
            <w:r w:rsidR="007A46C3" w:rsidRPr="00F43D2E">
              <w:rPr>
                <w:color w:val="000000"/>
                <w:lang w:val="en-GB"/>
              </w:rPr>
              <w:t>average registered</w:t>
            </w:r>
            <w:r w:rsidR="003B20D9" w:rsidRPr="00F43D2E">
              <w:rPr>
                <w:color w:val="000000"/>
                <w:lang w:val="en-GB"/>
              </w:rPr>
              <w:t xml:space="preserve"> num</w:t>
            </w:r>
            <w:r w:rsidRPr="00F43D2E">
              <w:rPr>
                <w:color w:val="000000"/>
                <w:lang w:val="en-GB"/>
              </w:rPr>
              <w:t xml:space="preserve">ber of employees enlarged </w:t>
            </w:r>
            <w:r w:rsidR="004A2517">
              <w:rPr>
                <w:color w:val="000000"/>
                <w:lang w:val="en-GB"/>
              </w:rPr>
              <w:t>(</w:t>
            </w:r>
            <w:r w:rsidRPr="00F43D2E">
              <w:rPr>
                <w:color w:val="000000"/>
                <w:lang w:val="en-GB"/>
              </w:rPr>
              <w:t>based on statistics of businesses</w:t>
            </w:r>
            <w:r w:rsidR="004A2517">
              <w:rPr>
                <w:color w:val="000000"/>
                <w:lang w:val="en-GB"/>
              </w:rPr>
              <w:t xml:space="preserve">) </w:t>
            </w:r>
            <w:r w:rsidRPr="00F43D2E">
              <w:rPr>
                <w:color w:val="000000"/>
                <w:lang w:val="en-GB"/>
              </w:rPr>
              <w:t>in industri</w:t>
            </w:r>
            <w:r w:rsidR="004A2517">
              <w:rPr>
                <w:color w:val="000000"/>
                <w:lang w:val="en-GB"/>
              </w:rPr>
              <w:t>al businesses in the CR</w:t>
            </w:r>
            <w:r w:rsidR="00EF1542">
              <w:rPr>
                <w:color w:val="000000"/>
                <w:lang w:val="en-GB"/>
              </w:rPr>
              <w:t xml:space="preserve"> by 2.7</w:t>
            </w:r>
            <w:r w:rsidRPr="00F43D2E">
              <w:rPr>
                <w:color w:val="000000"/>
                <w:lang w:val="en-GB"/>
              </w:rPr>
              <w:t>% year-on-year at the beginning of the</w:t>
            </w:r>
            <w:r w:rsidR="00EF1542">
              <w:rPr>
                <w:color w:val="000000"/>
                <w:lang w:val="en-GB"/>
              </w:rPr>
              <w:t xml:space="preserve"> year, in that by more than 6.5</w:t>
            </w:r>
            <w:r w:rsidRPr="00F43D2E">
              <w:rPr>
                <w:color w:val="000000"/>
                <w:lang w:val="en-GB"/>
              </w:rPr>
              <w:t xml:space="preserve">% in the manufacture of motor vehicles. </w:t>
            </w:r>
            <w:r w:rsidR="00BE3282" w:rsidRPr="00F43D2E">
              <w:rPr>
                <w:color w:val="000000"/>
                <w:lang w:val="en-GB"/>
              </w:rPr>
              <w:t>Metallurgy</w:t>
            </w:r>
            <w:r w:rsidRPr="00F43D2E">
              <w:rPr>
                <w:color w:val="000000"/>
                <w:lang w:val="en-GB"/>
              </w:rPr>
              <w:t xml:space="preserve">, mining and </w:t>
            </w:r>
            <w:r w:rsidR="000426E5" w:rsidRPr="00F43D2E">
              <w:rPr>
                <w:color w:val="000000"/>
                <w:lang w:val="en-GB"/>
              </w:rPr>
              <w:t xml:space="preserve">energy </w:t>
            </w:r>
            <w:r w:rsidRPr="00F43D2E">
              <w:rPr>
                <w:color w:val="000000"/>
                <w:lang w:val="en-GB"/>
              </w:rPr>
              <w:t>reduced the number of job positions. Average wages (in connection to the shift of the minimal wage boundary) were raised relatively the most in branches with low level of earnings (clothing, leatherworking, wood</w:t>
            </w:r>
            <w:r w:rsidR="00D56BA2" w:rsidRPr="00F43D2E">
              <w:rPr>
                <w:color w:val="000000"/>
                <w:lang w:val="en-GB"/>
              </w:rPr>
              <w:t xml:space="preserve"> industry</w:t>
            </w:r>
            <w:r w:rsidRPr="00F43D2E">
              <w:rPr>
                <w:color w:val="000000"/>
                <w:lang w:val="en-GB"/>
              </w:rPr>
              <w:t xml:space="preserve">, furniture industry), but despite the cut of capacities also in the chemical industry. </w:t>
            </w:r>
          </w:p>
          <w:p w:rsidR="002B1BF4" w:rsidRPr="00EF76A9" w:rsidRDefault="002B1BF4" w:rsidP="00AF5D62">
            <w:pPr>
              <w:pStyle w:val="Textpoznpodarou"/>
              <w:jc w:val="both"/>
              <w:rPr>
                <w:spacing w:val="-4"/>
                <w:sz w:val="15"/>
                <w:szCs w:val="15"/>
                <w:lang w:val="en-GB"/>
              </w:rPr>
            </w:pPr>
          </w:p>
        </w:tc>
      </w:tr>
      <w:tr w:rsidR="00080AA8" w:rsidRPr="00F43D2E" w:rsidTr="00AF5D62">
        <w:tc>
          <w:tcPr>
            <w:tcW w:w="1090" w:type="pct"/>
          </w:tcPr>
          <w:p w:rsidR="00080AA8" w:rsidRPr="00F43D2E" w:rsidRDefault="009040B3" w:rsidP="00AF5D62">
            <w:pPr>
              <w:spacing w:line="240" w:lineRule="auto"/>
              <w:rPr>
                <w:sz w:val="16"/>
                <w:szCs w:val="16"/>
                <w:lang w:val="en-GB"/>
              </w:rPr>
            </w:pPr>
            <w:r w:rsidRPr="00F43D2E">
              <w:rPr>
                <w:sz w:val="16"/>
                <w:szCs w:val="16"/>
                <w:lang w:val="en-GB"/>
              </w:rPr>
              <w:t>Decline of public expenditure o</w:t>
            </w:r>
            <w:r w:rsidR="003016F6" w:rsidRPr="00F43D2E">
              <w:rPr>
                <w:sz w:val="16"/>
                <w:szCs w:val="16"/>
                <w:lang w:val="en-GB"/>
              </w:rPr>
              <w:t>n</w:t>
            </w:r>
            <w:r w:rsidRPr="00F43D2E">
              <w:rPr>
                <w:sz w:val="16"/>
                <w:szCs w:val="16"/>
                <w:lang w:val="en-GB"/>
              </w:rPr>
              <w:t xml:space="preserve"> transport </w:t>
            </w:r>
            <w:r w:rsidR="003B20D9" w:rsidRPr="00F43D2E">
              <w:rPr>
                <w:sz w:val="16"/>
                <w:szCs w:val="16"/>
                <w:lang w:val="en-GB"/>
              </w:rPr>
              <w:t>structures</w:t>
            </w:r>
            <w:r w:rsidRPr="00F43D2E">
              <w:rPr>
                <w:sz w:val="16"/>
                <w:szCs w:val="16"/>
                <w:lang w:val="en-GB"/>
              </w:rPr>
              <w:t>, but also t</w:t>
            </w:r>
            <w:r w:rsidR="001A5202">
              <w:rPr>
                <w:sz w:val="16"/>
                <w:szCs w:val="16"/>
                <w:lang w:val="en-GB"/>
              </w:rPr>
              <w:t xml:space="preserve">he slow development </w:t>
            </w:r>
            <w:r w:rsidRPr="00F43D2E">
              <w:rPr>
                <w:sz w:val="16"/>
                <w:szCs w:val="16"/>
                <w:lang w:val="en-GB"/>
              </w:rPr>
              <w:t xml:space="preserve">of housing construction impacted negatively on the construction production </w:t>
            </w:r>
          </w:p>
          <w:p w:rsidR="00080AA8" w:rsidRPr="00F43D2E" w:rsidRDefault="00080AA8" w:rsidP="00AF5D62">
            <w:pPr>
              <w:spacing w:line="240" w:lineRule="auto"/>
              <w:rPr>
                <w:sz w:val="16"/>
                <w:szCs w:val="16"/>
                <w:lang w:val="en-GB"/>
              </w:rPr>
            </w:pPr>
          </w:p>
          <w:p w:rsidR="00080AA8" w:rsidRPr="00F43D2E" w:rsidRDefault="009040B3" w:rsidP="009040B3">
            <w:pPr>
              <w:spacing w:line="240" w:lineRule="auto"/>
              <w:rPr>
                <w:sz w:val="16"/>
                <w:szCs w:val="16"/>
                <w:lang w:val="en-GB"/>
              </w:rPr>
            </w:pPr>
            <w:r w:rsidRPr="00F43D2E">
              <w:rPr>
                <w:color w:val="000000"/>
                <w:sz w:val="16"/>
                <w:szCs w:val="16"/>
                <w:lang w:val="en-GB"/>
              </w:rPr>
              <w:t xml:space="preserve">Performance of construction was situated on the level of two years ago, however it was </w:t>
            </w:r>
            <w:r w:rsidR="001A5202">
              <w:rPr>
                <w:color w:val="000000"/>
                <w:sz w:val="16"/>
                <w:szCs w:val="16"/>
                <w:lang w:val="en-GB"/>
              </w:rPr>
              <w:t xml:space="preserve">still </w:t>
            </w:r>
            <w:r w:rsidRPr="00F43D2E">
              <w:rPr>
                <w:color w:val="000000"/>
                <w:sz w:val="16"/>
                <w:szCs w:val="16"/>
                <w:lang w:val="en-GB"/>
              </w:rPr>
              <w:t xml:space="preserve">by one quarter lower compared to H1 2008 </w:t>
            </w: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1A5202" w:rsidRDefault="009040B3" w:rsidP="00AF5D62">
            <w:pPr>
              <w:pStyle w:val="Textpoznpodarou"/>
              <w:jc w:val="both"/>
              <w:rPr>
                <w:spacing w:val="-2"/>
                <w:lang w:val="en-GB"/>
              </w:rPr>
            </w:pPr>
            <w:r w:rsidRPr="001A5202">
              <w:rPr>
                <w:spacing w:val="-2"/>
                <w:lang w:val="en-GB"/>
              </w:rPr>
              <w:t>Construction production again returned to deeper year-on-year drops this year following the strong growth from the preceding two years</w:t>
            </w:r>
            <w:bookmarkStart w:id="7" w:name="_ftnref15"/>
            <w:r w:rsidR="009A3030" w:rsidRPr="001A5202">
              <w:rPr>
                <w:rStyle w:val="Znakapoznpodarou"/>
                <w:spacing w:val="-2"/>
                <w:lang w:val="en-GB"/>
              </w:rPr>
              <w:footnoteReference w:id="9"/>
            </w:r>
            <w:bookmarkEnd w:id="7"/>
            <w:r w:rsidR="004627A6" w:rsidRPr="001A5202">
              <w:rPr>
                <w:spacing w:val="-2"/>
                <w:lang w:val="en-GB"/>
              </w:rPr>
              <w:t>.</w:t>
            </w:r>
            <w:r w:rsidR="00EF1542" w:rsidRPr="001A5202">
              <w:rPr>
                <w:spacing w:val="-2"/>
                <w:lang w:val="en-GB"/>
              </w:rPr>
              <w:t xml:space="preserve"> It fell by 7.7</w:t>
            </w:r>
            <w:r w:rsidRPr="001A5202">
              <w:rPr>
                <w:spacing w:val="-2"/>
                <w:lang w:val="en-GB"/>
              </w:rPr>
              <w:t>% in the first three months of the year,</w:t>
            </w:r>
            <w:r w:rsidR="004627A6" w:rsidRPr="001A5202">
              <w:rPr>
                <w:spacing w:val="-2"/>
                <w:lang w:val="en-GB"/>
              </w:rPr>
              <w:t xml:space="preserve"> the fall even deepened to 12.2</w:t>
            </w:r>
            <w:r w:rsidRPr="001A5202">
              <w:rPr>
                <w:spacing w:val="-2"/>
                <w:lang w:val="en-GB"/>
              </w:rPr>
              <w:t xml:space="preserve">% in Q2. The performance in construction in quarter-on-quarter expression has been declining continuously already four quarters in a row. Both the civil </w:t>
            </w:r>
            <w:r w:rsidR="004627A6" w:rsidRPr="001A5202">
              <w:rPr>
                <w:spacing w:val="-2"/>
                <w:lang w:val="en-GB"/>
              </w:rPr>
              <w:t>engineering construction (-13.2</w:t>
            </w:r>
            <w:r w:rsidRPr="001A5202">
              <w:rPr>
                <w:spacing w:val="-2"/>
                <w:lang w:val="en-GB"/>
              </w:rPr>
              <w:t>%) and the more weight significa</w:t>
            </w:r>
            <w:r w:rsidR="004627A6" w:rsidRPr="001A5202">
              <w:rPr>
                <w:spacing w:val="-2"/>
                <w:lang w:val="en-GB"/>
              </w:rPr>
              <w:t>nt building construction (-9.4</w:t>
            </w:r>
            <w:r w:rsidR="001A5202" w:rsidRPr="001A5202">
              <w:rPr>
                <w:spacing w:val="-2"/>
                <w:lang w:val="en-GB"/>
              </w:rPr>
              <w:t>%) lagged</w:t>
            </w:r>
            <w:r w:rsidRPr="001A5202">
              <w:rPr>
                <w:spacing w:val="-2"/>
                <w:lang w:val="en-GB"/>
              </w:rPr>
              <w:t xml:space="preserve"> behind the last year's level in H1 of this year. While the result of the civil engineering construction was </w:t>
            </w:r>
            <w:r w:rsidR="001A5202">
              <w:rPr>
                <w:spacing w:val="-2"/>
                <w:lang w:val="en-GB"/>
              </w:rPr>
              <w:t>(</w:t>
            </w:r>
            <w:r w:rsidRPr="001A5202">
              <w:rPr>
                <w:spacing w:val="-2"/>
                <w:lang w:val="en-GB"/>
              </w:rPr>
              <w:t>with the view to the intensive realisation of the transport constru</w:t>
            </w:r>
            <w:r w:rsidR="001A5202">
              <w:rPr>
                <w:spacing w:val="-2"/>
                <w:lang w:val="en-GB"/>
              </w:rPr>
              <w:t>ctions bound to the EU programming</w:t>
            </w:r>
            <w:r w:rsidRPr="001A5202">
              <w:rPr>
                <w:spacing w:val="-2"/>
                <w:lang w:val="en-GB"/>
              </w:rPr>
              <w:t xml:space="preserve"> period finishing last year</w:t>
            </w:r>
            <w:r w:rsidR="001A5202">
              <w:rPr>
                <w:spacing w:val="-2"/>
                <w:lang w:val="en-GB"/>
              </w:rPr>
              <w:t>)</w:t>
            </w:r>
            <w:r w:rsidRPr="001A5202">
              <w:rPr>
                <w:spacing w:val="-2"/>
                <w:lang w:val="en-GB"/>
              </w:rPr>
              <w:t xml:space="preserve"> expected to a large extent, the deep declin</w:t>
            </w:r>
            <w:r w:rsidR="001A5202">
              <w:rPr>
                <w:spacing w:val="-2"/>
                <w:lang w:val="en-GB"/>
              </w:rPr>
              <w:t>e of the building construction was</w:t>
            </w:r>
            <w:r w:rsidRPr="001A5202">
              <w:rPr>
                <w:spacing w:val="-2"/>
                <w:lang w:val="en-GB"/>
              </w:rPr>
              <w:t xml:space="preserve"> a surprise finding.</w:t>
            </w:r>
          </w:p>
          <w:p w:rsidR="00080AA8" w:rsidRPr="00F43D2E" w:rsidRDefault="00080AA8" w:rsidP="00AF5D62">
            <w:pPr>
              <w:pStyle w:val="Textpoznpodarou"/>
              <w:jc w:val="both"/>
              <w:rPr>
                <w:spacing w:val="-4"/>
                <w:sz w:val="14"/>
                <w:szCs w:val="14"/>
                <w:lang w:val="en-GB"/>
              </w:rPr>
            </w:pPr>
          </w:p>
        </w:tc>
      </w:tr>
      <w:tr w:rsidR="00080AA8" w:rsidRPr="00F43D2E" w:rsidTr="00AF5D62">
        <w:tc>
          <w:tcPr>
            <w:tcW w:w="1090" w:type="pct"/>
          </w:tcPr>
          <w:p w:rsidR="003B0218" w:rsidRPr="00F43D2E" w:rsidRDefault="003B0218" w:rsidP="003B0218">
            <w:pPr>
              <w:spacing w:line="240" w:lineRule="auto"/>
              <w:rPr>
                <w:color w:val="000000" w:themeColor="text1"/>
                <w:sz w:val="16"/>
                <w:szCs w:val="16"/>
                <w:lang w:val="en-GB"/>
              </w:rPr>
            </w:pPr>
            <w:r w:rsidRPr="00F43D2E">
              <w:rPr>
                <w:color w:val="000000" w:themeColor="text1"/>
                <w:sz w:val="16"/>
                <w:szCs w:val="16"/>
                <w:lang w:val="en-GB"/>
              </w:rPr>
              <w:t>Value of new orders stagnated year-on-year already four quarters in a row</w:t>
            </w:r>
          </w:p>
          <w:p w:rsidR="00080AA8" w:rsidRPr="00F43D2E" w:rsidRDefault="00080AA8" w:rsidP="00AF5D62">
            <w:pPr>
              <w:spacing w:line="240" w:lineRule="auto"/>
              <w:rPr>
                <w:color w:val="000000" w:themeColor="text1"/>
                <w:sz w:val="16"/>
                <w:szCs w:val="16"/>
                <w:lang w:val="en-GB"/>
              </w:rPr>
            </w:pPr>
          </w:p>
          <w:p w:rsidR="003B0218" w:rsidRPr="00F43D2E" w:rsidRDefault="003B0218" w:rsidP="00AF5D62">
            <w:pPr>
              <w:spacing w:line="240" w:lineRule="auto"/>
              <w:rPr>
                <w:color w:val="000000" w:themeColor="text1"/>
                <w:sz w:val="16"/>
                <w:szCs w:val="16"/>
                <w:lang w:val="en-GB"/>
              </w:rPr>
            </w:pPr>
          </w:p>
          <w:p w:rsidR="00080AA8" w:rsidRPr="00F43D2E" w:rsidRDefault="00080AA8" w:rsidP="00AF5D62">
            <w:pPr>
              <w:spacing w:line="240" w:lineRule="auto"/>
              <w:rPr>
                <w:color w:val="000000" w:themeColor="text1"/>
                <w:sz w:val="16"/>
                <w:szCs w:val="16"/>
                <w:lang w:val="en-GB"/>
              </w:rPr>
            </w:pPr>
          </w:p>
          <w:p w:rsidR="003B0218" w:rsidRPr="00F43D2E" w:rsidRDefault="003B0218" w:rsidP="003B0218">
            <w:pPr>
              <w:spacing w:line="240" w:lineRule="auto"/>
              <w:rPr>
                <w:color w:val="000000" w:themeColor="text1"/>
                <w:sz w:val="16"/>
                <w:szCs w:val="16"/>
                <w:lang w:val="en-GB"/>
              </w:rPr>
            </w:pPr>
            <w:r w:rsidRPr="00F43D2E">
              <w:rPr>
                <w:color w:val="000000" w:themeColor="text1"/>
                <w:sz w:val="16"/>
                <w:szCs w:val="16"/>
                <w:lang w:val="en-GB"/>
              </w:rPr>
              <w:t xml:space="preserve">Construction has </w:t>
            </w:r>
            <w:r w:rsidR="00EF76A9">
              <w:rPr>
                <w:color w:val="000000" w:themeColor="text1"/>
                <w:sz w:val="16"/>
                <w:szCs w:val="16"/>
                <w:lang w:val="en-GB"/>
              </w:rPr>
              <w:t>been lacking larger project</w:t>
            </w:r>
            <w:r w:rsidRPr="00F43D2E">
              <w:rPr>
                <w:color w:val="000000" w:themeColor="text1"/>
                <w:sz w:val="16"/>
                <w:szCs w:val="16"/>
                <w:lang w:val="en-GB"/>
              </w:rPr>
              <w:t xml:space="preserve">s so far this year, average value of new closed order fell below 3 </w:t>
            </w:r>
            <w:r w:rsidR="007A46C3" w:rsidRPr="00F43D2E">
              <w:rPr>
                <w:color w:val="000000" w:themeColor="text1"/>
                <w:sz w:val="16"/>
                <w:szCs w:val="16"/>
                <w:lang w:val="en-GB"/>
              </w:rPr>
              <w:t>CZK mil</w:t>
            </w:r>
            <w:r w:rsidRPr="00F43D2E">
              <w:rPr>
                <w:color w:val="000000" w:themeColor="text1"/>
                <w:sz w:val="16"/>
                <w:szCs w:val="16"/>
                <w:lang w:val="en-GB"/>
              </w:rPr>
              <w:t xml:space="preserve"> – to the lowest level in last twelve quarters</w:t>
            </w:r>
          </w:p>
          <w:p w:rsidR="00080AA8" w:rsidRPr="00F43D2E" w:rsidRDefault="00080AA8" w:rsidP="00AF5D62">
            <w:pPr>
              <w:spacing w:line="240" w:lineRule="auto"/>
              <w:rPr>
                <w:color w:val="000000" w:themeColor="text1"/>
                <w:sz w:val="16"/>
                <w:szCs w:val="16"/>
                <w:lang w:val="en-GB"/>
              </w:rPr>
            </w:pPr>
          </w:p>
          <w:p w:rsidR="00080AA8" w:rsidRPr="00F43D2E" w:rsidRDefault="00080AA8" w:rsidP="00AF5D62">
            <w:pPr>
              <w:spacing w:line="240" w:lineRule="auto"/>
              <w:rPr>
                <w:color w:val="000000" w:themeColor="text1"/>
                <w:sz w:val="16"/>
                <w:szCs w:val="16"/>
                <w:lang w:val="en-GB"/>
              </w:rPr>
            </w:pPr>
          </w:p>
          <w:p w:rsidR="00080AA8" w:rsidRPr="00F43D2E" w:rsidRDefault="00080AA8" w:rsidP="00AF5D62">
            <w:pPr>
              <w:spacing w:line="240" w:lineRule="auto"/>
              <w:rPr>
                <w:color w:val="000000" w:themeColor="text1"/>
                <w:sz w:val="16"/>
                <w:szCs w:val="16"/>
                <w:lang w:val="en-GB"/>
              </w:rPr>
            </w:pPr>
          </w:p>
          <w:p w:rsidR="00080AA8" w:rsidRPr="00F43D2E" w:rsidRDefault="00080AA8" w:rsidP="00AF5D62">
            <w:pPr>
              <w:spacing w:line="240" w:lineRule="auto"/>
              <w:rPr>
                <w:color w:val="000000" w:themeColor="text1"/>
                <w:sz w:val="16"/>
                <w:szCs w:val="16"/>
                <w:lang w:val="en-GB"/>
              </w:rPr>
            </w:pP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F43D2E" w:rsidRDefault="003B0218" w:rsidP="00AF5D62">
            <w:pPr>
              <w:pStyle w:val="Textpoznpodarou"/>
              <w:jc w:val="both"/>
              <w:rPr>
                <w:spacing w:val="-4"/>
                <w:lang w:val="en-GB"/>
              </w:rPr>
            </w:pPr>
            <w:r w:rsidRPr="00F43D2E">
              <w:rPr>
                <w:spacing w:val="-4"/>
                <w:lang w:val="en-GB"/>
              </w:rPr>
              <w:t>T</w:t>
            </w:r>
            <w:r w:rsidRPr="00F43D2E">
              <w:rPr>
                <w:lang w:val="en-GB"/>
              </w:rPr>
              <w:t>otal stock of work (at the end of Q2) in the form of all not ye</w:t>
            </w:r>
            <w:r w:rsidR="00F77693" w:rsidRPr="00F43D2E">
              <w:rPr>
                <w:lang w:val="en-GB"/>
              </w:rPr>
              <w:t>t</w:t>
            </w:r>
            <w:r w:rsidRPr="00F43D2E">
              <w:rPr>
                <w:lang w:val="en-GB"/>
              </w:rPr>
              <w:t xml:space="preserve"> completed construction orders reduced by one tenth year-on-year (to 147 </w:t>
            </w:r>
            <w:r w:rsidR="007A46C3" w:rsidRPr="00F43D2E">
              <w:rPr>
                <w:lang w:val="en-GB"/>
              </w:rPr>
              <w:t>CZK bn</w:t>
            </w:r>
            <w:r w:rsidRPr="00F43D2E">
              <w:rPr>
                <w:lang w:val="en-GB"/>
              </w:rPr>
              <w:t>) exclusively due to the impact of th</w:t>
            </w:r>
            <w:r w:rsidR="004627A6">
              <w:rPr>
                <w:lang w:val="en-GB"/>
              </w:rPr>
              <w:t>e domestic public orders (-18.4</w:t>
            </w:r>
            <w:r w:rsidRPr="00F43D2E">
              <w:rPr>
                <w:lang w:val="en-GB"/>
              </w:rPr>
              <w:t>%). The value of new orders (</w:t>
            </w:r>
            <w:r w:rsidR="00EF76A9">
              <w:rPr>
                <w:lang w:val="en-GB"/>
              </w:rPr>
              <w:t xml:space="preserve">in </w:t>
            </w:r>
            <w:r w:rsidRPr="00F43D2E">
              <w:rPr>
                <w:lang w:val="en-GB"/>
              </w:rPr>
              <w:t>construction businesses with 5</w:t>
            </w:r>
            <w:r w:rsidR="004627A6">
              <w:rPr>
                <w:lang w:val="en-GB"/>
              </w:rPr>
              <w:t>0 and more employees) fell by 4</w:t>
            </w:r>
            <w:r w:rsidRPr="00F43D2E">
              <w:rPr>
                <w:lang w:val="en-GB"/>
              </w:rPr>
              <w:t>% year-on-year in H1, which resulted from the one sixth lower orders for the engineering constructions. Higher inflow of new orders in the building construction represent</w:t>
            </w:r>
            <w:r w:rsidR="004627A6">
              <w:rPr>
                <w:lang w:val="en-GB"/>
              </w:rPr>
              <w:t>ed a positive signal in Q2 (+28</w:t>
            </w:r>
            <w:r w:rsidRPr="00F43D2E">
              <w:rPr>
                <w:lang w:val="en-GB"/>
              </w:rPr>
              <w:t xml:space="preserve">%). Their value for the whole H1 was </w:t>
            </w:r>
            <w:r w:rsidR="00EF76A9">
              <w:rPr>
                <w:lang w:val="en-GB"/>
              </w:rPr>
              <w:t>(</w:t>
            </w:r>
            <w:r w:rsidRPr="00F43D2E">
              <w:rPr>
                <w:lang w:val="en-GB"/>
              </w:rPr>
              <w:t>within this time period</w:t>
            </w:r>
            <w:r w:rsidR="00EF76A9">
              <w:rPr>
                <w:lang w:val="en-GB"/>
              </w:rPr>
              <w:t>)</w:t>
            </w:r>
            <w:r w:rsidRPr="00F43D2E">
              <w:rPr>
                <w:lang w:val="en-GB"/>
              </w:rPr>
              <w:t xml:space="preserve"> the highest in the last five years. Nonetheless, the whole industry lacks larger constructions this year. The average value of newly closed order fell below 3 </w:t>
            </w:r>
            <w:r w:rsidR="007A46C3" w:rsidRPr="00F43D2E">
              <w:rPr>
                <w:lang w:val="en-GB"/>
              </w:rPr>
              <w:t>CZK mil</w:t>
            </w:r>
            <w:r w:rsidRPr="00F43D2E">
              <w:rPr>
                <w:lang w:val="en-GB"/>
              </w:rPr>
              <w:t xml:space="preserve"> in H1 (it oscillated </w:t>
            </w:r>
            <w:proofErr w:type="gramStart"/>
            <w:r w:rsidRPr="00F43D2E">
              <w:rPr>
                <w:lang w:val="en-GB"/>
              </w:rPr>
              <w:t xml:space="preserve">around 4 </w:t>
            </w:r>
            <w:r w:rsidR="007A46C3" w:rsidRPr="00F43D2E">
              <w:rPr>
                <w:lang w:val="en-GB"/>
              </w:rPr>
              <w:t>CZK mil</w:t>
            </w:r>
            <w:proofErr w:type="gramEnd"/>
            <w:r w:rsidRPr="00F43D2E">
              <w:rPr>
                <w:lang w:val="en-GB"/>
              </w:rPr>
              <w:t xml:space="preserve"> in years 2014 and 2015). According to another leading indicator – </w:t>
            </w:r>
            <w:r w:rsidR="00D56BA2" w:rsidRPr="00F43D2E">
              <w:rPr>
                <w:lang w:val="en-GB"/>
              </w:rPr>
              <w:t>building</w:t>
            </w:r>
            <w:r w:rsidRPr="00F43D2E">
              <w:rPr>
                <w:lang w:val="en-GB"/>
              </w:rPr>
              <w:t xml:space="preserve"> permits – the prospects of construction were somewhat more favourable. The </w:t>
            </w:r>
            <w:r w:rsidR="00D56BA2" w:rsidRPr="00F43D2E">
              <w:rPr>
                <w:lang w:val="en-GB"/>
              </w:rPr>
              <w:t xml:space="preserve">approximate value of one granted building permit </w:t>
            </w:r>
            <w:r w:rsidRPr="00F43D2E">
              <w:rPr>
                <w:lang w:val="en-GB"/>
              </w:rPr>
              <w:t>increased to 3.7 CZK</w:t>
            </w:r>
            <w:r w:rsidR="00EF76A9">
              <w:rPr>
                <w:lang w:val="en-GB"/>
              </w:rPr>
              <w:t xml:space="preserve"> in Q2</w:t>
            </w:r>
            <w:r w:rsidRPr="00F43D2E">
              <w:rPr>
                <w:lang w:val="en-GB"/>
              </w:rPr>
              <w:t xml:space="preserve"> (from 3.</w:t>
            </w:r>
            <w:r w:rsidR="00EF76A9">
              <w:rPr>
                <w:lang w:val="en-GB"/>
              </w:rPr>
              <w:t>2 mil recorded in Q1 2016</w:t>
            </w:r>
            <w:r w:rsidRPr="00F43D2E">
              <w:rPr>
                <w:lang w:val="en-GB"/>
              </w:rPr>
              <w:t xml:space="preserve">) and simultaneously it was the highest since Q3 2012. </w:t>
            </w:r>
          </w:p>
          <w:p w:rsidR="00080AA8" w:rsidRPr="00F43D2E" w:rsidRDefault="00080AA8" w:rsidP="00AF5D62">
            <w:pPr>
              <w:pStyle w:val="Textpoznpodarou"/>
              <w:jc w:val="both"/>
              <w:rPr>
                <w:spacing w:val="-4"/>
                <w:sz w:val="14"/>
                <w:szCs w:val="14"/>
                <w:lang w:val="en-GB"/>
              </w:rPr>
            </w:pPr>
          </w:p>
        </w:tc>
      </w:tr>
      <w:tr w:rsidR="00080AA8" w:rsidRPr="00F43D2E" w:rsidTr="00AF5D62">
        <w:tc>
          <w:tcPr>
            <w:tcW w:w="1090" w:type="pct"/>
          </w:tcPr>
          <w:p w:rsidR="00080AA8" w:rsidRPr="00F43D2E" w:rsidRDefault="003B0218" w:rsidP="003B0218">
            <w:pPr>
              <w:spacing w:line="240" w:lineRule="auto"/>
              <w:rPr>
                <w:color w:val="000000" w:themeColor="text1"/>
                <w:sz w:val="16"/>
                <w:szCs w:val="16"/>
                <w:lang w:val="en-GB"/>
              </w:rPr>
            </w:pPr>
            <w:r w:rsidRPr="00F43D2E">
              <w:rPr>
                <w:color w:val="000000"/>
                <w:sz w:val="16"/>
                <w:szCs w:val="16"/>
                <w:lang w:val="en-GB"/>
              </w:rPr>
              <w:t xml:space="preserve">Lower frequency of construction of housing flats </w:t>
            </w:r>
            <w:r w:rsidRPr="00F43D2E">
              <w:rPr>
                <w:color w:val="000000"/>
                <w:sz w:val="16"/>
                <w:szCs w:val="16"/>
                <w:lang w:val="en-GB"/>
              </w:rPr>
              <w:lastRenderedPageBreak/>
              <w:t xml:space="preserve">in Prague this year slashed the number of all commenced flats in the CR to the third lowest value after year 2000 </w:t>
            </w: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F43D2E" w:rsidRDefault="003B0218" w:rsidP="00AF5D62">
            <w:pPr>
              <w:pStyle w:val="Textpoznpodarou"/>
              <w:jc w:val="both"/>
              <w:rPr>
                <w:spacing w:val="-4"/>
                <w:lang w:val="en-GB"/>
              </w:rPr>
            </w:pPr>
            <w:r w:rsidRPr="00F43D2E">
              <w:rPr>
                <w:lang w:val="en-GB"/>
              </w:rPr>
              <w:t xml:space="preserve">The number of </w:t>
            </w:r>
            <w:r w:rsidR="004627A6">
              <w:rPr>
                <w:lang w:val="en-GB"/>
              </w:rPr>
              <w:t>all commenced flats fell by 3.4</w:t>
            </w:r>
            <w:r w:rsidR="00EF76A9">
              <w:rPr>
                <w:lang w:val="en-GB"/>
              </w:rPr>
              <w:t xml:space="preserve">% year-on-year in H1 </w:t>
            </w:r>
            <w:r w:rsidR="00EF76A9" w:rsidRPr="00F43D2E">
              <w:rPr>
                <w:lang w:val="en-GB"/>
              </w:rPr>
              <w:t>–</w:t>
            </w:r>
            <w:r w:rsidRPr="00F43D2E">
              <w:rPr>
                <w:lang w:val="en-GB"/>
              </w:rPr>
              <w:t xml:space="preserve"> together </w:t>
            </w:r>
            <w:r w:rsidRPr="00F43D2E">
              <w:rPr>
                <w:lang w:val="en-GB"/>
              </w:rPr>
              <w:lastRenderedPageBreak/>
              <w:t xml:space="preserve">with years 2013 and 2014 it ranked among the lowest in this millennium. The construction of flats in </w:t>
            </w:r>
            <w:r w:rsidR="00F77693" w:rsidRPr="00F43D2E">
              <w:rPr>
                <w:lang w:val="en-GB"/>
              </w:rPr>
              <w:t xml:space="preserve">residential buildings </w:t>
            </w:r>
            <w:r w:rsidRPr="00F43D2E">
              <w:rPr>
                <w:lang w:val="en-GB"/>
              </w:rPr>
              <w:t xml:space="preserve">slumped considerably – as a result of a situation in Prague, where there was only 522 flats commenced this way. Partially, it can be caused by the heightened activity </w:t>
            </w:r>
            <w:r w:rsidR="00EF76A9">
              <w:rPr>
                <w:lang w:val="en-GB"/>
              </w:rPr>
              <w:t xml:space="preserve">in Prague </w:t>
            </w:r>
            <w:r w:rsidRPr="00F43D2E">
              <w:rPr>
                <w:lang w:val="en-GB"/>
              </w:rPr>
              <w:t>in H1 of the last year, when this number (2614) on the contrary belonged to the highest in the long-term context in the capital. The number of c</w:t>
            </w:r>
            <w:r w:rsidR="004627A6">
              <w:rPr>
                <w:lang w:val="en-GB"/>
              </w:rPr>
              <w:t>ompleted flats increased by 4.1</w:t>
            </w:r>
            <w:r w:rsidRPr="00F43D2E">
              <w:rPr>
                <w:lang w:val="en-GB"/>
              </w:rPr>
              <w:t xml:space="preserve">% in the CR, especially due to the higher construction of family houses. </w:t>
            </w:r>
          </w:p>
          <w:p w:rsidR="00080AA8" w:rsidRPr="00F43D2E" w:rsidRDefault="00080AA8" w:rsidP="00AF5D62">
            <w:pPr>
              <w:pStyle w:val="Textpoznpodarou"/>
              <w:jc w:val="both"/>
              <w:rPr>
                <w:spacing w:val="-4"/>
                <w:sz w:val="14"/>
                <w:szCs w:val="14"/>
                <w:lang w:val="en-GB"/>
              </w:rPr>
            </w:pPr>
          </w:p>
        </w:tc>
      </w:tr>
      <w:tr w:rsidR="00080AA8" w:rsidRPr="00F43D2E" w:rsidTr="001A5202">
        <w:trPr>
          <w:trHeight w:val="203"/>
        </w:trPr>
        <w:tc>
          <w:tcPr>
            <w:tcW w:w="1090" w:type="pct"/>
          </w:tcPr>
          <w:p w:rsidR="00473FB6" w:rsidRPr="00F43D2E" w:rsidRDefault="00473FB6" w:rsidP="00473FB6">
            <w:pPr>
              <w:spacing w:line="240" w:lineRule="auto"/>
              <w:rPr>
                <w:spacing w:val="-4"/>
                <w:sz w:val="16"/>
                <w:szCs w:val="16"/>
                <w:lang w:val="en-GB"/>
              </w:rPr>
            </w:pPr>
            <w:r w:rsidRPr="00F43D2E">
              <w:rPr>
                <w:spacing w:val="-4"/>
                <w:sz w:val="16"/>
                <w:szCs w:val="16"/>
                <w:lang w:val="en-GB"/>
              </w:rPr>
              <w:lastRenderedPageBreak/>
              <w:t xml:space="preserve">Negative balance of confidence of businesses in construction </w:t>
            </w:r>
            <w:r w:rsidR="00EF76A9">
              <w:rPr>
                <w:spacing w:val="-4"/>
                <w:sz w:val="16"/>
                <w:szCs w:val="16"/>
                <w:lang w:val="en-GB"/>
              </w:rPr>
              <w:t xml:space="preserve">farther </w:t>
            </w:r>
            <w:r w:rsidRPr="00F43D2E">
              <w:rPr>
                <w:spacing w:val="-4"/>
                <w:sz w:val="16"/>
                <w:szCs w:val="16"/>
                <w:lang w:val="en-GB"/>
              </w:rPr>
              <w:t xml:space="preserve">deepened </w:t>
            </w:r>
          </w:p>
          <w:p w:rsidR="00080AA8" w:rsidRPr="00F43D2E" w:rsidRDefault="00080AA8" w:rsidP="00AF5D62">
            <w:pPr>
              <w:spacing w:line="240" w:lineRule="auto"/>
              <w:rPr>
                <w:spacing w:val="-4"/>
                <w:sz w:val="16"/>
                <w:szCs w:val="16"/>
                <w:lang w:val="en-GB"/>
              </w:rPr>
            </w:pPr>
          </w:p>
          <w:p w:rsidR="00080AA8" w:rsidRPr="00F43D2E" w:rsidRDefault="00473FB6" w:rsidP="0049438A">
            <w:pPr>
              <w:pStyle w:val="Textpoznpodarou"/>
              <w:rPr>
                <w:color w:val="000000"/>
                <w:sz w:val="16"/>
                <w:szCs w:val="16"/>
                <w:lang w:val="en-GB"/>
              </w:rPr>
            </w:pPr>
            <w:r w:rsidRPr="00F43D2E">
              <w:rPr>
                <w:color w:val="000000"/>
                <w:sz w:val="16"/>
                <w:szCs w:val="16"/>
                <w:lang w:val="en-GB"/>
              </w:rPr>
              <w:t xml:space="preserve">Number of registered employees continued declining, construction lost more than 60 </w:t>
            </w:r>
            <w:proofErr w:type="spellStart"/>
            <w:r w:rsidRPr="00F43D2E">
              <w:rPr>
                <w:color w:val="000000"/>
                <w:sz w:val="16"/>
                <w:szCs w:val="16"/>
                <w:lang w:val="en-GB"/>
              </w:rPr>
              <w:t>thous</w:t>
            </w:r>
            <w:proofErr w:type="spellEnd"/>
            <w:r w:rsidRPr="00F43D2E">
              <w:rPr>
                <w:color w:val="000000"/>
                <w:sz w:val="16"/>
                <w:szCs w:val="16"/>
                <w:lang w:val="en-GB"/>
              </w:rPr>
              <w:t>. employee job positions in the last eight years</w:t>
            </w:r>
          </w:p>
          <w:p w:rsidR="00F77693" w:rsidRPr="00F43D2E" w:rsidRDefault="00F77693" w:rsidP="00473FB6">
            <w:pPr>
              <w:pStyle w:val="Textpoznpodarou"/>
              <w:jc w:val="both"/>
              <w:rPr>
                <w:spacing w:val="-4"/>
                <w:sz w:val="16"/>
                <w:szCs w:val="16"/>
                <w:lang w:val="en-GB"/>
              </w:rPr>
            </w:pP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F43D2E" w:rsidRDefault="00473FB6" w:rsidP="00AF5D62">
            <w:pPr>
              <w:pStyle w:val="Textpoznpodarou"/>
              <w:jc w:val="both"/>
              <w:rPr>
                <w:color w:val="000000" w:themeColor="text1"/>
                <w:spacing w:val="-4"/>
                <w:lang w:val="en-GB"/>
              </w:rPr>
            </w:pPr>
            <w:r w:rsidRPr="00F43D2E">
              <w:rPr>
                <w:lang w:val="en-GB"/>
              </w:rPr>
              <w:t>The confidence of businesses in construction worsened during H1. Seasonally adjusted balance of the business confidence in construction, positioned in the negative zone in the long-term, fell lower during this year and its July value w</w:t>
            </w:r>
            <w:r w:rsidR="00F77693" w:rsidRPr="00F43D2E">
              <w:rPr>
                <w:lang w:val="en-GB"/>
              </w:rPr>
              <w:t>a</w:t>
            </w:r>
            <w:r w:rsidRPr="00F43D2E">
              <w:rPr>
                <w:lang w:val="en-GB"/>
              </w:rPr>
              <w:t xml:space="preserve">s the lowest in the last </w:t>
            </w:r>
            <w:r w:rsidRPr="00F43D2E">
              <w:rPr>
                <w:color w:val="000000"/>
                <w:lang w:val="en-GB"/>
              </w:rPr>
              <w:t>21 months.</w:t>
            </w:r>
            <w:r w:rsidRPr="00F43D2E">
              <w:rPr>
                <w:lang w:val="en-GB"/>
              </w:rPr>
              <w:t xml:space="preserve"> The construction businesses state as a barrier to growth more frequ</w:t>
            </w:r>
            <w:r w:rsidR="004627A6">
              <w:rPr>
                <w:lang w:val="en-GB"/>
              </w:rPr>
              <w:t>ently the inadequate demand (53</w:t>
            </w:r>
            <w:r w:rsidRPr="00F43D2E">
              <w:rPr>
                <w:lang w:val="en-GB"/>
              </w:rPr>
              <w:t>% based on seasonal</w:t>
            </w:r>
            <w:r w:rsidR="004627A6">
              <w:rPr>
                <w:lang w:val="en-GB"/>
              </w:rPr>
              <w:t>ly adjusted data in January, 61</w:t>
            </w:r>
            <w:r w:rsidRPr="00F43D2E">
              <w:rPr>
                <w:lang w:val="en-GB"/>
              </w:rPr>
              <w:t>% in May). In August, 1</w:t>
            </w:r>
            <w:r w:rsidR="004627A6">
              <w:rPr>
                <w:color w:val="000000"/>
                <w:lang w:val="en-GB"/>
              </w:rPr>
              <w:t>7</w:t>
            </w:r>
            <w:r w:rsidRPr="00F43D2E">
              <w:rPr>
                <w:color w:val="000000"/>
                <w:lang w:val="en-GB"/>
              </w:rPr>
              <w:t>%</w:t>
            </w:r>
            <w:r w:rsidR="004627A6">
              <w:rPr>
                <w:color w:val="000000"/>
                <w:lang w:val="en-GB"/>
              </w:rPr>
              <w:t xml:space="preserve"> of construction businesses (23</w:t>
            </w:r>
            <w:r w:rsidRPr="00F43D2E">
              <w:rPr>
                <w:color w:val="000000"/>
                <w:lang w:val="en-GB"/>
              </w:rPr>
              <w:t>% a year ago) anticipated a growth of the production activity in the three upcomin</w:t>
            </w:r>
            <w:r w:rsidR="004627A6">
              <w:rPr>
                <w:color w:val="000000"/>
                <w:lang w:val="en-GB"/>
              </w:rPr>
              <w:t>g months, for employment 11% (resp. 16</w:t>
            </w:r>
            <w:r w:rsidRPr="00F43D2E">
              <w:rPr>
                <w:color w:val="000000"/>
                <w:lang w:val="en-GB"/>
              </w:rPr>
              <w:t>%).</w:t>
            </w:r>
          </w:p>
          <w:p w:rsidR="00080AA8" w:rsidRPr="00F43D2E" w:rsidRDefault="00080AA8" w:rsidP="00AF5D62">
            <w:pPr>
              <w:pStyle w:val="Textpoznpodarou"/>
              <w:jc w:val="both"/>
              <w:rPr>
                <w:spacing w:val="-4"/>
                <w:sz w:val="14"/>
                <w:szCs w:val="14"/>
                <w:lang w:val="en-GB"/>
              </w:rPr>
            </w:pPr>
          </w:p>
        </w:tc>
      </w:tr>
      <w:tr w:rsidR="00080AA8" w:rsidRPr="00F43D2E" w:rsidTr="00AF5D62">
        <w:trPr>
          <w:cantSplit/>
          <w:trHeight w:val="250"/>
        </w:trPr>
        <w:tc>
          <w:tcPr>
            <w:tcW w:w="1090" w:type="pct"/>
          </w:tcPr>
          <w:p w:rsidR="00080AA8" w:rsidRPr="00F43D2E" w:rsidRDefault="00473FB6" w:rsidP="00AF5D62">
            <w:pPr>
              <w:spacing w:line="240" w:lineRule="auto"/>
              <w:rPr>
                <w:sz w:val="16"/>
                <w:szCs w:val="16"/>
                <w:lang w:val="en-GB"/>
              </w:rPr>
            </w:pPr>
            <w:r w:rsidRPr="00F43D2E">
              <w:rPr>
                <w:sz w:val="16"/>
                <w:szCs w:val="16"/>
                <w:lang w:val="en-GB"/>
              </w:rPr>
              <w:t xml:space="preserve">Growth of sales notably slackened in services compared to the last year </w:t>
            </w:r>
          </w:p>
          <w:p w:rsidR="00080AA8" w:rsidRPr="00F43D2E" w:rsidRDefault="00080AA8" w:rsidP="00AF5D62">
            <w:pPr>
              <w:spacing w:line="240" w:lineRule="auto"/>
              <w:rPr>
                <w:sz w:val="16"/>
                <w:szCs w:val="16"/>
                <w:lang w:val="en-GB"/>
              </w:rPr>
            </w:pPr>
          </w:p>
          <w:p w:rsidR="00473FB6" w:rsidRPr="00F43D2E" w:rsidRDefault="00473FB6" w:rsidP="00473FB6">
            <w:pPr>
              <w:spacing w:line="240" w:lineRule="auto"/>
              <w:rPr>
                <w:sz w:val="16"/>
                <w:szCs w:val="16"/>
                <w:lang w:val="en-GB"/>
              </w:rPr>
            </w:pPr>
            <w:r w:rsidRPr="00F43D2E">
              <w:rPr>
                <w:sz w:val="16"/>
                <w:szCs w:val="16"/>
                <w:lang w:val="en-GB"/>
              </w:rPr>
              <w:t xml:space="preserve">Sales fell for the first time after twelve quarters in the land and pipe transportation year-on-year at the beginning of the year </w:t>
            </w:r>
          </w:p>
          <w:p w:rsidR="00080AA8" w:rsidRPr="00F43D2E" w:rsidRDefault="00080AA8" w:rsidP="00AF5D62">
            <w:pPr>
              <w:spacing w:line="240" w:lineRule="auto"/>
              <w:rPr>
                <w:sz w:val="16"/>
                <w:szCs w:val="16"/>
                <w:lang w:val="en-GB"/>
              </w:rPr>
            </w:pPr>
            <w:r w:rsidRPr="00F43D2E">
              <w:rPr>
                <w:sz w:val="16"/>
                <w:szCs w:val="16"/>
                <w:lang w:val="en-GB"/>
              </w:rPr>
              <w:t xml:space="preserve"> </w:t>
            </w:r>
          </w:p>
          <w:p w:rsidR="00080AA8" w:rsidRDefault="00080AA8" w:rsidP="00AF5D62">
            <w:pPr>
              <w:spacing w:line="240" w:lineRule="auto"/>
              <w:rPr>
                <w:sz w:val="16"/>
                <w:szCs w:val="16"/>
                <w:lang w:val="en-GB"/>
              </w:rPr>
            </w:pPr>
          </w:p>
          <w:p w:rsidR="00733AF9" w:rsidRDefault="00733AF9" w:rsidP="00AF5D62">
            <w:pPr>
              <w:spacing w:line="240" w:lineRule="auto"/>
              <w:rPr>
                <w:sz w:val="16"/>
                <w:szCs w:val="16"/>
                <w:lang w:val="en-GB"/>
              </w:rPr>
            </w:pPr>
          </w:p>
          <w:p w:rsidR="00733AF9" w:rsidRPr="00733AF9" w:rsidRDefault="00733AF9" w:rsidP="00AF5D62">
            <w:pPr>
              <w:spacing w:line="240" w:lineRule="auto"/>
              <w:rPr>
                <w:sz w:val="6"/>
                <w:szCs w:val="6"/>
                <w:lang w:val="en-GB"/>
              </w:rPr>
            </w:pPr>
          </w:p>
          <w:p w:rsidR="001C3F60" w:rsidRPr="00F43D2E" w:rsidRDefault="001C3F60" w:rsidP="001C3F60">
            <w:pPr>
              <w:spacing w:line="240" w:lineRule="auto"/>
              <w:rPr>
                <w:sz w:val="16"/>
                <w:szCs w:val="16"/>
                <w:lang w:val="en-GB"/>
              </w:rPr>
            </w:pPr>
            <w:r w:rsidRPr="00F43D2E">
              <w:rPr>
                <w:sz w:val="16"/>
                <w:szCs w:val="16"/>
                <w:lang w:val="en-GB"/>
              </w:rPr>
              <w:t>Sales of travel agencies a</w:t>
            </w:r>
            <w:r w:rsidR="004627A6">
              <w:rPr>
                <w:sz w:val="16"/>
                <w:szCs w:val="16"/>
                <w:lang w:val="en-GB"/>
              </w:rPr>
              <w:t>nd tour operators slumped by 23</w:t>
            </w:r>
            <w:r w:rsidRPr="00F43D2E">
              <w:rPr>
                <w:sz w:val="16"/>
                <w:szCs w:val="16"/>
                <w:lang w:val="en-GB"/>
              </w:rPr>
              <w:t xml:space="preserve">% in </w:t>
            </w:r>
            <w:r w:rsidR="00733AF9">
              <w:rPr>
                <w:sz w:val="16"/>
                <w:szCs w:val="16"/>
                <w:lang w:val="en-GB"/>
              </w:rPr>
              <w:t xml:space="preserve">total in </w:t>
            </w:r>
            <w:r w:rsidRPr="00F43D2E">
              <w:rPr>
                <w:sz w:val="16"/>
                <w:szCs w:val="16"/>
                <w:lang w:val="en-GB"/>
              </w:rPr>
              <w:t>the last four years, in c</w:t>
            </w:r>
            <w:r w:rsidR="004627A6">
              <w:rPr>
                <w:sz w:val="16"/>
                <w:szCs w:val="16"/>
                <w:lang w:val="en-GB"/>
              </w:rPr>
              <w:t>ontrast they strengthened by 60</w:t>
            </w:r>
            <w:r w:rsidRPr="00F43D2E">
              <w:rPr>
                <w:sz w:val="16"/>
                <w:szCs w:val="16"/>
                <w:lang w:val="en-GB"/>
              </w:rPr>
              <w:t>% to the job agencies</w:t>
            </w:r>
          </w:p>
          <w:p w:rsidR="00080AA8" w:rsidRPr="00F43D2E" w:rsidRDefault="00080AA8" w:rsidP="00AF5D62">
            <w:pPr>
              <w:spacing w:line="240" w:lineRule="auto"/>
              <w:rPr>
                <w:sz w:val="16"/>
                <w:szCs w:val="16"/>
                <w:lang w:val="en-GB"/>
              </w:rPr>
            </w:pPr>
          </w:p>
          <w:p w:rsidR="00080AA8" w:rsidRPr="00F43D2E" w:rsidRDefault="001C3F60" w:rsidP="001C3F60">
            <w:pPr>
              <w:spacing w:line="240" w:lineRule="auto"/>
              <w:rPr>
                <w:sz w:val="16"/>
                <w:szCs w:val="16"/>
                <w:lang w:val="en-GB"/>
              </w:rPr>
            </w:pPr>
            <w:r w:rsidRPr="00F43D2E">
              <w:rPr>
                <w:color w:val="000000"/>
                <w:sz w:val="16"/>
                <w:szCs w:val="16"/>
                <w:lang w:val="en-GB"/>
              </w:rPr>
              <w:t>Total sales in the services sector have not exceeded the level of the peak of the cycle yet, they were still by 7.</w:t>
            </w:r>
            <w:r w:rsidR="004627A6">
              <w:rPr>
                <w:color w:val="000000"/>
                <w:sz w:val="16"/>
                <w:szCs w:val="16"/>
                <w:lang w:val="en-GB"/>
              </w:rPr>
              <w:t>1</w:t>
            </w:r>
            <w:r w:rsidRPr="00F43D2E">
              <w:rPr>
                <w:color w:val="000000"/>
                <w:sz w:val="16"/>
                <w:szCs w:val="16"/>
                <w:lang w:val="en-GB"/>
              </w:rPr>
              <w:t xml:space="preserve">% lower compared to H1 2008 </w:t>
            </w:r>
            <w:r w:rsidR="00080AA8" w:rsidRPr="00F43D2E">
              <w:rPr>
                <w:color w:val="000000" w:themeColor="text1"/>
                <w:spacing w:val="-4"/>
                <w:sz w:val="16"/>
                <w:szCs w:val="16"/>
                <w:lang w:val="en-GB"/>
              </w:rPr>
              <w:t xml:space="preserve"> </w:t>
            </w:r>
          </w:p>
        </w:tc>
        <w:tc>
          <w:tcPr>
            <w:tcW w:w="145" w:type="pct"/>
          </w:tcPr>
          <w:p w:rsidR="00080AA8" w:rsidRPr="00F43D2E" w:rsidRDefault="00080AA8" w:rsidP="00AF5D62">
            <w:pPr>
              <w:pStyle w:val="Textpoznpodarou"/>
              <w:jc w:val="both"/>
              <w:rPr>
                <w:spacing w:val="-2"/>
                <w:lang w:val="en-GB"/>
              </w:rPr>
            </w:pPr>
          </w:p>
        </w:tc>
        <w:tc>
          <w:tcPr>
            <w:tcW w:w="3765" w:type="pct"/>
          </w:tcPr>
          <w:p w:rsidR="00733AF9" w:rsidRDefault="00473FB6" w:rsidP="00AF5D62">
            <w:pPr>
              <w:pStyle w:val="Textpoznpodarou"/>
              <w:jc w:val="both"/>
              <w:rPr>
                <w:color w:val="000000"/>
                <w:lang w:val="en-GB"/>
              </w:rPr>
            </w:pPr>
            <w:r w:rsidRPr="00F43D2E">
              <w:rPr>
                <w:color w:val="000000"/>
                <w:lang w:val="en-GB"/>
              </w:rPr>
              <w:t>Sales in selected services</w:t>
            </w:r>
            <w:bookmarkStart w:id="8" w:name="_ftnref16"/>
            <w:r w:rsidR="009A3030" w:rsidRPr="00F43D2E">
              <w:rPr>
                <w:color w:val="000000" w:themeColor="text1"/>
                <w:spacing w:val="-4"/>
                <w:vertAlign w:val="superscript"/>
                <w:lang w:val="en-GB"/>
              </w:rPr>
              <w:footnoteReference w:id="10"/>
            </w:r>
            <w:bookmarkEnd w:id="8"/>
            <w:r w:rsidR="004627A6">
              <w:rPr>
                <w:color w:val="000000"/>
                <w:lang w:val="en-GB"/>
              </w:rPr>
              <w:t xml:space="preserve"> grew by 1.1% in H1 (only by 0.1</w:t>
            </w:r>
            <w:r w:rsidRPr="00F43D2E">
              <w:rPr>
                <w:color w:val="000000"/>
                <w:lang w:val="en-GB"/>
              </w:rPr>
              <w:t>% following the adjustment for the number of working days). The slowdown of the sales growth comp</w:t>
            </w:r>
            <w:r w:rsidR="004627A6">
              <w:rPr>
                <w:color w:val="000000"/>
                <w:lang w:val="en-GB"/>
              </w:rPr>
              <w:t>ared to the whole year 2015 (+3</w:t>
            </w:r>
            <w:r w:rsidRPr="00F43D2E">
              <w:rPr>
                <w:color w:val="000000"/>
                <w:lang w:val="en-GB"/>
              </w:rPr>
              <w:t>%) followed especially from the professional, scientific and technical activities, whose last year's also 3% yearly growth presented only an extraordinary deviation in the whole period s</w:t>
            </w:r>
            <w:r w:rsidR="004627A6">
              <w:rPr>
                <w:color w:val="000000"/>
                <w:lang w:val="en-GB"/>
              </w:rPr>
              <w:t>ince the boom. They fell by 4.1</w:t>
            </w:r>
            <w:r w:rsidRPr="00F43D2E">
              <w:rPr>
                <w:color w:val="000000"/>
                <w:lang w:val="en-GB"/>
              </w:rPr>
              <w:t xml:space="preserve">% in this year's first half, mostly due to the architectural and engineering activities (as a consequence of a higher number of semi-finished not yet billed orders). Sales were however declining throughout the whole division, apart from the legal and </w:t>
            </w:r>
            <w:r w:rsidR="001C3F60" w:rsidRPr="00F43D2E">
              <w:rPr>
                <w:color w:val="000000"/>
                <w:lang w:val="en-GB"/>
              </w:rPr>
              <w:t>accounting</w:t>
            </w:r>
            <w:r w:rsidRPr="00F43D2E">
              <w:rPr>
                <w:color w:val="000000"/>
                <w:lang w:val="en-GB"/>
              </w:rPr>
              <w:t xml:space="preserve"> activities. </w:t>
            </w:r>
          </w:p>
          <w:p w:rsidR="00733AF9" w:rsidRPr="00733AF9" w:rsidRDefault="00733AF9" w:rsidP="00AF5D62">
            <w:pPr>
              <w:pStyle w:val="Textpoznpodarou"/>
              <w:jc w:val="both"/>
              <w:rPr>
                <w:color w:val="000000"/>
                <w:sz w:val="16"/>
                <w:szCs w:val="16"/>
                <w:lang w:val="en-GB"/>
              </w:rPr>
            </w:pPr>
          </w:p>
          <w:p w:rsidR="00080AA8" w:rsidRPr="00F43D2E" w:rsidRDefault="00473FB6" w:rsidP="00AF5D62">
            <w:pPr>
              <w:pStyle w:val="Textpoznpodarou"/>
              <w:jc w:val="both"/>
              <w:rPr>
                <w:color w:val="000000" w:themeColor="text1"/>
                <w:spacing w:val="-4"/>
                <w:lang w:val="en-GB"/>
              </w:rPr>
            </w:pPr>
            <w:r w:rsidRPr="00F43D2E">
              <w:rPr>
                <w:color w:val="000000"/>
                <w:lang w:val="en-GB"/>
              </w:rPr>
              <w:t>Transportation and storage also recorded a mild growt</w:t>
            </w:r>
            <w:r w:rsidR="004627A6">
              <w:rPr>
                <w:color w:val="000000"/>
                <w:lang w:val="en-GB"/>
              </w:rPr>
              <w:t>h (+1.3</w:t>
            </w:r>
            <w:r w:rsidRPr="00F43D2E">
              <w:rPr>
                <w:color w:val="000000"/>
                <w:lang w:val="en-GB"/>
              </w:rPr>
              <w:t xml:space="preserve">%), especially thanks to the storage, since the sales in the weight dominant land and pipe </w:t>
            </w:r>
            <w:r w:rsidR="001C3F60" w:rsidRPr="00F43D2E">
              <w:rPr>
                <w:color w:val="000000"/>
                <w:lang w:val="en-GB"/>
              </w:rPr>
              <w:t>transport</w:t>
            </w:r>
            <w:r w:rsidRPr="00F43D2E">
              <w:rPr>
                <w:color w:val="000000"/>
                <w:lang w:val="en-GB"/>
              </w:rPr>
              <w:t xml:space="preserve"> (given the high last year's basis) slightly lowered. Administrative and support service activities continued in the last successful year also this </w:t>
            </w:r>
            <w:r w:rsidR="004627A6">
              <w:rPr>
                <w:color w:val="000000"/>
                <w:lang w:val="en-GB"/>
              </w:rPr>
              <w:t>year (4.9</w:t>
            </w:r>
            <w:r w:rsidRPr="00F43D2E">
              <w:rPr>
                <w:color w:val="000000"/>
                <w:lang w:val="en-GB"/>
              </w:rPr>
              <w:t xml:space="preserve">%), driven by the fast developing job agencies. Nevertheless, all activities throughout the whole division fared well, apart from the activities of travel agencies and offices. Sales were growing fast </w:t>
            </w:r>
            <w:r w:rsidR="00733AF9">
              <w:rPr>
                <w:color w:val="000000"/>
                <w:lang w:val="en-GB"/>
              </w:rPr>
              <w:t>(</w:t>
            </w:r>
            <w:r w:rsidRPr="00F43D2E">
              <w:rPr>
                <w:color w:val="000000"/>
                <w:lang w:val="en-GB"/>
              </w:rPr>
              <w:t>similarly to the last year</w:t>
            </w:r>
            <w:r w:rsidR="00733AF9">
              <w:rPr>
                <w:color w:val="000000"/>
                <w:lang w:val="en-GB"/>
              </w:rPr>
              <w:t>)</w:t>
            </w:r>
            <w:r w:rsidRPr="00F43D2E">
              <w:rPr>
                <w:color w:val="000000"/>
                <w:lang w:val="en-GB"/>
              </w:rPr>
              <w:t xml:space="preserve"> in food service activit</w:t>
            </w:r>
            <w:r w:rsidR="004627A6">
              <w:rPr>
                <w:color w:val="000000"/>
                <w:lang w:val="en-GB"/>
              </w:rPr>
              <w:t>ies and restaurants in H1 (+4.6</w:t>
            </w:r>
            <w:r w:rsidRPr="00F43D2E">
              <w:rPr>
                <w:color w:val="000000"/>
                <w:lang w:val="en-GB"/>
              </w:rPr>
              <w:t xml:space="preserve">%). Sales in accommodation </w:t>
            </w:r>
            <w:r w:rsidR="001C3F60" w:rsidRPr="00F43D2E">
              <w:rPr>
                <w:color w:val="000000"/>
                <w:lang w:val="en-GB"/>
              </w:rPr>
              <w:t>mildly</w:t>
            </w:r>
            <w:r w:rsidRPr="00F43D2E">
              <w:rPr>
                <w:color w:val="000000"/>
                <w:lang w:val="en-GB"/>
              </w:rPr>
              <w:t xml:space="preserve"> lowered in Q2 year-on-year (for the first time since Q2 2010). A high tourism in the CR in spring last year was affected by the organisation of a significant sport event. </w:t>
            </w:r>
            <w:r w:rsidR="00080AA8" w:rsidRPr="00F43D2E">
              <w:rPr>
                <w:color w:val="000000" w:themeColor="text1"/>
                <w:spacing w:val="-4"/>
                <w:lang w:val="en-GB"/>
              </w:rPr>
              <w:t xml:space="preserve"> </w:t>
            </w:r>
          </w:p>
          <w:p w:rsidR="00080AA8" w:rsidRPr="00F43D2E" w:rsidRDefault="00080AA8" w:rsidP="00AF5D62">
            <w:pPr>
              <w:pStyle w:val="Textpoznpodarou"/>
              <w:jc w:val="both"/>
              <w:rPr>
                <w:color w:val="000000" w:themeColor="text1"/>
                <w:spacing w:val="-4"/>
                <w:sz w:val="14"/>
                <w:szCs w:val="14"/>
                <w:lang w:val="en-GB"/>
              </w:rPr>
            </w:pPr>
          </w:p>
        </w:tc>
      </w:tr>
      <w:tr w:rsidR="00080AA8" w:rsidRPr="00F43D2E" w:rsidTr="00AF5D62">
        <w:trPr>
          <w:trHeight w:val="250"/>
        </w:trPr>
        <w:tc>
          <w:tcPr>
            <w:tcW w:w="1090" w:type="pct"/>
          </w:tcPr>
          <w:p w:rsidR="00080AA8" w:rsidRDefault="001C3F60" w:rsidP="00AF5D62">
            <w:pPr>
              <w:pStyle w:val="Textpoznpodarou"/>
              <w:rPr>
                <w:color w:val="000000"/>
                <w:sz w:val="16"/>
                <w:szCs w:val="16"/>
                <w:lang w:val="en-GB"/>
              </w:rPr>
            </w:pPr>
            <w:r w:rsidRPr="00F43D2E">
              <w:rPr>
                <w:color w:val="000000"/>
                <w:sz w:val="16"/>
                <w:szCs w:val="16"/>
                <w:lang w:val="en-GB"/>
              </w:rPr>
              <w:t>Year-on-yea</w:t>
            </w:r>
            <w:r w:rsidR="0049438A" w:rsidRPr="00F43D2E">
              <w:rPr>
                <w:color w:val="000000"/>
                <w:sz w:val="16"/>
                <w:szCs w:val="16"/>
                <w:lang w:val="en-GB"/>
              </w:rPr>
              <w:t>r</w:t>
            </w:r>
            <w:r w:rsidRPr="00F43D2E">
              <w:rPr>
                <w:color w:val="000000"/>
                <w:sz w:val="16"/>
                <w:szCs w:val="16"/>
                <w:lang w:val="en-GB"/>
              </w:rPr>
              <w:t xml:space="preserve"> growth of the retail sales (adjusted for calend</w:t>
            </w:r>
            <w:r w:rsidR="004627A6">
              <w:rPr>
                <w:color w:val="000000"/>
                <w:sz w:val="16"/>
                <w:szCs w:val="16"/>
                <w:lang w:val="en-GB"/>
              </w:rPr>
              <w:t xml:space="preserve">ar effects) </w:t>
            </w:r>
            <w:r w:rsidR="005C74F2">
              <w:rPr>
                <w:color w:val="000000"/>
                <w:sz w:val="16"/>
                <w:szCs w:val="16"/>
                <w:lang w:val="en-GB"/>
              </w:rPr>
              <w:t xml:space="preserve">have </w:t>
            </w:r>
            <w:r w:rsidR="004627A6">
              <w:rPr>
                <w:color w:val="000000"/>
                <w:sz w:val="16"/>
                <w:szCs w:val="16"/>
                <w:lang w:val="en-GB"/>
              </w:rPr>
              <w:t>oscillated around 6</w:t>
            </w:r>
            <w:r w:rsidRPr="00F43D2E">
              <w:rPr>
                <w:color w:val="000000"/>
                <w:sz w:val="16"/>
                <w:szCs w:val="16"/>
                <w:lang w:val="en-GB"/>
              </w:rPr>
              <w:t>% already six quarters in a row</w:t>
            </w: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Pr="00540CD4" w:rsidRDefault="00540CD4" w:rsidP="00AF5D62">
            <w:pPr>
              <w:pStyle w:val="Textpoznpodarou"/>
              <w:rPr>
                <w:color w:val="000000"/>
                <w:sz w:val="16"/>
                <w:szCs w:val="16"/>
                <w:lang w:val="en-GB"/>
              </w:rPr>
            </w:pPr>
            <w:r w:rsidRPr="00540CD4">
              <w:rPr>
                <w:color w:val="000000"/>
                <w:sz w:val="16"/>
                <w:szCs w:val="16"/>
                <w:lang w:val="en-GB"/>
              </w:rPr>
              <w:t>Among the specialised shops the sales increased the most for the products for cultural and recreational goods as wel</w:t>
            </w:r>
            <w:r>
              <w:rPr>
                <w:color w:val="000000"/>
                <w:sz w:val="16"/>
                <w:szCs w:val="16"/>
                <w:lang w:val="en-GB"/>
              </w:rPr>
              <w:t>l</w:t>
            </w:r>
            <w:r w:rsidRPr="00540CD4">
              <w:rPr>
                <w:color w:val="000000"/>
                <w:sz w:val="16"/>
                <w:szCs w:val="16"/>
                <w:lang w:val="en-GB"/>
              </w:rPr>
              <w:t xml:space="preserve"> as for the products predominantly for household in H1</w:t>
            </w: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Default="00540CD4" w:rsidP="00AF5D62">
            <w:pPr>
              <w:pStyle w:val="Textpoznpodarou"/>
              <w:rPr>
                <w:color w:val="000000"/>
                <w:sz w:val="16"/>
                <w:szCs w:val="16"/>
                <w:lang w:val="en-GB"/>
              </w:rPr>
            </w:pPr>
          </w:p>
          <w:p w:rsidR="00540CD4" w:rsidRPr="00540CD4" w:rsidRDefault="00540CD4" w:rsidP="00AF5D62">
            <w:pPr>
              <w:pStyle w:val="Textpoznpodarou"/>
              <w:rPr>
                <w:color w:val="000000"/>
                <w:sz w:val="10"/>
                <w:szCs w:val="10"/>
                <w:lang w:val="en-GB"/>
              </w:rPr>
            </w:pPr>
          </w:p>
          <w:p w:rsidR="00540CD4" w:rsidRDefault="00540CD4" w:rsidP="00AF5D62">
            <w:pPr>
              <w:pStyle w:val="Textpoznpodarou"/>
              <w:rPr>
                <w:color w:val="000000"/>
                <w:sz w:val="16"/>
                <w:szCs w:val="16"/>
                <w:lang w:val="en-GB"/>
              </w:rPr>
            </w:pPr>
          </w:p>
          <w:p w:rsidR="00540CD4" w:rsidRPr="00F43D2E" w:rsidRDefault="00540CD4" w:rsidP="00AF5D62">
            <w:pPr>
              <w:pStyle w:val="Textpoznpodarou"/>
              <w:rPr>
                <w:color w:val="000000" w:themeColor="text1"/>
                <w:spacing w:val="-4"/>
                <w:sz w:val="16"/>
                <w:szCs w:val="16"/>
                <w:lang w:val="en-GB"/>
              </w:rPr>
            </w:pPr>
            <w:r>
              <w:rPr>
                <w:color w:val="000000"/>
                <w:sz w:val="16"/>
                <w:szCs w:val="16"/>
                <w:lang w:val="en-GB"/>
              </w:rPr>
              <w:t xml:space="preserve">Favourable prices of automotive fuels are mirrored in growing sales at </w:t>
            </w:r>
            <w:r>
              <w:rPr>
                <w:color w:val="000000"/>
                <w:sz w:val="16"/>
                <w:szCs w:val="16"/>
                <w:lang w:val="en-GB"/>
              </w:rPr>
              <w:lastRenderedPageBreak/>
              <w:t>petrol stations</w:t>
            </w:r>
          </w:p>
        </w:tc>
        <w:tc>
          <w:tcPr>
            <w:tcW w:w="145" w:type="pct"/>
          </w:tcPr>
          <w:p w:rsidR="00080AA8" w:rsidRPr="00F43D2E" w:rsidRDefault="00080AA8" w:rsidP="00AF5D62">
            <w:pPr>
              <w:pStyle w:val="Textpoznpodarou"/>
              <w:jc w:val="both"/>
              <w:rPr>
                <w:color w:val="000000" w:themeColor="text1"/>
                <w:spacing w:val="-2"/>
                <w:lang w:val="en-GB"/>
              </w:rPr>
            </w:pPr>
          </w:p>
        </w:tc>
        <w:tc>
          <w:tcPr>
            <w:tcW w:w="3765" w:type="pct"/>
          </w:tcPr>
          <w:p w:rsidR="003E0E1D" w:rsidRDefault="001C3F60" w:rsidP="00AF5D62">
            <w:pPr>
              <w:spacing w:line="240" w:lineRule="auto"/>
              <w:jc w:val="both"/>
              <w:rPr>
                <w:color w:val="000000"/>
                <w:lang w:val="en-GB"/>
              </w:rPr>
            </w:pPr>
            <w:r w:rsidRPr="00F43D2E">
              <w:rPr>
                <w:color w:val="000000"/>
                <w:lang w:val="en-GB"/>
              </w:rPr>
              <w:t xml:space="preserve">Retail sales (without the </w:t>
            </w:r>
            <w:proofErr w:type="spellStart"/>
            <w:r w:rsidR="004627A6">
              <w:rPr>
                <w:color w:val="000000"/>
                <w:lang w:val="en-GB"/>
              </w:rPr>
              <w:t>motoristic</w:t>
            </w:r>
            <w:proofErr w:type="spellEnd"/>
            <w:r w:rsidR="004627A6">
              <w:rPr>
                <w:color w:val="000000"/>
                <w:lang w:val="en-GB"/>
              </w:rPr>
              <w:t xml:space="preserve"> segment) grew by 6.7% in H1 (by 5.6</w:t>
            </w:r>
            <w:r w:rsidRPr="00F43D2E">
              <w:rPr>
                <w:color w:val="000000"/>
                <w:lang w:val="en-GB"/>
              </w:rPr>
              <w:t>% after a</w:t>
            </w:r>
            <w:r w:rsidR="003E0E1D">
              <w:rPr>
                <w:color w:val="000000"/>
                <w:lang w:val="en-GB"/>
              </w:rPr>
              <w:t>djustment for calendar effects). T</w:t>
            </w:r>
            <w:r w:rsidRPr="00F43D2E">
              <w:rPr>
                <w:color w:val="000000"/>
                <w:lang w:val="en-GB"/>
              </w:rPr>
              <w:t>hey were reflecting the growing incomes of households associated with their still improving position on the labour market. Simultaneously, the optimistic consumer confidence was strengthening. The seasonally adjusted balance of confidence attained the highest value in the history of monitoring at the beginning of the year (+7.5 points)</w:t>
            </w:r>
            <w:proofErr w:type="gramStart"/>
            <w:r w:rsidRPr="00F43D2E">
              <w:rPr>
                <w:color w:val="000000"/>
                <w:lang w:val="en-GB"/>
              </w:rPr>
              <w:t>,</w:t>
            </w:r>
            <w:proofErr w:type="gramEnd"/>
            <w:r w:rsidRPr="00F43D2E">
              <w:rPr>
                <w:color w:val="000000"/>
                <w:lang w:val="en-GB"/>
              </w:rPr>
              <w:t xml:space="preserve"> it was staying in the positive values even in the following months. </w:t>
            </w:r>
          </w:p>
          <w:p w:rsidR="003E0E1D" w:rsidRPr="003E0E1D" w:rsidRDefault="003E0E1D" w:rsidP="00AF5D62">
            <w:pPr>
              <w:spacing w:line="240" w:lineRule="auto"/>
              <w:jc w:val="both"/>
              <w:rPr>
                <w:color w:val="000000"/>
                <w:sz w:val="16"/>
                <w:szCs w:val="16"/>
                <w:lang w:val="en-GB"/>
              </w:rPr>
            </w:pPr>
          </w:p>
          <w:p w:rsidR="00540CD4" w:rsidRDefault="001C3F60" w:rsidP="00AF5D62">
            <w:pPr>
              <w:spacing w:line="240" w:lineRule="auto"/>
              <w:jc w:val="both"/>
              <w:rPr>
                <w:color w:val="000000"/>
                <w:lang w:val="en-GB"/>
              </w:rPr>
            </w:pPr>
            <w:r w:rsidRPr="00F43D2E">
              <w:rPr>
                <w:color w:val="000000"/>
                <w:lang w:val="en-GB"/>
              </w:rPr>
              <w:t>The sale of non-food goods traditionally contributed the most to the growth of</w:t>
            </w:r>
            <w:r w:rsidR="004627A6">
              <w:rPr>
                <w:color w:val="000000"/>
                <w:lang w:val="en-GB"/>
              </w:rPr>
              <w:t xml:space="preserve"> </w:t>
            </w:r>
            <w:r w:rsidR="003E0E1D">
              <w:rPr>
                <w:color w:val="000000"/>
                <w:lang w:val="en-GB"/>
              </w:rPr>
              <w:t xml:space="preserve">the whole </w:t>
            </w:r>
            <w:r w:rsidR="004627A6">
              <w:rPr>
                <w:color w:val="000000"/>
                <w:lang w:val="en-GB"/>
              </w:rPr>
              <w:t>retail (with sales growth of 7</w:t>
            </w:r>
            <w:r w:rsidRPr="00F43D2E">
              <w:rPr>
                <w:color w:val="000000"/>
                <w:lang w:val="en-GB"/>
              </w:rPr>
              <w:t xml:space="preserve">%, resp. </w:t>
            </w:r>
            <w:r w:rsidR="004627A6">
              <w:rPr>
                <w:color w:val="000000"/>
                <w:lang w:val="en-GB"/>
              </w:rPr>
              <w:t>5.8</w:t>
            </w:r>
            <w:r w:rsidRPr="00F43D2E">
              <w:rPr>
                <w:color w:val="000000"/>
                <w:lang w:val="en-GB"/>
              </w:rPr>
              <w:t>% after ad</w:t>
            </w:r>
            <w:r w:rsidR="003E0E1D">
              <w:rPr>
                <w:color w:val="000000"/>
                <w:lang w:val="en-GB"/>
              </w:rPr>
              <w:t xml:space="preserve">justment). The sales </w:t>
            </w:r>
            <w:proofErr w:type="gramStart"/>
            <w:r w:rsidR="003E0E1D">
              <w:rPr>
                <w:color w:val="000000"/>
                <w:lang w:val="en-GB"/>
              </w:rPr>
              <w:t xml:space="preserve">of </w:t>
            </w:r>
            <w:r w:rsidRPr="00F43D2E">
              <w:rPr>
                <w:color w:val="000000"/>
                <w:lang w:val="en-GB"/>
              </w:rPr>
              <w:t xml:space="preserve"> food</w:t>
            </w:r>
            <w:proofErr w:type="gramEnd"/>
            <w:r w:rsidR="003E0E1D">
              <w:rPr>
                <w:color w:val="000000"/>
                <w:lang w:val="en-GB"/>
              </w:rPr>
              <w:t xml:space="preserve">, </w:t>
            </w:r>
            <w:r w:rsidR="00540CD4">
              <w:rPr>
                <w:color w:val="000000"/>
                <w:lang w:val="en-GB"/>
              </w:rPr>
              <w:t>bevera</w:t>
            </w:r>
            <w:r w:rsidR="003E0E1D">
              <w:rPr>
                <w:color w:val="000000"/>
                <w:lang w:val="en-GB"/>
              </w:rPr>
              <w:t>ge</w:t>
            </w:r>
            <w:r w:rsidR="00540CD4">
              <w:rPr>
                <w:color w:val="000000"/>
                <w:lang w:val="en-GB"/>
              </w:rPr>
              <w:t xml:space="preserve">s </w:t>
            </w:r>
            <w:r w:rsidR="003E0E1D">
              <w:rPr>
                <w:color w:val="000000"/>
                <w:lang w:val="en-GB"/>
              </w:rPr>
              <w:t>and toba</w:t>
            </w:r>
            <w:r w:rsidR="00540CD4">
              <w:rPr>
                <w:color w:val="000000"/>
                <w:lang w:val="en-GB"/>
              </w:rPr>
              <w:t>c</w:t>
            </w:r>
            <w:r w:rsidR="003E0E1D">
              <w:rPr>
                <w:color w:val="000000"/>
                <w:lang w:val="en-GB"/>
              </w:rPr>
              <w:t>co</w:t>
            </w:r>
            <w:r w:rsidRPr="00F43D2E">
              <w:rPr>
                <w:color w:val="000000"/>
                <w:lang w:val="en-GB"/>
              </w:rPr>
              <w:t xml:space="preserve"> </w:t>
            </w:r>
            <w:r w:rsidR="00540CD4">
              <w:rPr>
                <w:color w:val="000000"/>
                <w:lang w:val="en-GB"/>
              </w:rPr>
              <w:t xml:space="preserve">products </w:t>
            </w:r>
            <w:r w:rsidRPr="00F43D2E">
              <w:rPr>
                <w:color w:val="000000"/>
                <w:lang w:val="en-GB"/>
              </w:rPr>
              <w:t>also ex</w:t>
            </w:r>
            <w:r w:rsidR="004627A6">
              <w:rPr>
                <w:color w:val="000000"/>
                <w:lang w:val="en-GB"/>
              </w:rPr>
              <w:t>panded by a strong pace (by 5.4%, resp. 4.2</w:t>
            </w:r>
            <w:r w:rsidRPr="00F43D2E">
              <w:rPr>
                <w:color w:val="000000"/>
                <w:lang w:val="en-GB"/>
              </w:rPr>
              <w:t>%). Among the specialised shops of the non-food goods, the sales increased the most for the products for cultural and recreational goods in H1 (by 7.7% year- on-year), by a similar pace then also for the products predominantly for household (including e.g. electrical appliances, electronics, furniture, carpets, textile). All other segments of the specialised sales could also profit from the higher sales, including the shops with the computer a</w:t>
            </w:r>
            <w:r w:rsidR="004627A6">
              <w:rPr>
                <w:color w:val="000000"/>
                <w:lang w:val="en-GB"/>
              </w:rPr>
              <w:t>nd communication equipment (1.4</w:t>
            </w:r>
            <w:r w:rsidRPr="00F43D2E">
              <w:rPr>
                <w:color w:val="000000"/>
                <w:lang w:val="en-GB"/>
              </w:rPr>
              <w:t xml:space="preserve">%), which belonged traditionally to the most dynamic in the preceding years. </w:t>
            </w:r>
          </w:p>
          <w:p w:rsidR="00540CD4" w:rsidRPr="00540CD4" w:rsidRDefault="00540CD4" w:rsidP="00AF5D62">
            <w:pPr>
              <w:spacing w:line="240" w:lineRule="auto"/>
              <w:jc w:val="both"/>
              <w:rPr>
                <w:color w:val="000000"/>
                <w:sz w:val="16"/>
                <w:szCs w:val="16"/>
                <w:lang w:val="en-GB"/>
              </w:rPr>
            </w:pPr>
          </w:p>
          <w:p w:rsidR="00080AA8" w:rsidRPr="00540CD4" w:rsidRDefault="00540CD4" w:rsidP="00AF5D62">
            <w:pPr>
              <w:spacing w:line="240" w:lineRule="auto"/>
              <w:jc w:val="both"/>
              <w:rPr>
                <w:color w:val="000000"/>
                <w:lang w:val="en-GB"/>
              </w:rPr>
            </w:pPr>
            <w:r>
              <w:rPr>
                <w:color w:val="000000"/>
                <w:lang w:val="en-GB"/>
              </w:rPr>
              <w:t>Retail sales of the automotive fuel</w:t>
            </w:r>
            <w:r w:rsidR="001C3F60" w:rsidRPr="00F43D2E">
              <w:rPr>
                <w:color w:val="000000"/>
                <w:lang w:val="en-GB"/>
              </w:rPr>
              <w:t>s strengthened by nearly one tenth</w:t>
            </w:r>
            <w:r>
              <w:rPr>
                <w:color w:val="000000"/>
                <w:lang w:val="en-GB"/>
              </w:rPr>
              <w:t xml:space="preserve"> in H1</w:t>
            </w:r>
            <w:r w:rsidR="001C3F60" w:rsidRPr="00F43D2E">
              <w:rPr>
                <w:color w:val="000000"/>
                <w:lang w:val="en-GB"/>
              </w:rPr>
              <w:t>. Demand was stimulated by a low prices of</w:t>
            </w:r>
            <w:r w:rsidR="0049438A" w:rsidRPr="00F43D2E">
              <w:rPr>
                <w:color w:val="000000"/>
                <w:lang w:val="en-GB"/>
              </w:rPr>
              <w:t xml:space="preserve"> fuels </w:t>
            </w:r>
            <w:r w:rsidR="001C3F60" w:rsidRPr="00F43D2E">
              <w:rPr>
                <w:color w:val="000000"/>
                <w:lang w:val="en-GB"/>
              </w:rPr>
              <w:t xml:space="preserve">(favourable when compared with </w:t>
            </w:r>
            <w:r w:rsidR="001C3F60" w:rsidRPr="00F43D2E">
              <w:rPr>
                <w:color w:val="000000"/>
                <w:lang w:val="en-GB"/>
              </w:rPr>
              <w:lastRenderedPageBreak/>
              <w:t>the neighbouring states as well), partially also by the higher transportation requirements connected to th</w:t>
            </w:r>
            <w:r>
              <w:rPr>
                <w:color w:val="000000"/>
                <w:lang w:val="en-GB"/>
              </w:rPr>
              <w:t>e growth of the economy and expand</w:t>
            </w:r>
            <w:r w:rsidR="001C3F60" w:rsidRPr="00F43D2E">
              <w:rPr>
                <w:color w:val="000000"/>
                <w:lang w:val="en-GB"/>
              </w:rPr>
              <w:t>ing foreign trade.</w:t>
            </w:r>
            <w:r w:rsidR="00080AA8" w:rsidRPr="00F43D2E">
              <w:rPr>
                <w:color w:val="000000" w:themeColor="text1"/>
                <w:spacing w:val="-4"/>
                <w:lang w:val="en-GB"/>
              </w:rPr>
              <w:t xml:space="preserve"> </w:t>
            </w:r>
          </w:p>
          <w:p w:rsidR="00080AA8" w:rsidRPr="00F43D2E" w:rsidRDefault="00080AA8" w:rsidP="00AF5D62">
            <w:pPr>
              <w:pStyle w:val="Textpoznpodarou"/>
              <w:jc w:val="both"/>
              <w:rPr>
                <w:color w:val="000000" w:themeColor="text1"/>
                <w:spacing w:val="-2"/>
                <w:sz w:val="14"/>
                <w:szCs w:val="14"/>
                <w:lang w:val="en-GB"/>
              </w:rPr>
            </w:pPr>
          </w:p>
        </w:tc>
      </w:tr>
      <w:tr w:rsidR="00080AA8" w:rsidRPr="00F43D2E" w:rsidTr="00AF5D62">
        <w:trPr>
          <w:cantSplit/>
          <w:trHeight w:val="250"/>
        </w:trPr>
        <w:tc>
          <w:tcPr>
            <w:tcW w:w="1090" w:type="pct"/>
          </w:tcPr>
          <w:p w:rsidR="00080AA8" w:rsidRPr="00F43D2E" w:rsidRDefault="001C3F60" w:rsidP="001C3F60">
            <w:pPr>
              <w:spacing w:line="240" w:lineRule="auto"/>
              <w:rPr>
                <w:sz w:val="16"/>
                <w:szCs w:val="16"/>
                <w:lang w:val="en-GB"/>
              </w:rPr>
            </w:pPr>
            <w:r w:rsidRPr="00F43D2E">
              <w:rPr>
                <w:color w:val="000000"/>
                <w:sz w:val="16"/>
                <w:szCs w:val="16"/>
                <w:lang w:val="en-GB"/>
              </w:rPr>
              <w:lastRenderedPageBreak/>
              <w:t xml:space="preserve">Year-on-year growth of the retail sales in the CR was the highest among the central European countries in H1 </w:t>
            </w:r>
          </w:p>
        </w:tc>
        <w:tc>
          <w:tcPr>
            <w:tcW w:w="145" w:type="pct"/>
          </w:tcPr>
          <w:p w:rsidR="00080AA8" w:rsidRPr="00F43D2E" w:rsidRDefault="00080AA8" w:rsidP="00AF5D62">
            <w:pPr>
              <w:pStyle w:val="Textpoznpodarou"/>
              <w:jc w:val="both"/>
              <w:rPr>
                <w:spacing w:val="-2"/>
                <w:lang w:val="en-GB"/>
              </w:rPr>
            </w:pPr>
          </w:p>
        </w:tc>
        <w:tc>
          <w:tcPr>
            <w:tcW w:w="3765" w:type="pct"/>
          </w:tcPr>
          <w:p w:rsidR="00080AA8" w:rsidRPr="00F43D2E" w:rsidRDefault="001C3F60" w:rsidP="00436227">
            <w:pPr>
              <w:pStyle w:val="Textpoznpodarou"/>
              <w:jc w:val="both"/>
              <w:rPr>
                <w:spacing w:val="-4"/>
                <w:lang w:val="en-GB"/>
              </w:rPr>
            </w:pPr>
            <w:r w:rsidRPr="00F43D2E">
              <w:rPr>
                <w:color w:val="000000"/>
                <w:lang w:val="en-GB"/>
              </w:rPr>
              <w:t>Retail sales</w:t>
            </w:r>
            <w:bookmarkStart w:id="9" w:name="_ftnref17"/>
            <w:r w:rsidR="009A3030" w:rsidRPr="00F43D2E">
              <w:rPr>
                <w:rStyle w:val="Znakapoznpodarou"/>
                <w:color w:val="000000" w:themeColor="text1"/>
                <w:spacing w:val="-4"/>
                <w:lang w:val="en-GB"/>
              </w:rPr>
              <w:footnoteReference w:id="11"/>
            </w:r>
            <w:bookmarkEnd w:id="9"/>
            <w:r w:rsidRPr="00F43D2E">
              <w:rPr>
                <w:color w:val="000000"/>
                <w:lang w:val="en-GB"/>
              </w:rPr>
              <w:t xml:space="preserve"> grew by </w:t>
            </w:r>
            <w:r w:rsidR="00436227">
              <w:rPr>
                <w:color w:val="000000"/>
                <w:lang w:val="en-GB"/>
              </w:rPr>
              <w:t>double pace</w:t>
            </w:r>
            <w:r w:rsidRPr="00F43D2E">
              <w:rPr>
                <w:color w:val="000000"/>
                <w:lang w:val="en-GB"/>
              </w:rPr>
              <w:t xml:space="preserve"> in th</w:t>
            </w:r>
            <w:r w:rsidR="004627A6">
              <w:rPr>
                <w:color w:val="000000"/>
                <w:lang w:val="en-GB"/>
              </w:rPr>
              <w:t>e CR as opposed to the EU (+2.7</w:t>
            </w:r>
            <w:r w:rsidRPr="00F43D2E">
              <w:rPr>
                <w:color w:val="000000"/>
                <w:lang w:val="en-GB"/>
              </w:rPr>
              <w:t>%), the fastest from the countries of central Europe. Romania recorded a double digit growth, the year-on-year</w:t>
            </w:r>
            <w:r w:rsidR="00436227">
              <w:rPr>
                <w:color w:val="000000"/>
                <w:lang w:val="en-GB"/>
              </w:rPr>
              <w:t>.</w:t>
            </w:r>
            <w:r w:rsidRPr="00F43D2E">
              <w:rPr>
                <w:color w:val="000000"/>
                <w:lang w:val="en-GB"/>
              </w:rPr>
              <w:t xml:space="preserve"> </w:t>
            </w:r>
            <w:r w:rsidR="00436227">
              <w:rPr>
                <w:color w:val="000000"/>
                <w:lang w:val="en-GB"/>
              </w:rPr>
              <w:t xml:space="preserve">On the contrary, </w:t>
            </w:r>
            <w:r w:rsidR="004627A6">
              <w:rPr>
                <w:color w:val="000000"/>
                <w:lang w:val="en-GB"/>
              </w:rPr>
              <w:t xml:space="preserve">decline </w:t>
            </w:r>
            <w:r w:rsidR="00436227">
              <w:rPr>
                <w:color w:val="000000"/>
                <w:lang w:val="en-GB"/>
              </w:rPr>
              <w:t>occurred</w:t>
            </w:r>
            <w:r w:rsidR="004627A6">
              <w:rPr>
                <w:color w:val="000000"/>
                <w:lang w:val="en-GB"/>
              </w:rPr>
              <w:t xml:space="preserve"> only </w:t>
            </w:r>
            <w:r w:rsidR="00436227">
              <w:rPr>
                <w:color w:val="000000"/>
                <w:lang w:val="en-GB"/>
              </w:rPr>
              <w:t xml:space="preserve">in </w:t>
            </w:r>
            <w:r w:rsidR="004627A6">
              <w:rPr>
                <w:color w:val="000000"/>
                <w:lang w:val="en-GB"/>
              </w:rPr>
              <w:t>Belgium (-2.4%) and Greece (-3.7</w:t>
            </w:r>
            <w:r w:rsidRPr="00F43D2E">
              <w:rPr>
                <w:color w:val="000000"/>
                <w:lang w:val="en-GB"/>
              </w:rPr>
              <w:t>%). The growth rates of</w:t>
            </w:r>
            <w:r w:rsidR="00436227">
              <w:rPr>
                <w:color w:val="000000"/>
                <w:lang w:val="en-GB"/>
              </w:rPr>
              <w:t xml:space="preserve"> sales from the sale of food as well as</w:t>
            </w:r>
            <w:r w:rsidRPr="00F43D2E">
              <w:rPr>
                <w:color w:val="000000"/>
                <w:lang w:val="en-GB"/>
              </w:rPr>
              <w:t xml:space="preserve"> </w:t>
            </w:r>
            <w:r w:rsidR="00436227">
              <w:rPr>
                <w:color w:val="000000"/>
                <w:lang w:val="en-GB"/>
              </w:rPr>
              <w:t xml:space="preserve">automotive </w:t>
            </w:r>
            <w:r w:rsidRPr="00F43D2E">
              <w:rPr>
                <w:color w:val="000000"/>
                <w:lang w:val="en-GB"/>
              </w:rPr>
              <w:t>fuels placed the Czech Republic similarly to the sixth best position</w:t>
            </w:r>
            <w:r w:rsidR="00436227">
              <w:rPr>
                <w:color w:val="000000"/>
                <w:lang w:val="en-GB"/>
              </w:rPr>
              <w:t xml:space="preserve"> in EU</w:t>
            </w:r>
            <w:r w:rsidRPr="00F43D2E">
              <w:rPr>
                <w:color w:val="000000"/>
                <w:lang w:val="en-GB"/>
              </w:rPr>
              <w:t xml:space="preserve">, in case of non-food goods outside the first ten (mainly the majority of newer member states of the EU achieved a stronger growth – including Slovenia, Poland or Hungary). </w:t>
            </w:r>
            <w:r w:rsidR="00080AA8" w:rsidRPr="00F43D2E">
              <w:rPr>
                <w:color w:val="000000" w:themeColor="text1"/>
                <w:spacing w:val="-4"/>
                <w:lang w:val="en-GB"/>
              </w:rPr>
              <w:t xml:space="preserve">  </w:t>
            </w:r>
          </w:p>
        </w:tc>
      </w:tr>
    </w:tbl>
    <w:p w:rsidR="00540CD4" w:rsidRPr="00540CD4" w:rsidRDefault="00540CD4" w:rsidP="00080AA8">
      <w:pPr>
        <w:pStyle w:val="Textpoznpodarou"/>
        <w:jc w:val="both"/>
        <w:rPr>
          <w:lang w:val="en-GB"/>
        </w:rPr>
      </w:pPr>
    </w:p>
    <w:tbl>
      <w:tblPr>
        <w:tblW w:w="5059" w:type="pct"/>
        <w:tblLayout w:type="fixed"/>
        <w:tblCellMar>
          <w:left w:w="28" w:type="dxa"/>
          <w:right w:w="28" w:type="dxa"/>
        </w:tblCellMar>
        <w:tblLook w:val="04A0"/>
      </w:tblPr>
      <w:tblGrid>
        <w:gridCol w:w="735"/>
        <w:gridCol w:w="4180"/>
        <w:gridCol w:w="783"/>
        <w:gridCol w:w="4110"/>
      </w:tblGrid>
      <w:tr w:rsidR="00902D09" w:rsidRPr="00F43D2E" w:rsidTr="000F40CD">
        <w:tc>
          <w:tcPr>
            <w:tcW w:w="375" w:type="pct"/>
          </w:tcPr>
          <w:p w:rsidR="00E369B9" w:rsidRDefault="00902D09" w:rsidP="000F40CD">
            <w:pPr>
              <w:spacing w:line="240" w:lineRule="auto"/>
              <w:rPr>
                <w:lang w:val="en-GB"/>
              </w:rPr>
            </w:pPr>
            <w:r w:rsidRPr="00F43D2E">
              <w:rPr>
                <w:lang w:val="en-GB"/>
              </w:rPr>
              <w:t xml:space="preserve">Chart </w:t>
            </w:r>
          </w:p>
          <w:p w:rsidR="00902D09" w:rsidRPr="00F43D2E" w:rsidRDefault="00902D09" w:rsidP="000F40CD">
            <w:pPr>
              <w:spacing w:line="240" w:lineRule="auto"/>
              <w:rPr>
                <w:lang w:val="en-GB"/>
              </w:rPr>
            </w:pPr>
            <w:r w:rsidRPr="00F43D2E">
              <w:rPr>
                <w:lang w:val="en-GB"/>
              </w:rPr>
              <w:t>5</w:t>
            </w:r>
          </w:p>
        </w:tc>
        <w:tc>
          <w:tcPr>
            <w:tcW w:w="2131" w:type="pct"/>
          </w:tcPr>
          <w:p w:rsidR="00902D09" w:rsidRPr="00F43D2E" w:rsidRDefault="00902D09" w:rsidP="000F40CD">
            <w:pPr>
              <w:pStyle w:val="Textpoznpodarou"/>
              <w:rPr>
                <w:b/>
                <w:lang w:val="en-GB"/>
              </w:rPr>
            </w:pPr>
            <w:r w:rsidRPr="00F43D2E">
              <w:rPr>
                <w:b/>
                <w:lang w:val="en-GB"/>
              </w:rPr>
              <w:t xml:space="preserve">Production in industry and selected manufacturing branches </w:t>
            </w:r>
            <w:r w:rsidRPr="00F43D2E">
              <w:rPr>
                <w:lang w:val="en-GB"/>
              </w:rPr>
              <w:t>(real, y/y, adjusted for calendar effects, in %)</w:t>
            </w:r>
          </w:p>
        </w:tc>
        <w:tc>
          <w:tcPr>
            <w:tcW w:w="399" w:type="pct"/>
          </w:tcPr>
          <w:p w:rsidR="00E369B9" w:rsidRDefault="00902D09" w:rsidP="000F40CD">
            <w:pPr>
              <w:spacing w:line="240" w:lineRule="auto"/>
              <w:rPr>
                <w:lang w:val="en-GB"/>
              </w:rPr>
            </w:pPr>
            <w:r w:rsidRPr="00F43D2E">
              <w:rPr>
                <w:lang w:val="en-GB"/>
              </w:rPr>
              <w:t xml:space="preserve">Chart </w:t>
            </w:r>
          </w:p>
          <w:p w:rsidR="00902D09" w:rsidRPr="00F43D2E" w:rsidRDefault="00902D09" w:rsidP="000F40CD">
            <w:pPr>
              <w:spacing w:line="240" w:lineRule="auto"/>
              <w:rPr>
                <w:lang w:val="en-GB"/>
              </w:rPr>
            </w:pPr>
            <w:r w:rsidRPr="00F43D2E">
              <w:rPr>
                <w:lang w:val="en-GB"/>
              </w:rPr>
              <w:t>6</w:t>
            </w:r>
          </w:p>
        </w:tc>
        <w:tc>
          <w:tcPr>
            <w:tcW w:w="2095" w:type="pct"/>
          </w:tcPr>
          <w:p w:rsidR="00902D09" w:rsidRPr="00F43D2E" w:rsidRDefault="00902D09" w:rsidP="000F40CD">
            <w:pPr>
              <w:spacing w:line="240" w:lineRule="auto"/>
              <w:rPr>
                <w:b/>
                <w:lang w:val="en-GB"/>
              </w:rPr>
            </w:pPr>
            <w:r w:rsidRPr="00F43D2E">
              <w:rPr>
                <w:b/>
                <w:spacing w:val="-2"/>
                <w:lang w:val="en-GB"/>
              </w:rPr>
              <w:t>New orders in manufacture of motor vehicles, industry in total</w:t>
            </w:r>
            <w:r w:rsidRPr="00F43D2E">
              <w:rPr>
                <w:b/>
                <w:lang w:val="en-GB"/>
              </w:rPr>
              <w:t xml:space="preserve"> </w:t>
            </w:r>
            <w:r w:rsidRPr="00F43D2E">
              <w:rPr>
                <w:bCs/>
                <w:lang w:val="en-GB"/>
              </w:rPr>
              <w:t>(cur</w:t>
            </w:r>
            <w:r>
              <w:rPr>
                <w:bCs/>
                <w:lang w:val="en-GB"/>
              </w:rPr>
              <w:t xml:space="preserve">rent </w:t>
            </w:r>
            <w:r w:rsidRPr="00F43D2E">
              <w:rPr>
                <w:bCs/>
                <w:lang w:val="en-GB"/>
              </w:rPr>
              <w:t>p</w:t>
            </w:r>
            <w:r>
              <w:rPr>
                <w:bCs/>
                <w:lang w:val="en-GB"/>
              </w:rPr>
              <w:t>rices</w:t>
            </w:r>
            <w:r w:rsidRPr="00F43D2E">
              <w:rPr>
                <w:bCs/>
                <w:lang w:val="en-GB"/>
              </w:rPr>
              <w:t xml:space="preserve">., y/y in %) </w:t>
            </w:r>
            <w:r w:rsidRPr="00F43D2E">
              <w:rPr>
                <w:lang w:val="en-GB"/>
              </w:rPr>
              <w:t>and</w:t>
            </w:r>
            <w:r w:rsidRPr="00F43D2E">
              <w:rPr>
                <w:b/>
                <w:lang w:val="en-GB"/>
              </w:rPr>
              <w:t xml:space="preserve"> balance of confidence indicator in industry</w:t>
            </w:r>
            <w:r w:rsidRPr="00F43D2E">
              <w:rPr>
                <w:lang w:val="en-GB"/>
              </w:rPr>
              <w:t xml:space="preserve"> (right axis)</w:t>
            </w:r>
          </w:p>
        </w:tc>
      </w:tr>
      <w:tr w:rsidR="00902D09" w:rsidTr="000F40CD">
        <w:tc>
          <w:tcPr>
            <w:tcW w:w="2506" w:type="pct"/>
            <w:gridSpan w:val="2"/>
          </w:tcPr>
          <w:p w:rsidR="00902D09" w:rsidRPr="00D07B05" w:rsidRDefault="008437F0" w:rsidP="000F40CD">
            <w:pPr>
              <w:pStyle w:val="Textpoznpodarou"/>
              <w:jc w:val="both"/>
              <w:rPr>
                <w:sz w:val="6"/>
                <w:szCs w:val="6"/>
              </w:rPr>
            </w:pPr>
            <w:r>
              <w:rPr>
                <w:noProof/>
                <w:sz w:val="6"/>
                <w:szCs w:val="6"/>
              </w:rPr>
              <w:drawing>
                <wp:inline distT="0" distB="0" distL="0" distR="0">
                  <wp:extent cx="3093720" cy="2345690"/>
                  <wp:effectExtent l="19050" t="0" r="0" b="0"/>
                  <wp:docPr id="3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3093720" cy="2345690"/>
                          </a:xfrm>
                          <a:prstGeom prst="rect">
                            <a:avLst/>
                          </a:prstGeom>
                          <a:noFill/>
                          <a:ln w="9525">
                            <a:noFill/>
                            <a:miter lim="800000"/>
                            <a:headEnd/>
                            <a:tailEnd/>
                          </a:ln>
                        </pic:spPr>
                      </pic:pic>
                    </a:graphicData>
                  </a:graphic>
                </wp:inline>
              </w:drawing>
            </w:r>
          </w:p>
        </w:tc>
        <w:tc>
          <w:tcPr>
            <w:tcW w:w="2494" w:type="pct"/>
            <w:gridSpan w:val="2"/>
          </w:tcPr>
          <w:p w:rsidR="00902D09" w:rsidRDefault="008437F0" w:rsidP="000F40CD">
            <w:pPr>
              <w:pStyle w:val="Textpoznpodarou"/>
              <w:jc w:val="both"/>
            </w:pPr>
            <w:r>
              <w:rPr>
                <w:noProof/>
              </w:rPr>
              <w:drawing>
                <wp:inline distT="0" distB="0" distL="0" distR="0">
                  <wp:extent cx="3063875" cy="2345690"/>
                  <wp:effectExtent l="19050" t="0" r="3175" b="0"/>
                  <wp:docPr id="3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063875" cy="2345690"/>
                          </a:xfrm>
                          <a:prstGeom prst="rect">
                            <a:avLst/>
                          </a:prstGeom>
                          <a:noFill/>
                          <a:ln w="9525">
                            <a:noFill/>
                            <a:miter lim="800000"/>
                            <a:headEnd/>
                            <a:tailEnd/>
                          </a:ln>
                        </pic:spPr>
                      </pic:pic>
                    </a:graphicData>
                  </a:graphic>
                </wp:inline>
              </w:drawing>
            </w:r>
          </w:p>
        </w:tc>
      </w:tr>
    </w:tbl>
    <w:p w:rsidR="00902D09" w:rsidRDefault="00902D09" w:rsidP="00902D09">
      <w:pPr>
        <w:pStyle w:val="Textpoznpodarou"/>
        <w:jc w:val="both"/>
        <w:rPr>
          <w:sz w:val="16"/>
          <w:szCs w:val="16"/>
        </w:rPr>
      </w:pPr>
    </w:p>
    <w:tbl>
      <w:tblPr>
        <w:tblW w:w="5059" w:type="pct"/>
        <w:tblLayout w:type="fixed"/>
        <w:tblCellMar>
          <w:left w:w="28" w:type="dxa"/>
          <w:right w:w="28" w:type="dxa"/>
        </w:tblCellMar>
        <w:tblLook w:val="04A0"/>
      </w:tblPr>
      <w:tblGrid>
        <w:gridCol w:w="735"/>
        <w:gridCol w:w="4180"/>
        <w:gridCol w:w="783"/>
        <w:gridCol w:w="4110"/>
      </w:tblGrid>
      <w:tr w:rsidR="00902D09" w:rsidRPr="00F43D2E" w:rsidTr="000F40CD">
        <w:tc>
          <w:tcPr>
            <w:tcW w:w="375" w:type="pct"/>
          </w:tcPr>
          <w:p w:rsidR="00902D09" w:rsidRPr="00F43D2E" w:rsidRDefault="00E369B9" w:rsidP="000F40CD">
            <w:pPr>
              <w:spacing w:line="240" w:lineRule="auto"/>
              <w:rPr>
                <w:lang w:val="en-GB"/>
              </w:rPr>
            </w:pPr>
            <w:r>
              <w:rPr>
                <w:lang w:val="en-GB"/>
              </w:rPr>
              <w:t xml:space="preserve">Chart </w:t>
            </w:r>
            <w:r w:rsidR="00902D09" w:rsidRPr="00F43D2E">
              <w:rPr>
                <w:lang w:val="en-GB"/>
              </w:rPr>
              <w:t xml:space="preserve"> 7</w:t>
            </w:r>
          </w:p>
        </w:tc>
        <w:tc>
          <w:tcPr>
            <w:tcW w:w="2131" w:type="pct"/>
          </w:tcPr>
          <w:p w:rsidR="00902D09" w:rsidRPr="00F43D2E" w:rsidRDefault="00902D09" w:rsidP="000F40CD">
            <w:pPr>
              <w:spacing w:line="240" w:lineRule="auto"/>
              <w:rPr>
                <w:b/>
                <w:lang w:val="en-GB"/>
              </w:rPr>
            </w:pPr>
            <w:r w:rsidRPr="00F43D2E">
              <w:rPr>
                <w:b/>
                <w:lang w:val="en-GB"/>
              </w:rPr>
              <w:t xml:space="preserve">Construction production*, value of new orders </w:t>
            </w:r>
            <w:r w:rsidRPr="00F43D2E">
              <w:rPr>
                <w:bCs/>
                <w:lang w:val="en-GB"/>
              </w:rPr>
              <w:t xml:space="preserve">(y/y in %) </w:t>
            </w:r>
            <w:r w:rsidRPr="00F43D2E">
              <w:rPr>
                <w:b/>
                <w:lang w:val="en-GB"/>
              </w:rPr>
              <w:t xml:space="preserve">and balance of confidence indicator in construction </w:t>
            </w:r>
            <w:r w:rsidRPr="00F43D2E">
              <w:rPr>
                <w:lang w:val="en-GB"/>
              </w:rPr>
              <w:t>(right axis)</w:t>
            </w:r>
          </w:p>
        </w:tc>
        <w:tc>
          <w:tcPr>
            <w:tcW w:w="399" w:type="pct"/>
          </w:tcPr>
          <w:p w:rsidR="00E369B9" w:rsidRDefault="00902D09" w:rsidP="000F40CD">
            <w:pPr>
              <w:spacing w:line="240" w:lineRule="auto"/>
              <w:rPr>
                <w:lang w:val="en-GB"/>
              </w:rPr>
            </w:pPr>
            <w:r w:rsidRPr="00F43D2E">
              <w:rPr>
                <w:lang w:val="en-GB"/>
              </w:rPr>
              <w:t xml:space="preserve">Chart </w:t>
            </w:r>
          </w:p>
          <w:p w:rsidR="00902D09" w:rsidRPr="00F43D2E" w:rsidRDefault="00902D09" w:rsidP="000F40CD">
            <w:pPr>
              <w:spacing w:line="240" w:lineRule="auto"/>
              <w:rPr>
                <w:lang w:val="en-GB"/>
              </w:rPr>
            </w:pPr>
            <w:r w:rsidRPr="00F43D2E">
              <w:rPr>
                <w:lang w:val="en-GB"/>
              </w:rPr>
              <w:t>8</w:t>
            </w:r>
          </w:p>
        </w:tc>
        <w:tc>
          <w:tcPr>
            <w:tcW w:w="2095" w:type="pct"/>
          </w:tcPr>
          <w:p w:rsidR="00902D09" w:rsidRPr="00F43D2E" w:rsidRDefault="00902D09" w:rsidP="000F40CD">
            <w:pPr>
              <w:spacing w:line="240" w:lineRule="auto"/>
              <w:rPr>
                <w:b/>
                <w:spacing w:val="-2"/>
                <w:lang w:val="en-GB"/>
              </w:rPr>
            </w:pPr>
            <w:r w:rsidRPr="00F43D2E">
              <w:rPr>
                <w:b/>
                <w:lang w:val="en-GB"/>
              </w:rPr>
              <w:t>Retail sales incl. motorist segment</w:t>
            </w:r>
            <w:r w:rsidRPr="00F43D2E">
              <w:rPr>
                <w:b/>
                <w:spacing w:val="-2"/>
                <w:lang w:val="en-GB"/>
              </w:rPr>
              <w:t xml:space="preserve">* </w:t>
            </w:r>
            <w:r w:rsidRPr="00F43D2E">
              <w:rPr>
                <w:bCs/>
                <w:spacing w:val="-2"/>
                <w:lang w:val="en-GB"/>
              </w:rPr>
              <w:t xml:space="preserve">(real, y/y in %), </w:t>
            </w:r>
            <w:r w:rsidRPr="00F43D2E">
              <w:rPr>
                <w:b/>
                <w:lang w:val="en-GB"/>
              </w:rPr>
              <w:t xml:space="preserve">balance of consumer confidence indicator </w:t>
            </w:r>
            <w:r w:rsidRPr="00F43D2E">
              <w:rPr>
                <w:spacing w:val="-2"/>
                <w:lang w:val="en-GB"/>
              </w:rPr>
              <w:t>(right axis)</w:t>
            </w:r>
          </w:p>
        </w:tc>
      </w:tr>
      <w:tr w:rsidR="00902D09" w:rsidTr="000F40CD">
        <w:tc>
          <w:tcPr>
            <w:tcW w:w="2506" w:type="pct"/>
            <w:gridSpan w:val="2"/>
          </w:tcPr>
          <w:p w:rsidR="00902D09" w:rsidRPr="00B00F42" w:rsidRDefault="008437F0" w:rsidP="000F40CD">
            <w:pPr>
              <w:pStyle w:val="Textpoznpodarou"/>
              <w:jc w:val="both"/>
              <w:rPr>
                <w:sz w:val="6"/>
                <w:szCs w:val="6"/>
              </w:rPr>
            </w:pPr>
            <w:r>
              <w:rPr>
                <w:noProof/>
                <w:sz w:val="6"/>
                <w:szCs w:val="6"/>
              </w:rPr>
              <w:drawing>
                <wp:inline distT="0" distB="0" distL="0" distR="0">
                  <wp:extent cx="3093720" cy="2369185"/>
                  <wp:effectExtent l="19050" t="0" r="0" b="0"/>
                  <wp:docPr id="2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093720" cy="2369185"/>
                          </a:xfrm>
                          <a:prstGeom prst="rect">
                            <a:avLst/>
                          </a:prstGeom>
                          <a:noFill/>
                          <a:ln w="9525">
                            <a:noFill/>
                            <a:miter lim="800000"/>
                            <a:headEnd/>
                            <a:tailEnd/>
                          </a:ln>
                        </pic:spPr>
                      </pic:pic>
                    </a:graphicData>
                  </a:graphic>
                </wp:inline>
              </w:drawing>
            </w:r>
          </w:p>
        </w:tc>
        <w:tc>
          <w:tcPr>
            <w:tcW w:w="2494" w:type="pct"/>
            <w:gridSpan w:val="2"/>
          </w:tcPr>
          <w:p w:rsidR="00902D09" w:rsidRDefault="008437F0" w:rsidP="000F40CD">
            <w:pPr>
              <w:pStyle w:val="Textpoznpodarou"/>
              <w:jc w:val="both"/>
            </w:pPr>
            <w:r>
              <w:rPr>
                <w:noProof/>
              </w:rPr>
              <w:drawing>
                <wp:inline distT="0" distB="0" distL="0" distR="0">
                  <wp:extent cx="3075940" cy="2369185"/>
                  <wp:effectExtent l="19050" t="0" r="0" b="0"/>
                  <wp:docPr id="2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75940" cy="2369185"/>
                          </a:xfrm>
                          <a:prstGeom prst="rect">
                            <a:avLst/>
                          </a:prstGeom>
                          <a:noFill/>
                          <a:ln w="9525">
                            <a:noFill/>
                            <a:miter lim="800000"/>
                            <a:headEnd/>
                            <a:tailEnd/>
                          </a:ln>
                        </pic:spPr>
                      </pic:pic>
                    </a:graphicData>
                  </a:graphic>
                </wp:inline>
              </w:drawing>
            </w:r>
          </w:p>
        </w:tc>
      </w:tr>
      <w:tr w:rsidR="00902D09" w:rsidTr="000F40CD">
        <w:trPr>
          <w:trHeight w:val="58"/>
        </w:trPr>
        <w:tc>
          <w:tcPr>
            <w:tcW w:w="5000" w:type="pct"/>
            <w:gridSpan w:val="4"/>
          </w:tcPr>
          <w:p w:rsidR="00902D09" w:rsidRPr="0024333A" w:rsidRDefault="00902D09" w:rsidP="000F40CD">
            <w:pPr>
              <w:pStyle w:val="Zhlav"/>
              <w:spacing w:line="240" w:lineRule="auto"/>
              <w:rPr>
                <w:rFonts w:ascii="Arial" w:hAnsi="Arial" w:cs="Arial"/>
                <w:sz w:val="18"/>
                <w:szCs w:val="18"/>
                <w:lang w:val="en-GB" w:eastAsia="cs-CZ"/>
              </w:rPr>
            </w:pPr>
            <w:r w:rsidRPr="00F43D2E">
              <w:rPr>
                <w:rFonts w:ascii="Arial" w:hAnsi="Arial" w:cs="Arial"/>
                <w:sz w:val="18"/>
                <w:szCs w:val="18"/>
                <w:lang w:val="en-GB" w:eastAsia="cs-CZ"/>
              </w:rPr>
              <w:t>*adjusted for calendar effects                                                                                                                            Source: CZSO</w:t>
            </w:r>
          </w:p>
        </w:tc>
      </w:tr>
    </w:tbl>
    <w:p w:rsidR="00902D09" w:rsidRPr="000E1EEA" w:rsidRDefault="00902D09" w:rsidP="00902D09">
      <w:pPr>
        <w:pStyle w:val="Textpoznpodarou"/>
        <w:jc w:val="both"/>
        <w:rPr>
          <w:sz w:val="2"/>
          <w:szCs w:val="2"/>
        </w:rPr>
      </w:pPr>
    </w:p>
    <w:p w:rsidR="00902D09" w:rsidRPr="00F43D2E" w:rsidRDefault="00902D09" w:rsidP="00080AA8">
      <w:pPr>
        <w:pStyle w:val="Textpoznpodarou"/>
        <w:jc w:val="both"/>
        <w:rPr>
          <w:sz w:val="16"/>
          <w:szCs w:val="16"/>
          <w:lang w:val="en-GB"/>
        </w:rPr>
      </w:pPr>
    </w:p>
    <w:p w:rsidR="00080AA8" w:rsidRPr="00F43D2E" w:rsidRDefault="00080AA8" w:rsidP="00080AA8">
      <w:pPr>
        <w:pStyle w:val="Textpoznpodarou"/>
        <w:jc w:val="both"/>
        <w:rPr>
          <w:sz w:val="2"/>
          <w:szCs w:val="2"/>
          <w:lang w:val="en-GB"/>
        </w:rPr>
      </w:pPr>
    </w:p>
    <w:p w:rsidR="00ED3A94" w:rsidRPr="00F43D2E" w:rsidRDefault="00ED3A94" w:rsidP="00FE16E6">
      <w:pPr>
        <w:pStyle w:val="Textpoznpodarou"/>
        <w:jc w:val="both"/>
        <w:rPr>
          <w:sz w:val="6"/>
          <w:szCs w:val="6"/>
          <w:lang w:val="en-GB"/>
        </w:rPr>
      </w:pPr>
    </w:p>
    <w:p w:rsidR="00ED3A94" w:rsidRPr="00F43D2E" w:rsidRDefault="00ED3A94" w:rsidP="00FE16E6">
      <w:pPr>
        <w:pStyle w:val="Textpoznpodarou"/>
        <w:jc w:val="both"/>
        <w:rPr>
          <w:sz w:val="2"/>
          <w:szCs w:val="2"/>
          <w:lang w:val="en-GB"/>
        </w:rPr>
      </w:pPr>
    </w:p>
    <w:sectPr w:rsidR="00ED3A94" w:rsidRPr="00F43D2E" w:rsidSect="00D43998">
      <w:headerReference w:type="even" r:id="rId12"/>
      <w:headerReference w:type="default" r:id="rId13"/>
      <w:footerReference w:type="even" r:id="rId14"/>
      <w:footerReference w:type="default" r:id="rId15"/>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A7D" w:rsidRDefault="008E0A7D" w:rsidP="00E71A58">
      <w:r>
        <w:separator/>
      </w:r>
    </w:p>
  </w:endnote>
  <w:endnote w:type="continuationSeparator" w:id="0">
    <w:p w:rsidR="008E0A7D" w:rsidRDefault="008E0A7D"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8437F0"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00FF6A7D" w:rsidRPr="005A21E0">
      <w:rPr>
        <w:rFonts w:ascii="Arial" w:hAnsi="Arial" w:cs="Arial"/>
        <w:sz w:val="16"/>
        <w:szCs w:val="16"/>
      </w:rPr>
      <w:fldChar w:fldCharType="begin"/>
    </w:r>
    <w:r w:rsidRPr="005A21E0">
      <w:rPr>
        <w:rFonts w:ascii="Arial" w:hAnsi="Arial" w:cs="Arial"/>
        <w:sz w:val="16"/>
        <w:szCs w:val="16"/>
      </w:rPr>
      <w:instrText>PAGE   \* MERGEFORMAT</w:instrText>
    </w:r>
    <w:r w:rsidR="00FF6A7D" w:rsidRPr="005A21E0">
      <w:rPr>
        <w:rFonts w:ascii="Arial" w:hAnsi="Arial" w:cs="Arial"/>
        <w:sz w:val="16"/>
        <w:szCs w:val="16"/>
      </w:rPr>
      <w:fldChar w:fldCharType="separate"/>
    </w:r>
    <w:r w:rsidR="00E369B9">
      <w:rPr>
        <w:rFonts w:ascii="Arial" w:hAnsi="Arial" w:cs="Arial"/>
        <w:noProof/>
        <w:sz w:val="16"/>
        <w:szCs w:val="16"/>
      </w:rPr>
      <w:t>2</w:t>
    </w:r>
    <w:r w:rsidR="00FF6A7D"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Default="00667271" w:rsidP="00357449">
    <w:pPr>
      <w:pStyle w:val="Zpat"/>
      <w:tabs>
        <w:tab w:val="clear" w:pos="4536"/>
        <w:tab w:val="clear" w:pos="9072"/>
        <w:tab w:val="left" w:pos="1134"/>
        <w:tab w:val="left" w:pos="1920"/>
        <w:tab w:val="center" w:pos="4820"/>
        <w:tab w:val="right" w:pos="9639"/>
      </w:tabs>
    </w:pPr>
    <w:r w:rsidRPr="00667271">
      <w:rPr>
        <w:noProof/>
        <w:lang w:eastAsia="cs-CZ"/>
      </w:rPr>
      <w:drawing>
        <wp:anchor distT="0" distB="0" distL="114300" distR="114300" simplePos="0" relativeHeight="251662848" behindDoc="0" locked="0" layoutInCell="1" allowOverlap="1">
          <wp:simplePos x="0" y="0"/>
          <wp:positionH relativeFrom="column">
            <wp:posOffset>67504</wp:posOffset>
          </wp:positionH>
          <wp:positionV relativeFrom="paragraph">
            <wp:posOffset>159704</wp:posOffset>
          </wp:positionV>
          <wp:extent cx="687787" cy="201954"/>
          <wp:effectExtent l="19050" t="0" r="0" b="0"/>
          <wp:wrapNone/>
          <wp:docPr id="13"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87787" cy="201954"/>
                  </a:xfrm>
                  <a:prstGeom prst="rect">
                    <a:avLst/>
                  </a:prstGeom>
                  <a:noFill/>
                  <a:ln w="9525">
                    <a:noFill/>
                    <a:miter lim="800000"/>
                    <a:headEnd/>
                    <a:tailEnd/>
                  </a:ln>
                </pic:spPr>
              </pic:pic>
            </a:graphicData>
          </a:graphic>
        </wp:anchor>
      </w:drawing>
    </w:r>
    <w:r w:rsidR="008437F0">
      <w:tab/>
    </w:r>
    <w:r w:rsidR="008437F0">
      <w:tab/>
    </w:r>
    <w:r w:rsidR="008437F0" w:rsidRPr="00DC5B3B">
      <w:t xml:space="preserve">                              </w:t>
    </w:r>
  </w:p>
  <w:p w:rsidR="008437F0" w:rsidRPr="00223E00" w:rsidRDefault="008437F0"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FF6A7D"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FF6A7D" w:rsidRPr="00223E00">
      <w:rPr>
        <w:rFonts w:ascii="Arial" w:hAnsi="Arial" w:cs="Arial"/>
        <w:sz w:val="16"/>
        <w:szCs w:val="16"/>
      </w:rPr>
      <w:fldChar w:fldCharType="separate"/>
    </w:r>
    <w:r w:rsidR="00E369B9">
      <w:rPr>
        <w:rFonts w:ascii="Arial" w:hAnsi="Arial" w:cs="Arial"/>
        <w:noProof/>
        <w:sz w:val="16"/>
        <w:szCs w:val="16"/>
      </w:rPr>
      <w:t>1</w:t>
    </w:r>
    <w:r w:rsidR="00FF6A7D"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A7D" w:rsidRDefault="008E0A7D" w:rsidP="00E71A58">
      <w:r>
        <w:separator/>
      </w:r>
    </w:p>
  </w:footnote>
  <w:footnote w:type="continuationSeparator" w:id="0">
    <w:p w:rsidR="008E0A7D" w:rsidRDefault="008E0A7D" w:rsidP="00E71A58">
      <w:r>
        <w:continuationSeparator/>
      </w:r>
    </w:p>
  </w:footnote>
  <w:footnote w:id="1">
    <w:p w:rsidR="008437F0" w:rsidRPr="00592A9F" w:rsidRDefault="008437F0" w:rsidP="004E4DE8">
      <w:pPr>
        <w:pStyle w:val="Textpoznpodarou"/>
        <w:jc w:val="both"/>
        <w:rPr>
          <w:rFonts w:cs="Arial"/>
          <w:sz w:val="16"/>
          <w:szCs w:val="16"/>
          <w:lang w:val="en-GB"/>
        </w:rPr>
      </w:pPr>
      <w:r w:rsidRPr="001805D6">
        <w:rPr>
          <w:rStyle w:val="Znakapoznpodarou"/>
          <w:rFonts w:cs="Arial"/>
          <w:sz w:val="16"/>
          <w:szCs w:val="16"/>
        </w:rPr>
        <w:footnoteRef/>
      </w:r>
      <w:r w:rsidRPr="001805D6">
        <w:rPr>
          <w:rFonts w:cs="Arial"/>
          <w:sz w:val="16"/>
          <w:szCs w:val="16"/>
        </w:rPr>
        <w:t xml:space="preserve"> </w:t>
      </w:r>
      <w:r w:rsidRPr="00592A9F">
        <w:rPr>
          <w:rFonts w:cs="Arial"/>
          <w:sz w:val="16"/>
          <w:szCs w:val="16"/>
          <w:lang w:val="en-GB"/>
        </w:rPr>
        <w:t xml:space="preserve">Data related to the GVA expressed in constant prices and adjusted for seasonal and calendar effects. </w:t>
      </w:r>
    </w:p>
  </w:footnote>
  <w:footnote w:id="2">
    <w:p w:rsidR="008437F0" w:rsidRPr="00592A9F" w:rsidRDefault="008437F0" w:rsidP="004E4DE8">
      <w:pPr>
        <w:pStyle w:val="Textpoznpodarou"/>
        <w:jc w:val="both"/>
        <w:rPr>
          <w:rFonts w:cs="Arial"/>
          <w:sz w:val="16"/>
          <w:szCs w:val="16"/>
          <w:lang w:val="en-GB"/>
        </w:rPr>
      </w:pPr>
      <w:r w:rsidRPr="00592A9F">
        <w:rPr>
          <w:rStyle w:val="Znakapoznpodarou"/>
          <w:rFonts w:cs="Arial"/>
          <w:sz w:val="16"/>
          <w:szCs w:val="16"/>
          <w:lang w:val="en-GB"/>
        </w:rPr>
        <w:footnoteRef/>
      </w:r>
      <w:r w:rsidRPr="00592A9F">
        <w:rPr>
          <w:rFonts w:cs="Arial"/>
          <w:sz w:val="16"/>
          <w:szCs w:val="16"/>
          <w:lang w:val="en-GB"/>
        </w:rPr>
        <w:t xml:space="preserve"> Unless stated otherwise, data are in the conception of the national accounts adjusted for seasonal effects. </w:t>
      </w:r>
    </w:p>
  </w:footnote>
  <w:footnote w:id="3">
    <w:p w:rsidR="008437F0" w:rsidRPr="00592A9F" w:rsidRDefault="008437F0" w:rsidP="004E4DE8">
      <w:pPr>
        <w:pStyle w:val="Textpoznpodarou"/>
        <w:jc w:val="both"/>
        <w:rPr>
          <w:rFonts w:cs="Arial"/>
          <w:sz w:val="16"/>
          <w:szCs w:val="16"/>
          <w:lang w:val="en-GB"/>
        </w:rPr>
      </w:pPr>
      <w:r w:rsidRPr="00592A9F">
        <w:rPr>
          <w:rStyle w:val="Znakapoznpodarou"/>
          <w:rFonts w:cs="Arial"/>
          <w:sz w:val="16"/>
          <w:szCs w:val="16"/>
          <w:lang w:val="en-GB"/>
        </w:rPr>
        <w:footnoteRef/>
      </w:r>
      <w:r w:rsidRPr="00592A9F">
        <w:rPr>
          <w:rFonts w:cs="Arial"/>
          <w:sz w:val="16"/>
          <w:szCs w:val="16"/>
          <w:lang w:val="en-GB"/>
        </w:rPr>
        <w:t xml:space="preserve"> </w:t>
      </w:r>
      <w:r w:rsidRPr="00592A9F">
        <w:rPr>
          <w:rFonts w:cs="Arial"/>
          <w:color w:val="0D0D0D" w:themeColor="text1" w:themeTint="F2"/>
          <w:spacing w:val="-4"/>
          <w:sz w:val="16"/>
          <w:szCs w:val="16"/>
          <w:lang w:val="en-GB"/>
        </w:rPr>
        <w:t>It is also evident from the fact, that this year's value add</w:t>
      </w:r>
      <w:r>
        <w:rPr>
          <w:rFonts w:cs="Arial"/>
          <w:color w:val="0D0D0D" w:themeColor="text1" w:themeTint="F2"/>
          <w:spacing w:val="-4"/>
          <w:sz w:val="16"/>
          <w:szCs w:val="16"/>
          <w:lang w:val="en-GB"/>
        </w:rPr>
        <w:t>e</w:t>
      </w:r>
      <w:r w:rsidRPr="00592A9F">
        <w:rPr>
          <w:rFonts w:cs="Arial"/>
          <w:color w:val="0D0D0D" w:themeColor="text1" w:themeTint="F2"/>
          <w:spacing w:val="-4"/>
          <w:sz w:val="16"/>
          <w:szCs w:val="16"/>
          <w:lang w:val="en-GB"/>
        </w:rPr>
        <w:t>d in financial and insurance activities was by one quarter higher in comparison to the H1 of the boom year 2008. Only agriculture, forestry and fishing also reached a similar result within the ten main branches</w:t>
      </w:r>
      <w:r w:rsidR="00057C8B">
        <w:rPr>
          <w:rFonts w:cs="Arial"/>
          <w:color w:val="0D0D0D" w:themeColor="text1" w:themeTint="F2"/>
          <w:spacing w:val="-4"/>
          <w:sz w:val="16"/>
          <w:szCs w:val="16"/>
          <w:lang w:val="en-GB"/>
        </w:rPr>
        <w:t xml:space="preserve"> of economy</w:t>
      </w:r>
      <w:r w:rsidRPr="00592A9F">
        <w:rPr>
          <w:rFonts w:cs="Arial"/>
          <w:color w:val="0D0D0D" w:themeColor="text1" w:themeTint="F2"/>
          <w:spacing w:val="-4"/>
          <w:sz w:val="16"/>
          <w:szCs w:val="16"/>
          <w:lang w:val="en-GB"/>
        </w:rPr>
        <w:t>. On the contrary, constructions still lagged 5 % behind this mar</w:t>
      </w:r>
      <w:r w:rsidR="00057C8B">
        <w:rPr>
          <w:rFonts w:cs="Arial"/>
          <w:color w:val="0D0D0D" w:themeColor="text1" w:themeTint="F2"/>
          <w:spacing w:val="-4"/>
          <w:sz w:val="16"/>
          <w:szCs w:val="16"/>
          <w:lang w:val="en-GB"/>
        </w:rPr>
        <w:t>k. The growth of GVA</w:t>
      </w:r>
      <w:r w:rsidRPr="00592A9F">
        <w:rPr>
          <w:rFonts w:cs="Arial"/>
          <w:color w:val="0D0D0D" w:themeColor="text1" w:themeTint="F2"/>
          <w:spacing w:val="-4"/>
          <w:sz w:val="16"/>
          <w:szCs w:val="16"/>
          <w:lang w:val="en-GB"/>
        </w:rPr>
        <w:t xml:space="preserve"> totalled 7.3 % in the whole economy in the last eight years.</w:t>
      </w:r>
    </w:p>
  </w:footnote>
  <w:footnote w:id="4">
    <w:p w:rsidR="008437F0" w:rsidRPr="00E21337" w:rsidRDefault="008437F0" w:rsidP="004E4DE8">
      <w:pPr>
        <w:pStyle w:val="Textpoznpodarou"/>
        <w:jc w:val="both"/>
        <w:rPr>
          <w:rFonts w:cs="Arial"/>
          <w:sz w:val="16"/>
          <w:szCs w:val="16"/>
          <w:lang w:val="en-GB"/>
        </w:rPr>
      </w:pPr>
      <w:r w:rsidRPr="001805D6">
        <w:rPr>
          <w:rStyle w:val="Znakapoznpodarou"/>
          <w:rFonts w:cs="Arial"/>
          <w:sz w:val="16"/>
          <w:szCs w:val="16"/>
        </w:rPr>
        <w:footnoteRef/>
      </w:r>
      <w:r w:rsidRPr="001805D6">
        <w:rPr>
          <w:rFonts w:cs="Arial"/>
          <w:sz w:val="16"/>
          <w:szCs w:val="16"/>
        </w:rPr>
        <w:t xml:space="preserve"> </w:t>
      </w:r>
      <w:proofErr w:type="gramStart"/>
      <w:r w:rsidR="00057C8B">
        <w:rPr>
          <w:rFonts w:cs="Arial"/>
          <w:sz w:val="16"/>
          <w:szCs w:val="16"/>
          <w:lang w:val="en-GB"/>
        </w:rPr>
        <w:t>Consists of</w:t>
      </w:r>
      <w:r w:rsidRPr="00E21337">
        <w:rPr>
          <w:rFonts w:cs="Arial"/>
          <w:sz w:val="16"/>
          <w:szCs w:val="16"/>
          <w:lang w:val="en-GB"/>
        </w:rPr>
        <w:t xml:space="preserve"> branches: public administration and defence; education; health and social work.</w:t>
      </w:r>
      <w:proofErr w:type="gramEnd"/>
    </w:p>
  </w:footnote>
  <w:footnote w:id="5">
    <w:p w:rsidR="008437F0" w:rsidRPr="00E21337" w:rsidRDefault="008437F0" w:rsidP="00480C5D">
      <w:pPr>
        <w:pStyle w:val="Textpoznpodarou"/>
        <w:jc w:val="both"/>
        <w:rPr>
          <w:sz w:val="16"/>
          <w:szCs w:val="16"/>
          <w:lang w:val="en-GB"/>
        </w:rPr>
      </w:pPr>
      <w:r w:rsidRPr="00E21337">
        <w:rPr>
          <w:rStyle w:val="Znakapoznpodarou"/>
          <w:rFonts w:cs="Arial"/>
          <w:sz w:val="16"/>
          <w:szCs w:val="16"/>
          <w:lang w:val="en-GB"/>
        </w:rPr>
        <w:footnoteRef/>
      </w:r>
      <w:r w:rsidRPr="00E21337">
        <w:rPr>
          <w:rFonts w:cs="Arial"/>
          <w:sz w:val="16"/>
          <w:szCs w:val="16"/>
          <w:lang w:val="en-GB"/>
        </w:rPr>
        <w:t xml:space="preserve"> Including branches according to CZ-NACE: B (Mining</w:t>
      </w:r>
      <w:r w:rsidRPr="00E21337">
        <w:rPr>
          <w:sz w:val="16"/>
          <w:szCs w:val="16"/>
          <w:lang w:val="en-GB"/>
        </w:rPr>
        <w:t xml:space="preserve"> and quarrying), C (Manufacturing), D (Energy).</w:t>
      </w:r>
    </w:p>
  </w:footnote>
  <w:footnote w:id="6">
    <w:p w:rsidR="008437F0" w:rsidRPr="00E21337" w:rsidRDefault="008437F0" w:rsidP="00480C5D">
      <w:pPr>
        <w:pStyle w:val="Textpoznpodarou"/>
        <w:jc w:val="both"/>
        <w:rPr>
          <w:spacing w:val="-2"/>
          <w:sz w:val="16"/>
          <w:szCs w:val="16"/>
          <w:lang w:val="en-GB"/>
        </w:rPr>
      </w:pPr>
      <w:r w:rsidRPr="00E21337">
        <w:rPr>
          <w:rStyle w:val="Znakapoznpodarou"/>
          <w:spacing w:val="-2"/>
          <w:sz w:val="16"/>
          <w:szCs w:val="16"/>
          <w:lang w:val="en-GB"/>
        </w:rPr>
        <w:footnoteRef/>
      </w:r>
      <w:r w:rsidRPr="00E21337">
        <w:rPr>
          <w:spacing w:val="-2"/>
          <w:sz w:val="16"/>
          <w:szCs w:val="16"/>
          <w:lang w:val="en-GB"/>
        </w:rPr>
        <w:t xml:space="preserve"> The decline was 34 % in the whole EU, 42 % in Germany, 22 % i</w:t>
      </w:r>
      <w:r w:rsidR="00332214">
        <w:rPr>
          <w:spacing w:val="-2"/>
          <w:sz w:val="16"/>
          <w:szCs w:val="16"/>
          <w:lang w:val="en-GB"/>
        </w:rPr>
        <w:t>n Poland in the last five years</w:t>
      </w:r>
      <w:r w:rsidRPr="00E21337">
        <w:rPr>
          <w:spacing w:val="-2"/>
          <w:sz w:val="16"/>
          <w:szCs w:val="16"/>
          <w:lang w:val="en-GB"/>
        </w:rPr>
        <w:t xml:space="preserve">. Spain and the Great Britain recorded </w:t>
      </w:r>
      <w:r w:rsidR="00332214">
        <w:rPr>
          <w:spacing w:val="-2"/>
          <w:sz w:val="16"/>
          <w:szCs w:val="16"/>
          <w:lang w:val="en-GB"/>
        </w:rPr>
        <w:t>even deeper</w:t>
      </w:r>
      <w:r w:rsidRPr="00E21337">
        <w:rPr>
          <w:spacing w:val="-2"/>
          <w:sz w:val="16"/>
          <w:szCs w:val="16"/>
          <w:lang w:val="en-GB"/>
        </w:rPr>
        <w:t xml:space="preserve"> dow</w:t>
      </w:r>
      <w:r>
        <w:rPr>
          <w:spacing w:val="-2"/>
          <w:sz w:val="16"/>
          <w:szCs w:val="16"/>
          <w:lang w:val="en-GB"/>
        </w:rPr>
        <w:t>n</w:t>
      </w:r>
      <w:r w:rsidRPr="00E21337">
        <w:rPr>
          <w:spacing w:val="-2"/>
          <w:sz w:val="16"/>
          <w:szCs w:val="16"/>
          <w:lang w:val="en-GB"/>
        </w:rPr>
        <w:t>falls of production. The decline was related mainly to the black coal production (by nearly 60 % in the EU15)</w:t>
      </w:r>
      <w:proofErr w:type="gramStart"/>
      <w:r w:rsidRPr="00E21337">
        <w:rPr>
          <w:spacing w:val="-2"/>
          <w:sz w:val="16"/>
          <w:szCs w:val="16"/>
          <w:lang w:val="en-GB"/>
        </w:rPr>
        <w:t>,</w:t>
      </w:r>
      <w:proofErr w:type="gramEnd"/>
      <w:r w:rsidRPr="00E21337">
        <w:rPr>
          <w:spacing w:val="-2"/>
          <w:sz w:val="16"/>
          <w:szCs w:val="16"/>
          <w:lang w:val="en-GB"/>
        </w:rPr>
        <w:t xml:space="preserve"> the reductions were milder for the brown coal (by 8 %). </w:t>
      </w:r>
    </w:p>
  </w:footnote>
  <w:footnote w:id="7">
    <w:p w:rsidR="008437F0" w:rsidRPr="00E21337" w:rsidRDefault="008437F0" w:rsidP="00480C5D">
      <w:pPr>
        <w:pStyle w:val="Textpoznpodarou"/>
        <w:jc w:val="both"/>
        <w:rPr>
          <w:spacing w:val="-4"/>
          <w:sz w:val="16"/>
          <w:szCs w:val="16"/>
          <w:lang w:val="en-GB"/>
        </w:rPr>
      </w:pPr>
      <w:r w:rsidRPr="00E21337">
        <w:rPr>
          <w:rStyle w:val="Znakapoznpodarou"/>
          <w:spacing w:val="-4"/>
          <w:sz w:val="16"/>
          <w:szCs w:val="16"/>
          <w:lang w:val="en-GB"/>
        </w:rPr>
        <w:footnoteRef/>
      </w:r>
      <w:r w:rsidRPr="00E21337">
        <w:rPr>
          <w:spacing w:val="-4"/>
          <w:sz w:val="16"/>
          <w:szCs w:val="16"/>
          <w:lang w:val="en-GB"/>
        </w:rPr>
        <w:t xml:space="preserve"> It represented the fifth highest rate of growth within the assessed EU countries (without Slovakia, Slovenia). Only Hungary achieved a better result among the </w:t>
      </w:r>
      <w:proofErr w:type="gramStart"/>
      <w:r w:rsidRPr="00E21337">
        <w:rPr>
          <w:spacing w:val="-4"/>
          <w:sz w:val="16"/>
          <w:szCs w:val="16"/>
          <w:lang w:val="en-GB"/>
        </w:rPr>
        <w:t>countries, that</w:t>
      </w:r>
      <w:proofErr w:type="gramEnd"/>
      <w:r w:rsidRPr="00E21337">
        <w:rPr>
          <w:spacing w:val="-4"/>
          <w:sz w:val="16"/>
          <w:szCs w:val="16"/>
          <w:lang w:val="en-GB"/>
        </w:rPr>
        <w:t xml:space="preserve"> are significant producers of motor vehicles (56 %). The production was higher only by 12 % in the main manufacturing country - Germany, by 23 % in the whole EU.</w:t>
      </w:r>
    </w:p>
  </w:footnote>
  <w:footnote w:id="8">
    <w:p w:rsidR="008437F0" w:rsidRPr="00E21337" w:rsidRDefault="008437F0" w:rsidP="00480C5D">
      <w:pPr>
        <w:pStyle w:val="Textpoznpodarou"/>
        <w:jc w:val="both"/>
        <w:rPr>
          <w:sz w:val="16"/>
          <w:szCs w:val="16"/>
          <w:lang w:val="en-GB"/>
        </w:rPr>
      </w:pPr>
      <w:r w:rsidRPr="00E21337">
        <w:rPr>
          <w:rStyle w:val="Znakapoznpodarou"/>
          <w:sz w:val="16"/>
          <w:szCs w:val="16"/>
          <w:lang w:val="en-GB"/>
        </w:rPr>
        <w:footnoteRef/>
      </w:r>
      <w:r w:rsidRPr="00E21337">
        <w:rPr>
          <w:sz w:val="16"/>
          <w:szCs w:val="16"/>
          <w:lang w:val="en-GB"/>
        </w:rPr>
        <w:t xml:space="preserve"> </w:t>
      </w:r>
      <w:proofErr w:type="gramStart"/>
      <w:r>
        <w:rPr>
          <w:sz w:val="16"/>
          <w:szCs w:val="16"/>
          <w:lang w:val="en-GB"/>
        </w:rPr>
        <w:t xml:space="preserve">Based on the data from the Automotive Industry Association, nearly 720 </w:t>
      </w:r>
      <w:proofErr w:type="spellStart"/>
      <w:r>
        <w:rPr>
          <w:sz w:val="16"/>
          <w:szCs w:val="16"/>
          <w:lang w:val="en-GB"/>
        </w:rPr>
        <w:t>thous</w:t>
      </w:r>
      <w:proofErr w:type="spellEnd"/>
      <w:r>
        <w:rPr>
          <w:sz w:val="16"/>
          <w:szCs w:val="16"/>
          <w:lang w:val="en-GB"/>
        </w:rPr>
        <w:t>.</w:t>
      </w:r>
      <w:proofErr w:type="gramEnd"/>
      <w:r>
        <w:rPr>
          <w:sz w:val="16"/>
          <w:szCs w:val="16"/>
          <w:lang w:val="en-GB"/>
        </w:rPr>
        <w:t xml:space="preserve"> </w:t>
      </w:r>
      <w:proofErr w:type="gramStart"/>
      <w:r>
        <w:rPr>
          <w:sz w:val="16"/>
          <w:szCs w:val="16"/>
          <w:lang w:val="en-GB"/>
        </w:rPr>
        <w:t>personal</w:t>
      </w:r>
      <w:proofErr w:type="gramEnd"/>
      <w:r>
        <w:rPr>
          <w:sz w:val="16"/>
          <w:szCs w:val="16"/>
          <w:lang w:val="en-GB"/>
        </w:rPr>
        <w:t xml:space="preserve"> vehicles were manufactured in the CR during the first six months of this year, by one eighth more year-on-year. Producers of other types of motor vehicles also thrived.</w:t>
      </w:r>
    </w:p>
  </w:footnote>
  <w:footnote w:id="9">
    <w:p w:rsidR="008437F0" w:rsidRPr="00D56B60" w:rsidRDefault="008437F0" w:rsidP="009A3030">
      <w:pPr>
        <w:pStyle w:val="Textpoznpodarou"/>
        <w:rPr>
          <w:sz w:val="16"/>
          <w:szCs w:val="16"/>
          <w:lang w:val="en-GB"/>
        </w:rPr>
      </w:pPr>
      <w:r w:rsidRPr="00E46D98">
        <w:rPr>
          <w:rStyle w:val="Znakapoznpodarou"/>
          <w:sz w:val="16"/>
          <w:szCs w:val="16"/>
        </w:rPr>
        <w:footnoteRef/>
      </w:r>
      <w:r w:rsidRPr="00E46D98">
        <w:rPr>
          <w:sz w:val="16"/>
          <w:szCs w:val="16"/>
        </w:rPr>
        <w:t xml:space="preserve"> </w:t>
      </w:r>
      <w:r w:rsidRPr="00D56B60">
        <w:rPr>
          <w:sz w:val="16"/>
          <w:szCs w:val="16"/>
          <w:lang w:val="en-GB"/>
        </w:rPr>
        <w:t>All data related to the construction production are adjusted for calendar effects.</w:t>
      </w:r>
    </w:p>
  </w:footnote>
  <w:footnote w:id="10">
    <w:p w:rsidR="008437F0" w:rsidRPr="007442F7" w:rsidRDefault="008437F0" w:rsidP="009A3030">
      <w:pPr>
        <w:pStyle w:val="Textpoznpodarou"/>
        <w:rPr>
          <w:sz w:val="16"/>
          <w:szCs w:val="16"/>
          <w:lang w:val="en-GB"/>
        </w:rPr>
      </w:pPr>
      <w:r w:rsidRPr="00092C9A">
        <w:rPr>
          <w:rStyle w:val="Znakapoznpodarou"/>
          <w:sz w:val="16"/>
          <w:szCs w:val="16"/>
        </w:rPr>
        <w:footnoteRef/>
      </w:r>
      <w:r w:rsidRPr="00092C9A">
        <w:rPr>
          <w:sz w:val="16"/>
          <w:szCs w:val="16"/>
        </w:rPr>
        <w:t xml:space="preserve"> </w:t>
      </w:r>
      <w:r w:rsidR="00733AF9">
        <w:rPr>
          <w:sz w:val="16"/>
          <w:szCs w:val="16"/>
          <w:lang w:val="en-GB"/>
        </w:rPr>
        <w:t xml:space="preserve">Do not include </w:t>
      </w:r>
      <w:r w:rsidRPr="007442F7">
        <w:rPr>
          <w:sz w:val="16"/>
          <w:szCs w:val="16"/>
          <w:lang w:val="en-GB"/>
        </w:rPr>
        <w:t>either trade, financial and insurance ac</w:t>
      </w:r>
      <w:r w:rsidR="00733AF9">
        <w:rPr>
          <w:sz w:val="16"/>
          <w:szCs w:val="16"/>
          <w:lang w:val="en-GB"/>
        </w:rPr>
        <w:t xml:space="preserve">tivities, science and research </w:t>
      </w:r>
      <w:r w:rsidRPr="007442F7">
        <w:rPr>
          <w:sz w:val="16"/>
          <w:szCs w:val="16"/>
          <w:lang w:val="en-GB"/>
        </w:rPr>
        <w:t>or public services.</w:t>
      </w:r>
    </w:p>
  </w:footnote>
  <w:footnote w:id="11">
    <w:p w:rsidR="008437F0" w:rsidRPr="007442F7" w:rsidRDefault="008437F0" w:rsidP="009A3030">
      <w:pPr>
        <w:pStyle w:val="Textpoznpodarou"/>
        <w:jc w:val="both"/>
        <w:rPr>
          <w:spacing w:val="-4"/>
          <w:lang w:val="en-GB"/>
        </w:rPr>
      </w:pPr>
      <w:r w:rsidRPr="00EF2F5C">
        <w:rPr>
          <w:rStyle w:val="Znakapoznpodarou"/>
          <w:sz w:val="16"/>
          <w:szCs w:val="16"/>
        </w:rPr>
        <w:footnoteRef/>
      </w:r>
      <w:r w:rsidRPr="00EF2F5C">
        <w:rPr>
          <w:sz w:val="16"/>
          <w:szCs w:val="16"/>
        </w:rPr>
        <w:t xml:space="preserve"> </w:t>
      </w:r>
      <w:r w:rsidRPr="007442F7">
        <w:rPr>
          <w:sz w:val="16"/>
          <w:szCs w:val="16"/>
          <w:lang w:val="en-GB"/>
        </w:rPr>
        <w:t>Includes retail without the motorist segment, data are adjusted for calendar effects.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163521" w:rsidRDefault="008437F0" w:rsidP="00163521">
    <w:pPr>
      <w:pStyle w:val="Zhlav"/>
      <w:tabs>
        <w:tab w:val="clear" w:pos="4536"/>
        <w:tab w:val="clear" w:pos="9072"/>
        <w:tab w:val="left" w:pos="-6379"/>
        <w:tab w:val="center" w:pos="4820"/>
        <w:tab w:val="right" w:pos="9639"/>
      </w:tabs>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F0" w:rsidRPr="00D766EF" w:rsidRDefault="008437F0"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First</w:t>
    </w:r>
    <w:proofErr w:type="spellEnd"/>
    <w:r>
      <w:rPr>
        <w:rFonts w:ascii="Arial" w:hAnsi="Arial" w:cs="Arial"/>
        <w:sz w:val="16"/>
        <w:szCs w:val="16"/>
      </w:rPr>
      <w:t xml:space="preserve"> Half </w:t>
    </w:r>
    <w:proofErr w:type="spellStart"/>
    <w:r>
      <w:rPr>
        <w:rFonts w:ascii="Arial" w:hAnsi="Arial" w:cs="Arial"/>
        <w:sz w:val="16"/>
        <w:szCs w:val="16"/>
      </w:rPr>
      <w:t>of</w:t>
    </w:r>
    <w:proofErr w:type="spellEnd"/>
    <w:r>
      <w:rPr>
        <w:rFonts w:ascii="Arial" w:hAnsi="Arial" w:cs="Arial"/>
        <w:sz w:val="16"/>
        <w:szCs w:val="16"/>
      </w:rPr>
      <w:t xml:space="preserv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613F"/>
    <w:multiLevelType w:val="hybridMultilevel"/>
    <w:tmpl w:val="3112F5A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B70BD"/>
    <w:rsid w:val="00000FA7"/>
    <w:rsid w:val="00001981"/>
    <w:rsid w:val="00001EFF"/>
    <w:rsid w:val="00003687"/>
    <w:rsid w:val="00003C43"/>
    <w:rsid w:val="00007044"/>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F14"/>
    <w:rsid w:val="000311C5"/>
    <w:rsid w:val="00031A9D"/>
    <w:rsid w:val="00032838"/>
    <w:rsid w:val="00032C12"/>
    <w:rsid w:val="00032E0C"/>
    <w:rsid w:val="00035CCF"/>
    <w:rsid w:val="00035DC9"/>
    <w:rsid w:val="00035FC6"/>
    <w:rsid w:val="0003705E"/>
    <w:rsid w:val="00037667"/>
    <w:rsid w:val="0004075D"/>
    <w:rsid w:val="000411E1"/>
    <w:rsid w:val="00041476"/>
    <w:rsid w:val="00041F1F"/>
    <w:rsid w:val="000426E5"/>
    <w:rsid w:val="00043E05"/>
    <w:rsid w:val="0004694F"/>
    <w:rsid w:val="000500DC"/>
    <w:rsid w:val="00052052"/>
    <w:rsid w:val="00052172"/>
    <w:rsid w:val="00053CBA"/>
    <w:rsid w:val="00053F27"/>
    <w:rsid w:val="00054E43"/>
    <w:rsid w:val="00055059"/>
    <w:rsid w:val="000553E4"/>
    <w:rsid w:val="000567FA"/>
    <w:rsid w:val="00056B26"/>
    <w:rsid w:val="00057C16"/>
    <w:rsid w:val="00057C8B"/>
    <w:rsid w:val="00060F26"/>
    <w:rsid w:val="00062D43"/>
    <w:rsid w:val="00062EC5"/>
    <w:rsid w:val="00064256"/>
    <w:rsid w:val="00066C0B"/>
    <w:rsid w:val="000706A4"/>
    <w:rsid w:val="00070A0C"/>
    <w:rsid w:val="00071F80"/>
    <w:rsid w:val="00072118"/>
    <w:rsid w:val="00073173"/>
    <w:rsid w:val="000779AC"/>
    <w:rsid w:val="00080AA8"/>
    <w:rsid w:val="00083803"/>
    <w:rsid w:val="00084393"/>
    <w:rsid w:val="0008716A"/>
    <w:rsid w:val="00087634"/>
    <w:rsid w:val="00091237"/>
    <w:rsid w:val="0009191B"/>
    <w:rsid w:val="000920EC"/>
    <w:rsid w:val="00092208"/>
    <w:rsid w:val="00092505"/>
    <w:rsid w:val="00092C9A"/>
    <w:rsid w:val="00095C0E"/>
    <w:rsid w:val="00096459"/>
    <w:rsid w:val="0009716E"/>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06"/>
    <w:rsid w:val="000C11D3"/>
    <w:rsid w:val="000C12F5"/>
    <w:rsid w:val="000C3408"/>
    <w:rsid w:val="000C5C0F"/>
    <w:rsid w:val="000C5D56"/>
    <w:rsid w:val="000C6498"/>
    <w:rsid w:val="000C6E0B"/>
    <w:rsid w:val="000C73BF"/>
    <w:rsid w:val="000D0D51"/>
    <w:rsid w:val="000D14B3"/>
    <w:rsid w:val="000D208B"/>
    <w:rsid w:val="000D263E"/>
    <w:rsid w:val="000D2B8D"/>
    <w:rsid w:val="000D2E41"/>
    <w:rsid w:val="000D342A"/>
    <w:rsid w:val="000D431B"/>
    <w:rsid w:val="000D5E7A"/>
    <w:rsid w:val="000D5FAA"/>
    <w:rsid w:val="000D65A4"/>
    <w:rsid w:val="000D6AEF"/>
    <w:rsid w:val="000E025B"/>
    <w:rsid w:val="000E0ECB"/>
    <w:rsid w:val="000E153A"/>
    <w:rsid w:val="000E19A8"/>
    <w:rsid w:val="000E1EEA"/>
    <w:rsid w:val="000E4A42"/>
    <w:rsid w:val="000E6476"/>
    <w:rsid w:val="000E78D2"/>
    <w:rsid w:val="000F3332"/>
    <w:rsid w:val="000F33EE"/>
    <w:rsid w:val="000F401E"/>
    <w:rsid w:val="000F40CD"/>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74"/>
    <w:rsid w:val="001041B6"/>
    <w:rsid w:val="001070EA"/>
    <w:rsid w:val="0011002A"/>
    <w:rsid w:val="001107CE"/>
    <w:rsid w:val="0011110A"/>
    <w:rsid w:val="001118AF"/>
    <w:rsid w:val="00111CA5"/>
    <w:rsid w:val="0011256E"/>
    <w:rsid w:val="0011352E"/>
    <w:rsid w:val="00114779"/>
    <w:rsid w:val="00114FC0"/>
    <w:rsid w:val="00115496"/>
    <w:rsid w:val="001165F9"/>
    <w:rsid w:val="00116DB9"/>
    <w:rsid w:val="00116F28"/>
    <w:rsid w:val="00121C39"/>
    <w:rsid w:val="00123255"/>
    <w:rsid w:val="00124572"/>
    <w:rsid w:val="00124D2D"/>
    <w:rsid w:val="00124DA1"/>
    <w:rsid w:val="00125326"/>
    <w:rsid w:val="00125CB5"/>
    <w:rsid w:val="00127535"/>
    <w:rsid w:val="001307BE"/>
    <w:rsid w:val="00130C8F"/>
    <w:rsid w:val="001314F2"/>
    <w:rsid w:val="001317DA"/>
    <w:rsid w:val="001323BA"/>
    <w:rsid w:val="0013254D"/>
    <w:rsid w:val="00133AAC"/>
    <w:rsid w:val="00133FBD"/>
    <w:rsid w:val="00135767"/>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5D03"/>
    <w:rsid w:val="001561B7"/>
    <w:rsid w:val="00156318"/>
    <w:rsid w:val="0015639A"/>
    <w:rsid w:val="0016081D"/>
    <w:rsid w:val="00160CF3"/>
    <w:rsid w:val="00160E61"/>
    <w:rsid w:val="001620FA"/>
    <w:rsid w:val="00162853"/>
    <w:rsid w:val="00163521"/>
    <w:rsid w:val="00163793"/>
    <w:rsid w:val="00167FB2"/>
    <w:rsid w:val="001707DE"/>
    <w:rsid w:val="00170B04"/>
    <w:rsid w:val="00170F47"/>
    <w:rsid w:val="001711F2"/>
    <w:rsid w:val="001714F2"/>
    <w:rsid w:val="00172264"/>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6BC"/>
    <w:rsid w:val="00191BAE"/>
    <w:rsid w:val="00193432"/>
    <w:rsid w:val="0019346C"/>
    <w:rsid w:val="00195444"/>
    <w:rsid w:val="001A0B1F"/>
    <w:rsid w:val="001A199D"/>
    <w:rsid w:val="001A2BDB"/>
    <w:rsid w:val="001A30F4"/>
    <w:rsid w:val="001A4C0D"/>
    <w:rsid w:val="001A5202"/>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3F60"/>
    <w:rsid w:val="001C4384"/>
    <w:rsid w:val="001C65FF"/>
    <w:rsid w:val="001D47E5"/>
    <w:rsid w:val="001D584C"/>
    <w:rsid w:val="001D5E1B"/>
    <w:rsid w:val="001D6655"/>
    <w:rsid w:val="001D66C1"/>
    <w:rsid w:val="001D70E4"/>
    <w:rsid w:val="001D7390"/>
    <w:rsid w:val="001D7C6F"/>
    <w:rsid w:val="001E0024"/>
    <w:rsid w:val="001E0C65"/>
    <w:rsid w:val="001E23E3"/>
    <w:rsid w:val="001E387A"/>
    <w:rsid w:val="001E3DA4"/>
    <w:rsid w:val="001E5830"/>
    <w:rsid w:val="001E684C"/>
    <w:rsid w:val="001E701C"/>
    <w:rsid w:val="001E724F"/>
    <w:rsid w:val="001E7C03"/>
    <w:rsid w:val="001F02AF"/>
    <w:rsid w:val="001F0649"/>
    <w:rsid w:val="001F28F4"/>
    <w:rsid w:val="001F2CC6"/>
    <w:rsid w:val="001F3055"/>
    <w:rsid w:val="001F31BC"/>
    <w:rsid w:val="001F378E"/>
    <w:rsid w:val="001F3C79"/>
    <w:rsid w:val="001F3E68"/>
    <w:rsid w:val="001F4597"/>
    <w:rsid w:val="001F56A9"/>
    <w:rsid w:val="001F5C6A"/>
    <w:rsid w:val="001F5E8F"/>
    <w:rsid w:val="001F63A7"/>
    <w:rsid w:val="001F670A"/>
    <w:rsid w:val="001F6A0E"/>
    <w:rsid w:val="001F6E5B"/>
    <w:rsid w:val="00200D15"/>
    <w:rsid w:val="0020223B"/>
    <w:rsid w:val="00203074"/>
    <w:rsid w:val="00203B46"/>
    <w:rsid w:val="00203DB3"/>
    <w:rsid w:val="002048E1"/>
    <w:rsid w:val="00207DB6"/>
    <w:rsid w:val="00210278"/>
    <w:rsid w:val="00210CC2"/>
    <w:rsid w:val="00210F5B"/>
    <w:rsid w:val="00210FFA"/>
    <w:rsid w:val="00211262"/>
    <w:rsid w:val="002115F5"/>
    <w:rsid w:val="00211AC9"/>
    <w:rsid w:val="00212B33"/>
    <w:rsid w:val="0021355B"/>
    <w:rsid w:val="0021385F"/>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0F82"/>
    <w:rsid w:val="002310F1"/>
    <w:rsid w:val="0023229C"/>
    <w:rsid w:val="0023355C"/>
    <w:rsid w:val="00234280"/>
    <w:rsid w:val="00235000"/>
    <w:rsid w:val="002350E3"/>
    <w:rsid w:val="00235330"/>
    <w:rsid w:val="00235541"/>
    <w:rsid w:val="00236443"/>
    <w:rsid w:val="002365BA"/>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3DCD"/>
    <w:rsid w:val="00274291"/>
    <w:rsid w:val="00276CFE"/>
    <w:rsid w:val="00277071"/>
    <w:rsid w:val="0027786C"/>
    <w:rsid w:val="00277BF7"/>
    <w:rsid w:val="00281416"/>
    <w:rsid w:val="00282556"/>
    <w:rsid w:val="0028471E"/>
    <w:rsid w:val="00285CD3"/>
    <w:rsid w:val="0028686A"/>
    <w:rsid w:val="00286E66"/>
    <w:rsid w:val="002870B7"/>
    <w:rsid w:val="0028751D"/>
    <w:rsid w:val="002919B5"/>
    <w:rsid w:val="00293441"/>
    <w:rsid w:val="00294238"/>
    <w:rsid w:val="0029493E"/>
    <w:rsid w:val="002962E0"/>
    <w:rsid w:val="00296C2E"/>
    <w:rsid w:val="002A0814"/>
    <w:rsid w:val="002A1B05"/>
    <w:rsid w:val="002A267F"/>
    <w:rsid w:val="002A3354"/>
    <w:rsid w:val="002A35EA"/>
    <w:rsid w:val="002A37B6"/>
    <w:rsid w:val="002A3BD5"/>
    <w:rsid w:val="002A43A2"/>
    <w:rsid w:val="002A44ED"/>
    <w:rsid w:val="002A4612"/>
    <w:rsid w:val="002A4F70"/>
    <w:rsid w:val="002A5263"/>
    <w:rsid w:val="002A6821"/>
    <w:rsid w:val="002A7239"/>
    <w:rsid w:val="002A74D2"/>
    <w:rsid w:val="002A7CDA"/>
    <w:rsid w:val="002A7F47"/>
    <w:rsid w:val="002B1544"/>
    <w:rsid w:val="002B1BF4"/>
    <w:rsid w:val="002B1DC1"/>
    <w:rsid w:val="002B2789"/>
    <w:rsid w:val="002B36C8"/>
    <w:rsid w:val="002B46DE"/>
    <w:rsid w:val="002B71B4"/>
    <w:rsid w:val="002B7240"/>
    <w:rsid w:val="002C0E23"/>
    <w:rsid w:val="002C0FF4"/>
    <w:rsid w:val="002C125A"/>
    <w:rsid w:val="002C2668"/>
    <w:rsid w:val="002C43BD"/>
    <w:rsid w:val="002C493D"/>
    <w:rsid w:val="002C5261"/>
    <w:rsid w:val="002C6091"/>
    <w:rsid w:val="002D0562"/>
    <w:rsid w:val="002D1B5A"/>
    <w:rsid w:val="002D2500"/>
    <w:rsid w:val="002D338A"/>
    <w:rsid w:val="002D3738"/>
    <w:rsid w:val="002D3F00"/>
    <w:rsid w:val="002D4B81"/>
    <w:rsid w:val="002D4D59"/>
    <w:rsid w:val="002D54BF"/>
    <w:rsid w:val="002D5E94"/>
    <w:rsid w:val="002D632D"/>
    <w:rsid w:val="002D6FC7"/>
    <w:rsid w:val="002E02A1"/>
    <w:rsid w:val="002E0982"/>
    <w:rsid w:val="002E0DB9"/>
    <w:rsid w:val="002E2CE4"/>
    <w:rsid w:val="002E34F3"/>
    <w:rsid w:val="002E435E"/>
    <w:rsid w:val="002E5B78"/>
    <w:rsid w:val="002E73F2"/>
    <w:rsid w:val="002F33FB"/>
    <w:rsid w:val="002F663A"/>
    <w:rsid w:val="002F68A4"/>
    <w:rsid w:val="002F7594"/>
    <w:rsid w:val="00300D6F"/>
    <w:rsid w:val="00301357"/>
    <w:rsid w:val="003016F6"/>
    <w:rsid w:val="00301D04"/>
    <w:rsid w:val="003035D4"/>
    <w:rsid w:val="00303DCB"/>
    <w:rsid w:val="00304771"/>
    <w:rsid w:val="00305736"/>
    <w:rsid w:val="00306C5B"/>
    <w:rsid w:val="00306E3B"/>
    <w:rsid w:val="003119B6"/>
    <w:rsid w:val="00312C3D"/>
    <w:rsid w:val="00314331"/>
    <w:rsid w:val="00314AA7"/>
    <w:rsid w:val="00317E31"/>
    <w:rsid w:val="00320214"/>
    <w:rsid w:val="003209D6"/>
    <w:rsid w:val="0032109A"/>
    <w:rsid w:val="0032214F"/>
    <w:rsid w:val="00322164"/>
    <w:rsid w:val="00323CF7"/>
    <w:rsid w:val="00323E61"/>
    <w:rsid w:val="0032513D"/>
    <w:rsid w:val="00326251"/>
    <w:rsid w:val="0032739C"/>
    <w:rsid w:val="00327DEE"/>
    <w:rsid w:val="00327FF5"/>
    <w:rsid w:val="003302DA"/>
    <w:rsid w:val="00330EB0"/>
    <w:rsid w:val="00332214"/>
    <w:rsid w:val="0033229B"/>
    <w:rsid w:val="003329F3"/>
    <w:rsid w:val="0033352E"/>
    <w:rsid w:val="00333690"/>
    <w:rsid w:val="00333D20"/>
    <w:rsid w:val="00333F53"/>
    <w:rsid w:val="003340EF"/>
    <w:rsid w:val="00334A49"/>
    <w:rsid w:val="0033536F"/>
    <w:rsid w:val="00335BB0"/>
    <w:rsid w:val="0033627B"/>
    <w:rsid w:val="003366FC"/>
    <w:rsid w:val="00337107"/>
    <w:rsid w:val="003406BD"/>
    <w:rsid w:val="00343474"/>
    <w:rsid w:val="00343553"/>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DEC"/>
    <w:rsid w:val="00377200"/>
    <w:rsid w:val="0038034A"/>
    <w:rsid w:val="00380E04"/>
    <w:rsid w:val="00380E6C"/>
    <w:rsid w:val="00383227"/>
    <w:rsid w:val="003839C9"/>
    <w:rsid w:val="00384B8E"/>
    <w:rsid w:val="00384D8F"/>
    <w:rsid w:val="00385D98"/>
    <w:rsid w:val="00385EC5"/>
    <w:rsid w:val="0038658E"/>
    <w:rsid w:val="0039066E"/>
    <w:rsid w:val="00391C95"/>
    <w:rsid w:val="00392110"/>
    <w:rsid w:val="00394D49"/>
    <w:rsid w:val="00396DAC"/>
    <w:rsid w:val="003A0214"/>
    <w:rsid w:val="003A027D"/>
    <w:rsid w:val="003A1D74"/>
    <w:rsid w:val="003A2B4D"/>
    <w:rsid w:val="003A2D2B"/>
    <w:rsid w:val="003A2DD4"/>
    <w:rsid w:val="003A3B1C"/>
    <w:rsid w:val="003A4088"/>
    <w:rsid w:val="003A478C"/>
    <w:rsid w:val="003A4F82"/>
    <w:rsid w:val="003A5525"/>
    <w:rsid w:val="003A6750"/>
    <w:rsid w:val="003A6B38"/>
    <w:rsid w:val="003B0218"/>
    <w:rsid w:val="003B20D9"/>
    <w:rsid w:val="003B2580"/>
    <w:rsid w:val="003B2E63"/>
    <w:rsid w:val="003B3189"/>
    <w:rsid w:val="003B3A9D"/>
    <w:rsid w:val="003B3DDD"/>
    <w:rsid w:val="003B4683"/>
    <w:rsid w:val="003B5031"/>
    <w:rsid w:val="003B5A32"/>
    <w:rsid w:val="003B6105"/>
    <w:rsid w:val="003C03CC"/>
    <w:rsid w:val="003C04C4"/>
    <w:rsid w:val="003C26F4"/>
    <w:rsid w:val="003C3686"/>
    <w:rsid w:val="003C4852"/>
    <w:rsid w:val="003C5BC7"/>
    <w:rsid w:val="003C601E"/>
    <w:rsid w:val="003C66C4"/>
    <w:rsid w:val="003D2C4E"/>
    <w:rsid w:val="003D2CA4"/>
    <w:rsid w:val="003D3600"/>
    <w:rsid w:val="003D3825"/>
    <w:rsid w:val="003D3D90"/>
    <w:rsid w:val="003D3EC4"/>
    <w:rsid w:val="003D4760"/>
    <w:rsid w:val="003D49DC"/>
    <w:rsid w:val="003D4DD9"/>
    <w:rsid w:val="003D5D7A"/>
    <w:rsid w:val="003D653F"/>
    <w:rsid w:val="003E0663"/>
    <w:rsid w:val="003E0E1D"/>
    <w:rsid w:val="003E133F"/>
    <w:rsid w:val="003E2DA8"/>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5EC9"/>
    <w:rsid w:val="00406292"/>
    <w:rsid w:val="00406769"/>
    <w:rsid w:val="004078BD"/>
    <w:rsid w:val="00410132"/>
    <w:rsid w:val="00410B3B"/>
    <w:rsid w:val="00410BCD"/>
    <w:rsid w:val="00410DE5"/>
    <w:rsid w:val="0041175D"/>
    <w:rsid w:val="004117CE"/>
    <w:rsid w:val="004123BE"/>
    <w:rsid w:val="00414CE5"/>
    <w:rsid w:val="00416673"/>
    <w:rsid w:val="00420C0B"/>
    <w:rsid w:val="0042160D"/>
    <w:rsid w:val="00423A3C"/>
    <w:rsid w:val="0042681B"/>
    <w:rsid w:val="00427193"/>
    <w:rsid w:val="00430627"/>
    <w:rsid w:val="0043068A"/>
    <w:rsid w:val="004306E0"/>
    <w:rsid w:val="00431A03"/>
    <w:rsid w:val="00431D54"/>
    <w:rsid w:val="004329BE"/>
    <w:rsid w:val="00432C38"/>
    <w:rsid w:val="004342EC"/>
    <w:rsid w:val="00436227"/>
    <w:rsid w:val="00437C76"/>
    <w:rsid w:val="0044105C"/>
    <w:rsid w:val="00443E95"/>
    <w:rsid w:val="004441A0"/>
    <w:rsid w:val="00444268"/>
    <w:rsid w:val="00444326"/>
    <w:rsid w:val="004443BF"/>
    <w:rsid w:val="004447F3"/>
    <w:rsid w:val="00444C19"/>
    <w:rsid w:val="00445218"/>
    <w:rsid w:val="00445CDD"/>
    <w:rsid w:val="00446043"/>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7A6"/>
    <w:rsid w:val="00462843"/>
    <w:rsid w:val="004629FD"/>
    <w:rsid w:val="00462AD2"/>
    <w:rsid w:val="00463B4B"/>
    <w:rsid w:val="00463F4D"/>
    <w:rsid w:val="0046471F"/>
    <w:rsid w:val="00464BE8"/>
    <w:rsid w:val="00465019"/>
    <w:rsid w:val="00465FA4"/>
    <w:rsid w:val="0046613F"/>
    <w:rsid w:val="0046655D"/>
    <w:rsid w:val="00466AAE"/>
    <w:rsid w:val="0046765E"/>
    <w:rsid w:val="004676E2"/>
    <w:rsid w:val="00471EDD"/>
    <w:rsid w:val="00473E94"/>
    <w:rsid w:val="00473FB6"/>
    <w:rsid w:val="0047400C"/>
    <w:rsid w:val="004745D9"/>
    <w:rsid w:val="00475CF8"/>
    <w:rsid w:val="004762D8"/>
    <w:rsid w:val="004765B3"/>
    <w:rsid w:val="00476D29"/>
    <w:rsid w:val="00477241"/>
    <w:rsid w:val="00477EAF"/>
    <w:rsid w:val="00477EE0"/>
    <w:rsid w:val="00480AB8"/>
    <w:rsid w:val="00480C5D"/>
    <w:rsid w:val="0048139F"/>
    <w:rsid w:val="00481C00"/>
    <w:rsid w:val="00483053"/>
    <w:rsid w:val="00484874"/>
    <w:rsid w:val="00485230"/>
    <w:rsid w:val="004879E9"/>
    <w:rsid w:val="00487F81"/>
    <w:rsid w:val="00490247"/>
    <w:rsid w:val="0049104F"/>
    <w:rsid w:val="00491218"/>
    <w:rsid w:val="00491CFD"/>
    <w:rsid w:val="00493362"/>
    <w:rsid w:val="00494343"/>
    <w:rsid w:val="0049438A"/>
    <w:rsid w:val="00496B60"/>
    <w:rsid w:val="00496C2F"/>
    <w:rsid w:val="0049740D"/>
    <w:rsid w:val="004978D3"/>
    <w:rsid w:val="004A11F8"/>
    <w:rsid w:val="004A22BD"/>
    <w:rsid w:val="004A22FA"/>
    <w:rsid w:val="004A2517"/>
    <w:rsid w:val="004A269A"/>
    <w:rsid w:val="004A30FB"/>
    <w:rsid w:val="004A35DD"/>
    <w:rsid w:val="004A37D3"/>
    <w:rsid w:val="004A3AD6"/>
    <w:rsid w:val="004A4F28"/>
    <w:rsid w:val="004A52AA"/>
    <w:rsid w:val="004A5865"/>
    <w:rsid w:val="004A77DF"/>
    <w:rsid w:val="004B0295"/>
    <w:rsid w:val="004B0803"/>
    <w:rsid w:val="004B10A8"/>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2872"/>
    <w:rsid w:val="004D458D"/>
    <w:rsid w:val="004D504B"/>
    <w:rsid w:val="004D536E"/>
    <w:rsid w:val="004D76CC"/>
    <w:rsid w:val="004E1839"/>
    <w:rsid w:val="004E4A75"/>
    <w:rsid w:val="004E4DE8"/>
    <w:rsid w:val="004E541A"/>
    <w:rsid w:val="004E5A5C"/>
    <w:rsid w:val="004E7007"/>
    <w:rsid w:val="004E75F9"/>
    <w:rsid w:val="004E76D6"/>
    <w:rsid w:val="004E7F57"/>
    <w:rsid w:val="004F06F5"/>
    <w:rsid w:val="004F191F"/>
    <w:rsid w:val="004F2A4D"/>
    <w:rsid w:val="004F2A73"/>
    <w:rsid w:val="004F33A0"/>
    <w:rsid w:val="004F4353"/>
    <w:rsid w:val="004F447D"/>
    <w:rsid w:val="004F4C28"/>
    <w:rsid w:val="004F4E82"/>
    <w:rsid w:val="004F5470"/>
    <w:rsid w:val="004F5CC5"/>
    <w:rsid w:val="004F6350"/>
    <w:rsid w:val="005010BA"/>
    <w:rsid w:val="005028E1"/>
    <w:rsid w:val="0050692E"/>
    <w:rsid w:val="00507040"/>
    <w:rsid w:val="005073E8"/>
    <w:rsid w:val="005079F8"/>
    <w:rsid w:val="00510189"/>
    <w:rsid w:val="005108C0"/>
    <w:rsid w:val="00511873"/>
    <w:rsid w:val="0051367B"/>
    <w:rsid w:val="00513B7E"/>
    <w:rsid w:val="005140DE"/>
    <w:rsid w:val="00514474"/>
    <w:rsid w:val="005147E9"/>
    <w:rsid w:val="005175BC"/>
    <w:rsid w:val="0051778E"/>
    <w:rsid w:val="00521210"/>
    <w:rsid w:val="005215EF"/>
    <w:rsid w:val="00524637"/>
    <w:rsid w:val="00524FDD"/>
    <w:rsid w:val="00525128"/>
    <w:rsid w:val="00525137"/>
    <w:rsid w:val="005251DD"/>
    <w:rsid w:val="00526DB6"/>
    <w:rsid w:val="0053017A"/>
    <w:rsid w:val="00530492"/>
    <w:rsid w:val="00532854"/>
    <w:rsid w:val="005329D6"/>
    <w:rsid w:val="005350F2"/>
    <w:rsid w:val="00535152"/>
    <w:rsid w:val="00535359"/>
    <w:rsid w:val="005357A2"/>
    <w:rsid w:val="005359E3"/>
    <w:rsid w:val="00535D87"/>
    <w:rsid w:val="00535EF0"/>
    <w:rsid w:val="005363DF"/>
    <w:rsid w:val="005369F9"/>
    <w:rsid w:val="0053734B"/>
    <w:rsid w:val="005375B1"/>
    <w:rsid w:val="00537AFD"/>
    <w:rsid w:val="00537CB4"/>
    <w:rsid w:val="00540CD4"/>
    <w:rsid w:val="0054516B"/>
    <w:rsid w:val="0054559E"/>
    <w:rsid w:val="00550ACB"/>
    <w:rsid w:val="005513D5"/>
    <w:rsid w:val="005523B9"/>
    <w:rsid w:val="005545E0"/>
    <w:rsid w:val="00554865"/>
    <w:rsid w:val="00554E57"/>
    <w:rsid w:val="00555463"/>
    <w:rsid w:val="00562749"/>
    <w:rsid w:val="00562DE9"/>
    <w:rsid w:val="005638A5"/>
    <w:rsid w:val="00566381"/>
    <w:rsid w:val="00566A03"/>
    <w:rsid w:val="005700EF"/>
    <w:rsid w:val="00571932"/>
    <w:rsid w:val="00573C97"/>
    <w:rsid w:val="00574240"/>
    <w:rsid w:val="00575CDC"/>
    <w:rsid w:val="005765D5"/>
    <w:rsid w:val="00576A3E"/>
    <w:rsid w:val="0057703D"/>
    <w:rsid w:val="00580733"/>
    <w:rsid w:val="0058366F"/>
    <w:rsid w:val="00583715"/>
    <w:rsid w:val="00583D5B"/>
    <w:rsid w:val="00583FFD"/>
    <w:rsid w:val="00587CCD"/>
    <w:rsid w:val="005908AE"/>
    <w:rsid w:val="0059176E"/>
    <w:rsid w:val="00592854"/>
    <w:rsid w:val="00592A9F"/>
    <w:rsid w:val="00593152"/>
    <w:rsid w:val="00593CA3"/>
    <w:rsid w:val="00594161"/>
    <w:rsid w:val="00594969"/>
    <w:rsid w:val="00594B91"/>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C24"/>
    <w:rsid w:val="005C3F9F"/>
    <w:rsid w:val="005C406F"/>
    <w:rsid w:val="005C4A23"/>
    <w:rsid w:val="005C562C"/>
    <w:rsid w:val="005C5812"/>
    <w:rsid w:val="005C6400"/>
    <w:rsid w:val="005C700A"/>
    <w:rsid w:val="005C74F2"/>
    <w:rsid w:val="005C7F1E"/>
    <w:rsid w:val="005D25B4"/>
    <w:rsid w:val="005D374F"/>
    <w:rsid w:val="005D5802"/>
    <w:rsid w:val="005D6CFC"/>
    <w:rsid w:val="005D73E2"/>
    <w:rsid w:val="005D757A"/>
    <w:rsid w:val="005D7C4B"/>
    <w:rsid w:val="005E1E4B"/>
    <w:rsid w:val="005E223E"/>
    <w:rsid w:val="005E3006"/>
    <w:rsid w:val="005E362D"/>
    <w:rsid w:val="005E3A0C"/>
    <w:rsid w:val="005E3FAC"/>
    <w:rsid w:val="005E492C"/>
    <w:rsid w:val="005E4BAA"/>
    <w:rsid w:val="005E52EF"/>
    <w:rsid w:val="005E5B56"/>
    <w:rsid w:val="005E6059"/>
    <w:rsid w:val="005E6088"/>
    <w:rsid w:val="005E61DF"/>
    <w:rsid w:val="005E6B65"/>
    <w:rsid w:val="005E6B78"/>
    <w:rsid w:val="005E75B8"/>
    <w:rsid w:val="005F0976"/>
    <w:rsid w:val="005F26CE"/>
    <w:rsid w:val="005F4057"/>
    <w:rsid w:val="005F4088"/>
    <w:rsid w:val="005F4C83"/>
    <w:rsid w:val="005F601D"/>
    <w:rsid w:val="005F6119"/>
    <w:rsid w:val="005F7940"/>
    <w:rsid w:val="006000F4"/>
    <w:rsid w:val="0060107A"/>
    <w:rsid w:val="00601AFF"/>
    <w:rsid w:val="00602D1D"/>
    <w:rsid w:val="00604307"/>
    <w:rsid w:val="0060487F"/>
    <w:rsid w:val="00605814"/>
    <w:rsid w:val="00606B93"/>
    <w:rsid w:val="00607727"/>
    <w:rsid w:val="00610BD5"/>
    <w:rsid w:val="00611363"/>
    <w:rsid w:val="00611531"/>
    <w:rsid w:val="006118AA"/>
    <w:rsid w:val="006139C7"/>
    <w:rsid w:val="006153E3"/>
    <w:rsid w:val="00615BE6"/>
    <w:rsid w:val="006167AB"/>
    <w:rsid w:val="00617D2D"/>
    <w:rsid w:val="00617D83"/>
    <w:rsid w:val="00620430"/>
    <w:rsid w:val="00620AC5"/>
    <w:rsid w:val="00621575"/>
    <w:rsid w:val="006215FC"/>
    <w:rsid w:val="00624093"/>
    <w:rsid w:val="00624A23"/>
    <w:rsid w:val="00630F66"/>
    <w:rsid w:val="00631FC2"/>
    <w:rsid w:val="00632171"/>
    <w:rsid w:val="0063332A"/>
    <w:rsid w:val="006347F9"/>
    <w:rsid w:val="0063494E"/>
    <w:rsid w:val="00634C90"/>
    <w:rsid w:val="00635E79"/>
    <w:rsid w:val="00636E5E"/>
    <w:rsid w:val="0063769A"/>
    <w:rsid w:val="006379E0"/>
    <w:rsid w:val="006404A7"/>
    <w:rsid w:val="006407F3"/>
    <w:rsid w:val="006408EC"/>
    <w:rsid w:val="00640C96"/>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3FFB"/>
    <w:rsid w:val="00664B64"/>
    <w:rsid w:val="00665D67"/>
    <w:rsid w:val="00665D77"/>
    <w:rsid w:val="006660CD"/>
    <w:rsid w:val="00666EC8"/>
    <w:rsid w:val="00666F4B"/>
    <w:rsid w:val="00667271"/>
    <w:rsid w:val="006676D0"/>
    <w:rsid w:val="0066796E"/>
    <w:rsid w:val="00670FAC"/>
    <w:rsid w:val="006710C9"/>
    <w:rsid w:val="006716A5"/>
    <w:rsid w:val="00675CF1"/>
    <w:rsid w:val="00675E37"/>
    <w:rsid w:val="006764ED"/>
    <w:rsid w:val="00676AFC"/>
    <w:rsid w:val="00676F11"/>
    <w:rsid w:val="00677BFE"/>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0F1B"/>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B7B66"/>
    <w:rsid w:val="006B7BE9"/>
    <w:rsid w:val="006C090F"/>
    <w:rsid w:val="006C0935"/>
    <w:rsid w:val="006C0BCE"/>
    <w:rsid w:val="006C113F"/>
    <w:rsid w:val="006C2AED"/>
    <w:rsid w:val="006C38DD"/>
    <w:rsid w:val="006C457F"/>
    <w:rsid w:val="006C53C7"/>
    <w:rsid w:val="006C5577"/>
    <w:rsid w:val="006C559A"/>
    <w:rsid w:val="006C58FA"/>
    <w:rsid w:val="006D042D"/>
    <w:rsid w:val="006D06EF"/>
    <w:rsid w:val="006D142E"/>
    <w:rsid w:val="006D4497"/>
    <w:rsid w:val="006D4927"/>
    <w:rsid w:val="006D4E6F"/>
    <w:rsid w:val="006D5A0C"/>
    <w:rsid w:val="006D61F6"/>
    <w:rsid w:val="006E0EB0"/>
    <w:rsid w:val="006E1F4C"/>
    <w:rsid w:val="006E22C8"/>
    <w:rsid w:val="006E279A"/>
    <w:rsid w:val="006E2F3F"/>
    <w:rsid w:val="006E313B"/>
    <w:rsid w:val="006E442A"/>
    <w:rsid w:val="006E4434"/>
    <w:rsid w:val="006E59FC"/>
    <w:rsid w:val="006E5CFD"/>
    <w:rsid w:val="006E5D21"/>
    <w:rsid w:val="006E7E2C"/>
    <w:rsid w:val="006F1326"/>
    <w:rsid w:val="006F2BEE"/>
    <w:rsid w:val="006F3708"/>
    <w:rsid w:val="006F394E"/>
    <w:rsid w:val="006F3E6B"/>
    <w:rsid w:val="006F4619"/>
    <w:rsid w:val="006F4A59"/>
    <w:rsid w:val="00700232"/>
    <w:rsid w:val="007014C7"/>
    <w:rsid w:val="00702D6F"/>
    <w:rsid w:val="00703B6C"/>
    <w:rsid w:val="00703C6B"/>
    <w:rsid w:val="007047D5"/>
    <w:rsid w:val="00705D98"/>
    <w:rsid w:val="00707891"/>
    <w:rsid w:val="00707D23"/>
    <w:rsid w:val="00707D43"/>
    <w:rsid w:val="00711EF1"/>
    <w:rsid w:val="0071229A"/>
    <w:rsid w:val="00712572"/>
    <w:rsid w:val="00713495"/>
    <w:rsid w:val="00713EEB"/>
    <w:rsid w:val="007159D2"/>
    <w:rsid w:val="0072050E"/>
    <w:rsid w:val="00720FA2"/>
    <w:rsid w:val="007211F5"/>
    <w:rsid w:val="00722CE0"/>
    <w:rsid w:val="00724666"/>
    <w:rsid w:val="00725492"/>
    <w:rsid w:val="00726043"/>
    <w:rsid w:val="0072704A"/>
    <w:rsid w:val="00730AE8"/>
    <w:rsid w:val="007315DA"/>
    <w:rsid w:val="00731963"/>
    <w:rsid w:val="00733AF9"/>
    <w:rsid w:val="00734321"/>
    <w:rsid w:val="0073532E"/>
    <w:rsid w:val="00740310"/>
    <w:rsid w:val="00740652"/>
    <w:rsid w:val="00740F02"/>
    <w:rsid w:val="00740FEC"/>
    <w:rsid w:val="0074132E"/>
    <w:rsid w:val="00741493"/>
    <w:rsid w:val="007426B3"/>
    <w:rsid w:val="007426FD"/>
    <w:rsid w:val="0074329D"/>
    <w:rsid w:val="007442F7"/>
    <w:rsid w:val="00744376"/>
    <w:rsid w:val="007449EA"/>
    <w:rsid w:val="00744D00"/>
    <w:rsid w:val="00744D2B"/>
    <w:rsid w:val="00745273"/>
    <w:rsid w:val="00746DD9"/>
    <w:rsid w:val="0075057A"/>
    <w:rsid w:val="00751771"/>
    <w:rsid w:val="00751C1C"/>
    <w:rsid w:val="00752180"/>
    <w:rsid w:val="007521A1"/>
    <w:rsid w:val="00752BC3"/>
    <w:rsid w:val="00752FA1"/>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6370B"/>
    <w:rsid w:val="007642C3"/>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804"/>
    <w:rsid w:val="00791CF8"/>
    <w:rsid w:val="00791EF9"/>
    <w:rsid w:val="00792262"/>
    <w:rsid w:val="00793387"/>
    <w:rsid w:val="007934A6"/>
    <w:rsid w:val="00793BAE"/>
    <w:rsid w:val="00794E0A"/>
    <w:rsid w:val="00796642"/>
    <w:rsid w:val="007A11D9"/>
    <w:rsid w:val="007A327B"/>
    <w:rsid w:val="007A4048"/>
    <w:rsid w:val="007A45B1"/>
    <w:rsid w:val="007A4606"/>
    <w:rsid w:val="007A46C3"/>
    <w:rsid w:val="007A4CDD"/>
    <w:rsid w:val="007B03A6"/>
    <w:rsid w:val="007B0D67"/>
    <w:rsid w:val="007B1966"/>
    <w:rsid w:val="007B2779"/>
    <w:rsid w:val="007B3DCC"/>
    <w:rsid w:val="007B4518"/>
    <w:rsid w:val="007B5031"/>
    <w:rsid w:val="007B573F"/>
    <w:rsid w:val="007B78F8"/>
    <w:rsid w:val="007C0065"/>
    <w:rsid w:val="007C010B"/>
    <w:rsid w:val="007C0A4B"/>
    <w:rsid w:val="007C0CB9"/>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2FE"/>
    <w:rsid w:val="007F0845"/>
    <w:rsid w:val="007F16F9"/>
    <w:rsid w:val="007F17DF"/>
    <w:rsid w:val="007F3E3E"/>
    <w:rsid w:val="007F42E0"/>
    <w:rsid w:val="007F500D"/>
    <w:rsid w:val="007F5F14"/>
    <w:rsid w:val="007F7B54"/>
    <w:rsid w:val="00800073"/>
    <w:rsid w:val="008005D7"/>
    <w:rsid w:val="00801FDD"/>
    <w:rsid w:val="008020C2"/>
    <w:rsid w:val="0080255C"/>
    <w:rsid w:val="00806088"/>
    <w:rsid w:val="00806D07"/>
    <w:rsid w:val="0081019B"/>
    <w:rsid w:val="0081187C"/>
    <w:rsid w:val="00811E24"/>
    <w:rsid w:val="00812386"/>
    <w:rsid w:val="00812E2B"/>
    <w:rsid w:val="0081315E"/>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9C3"/>
    <w:rsid w:val="00826ED1"/>
    <w:rsid w:val="00827181"/>
    <w:rsid w:val="0082733C"/>
    <w:rsid w:val="00827746"/>
    <w:rsid w:val="00827E77"/>
    <w:rsid w:val="0083017F"/>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0CF"/>
    <w:rsid w:val="00841D9F"/>
    <w:rsid w:val="00842604"/>
    <w:rsid w:val="008437F0"/>
    <w:rsid w:val="00843ECF"/>
    <w:rsid w:val="00845AB1"/>
    <w:rsid w:val="00846673"/>
    <w:rsid w:val="00846772"/>
    <w:rsid w:val="00850DFC"/>
    <w:rsid w:val="0085281A"/>
    <w:rsid w:val="00853F33"/>
    <w:rsid w:val="008559FE"/>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2B9"/>
    <w:rsid w:val="0087594C"/>
    <w:rsid w:val="00876086"/>
    <w:rsid w:val="008765FA"/>
    <w:rsid w:val="008768D6"/>
    <w:rsid w:val="008775D1"/>
    <w:rsid w:val="008777BB"/>
    <w:rsid w:val="0087798D"/>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371"/>
    <w:rsid w:val="008A3A85"/>
    <w:rsid w:val="008A43E9"/>
    <w:rsid w:val="008A4CB1"/>
    <w:rsid w:val="008A615E"/>
    <w:rsid w:val="008A632B"/>
    <w:rsid w:val="008A6680"/>
    <w:rsid w:val="008A6BFE"/>
    <w:rsid w:val="008A7EB8"/>
    <w:rsid w:val="008B00C2"/>
    <w:rsid w:val="008B07EF"/>
    <w:rsid w:val="008B16DE"/>
    <w:rsid w:val="008B190E"/>
    <w:rsid w:val="008B1A8A"/>
    <w:rsid w:val="008B1FC9"/>
    <w:rsid w:val="008B531F"/>
    <w:rsid w:val="008B54A3"/>
    <w:rsid w:val="008B6B67"/>
    <w:rsid w:val="008B7306"/>
    <w:rsid w:val="008B775F"/>
    <w:rsid w:val="008B7C02"/>
    <w:rsid w:val="008B7D13"/>
    <w:rsid w:val="008B7F9E"/>
    <w:rsid w:val="008C034E"/>
    <w:rsid w:val="008C0E88"/>
    <w:rsid w:val="008C1399"/>
    <w:rsid w:val="008C1AA8"/>
    <w:rsid w:val="008C22A8"/>
    <w:rsid w:val="008C3C7A"/>
    <w:rsid w:val="008C5B43"/>
    <w:rsid w:val="008C63FD"/>
    <w:rsid w:val="008C6CB8"/>
    <w:rsid w:val="008C7815"/>
    <w:rsid w:val="008C7A07"/>
    <w:rsid w:val="008C7EB3"/>
    <w:rsid w:val="008D0171"/>
    <w:rsid w:val="008D13EA"/>
    <w:rsid w:val="008D2671"/>
    <w:rsid w:val="008D2A16"/>
    <w:rsid w:val="008D2ECF"/>
    <w:rsid w:val="008D347D"/>
    <w:rsid w:val="008D3F3D"/>
    <w:rsid w:val="008D4376"/>
    <w:rsid w:val="008E0367"/>
    <w:rsid w:val="008E0A7D"/>
    <w:rsid w:val="008E308D"/>
    <w:rsid w:val="008E31FF"/>
    <w:rsid w:val="008E46A3"/>
    <w:rsid w:val="008E5DE6"/>
    <w:rsid w:val="008E6113"/>
    <w:rsid w:val="008E67B2"/>
    <w:rsid w:val="008E6AB3"/>
    <w:rsid w:val="008E6AD3"/>
    <w:rsid w:val="008E71A6"/>
    <w:rsid w:val="008E7695"/>
    <w:rsid w:val="008E77B6"/>
    <w:rsid w:val="008E7C55"/>
    <w:rsid w:val="008F032E"/>
    <w:rsid w:val="008F0F14"/>
    <w:rsid w:val="008F2F44"/>
    <w:rsid w:val="008F3423"/>
    <w:rsid w:val="008F3A8A"/>
    <w:rsid w:val="008F4FCE"/>
    <w:rsid w:val="008F5301"/>
    <w:rsid w:val="008F6627"/>
    <w:rsid w:val="008F6967"/>
    <w:rsid w:val="008F6A0C"/>
    <w:rsid w:val="008F6F38"/>
    <w:rsid w:val="008F7721"/>
    <w:rsid w:val="008F7D28"/>
    <w:rsid w:val="009003A8"/>
    <w:rsid w:val="009010A7"/>
    <w:rsid w:val="009010E3"/>
    <w:rsid w:val="00901AF3"/>
    <w:rsid w:val="00901CA8"/>
    <w:rsid w:val="00902BDD"/>
    <w:rsid w:val="00902CBE"/>
    <w:rsid w:val="00902D09"/>
    <w:rsid w:val="00902D74"/>
    <w:rsid w:val="00902EFF"/>
    <w:rsid w:val="00903E06"/>
    <w:rsid w:val="009040B3"/>
    <w:rsid w:val="00904B9D"/>
    <w:rsid w:val="00905A11"/>
    <w:rsid w:val="00905E96"/>
    <w:rsid w:val="009066E1"/>
    <w:rsid w:val="00907A41"/>
    <w:rsid w:val="009102BD"/>
    <w:rsid w:val="00910F93"/>
    <w:rsid w:val="0091255A"/>
    <w:rsid w:val="00913BCD"/>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27D62"/>
    <w:rsid w:val="009306BE"/>
    <w:rsid w:val="00930F8D"/>
    <w:rsid w:val="009319E3"/>
    <w:rsid w:val="00937B11"/>
    <w:rsid w:val="00940F1F"/>
    <w:rsid w:val="00941250"/>
    <w:rsid w:val="00941F4F"/>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7A"/>
    <w:rsid w:val="00973AAE"/>
    <w:rsid w:val="0097476C"/>
    <w:rsid w:val="00974923"/>
    <w:rsid w:val="00974D48"/>
    <w:rsid w:val="00974D5F"/>
    <w:rsid w:val="00975017"/>
    <w:rsid w:val="0097562D"/>
    <w:rsid w:val="009759DF"/>
    <w:rsid w:val="0098019B"/>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9684C"/>
    <w:rsid w:val="009A2014"/>
    <w:rsid w:val="009A3030"/>
    <w:rsid w:val="009A3A87"/>
    <w:rsid w:val="009A434E"/>
    <w:rsid w:val="009A4E12"/>
    <w:rsid w:val="009A5C68"/>
    <w:rsid w:val="009A6EF7"/>
    <w:rsid w:val="009B04D0"/>
    <w:rsid w:val="009B052C"/>
    <w:rsid w:val="009B0EF2"/>
    <w:rsid w:val="009B23A3"/>
    <w:rsid w:val="009B2C0E"/>
    <w:rsid w:val="009B4925"/>
    <w:rsid w:val="009B4B4B"/>
    <w:rsid w:val="009B68B8"/>
    <w:rsid w:val="009B6FD3"/>
    <w:rsid w:val="009B70BD"/>
    <w:rsid w:val="009C07A5"/>
    <w:rsid w:val="009C13A4"/>
    <w:rsid w:val="009C2A52"/>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26"/>
    <w:rsid w:val="009F41C4"/>
    <w:rsid w:val="009F5846"/>
    <w:rsid w:val="009F63D2"/>
    <w:rsid w:val="009F7B52"/>
    <w:rsid w:val="009F7D77"/>
    <w:rsid w:val="00A004D2"/>
    <w:rsid w:val="00A015EA"/>
    <w:rsid w:val="00A041F3"/>
    <w:rsid w:val="00A10CB1"/>
    <w:rsid w:val="00A10D66"/>
    <w:rsid w:val="00A12BA8"/>
    <w:rsid w:val="00A13993"/>
    <w:rsid w:val="00A1420C"/>
    <w:rsid w:val="00A1456C"/>
    <w:rsid w:val="00A14821"/>
    <w:rsid w:val="00A15E65"/>
    <w:rsid w:val="00A17754"/>
    <w:rsid w:val="00A2055B"/>
    <w:rsid w:val="00A20AAE"/>
    <w:rsid w:val="00A2253C"/>
    <w:rsid w:val="00A23545"/>
    <w:rsid w:val="00A23A55"/>
    <w:rsid w:val="00A23E43"/>
    <w:rsid w:val="00A23EF0"/>
    <w:rsid w:val="00A24F8C"/>
    <w:rsid w:val="00A2565B"/>
    <w:rsid w:val="00A262BF"/>
    <w:rsid w:val="00A271AD"/>
    <w:rsid w:val="00A276D5"/>
    <w:rsid w:val="00A30336"/>
    <w:rsid w:val="00A30BB5"/>
    <w:rsid w:val="00A30C37"/>
    <w:rsid w:val="00A3128F"/>
    <w:rsid w:val="00A31BE3"/>
    <w:rsid w:val="00A326D0"/>
    <w:rsid w:val="00A35287"/>
    <w:rsid w:val="00A378F8"/>
    <w:rsid w:val="00A40B19"/>
    <w:rsid w:val="00A41D07"/>
    <w:rsid w:val="00A424F8"/>
    <w:rsid w:val="00A42883"/>
    <w:rsid w:val="00A437B7"/>
    <w:rsid w:val="00A44D3A"/>
    <w:rsid w:val="00A46D48"/>
    <w:rsid w:val="00A46DE0"/>
    <w:rsid w:val="00A4778A"/>
    <w:rsid w:val="00A47C94"/>
    <w:rsid w:val="00A504C0"/>
    <w:rsid w:val="00A5067F"/>
    <w:rsid w:val="00A517C1"/>
    <w:rsid w:val="00A518E0"/>
    <w:rsid w:val="00A55301"/>
    <w:rsid w:val="00A572FB"/>
    <w:rsid w:val="00A57B3C"/>
    <w:rsid w:val="00A57F1B"/>
    <w:rsid w:val="00A600D2"/>
    <w:rsid w:val="00A6128E"/>
    <w:rsid w:val="00A62CE1"/>
    <w:rsid w:val="00A63114"/>
    <w:rsid w:val="00A631FA"/>
    <w:rsid w:val="00A64203"/>
    <w:rsid w:val="00A64348"/>
    <w:rsid w:val="00A644E1"/>
    <w:rsid w:val="00A711B0"/>
    <w:rsid w:val="00A721FB"/>
    <w:rsid w:val="00A727BA"/>
    <w:rsid w:val="00A72D4B"/>
    <w:rsid w:val="00A732AE"/>
    <w:rsid w:val="00A75E40"/>
    <w:rsid w:val="00A76965"/>
    <w:rsid w:val="00A76F5B"/>
    <w:rsid w:val="00A77AE4"/>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4EAE"/>
    <w:rsid w:val="00A95742"/>
    <w:rsid w:val="00A96463"/>
    <w:rsid w:val="00A97E3F"/>
    <w:rsid w:val="00AA020E"/>
    <w:rsid w:val="00AA09D3"/>
    <w:rsid w:val="00AA23FB"/>
    <w:rsid w:val="00AA34FE"/>
    <w:rsid w:val="00AA42AB"/>
    <w:rsid w:val="00AA559A"/>
    <w:rsid w:val="00AA5F10"/>
    <w:rsid w:val="00AB104D"/>
    <w:rsid w:val="00AB1441"/>
    <w:rsid w:val="00AB2AF1"/>
    <w:rsid w:val="00AB440B"/>
    <w:rsid w:val="00AB47E3"/>
    <w:rsid w:val="00AB7170"/>
    <w:rsid w:val="00AB74C5"/>
    <w:rsid w:val="00AB7BEE"/>
    <w:rsid w:val="00AB7DF2"/>
    <w:rsid w:val="00AC1E3F"/>
    <w:rsid w:val="00AC1E88"/>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6331"/>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1E40"/>
    <w:rsid w:val="00B0231C"/>
    <w:rsid w:val="00B07C2A"/>
    <w:rsid w:val="00B13681"/>
    <w:rsid w:val="00B15DCD"/>
    <w:rsid w:val="00B17ACB"/>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8C5"/>
    <w:rsid w:val="00B37915"/>
    <w:rsid w:val="00B3793D"/>
    <w:rsid w:val="00B41BE6"/>
    <w:rsid w:val="00B42831"/>
    <w:rsid w:val="00B428A4"/>
    <w:rsid w:val="00B44FC4"/>
    <w:rsid w:val="00B457E7"/>
    <w:rsid w:val="00B45D1B"/>
    <w:rsid w:val="00B463F5"/>
    <w:rsid w:val="00B46D25"/>
    <w:rsid w:val="00B47430"/>
    <w:rsid w:val="00B47AC6"/>
    <w:rsid w:val="00B52D2D"/>
    <w:rsid w:val="00B52F8A"/>
    <w:rsid w:val="00B534EF"/>
    <w:rsid w:val="00B55BA8"/>
    <w:rsid w:val="00B55F15"/>
    <w:rsid w:val="00B561A6"/>
    <w:rsid w:val="00B60062"/>
    <w:rsid w:val="00B62960"/>
    <w:rsid w:val="00B63A11"/>
    <w:rsid w:val="00B63D16"/>
    <w:rsid w:val="00B63FD0"/>
    <w:rsid w:val="00B65C84"/>
    <w:rsid w:val="00B6608F"/>
    <w:rsid w:val="00B74317"/>
    <w:rsid w:val="00B76D1E"/>
    <w:rsid w:val="00B77BC8"/>
    <w:rsid w:val="00B800EB"/>
    <w:rsid w:val="00B822D2"/>
    <w:rsid w:val="00B83308"/>
    <w:rsid w:val="00B83D46"/>
    <w:rsid w:val="00B848B8"/>
    <w:rsid w:val="00B84A41"/>
    <w:rsid w:val="00B84D57"/>
    <w:rsid w:val="00B8504B"/>
    <w:rsid w:val="00B85689"/>
    <w:rsid w:val="00B86748"/>
    <w:rsid w:val="00B87C5F"/>
    <w:rsid w:val="00B907EA"/>
    <w:rsid w:val="00B91EC9"/>
    <w:rsid w:val="00B924CA"/>
    <w:rsid w:val="00B92A34"/>
    <w:rsid w:val="00B92A4B"/>
    <w:rsid w:val="00B92C76"/>
    <w:rsid w:val="00B93384"/>
    <w:rsid w:val="00B93616"/>
    <w:rsid w:val="00B94417"/>
    <w:rsid w:val="00B95566"/>
    <w:rsid w:val="00B95940"/>
    <w:rsid w:val="00B95EF8"/>
    <w:rsid w:val="00B95F50"/>
    <w:rsid w:val="00B96BD9"/>
    <w:rsid w:val="00B97DCE"/>
    <w:rsid w:val="00BA4358"/>
    <w:rsid w:val="00BB0274"/>
    <w:rsid w:val="00BB1CFD"/>
    <w:rsid w:val="00BB2C53"/>
    <w:rsid w:val="00BB32DA"/>
    <w:rsid w:val="00BB3A54"/>
    <w:rsid w:val="00BB4D26"/>
    <w:rsid w:val="00BB4E21"/>
    <w:rsid w:val="00BB7746"/>
    <w:rsid w:val="00BC22EB"/>
    <w:rsid w:val="00BC682B"/>
    <w:rsid w:val="00BC6B04"/>
    <w:rsid w:val="00BC6D27"/>
    <w:rsid w:val="00BD059A"/>
    <w:rsid w:val="00BD1708"/>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272F"/>
    <w:rsid w:val="00BE3282"/>
    <w:rsid w:val="00BE3381"/>
    <w:rsid w:val="00BE3F09"/>
    <w:rsid w:val="00BE670A"/>
    <w:rsid w:val="00BE6906"/>
    <w:rsid w:val="00BF18F4"/>
    <w:rsid w:val="00BF1A69"/>
    <w:rsid w:val="00BF3BC8"/>
    <w:rsid w:val="00BF3DF1"/>
    <w:rsid w:val="00BF4C31"/>
    <w:rsid w:val="00BF4E57"/>
    <w:rsid w:val="00BF537B"/>
    <w:rsid w:val="00BF53B8"/>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06"/>
    <w:rsid w:val="00C17E38"/>
    <w:rsid w:val="00C20744"/>
    <w:rsid w:val="00C20B1C"/>
    <w:rsid w:val="00C20C4D"/>
    <w:rsid w:val="00C2150A"/>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3609E"/>
    <w:rsid w:val="00C40F81"/>
    <w:rsid w:val="00C41463"/>
    <w:rsid w:val="00C419B4"/>
    <w:rsid w:val="00C41A72"/>
    <w:rsid w:val="00C42D45"/>
    <w:rsid w:val="00C4422D"/>
    <w:rsid w:val="00C45806"/>
    <w:rsid w:val="00C45ECA"/>
    <w:rsid w:val="00C476C5"/>
    <w:rsid w:val="00C503B0"/>
    <w:rsid w:val="00C511C2"/>
    <w:rsid w:val="00C5253B"/>
    <w:rsid w:val="00C527C6"/>
    <w:rsid w:val="00C53CDB"/>
    <w:rsid w:val="00C53D82"/>
    <w:rsid w:val="00C54748"/>
    <w:rsid w:val="00C55C1B"/>
    <w:rsid w:val="00C575FB"/>
    <w:rsid w:val="00C60696"/>
    <w:rsid w:val="00C60943"/>
    <w:rsid w:val="00C60EEF"/>
    <w:rsid w:val="00C6121D"/>
    <w:rsid w:val="00C615F1"/>
    <w:rsid w:val="00C61627"/>
    <w:rsid w:val="00C63B1A"/>
    <w:rsid w:val="00C64E60"/>
    <w:rsid w:val="00C657A4"/>
    <w:rsid w:val="00C6736C"/>
    <w:rsid w:val="00C71A1D"/>
    <w:rsid w:val="00C71EC4"/>
    <w:rsid w:val="00C71FD7"/>
    <w:rsid w:val="00C7591E"/>
    <w:rsid w:val="00C75C7E"/>
    <w:rsid w:val="00C75C9B"/>
    <w:rsid w:val="00C76D8E"/>
    <w:rsid w:val="00C772C1"/>
    <w:rsid w:val="00C77833"/>
    <w:rsid w:val="00C80C9B"/>
    <w:rsid w:val="00C8335E"/>
    <w:rsid w:val="00C83A6D"/>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A7C47"/>
    <w:rsid w:val="00CB1910"/>
    <w:rsid w:val="00CB2150"/>
    <w:rsid w:val="00CB28EE"/>
    <w:rsid w:val="00CB43A7"/>
    <w:rsid w:val="00CB4DF1"/>
    <w:rsid w:val="00CB5996"/>
    <w:rsid w:val="00CB6809"/>
    <w:rsid w:val="00CB7452"/>
    <w:rsid w:val="00CC06C7"/>
    <w:rsid w:val="00CC0E10"/>
    <w:rsid w:val="00CC1DAF"/>
    <w:rsid w:val="00CC2642"/>
    <w:rsid w:val="00CC2967"/>
    <w:rsid w:val="00CC2A36"/>
    <w:rsid w:val="00CC2E15"/>
    <w:rsid w:val="00CC3440"/>
    <w:rsid w:val="00CC3641"/>
    <w:rsid w:val="00CC3908"/>
    <w:rsid w:val="00CC62AD"/>
    <w:rsid w:val="00CC6CA2"/>
    <w:rsid w:val="00CC7B80"/>
    <w:rsid w:val="00CD2B3C"/>
    <w:rsid w:val="00CD30F6"/>
    <w:rsid w:val="00CD3B07"/>
    <w:rsid w:val="00CD482D"/>
    <w:rsid w:val="00CD4B29"/>
    <w:rsid w:val="00CD6954"/>
    <w:rsid w:val="00CD6DA3"/>
    <w:rsid w:val="00CD6EF1"/>
    <w:rsid w:val="00CD7E35"/>
    <w:rsid w:val="00CE21C7"/>
    <w:rsid w:val="00CE2682"/>
    <w:rsid w:val="00CE2756"/>
    <w:rsid w:val="00CE442A"/>
    <w:rsid w:val="00CE57D8"/>
    <w:rsid w:val="00CE617A"/>
    <w:rsid w:val="00CE6E3C"/>
    <w:rsid w:val="00CE74FE"/>
    <w:rsid w:val="00CE797F"/>
    <w:rsid w:val="00CF25D2"/>
    <w:rsid w:val="00CF28C2"/>
    <w:rsid w:val="00CF42BD"/>
    <w:rsid w:val="00CF51EC"/>
    <w:rsid w:val="00CF6A9D"/>
    <w:rsid w:val="00CF6CD7"/>
    <w:rsid w:val="00CF75EC"/>
    <w:rsid w:val="00D0037A"/>
    <w:rsid w:val="00D0061E"/>
    <w:rsid w:val="00D00DAF"/>
    <w:rsid w:val="00D017EC"/>
    <w:rsid w:val="00D01CDA"/>
    <w:rsid w:val="00D020FC"/>
    <w:rsid w:val="00D040DD"/>
    <w:rsid w:val="00D04E1B"/>
    <w:rsid w:val="00D0547B"/>
    <w:rsid w:val="00D076DB"/>
    <w:rsid w:val="00D07EFF"/>
    <w:rsid w:val="00D1067C"/>
    <w:rsid w:val="00D10DC5"/>
    <w:rsid w:val="00D11CBB"/>
    <w:rsid w:val="00D132AE"/>
    <w:rsid w:val="00D136D4"/>
    <w:rsid w:val="00D13830"/>
    <w:rsid w:val="00D13ECF"/>
    <w:rsid w:val="00D142E5"/>
    <w:rsid w:val="00D148CD"/>
    <w:rsid w:val="00D14E11"/>
    <w:rsid w:val="00D1611E"/>
    <w:rsid w:val="00D163CC"/>
    <w:rsid w:val="00D16E69"/>
    <w:rsid w:val="00D17F4A"/>
    <w:rsid w:val="00D205A9"/>
    <w:rsid w:val="00D217EE"/>
    <w:rsid w:val="00D245BA"/>
    <w:rsid w:val="00D26923"/>
    <w:rsid w:val="00D27856"/>
    <w:rsid w:val="00D27941"/>
    <w:rsid w:val="00D27D34"/>
    <w:rsid w:val="00D3006B"/>
    <w:rsid w:val="00D301CA"/>
    <w:rsid w:val="00D30740"/>
    <w:rsid w:val="00D31075"/>
    <w:rsid w:val="00D31445"/>
    <w:rsid w:val="00D31932"/>
    <w:rsid w:val="00D32AE0"/>
    <w:rsid w:val="00D33531"/>
    <w:rsid w:val="00D360DA"/>
    <w:rsid w:val="00D37689"/>
    <w:rsid w:val="00D378CC"/>
    <w:rsid w:val="00D4042C"/>
    <w:rsid w:val="00D40B9E"/>
    <w:rsid w:val="00D41281"/>
    <w:rsid w:val="00D42312"/>
    <w:rsid w:val="00D42F89"/>
    <w:rsid w:val="00D433F5"/>
    <w:rsid w:val="00D43998"/>
    <w:rsid w:val="00D439C2"/>
    <w:rsid w:val="00D446E3"/>
    <w:rsid w:val="00D451E0"/>
    <w:rsid w:val="00D45A1D"/>
    <w:rsid w:val="00D4615E"/>
    <w:rsid w:val="00D478E2"/>
    <w:rsid w:val="00D51535"/>
    <w:rsid w:val="00D5264C"/>
    <w:rsid w:val="00D547BA"/>
    <w:rsid w:val="00D55626"/>
    <w:rsid w:val="00D556BC"/>
    <w:rsid w:val="00D5626D"/>
    <w:rsid w:val="00D56631"/>
    <w:rsid w:val="00D56B60"/>
    <w:rsid w:val="00D56BA2"/>
    <w:rsid w:val="00D60277"/>
    <w:rsid w:val="00D60336"/>
    <w:rsid w:val="00D61F88"/>
    <w:rsid w:val="00D62901"/>
    <w:rsid w:val="00D63415"/>
    <w:rsid w:val="00D6470C"/>
    <w:rsid w:val="00D64853"/>
    <w:rsid w:val="00D64CB5"/>
    <w:rsid w:val="00D66D48"/>
    <w:rsid w:val="00D7162F"/>
    <w:rsid w:val="00D72897"/>
    <w:rsid w:val="00D73256"/>
    <w:rsid w:val="00D7344B"/>
    <w:rsid w:val="00D73A30"/>
    <w:rsid w:val="00D74C65"/>
    <w:rsid w:val="00D74F21"/>
    <w:rsid w:val="00D75DC2"/>
    <w:rsid w:val="00D766EF"/>
    <w:rsid w:val="00D76C03"/>
    <w:rsid w:val="00D77F8D"/>
    <w:rsid w:val="00D8119B"/>
    <w:rsid w:val="00D815C0"/>
    <w:rsid w:val="00D82462"/>
    <w:rsid w:val="00D868CE"/>
    <w:rsid w:val="00D86DAE"/>
    <w:rsid w:val="00D90116"/>
    <w:rsid w:val="00D90C1E"/>
    <w:rsid w:val="00D91BDF"/>
    <w:rsid w:val="00D91F2C"/>
    <w:rsid w:val="00D92EC1"/>
    <w:rsid w:val="00D93F09"/>
    <w:rsid w:val="00D954C2"/>
    <w:rsid w:val="00D97BB8"/>
    <w:rsid w:val="00DA097A"/>
    <w:rsid w:val="00DA1318"/>
    <w:rsid w:val="00DA1382"/>
    <w:rsid w:val="00DA28B7"/>
    <w:rsid w:val="00DA2FE8"/>
    <w:rsid w:val="00DA380E"/>
    <w:rsid w:val="00DA4AF6"/>
    <w:rsid w:val="00DB016E"/>
    <w:rsid w:val="00DB06E9"/>
    <w:rsid w:val="00DB19BD"/>
    <w:rsid w:val="00DB1D55"/>
    <w:rsid w:val="00DB378E"/>
    <w:rsid w:val="00DB3E9D"/>
    <w:rsid w:val="00DB47B9"/>
    <w:rsid w:val="00DB4FB8"/>
    <w:rsid w:val="00DB53CE"/>
    <w:rsid w:val="00DB549D"/>
    <w:rsid w:val="00DB5792"/>
    <w:rsid w:val="00DB6A88"/>
    <w:rsid w:val="00DB76AC"/>
    <w:rsid w:val="00DB7BA4"/>
    <w:rsid w:val="00DC213A"/>
    <w:rsid w:val="00DC226A"/>
    <w:rsid w:val="00DC257F"/>
    <w:rsid w:val="00DC2A9F"/>
    <w:rsid w:val="00DC350B"/>
    <w:rsid w:val="00DC3790"/>
    <w:rsid w:val="00DC408A"/>
    <w:rsid w:val="00DC436D"/>
    <w:rsid w:val="00DC519B"/>
    <w:rsid w:val="00DC5B3B"/>
    <w:rsid w:val="00DC6796"/>
    <w:rsid w:val="00DC78DF"/>
    <w:rsid w:val="00DC7D4C"/>
    <w:rsid w:val="00DD0821"/>
    <w:rsid w:val="00DD0E32"/>
    <w:rsid w:val="00DD2872"/>
    <w:rsid w:val="00DD2A62"/>
    <w:rsid w:val="00DD2BFE"/>
    <w:rsid w:val="00DD373E"/>
    <w:rsid w:val="00DD57AD"/>
    <w:rsid w:val="00DD7435"/>
    <w:rsid w:val="00DD7C6D"/>
    <w:rsid w:val="00DE009B"/>
    <w:rsid w:val="00DE0243"/>
    <w:rsid w:val="00DE08F8"/>
    <w:rsid w:val="00DE0C31"/>
    <w:rsid w:val="00DE2ED9"/>
    <w:rsid w:val="00DE319A"/>
    <w:rsid w:val="00DF0615"/>
    <w:rsid w:val="00DF0DC3"/>
    <w:rsid w:val="00DF21FD"/>
    <w:rsid w:val="00DF2873"/>
    <w:rsid w:val="00DF293C"/>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2B3"/>
    <w:rsid w:val="00E144D2"/>
    <w:rsid w:val="00E144D6"/>
    <w:rsid w:val="00E15346"/>
    <w:rsid w:val="00E15B7D"/>
    <w:rsid w:val="00E2097E"/>
    <w:rsid w:val="00E21337"/>
    <w:rsid w:val="00E215EA"/>
    <w:rsid w:val="00E21CAB"/>
    <w:rsid w:val="00E221FC"/>
    <w:rsid w:val="00E225C8"/>
    <w:rsid w:val="00E22E78"/>
    <w:rsid w:val="00E24619"/>
    <w:rsid w:val="00E25223"/>
    <w:rsid w:val="00E25999"/>
    <w:rsid w:val="00E263A8"/>
    <w:rsid w:val="00E30BEA"/>
    <w:rsid w:val="00E31764"/>
    <w:rsid w:val="00E32BC2"/>
    <w:rsid w:val="00E33433"/>
    <w:rsid w:val="00E34985"/>
    <w:rsid w:val="00E34E4A"/>
    <w:rsid w:val="00E365B3"/>
    <w:rsid w:val="00E366BB"/>
    <w:rsid w:val="00E369B9"/>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726"/>
    <w:rsid w:val="00E61EA8"/>
    <w:rsid w:val="00E630CB"/>
    <w:rsid w:val="00E63221"/>
    <w:rsid w:val="00E63672"/>
    <w:rsid w:val="00E64EA1"/>
    <w:rsid w:val="00E65898"/>
    <w:rsid w:val="00E668A6"/>
    <w:rsid w:val="00E669C7"/>
    <w:rsid w:val="00E703AD"/>
    <w:rsid w:val="00E70510"/>
    <w:rsid w:val="00E71262"/>
    <w:rsid w:val="00E71A58"/>
    <w:rsid w:val="00E737F6"/>
    <w:rsid w:val="00E7568F"/>
    <w:rsid w:val="00E764AE"/>
    <w:rsid w:val="00E7724B"/>
    <w:rsid w:val="00E81543"/>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3D3"/>
    <w:rsid w:val="00ED54D6"/>
    <w:rsid w:val="00ED5726"/>
    <w:rsid w:val="00EE0113"/>
    <w:rsid w:val="00EE0298"/>
    <w:rsid w:val="00EE0384"/>
    <w:rsid w:val="00EE1057"/>
    <w:rsid w:val="00EE10AA"/>
    <w:rsid w:val="00EE1637"/>
    <w:rsid w:val="00EE3679"/>
    <w:rsid w:val="00EE3B7A"/>
    <w:rsid w:val="00EE3E78"/>
    <w:rsid w:val="00EE495A"/>
    <w:rsid w:val="00EE5E02"/>
    <w:rsid w:val="00EE617D"/>
    <w:rsid w:val="00EE61BF"/>
    <w:rsid w:val="00EE6538"/>
    <w:rsid w:val="00EE6748"/>
    <w:rsid w:val="00EE6C6B"/>
    <w:rsid w:val="00EF0E75"/>
    <w:rsid w:val="00EF1542"/>
    <w:rsid w:val="00EF164E"/>
    <w:rsid w:val="00EF1F5A"/>
    <w:rsid w:val="00EF4685"/>
    <w:rsid w:val="00EF4CE3"/>
    <w:rsid w:val="00EF5397"/>
    <w:rsid w:val="00EF6BE3"/>
    <w:rsid w:val="00EF75D0"/>
    <w:rsid w:val="00EF76A9"/>
    <w:rsid w:val="00F00381"/>
    <w:rsid w:val="00F00D0E"/>
    <w:rsid w:val="00F00D3C"/>
    <w:rsid w:val="00F04811"/>
    <w:rsid w:val="00F0488C"/>
    <w:rsid w:val="00F0496E"/>
    <w:rsid w:val="00F04D10"/>
    <w:rsid w:val="00F053EA"/>
    <w:rsid w:val="00F0625B"/>
    <w:rsid w:val="00F101FF"/>
    <w:rsid w:val="00F104DF"/>
    <w:rsid w:val="00F10A33"/>
    <w:rsid w:val="00F10B64"/>
    <w:rsid w:val="00F1186C"/>
    <w:rsid w:val="00F1476A"/>
    <w:rsid w:val="00F14ACD"/>
    <w:rsid w:val="00F15BEF"/>
    <w:rsid w:val="00F172BE"/>
    <w:rsid w:val="00F1744E"/>
    <w:rsid w:val="00F1776C"/>
    <w:rsid w:val="00F2037E"/>
    <w:rsid w:val="00F20D17"/>
    <w:rsid w:val="00F2103E"/>
    <w:rsid w:val="00F214FC"/>
    <w:rsid w:val="00F21C31"/>
    <w:rsid w:val="00F220A9"/>
    <w:rsid w:val="00F23825"/>
    <w:rsid w:val="00F2389A"/>
    <w:rsid w:val="00F23FFF"/>
    <w:rsid w:val="00F2441D"/>
    <w:rsid w:val="00F24FAA"/>
    <w:rsid w:val="00F26197"/>
    <w:rsid w:val="00F264D6"/>
    <w:rsid w:val="00F26FDA"/>
    <w:rsid w:val="00F273D4"/>
    <w:rsid w:val="00F27D6C"/>
    <w:rsid w:val="00F307DD"/>
    <w:rsid w:val="00F3159B"/>
    <w:rsid w:val="00F318FC"/>
    <w:rsid w:val="00F31F76"/>
    <w:rsid w:val="00F325A3"/>
    <w:rsid w:val="00F32939"/>
    <w:rsid w:val="00F3364D"/>
    <w:rsid w:val="00F35ACD"/>
    <w:rsid w:val="00F365BF"/>
    <w:rsid w:val="00F36BF8"/>
    <w:rsid w:val="00F375BA"/>
    <w:rsid w:val="00F37760"/>
    <w:rsid w:val="00F403D1"/>
    <w:rsid w:val="00F43921"/>
    <w:rsid w:val="00F43D2E"/>
    <w:rsid w:val="00F44E1B"/>
    <w:rsid w:val="00F4524F"/>
    <w:rsid w:val="00F45530"/>
    <w:rsid w:val="00F4591F"/>
    <w:rsid w:val="00F47321"/>
    <w:rsid w:val="00F4736B"/>
    <w:rsid w:val="00F47997"/>
    <w:rsid w:val="00F47D05"/>
    <w:rsid w:val="00F50030"/>
    <w:rsid w:val="00F502F5"/>
    <w:rsid w:val="00F50B9D"/>
    <w:rsid w:val="00F51FC9"/>
    <w:rsid w:val="00F53243"/>
    <w:rsid w:val="00F53579"/>
    <w:rsid w:val="00F541ED"/>
    <w:rsid w:val="00F54B30"/>
    <w:rsid w:val="00F54B31"/>
    <w:rsid w:val="00F54FD3"/>
    <w:rsid w:val="00F55605"/>
    <w:rsid w:val="00F57CD7"/>
    <w:rsid w:val="00F62F02"/>
    <w:rsid w:val="00F6339F"/>
    <w:rsid w:val="00F63DDE"/>
    <w:rsid w:val="00F63FB7"/>
    <w:rsid w:val="00F64726"/>
    <w:rsid w:val="00F6561A"/>
    <w:rsid w:val="00F66243"/>
    <w:rsid w:val="00F665EB"/>
    <w:rsid w:val="00F70309"/>
    <w:rsid w:val="00F7078A"/>
    <w:rsid w:val="00F70E45"/>
    <w:rsid w:val="00F727D5"/>
    <w:rsid w:val="00F72F44"/>
    <w:rsid w:val="00F73A0C"/>
    <w:rsid w:val="00F7596B"/>
    <w:rsid w:val="00F759DC"/>
    <w:rsid w:val="00F7717C"/>
    <w:rsid w:val="00F771A5"/>
    <w:rsid w:val="00F77693"/>
    <w:rsid w:val="00F77D04"/>
    <w:rsid w:val="00F81697"/>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36EF"/>
    <w:rsid w:val="00FA7644"/>
    <w:rsid w:val="00FB0A9A"/>
    <w:rsid w:val="00FB16AD"/>
    <w:rsid w:val="00FB483B"/>
    <w:rsid w:val="00FB56F1"/>
    <w:rsid w:val="00FB5FD4"/>
    <w:rsid w:val="00FB6555"/>
    <w:rsid w:val="00FB6798"/>
    <w:rsid w:val="00FB67F3"/>
    <w:rsid w:val="00FC0D8A"/>
    <w:rsid w:val="00FC0E5F"/>
    <w:rsid w:val="00FC135D"/>
    <w:rsid w:val="00FC34A6"/>
    <w:rsid w:val="00FC3C84"/>
    <w:rsid w:val="00FC454B"/>
    <w:rsid w:val="00FC4660"/>
    <w:rsid w:val="00FC56DE"/>
    <w:rsid w:val="00FC5E01"/>
    <w:rsid w:val="00FD1261"/>
    <w:rsid w:val="00FD1627"/>
    <w:rsid w:val="00FD1BBD"/>
    <w:rsid w:val="00FD3B11"/>
    <w:rsid w:val="00FD473D"/>
    <w:rsid w:val="00FD4AAA"/>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6A7D"/>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uiPriority w:val="99"/>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uiPriority w:val="99"/>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Normlnweb">
    <w:name w:val="Normal (Web)"/>
    <w:basedOn w:val="Normln"/>
    <w:uiPriority w:val="99"/>
    <w:semiHidden/>
    <w:unhideWhenUsed/>
    <w:locked/>
    <w:rsid w:val="00FB6555"/>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55325993">
      <w:bodyDiv w:val="1"/>
      <w:marLeft w:val="0"/>
      <w:marRight w:val="0"/>
      <w:marTop w:val="0"/>
      <w:marBottom w:val="0"/>
      <w:divBdr>
        <w:top w:val="none" w:sz="0" w:space="0" w:color="auto"/>
        <w:left w:val="none" w:sz="0" w:space="0" w:color="auto"/>
        <w:bottom w:val="none" w:sz="0" w:space="0" w:color="auto"/>
        <w:right w:val="none" w:sz="0" w:space="0" w:color="auto"/>
      </w:divBdr>
    </w:div>
    <w:div w:id="63526688">
      <w:bodyDiv w:val="1"/>
      <w:marLeft w:val="0"/>
      <w:marRight w:val="0"/>
      <w:marTop w:val="0"/>
      <w:marBottom w:val="0"/>
      <w:divBdr>
        <w:top w:val="none" w:sz="0" w:space="0" w:color="auto"/>
        <w:left w:val="none" w:sz="0" w:space="0" w:color="auto"/>
        <w:bottom w:val="none" w:sz="0" w:space="0" w:color="auto"/>
        <w:right w:val="none" w:sz="0" w:space="0" w:color="auto"/>
      </w:divBdr>
    </w:div>
    <w:div w:id="114445636">
      <w:bodyDiv w:val="1"/>
      <w:marLeft w:val="0"/>
      <w:marRight w:val="0"/>
      <w:marTop w:val="0"/>
      <w:marBottom w:val="0"/>
      <w:divBdr>
        <w:top w:val="none" w:sz="0" w:space="0" w:color="auto"/>
        <w:left w:val="none" w:sz="0" w:space="0" w:color="auto"/>
        <w:bottom w:val="none" w:sz="0" w:space="0" w:color="auto"/>
        <w:right w:val="none" w:sz="0" w:space="0" w:color="auto"/>
      </w:divBdr>
    </w:div>
    <w:div w:id="228855498">
      <w:bodyDiv w:val="1"/>
      <w:marLeft w:val="0"/>
      <w:marRight w:val="0"/>
      <w:marTop w:val="0"/>
      <w:marBottom w:val="0"/>
      <w:divBdr>
        <w:top w:val="none" w:sz="0" w:space="0" w:color="auto"/>
        <w:left w:val="none" w:sz="0" w:space="0" w:color="auto"/>
        <w:bottom w:val="none" w:sz="0" w:space="0" w:color="auto"/>
        <w:right w:val="none" w:sz="0" w:space="0" w:color="auto"/>
      </w:divBdr>
    </w:div>
    <w:div w:id="484053728">
      <w:bodyDiv w:val="1"/>
      <w:marLeft w:val="0"/>
      <w:marRight w:val="0"/>
      <w:marTop w:val="0"/>
      <w:marBottom w:val="0"/>
      <w:divBdr>
        <w:top w:val="none" w:sz="0" w:space="0" w:color="auto"/>
        <w:left w:val="none" w:sz="0" w:space="0" w:color="auto"/>
        <w:bottom w:val="none" w:sz="0" w:space="0" w:color="auto"/>
        <w:right w:val="none" w:sz="0" w:space="0" w:color="auto"/>
      </w:divBdr>
    </w:div>
    <w:div w:id="506218342">
      <w:bodyDiv w:val="1"/>
      <w:marLeft w:val="0"/>
      <w:marRight w:val="0"/>
      <w:marTop w:val="0"/>
      <w:marBottom w:val="0"/>
      <w:divBdr>
        <w:top w:val="none" w:sz="0" w:space="0" w:color="auto"/>
        <w:left w:val="none" w:sz="0" w:space="0" w:color="auto"/>
        <w:bottom w:val="none" w:sz="0" w:space="0" w:color="auto"/>
        <w:right w:val="none" w:sz="0" w:space="0" w:color="auto"/>
      </w:divBdr>
    </w:div>
    <w:div w:id="529296442">
      <w:bodyDiv w:val="1"/>
      <w:marLeft w:val="0"/>
      <w:marRight w:val="0"/>
      <w:marTop w:val="0"/>
      <w:marBottom w:val="0"/>
      <w:divBdr>
        <w:top w:val="none" w:sz="0" w:space="0" w:color="auto"/>
        <w:left w:val="none" w:sz="0" w:space="0" w:color="auto"/>
        <w:bottom w:val="none" w:sz="0" w:space="0" w:color="auto"/>
        <w:right w:val="none" w:sz="0" w:space="0" w:color="auto"/>
      </w:divBdr>
    </w:div>
    <w:div w:id="603079723">
      <w:bodyDiv w:val="1"/>
      <w:marLeft w:val="0"/>
      <w:marRight w:val="0"/>
      <w:marTop w:val="0"/>
      <w:marBottom w:val="0"/>
      <w:divBdr>
        <w:top w:val="none" w:sz="0" w:space="0" w:color="auto"/>
        <w:left w:val="none" w:sz="0" w:space="0" w:color="auto"/>
        <w:bottom w:val="none" w:sz="0" w:space="0" w:color="auto"/>
        <w:right w:val="none" w:sz="0" w:space="0" w:color="auto"/>
      </w:divBdr>
    </w:div>
    <w:div w:id="614944147">
      <w:bodyDiv w:val="1"/>
      <w:marLeft w:val="0"/>
      <w:marRight w:val="0"/>
      <w:marTop w:val="0"/>
      <w:marBottom w:val="0"/>
      <w:divBdr>
        <w:top w:val="none" w:sz="0" w:space="0" w:color="auto"/>
        <w:left w:val="none" w:sz="0" w:space="0" w:color="auto"/>
        <w:bottom w:val="none" w:sz="0" w:space="0" w:color="auto"/>
        <w:right w:val="none" w:sz="0" w:space="0" w:color="auto"/>
      </w:divBdr>
    </w:div>
    <w:div w:id="628823926">
      <w:bodyDiv w:val="1"/>
      <w:marLeft w:val="0"/>
      <w:marRight w:val="0"/>
      <w:marTop w:val="0"/>
      <w:marBottom w:val="0"/>
      <w:divBdr>
        <w:top w:val="none" w:sz="0" w:space="0" w:color="auto"/>
        <w:left w:val="none" w:sz="0" w:space="0" w:color="auto"/>
        <w:bottom w:val="none" w:sz="0" w:space="0" w:color="auto"/>
        <w:right w:val="none" w:sz="0" w:space="0" w:color="auto"/>
      </w:divBdr>
    </w:div>
    <w:div w:id="732390569">
      <w:bodyDiv w:val="1"/>
      <w:marLeft w:val="0"/>
      <w:marRight w:val="0"/>
      <w:marTop w:val="0"/>
      <w:marBottom w:val="0"/>
      <w:divBdr>
        <w:top w:val="none" w:sz="0" w:space="0" w:color="auto"/>
        <w:left w:val="none" w:sz="0" w:space="0" w:color="auto"/>
        <w:bottom w:val="none" w:sz="0" w:space="0" w:color="auto"/>
        <w:right w:val="none" w:sz="0" w:space="0" w:color="auto"/>
      </w:divBdr>
    </w:div>
    <w:div w:id="748962139">
      <w:bodyDiv w:val="1"/>
      <w:marLeft w:val="0"/>
      <w:marRight w:val="0"/>
      <w:marTop w:val="0"/>
      <w:marBottom w:val="0"/>
      <w:divBdr>
        <w:top w:val="none" w:sz="0" w:space="0" w:color="auto"/>
        <w:left w:val="none" w:sz="0" w:space="0" w:color="auto"/>
        <w:bottom w:val="none" w:sz="0" w:space="0" w:color="auto"/>
        <w:right w:val="none" w:sz="0" w:space="0" w:color="auto"/>
      </w:divBdr>
    </w:div>
    <w:div w:id="767968854">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034768594">
      <w:bodyDiv w:val="1"/>
      <w:marLeft w:val="0"/>
      <w:marRight w:val="0"/>
      <w:marTop w:val="0"/>
      <w:marBottom w:val="0"/>
      <w:divBdr>
        <w:top w:val="none" w:sz="0" w:space="0" w:color="auto"/>
        <w:left w:val="none" w:sz="0" w:space="0" w:color="auto"/>
        <w:bottom w:val="none" w:sz="0" w:space="0" w:color="auto"/>
        <w:right w:val="none" w:sz="0" w:space="0" w:color="auto"/>
      </w:divBdr>
    </w:div>
    <w:div w:id="1069040061">
      <w:bodyDiv w:val="1"/>
      <w:marLeft w:val="0"/>
      <w:marRight w:val="0"/>
      <w:marTop w:val="0"/>
      <w:marBottom w:val="0"/>
      <w:divBdr>
        <w:top w:val="none" w:sz="0" w:space="0" w:color="auto"/>
        <w:left w:val="none" w:sz="0" w:space="0" w:color="auto"/>
        <w:bottom w:val="none" w:sz="0" w:space="0" w:color="auto"/>
        <w:right w:val="none" w:sz="0" w:space="0" w:color="auto"/>
      </w:divBdr>
    </w:div>
    <w:div w:id="1082026530">
      <w:bodyDiv w:val="1"/>
      <w:marLeft w:val="0"/>
      <w:marRight w:val="0"/>
      <w:marTop w:val="0"/>
      <w:marBottom w:val="0"/>
      <w:divBdr>
        <w:top w:val="none" w:sz="0" w:space="0" w:color="auto"/>
        <w:left w:val="none" w:sz="0" w:space="0" w:color="auto"/>
        <w:bottom w:val="none" w:sz="0" w:space="0" w:color="auto"/>
        <w:right w:val="none" w:sz="0" w:space="0" w:color="auto"/>
      </w:divBdr>
    </w:div>
    <w:div w:id="1212232217">
      <w:bodyDiv w:val="1"/>
      <w:marLeft w:val="0"/>
      <w:marRight w:val="0"/>
      <w:marTop w:val="0"/>
      <w:marBottom w:val="0"/>
      <w:divBdr>
        <w:top w:val="none" w:sz="0" w:space="0" w:color="auto"/>
        <w:left w:val="none" w:sz="0" w:space="0" w:color="auto"/>
        <w:bottom w:val="none" w:sz="0" w:space="0" w:color="auto"/>
        <w:right w:val="none" w:sz="0" w:space="0" w:color="auto"/>
      </w:divBdr>
    </w:div>
    <w:div w:id="1273784873">
      <w:bodyDiv w:val="1"/>
      <w:marLeft w:val="0"/>
      <w:marRight w:val="0"/>
      <w:marTop w:val="0"/>
      <w:marBottom w:val="0"/>
      <w:divBdr>
        <w:top w:val="none" w:sz="0" w:space="0" w:color="auto"/>
        <w:left w:val="none" w:sz="0" w:space="0" w:color="auto"/>
        <w:bottom w:val="none" w:sz="0" w:space="0" w:color="auto"/>
        <w:right w:val="none" w:sz="0" w:space="0" w:color="auto"/>
      </w:divBdr>
    </w:div>
    <w:div w:id="1305233296">
      <w:bodyDiv w:val="1"/>
      <w:marLeft w:val="0"/>
      <w:marRight w:val="0"/>
      <w:marTop w:val="0"/>
      <w:marBottom w:val="0"/>
      <w:divBdr>
        <w:top w:val="none" w:sz="0" w:space="0" w:color="auto"/>
        <w:left w:val="none" w:sz="0" w:space="0" w:color="auto"/>
        <w:bottom w:val="none" w:sz="0" w:space="0" w:color="auto"/>
        <w:right w:val="none" w:sz="0" w:space="0" w:color="auto"/>
      </w:divBdr>
    </w:div>
    <w:div w:id="1305769490">
      <w:bodyDiv w:val="1"/>
      <w:marLeft w:val="0"/>
      <w:marRight w:val="0"/>
      <w:marTop w:val="0"/>
      <w:marBottom w:val="0"/>
      <w:divBdr>
        <w:top w:val="none" w:sz="0" w:space="0" w:color="auto"/>
        <w:left w:val="none" w:sz="0" w:space="0" w:color="auto"/>
        <w:bottom w:val="none" w:sz="0" w:space="0" w:color="auto"/>
        <w:right w:val="none" w:sz="0" w:space="0" w:color="auto"/>
      </w:divBdr>
    </w:div>
    <w:div w:id="1328821066">
      <w:bodyDiv w:val="1"/>
      <w:marLeft w:val="0"/>
      <w:marRight w:val="0"/>
      <w:marTop w:val="0"/>
      <w:marBottom w:val="0"/>
      <w:divBdr>
        <w:top w:val="none" w:sz="0" w:space="0" w:color="auto"/>
        <w:left w:val="none" w:sz="0" w:space="0" w:color="auto"/>
        <w:bottom w:val="none" w:sz="0" w:space="0" w:color="auto"/>
        <w:right w:val="none" w:sz="0" w:space="0" w:color="auto"/>
      </w:divBdr>
    </w:div>
    <w:div w:id="1335111794">
      <w:bodyDiv w:val="1"/>
      <w:marLeft w:val="0"/>
      <w:marRight w:val="0"/>
      <w:marTop w:val="0"/>
      <w:marBottom w:val="0"/>
      <w:divBdr>
        <w:top w:val="none" w:sz="0" w:space="0" w:color="auto"/>
        <w:left w:val="none" w:sz="0" w:space="0" w:color="auto"/>
        <w:bottom w:val="none" w:sz="0" w:space="0" w:color="auto"/>
        <w:right w:val="none" w:sz="0" w:space="0" w:color="auto"/>
      </w:divBdr>
    </w:div>
    <w:div w:id="1337685621">
      <w:bodyDiv w:val="1"/>
      <w:marLeft w:val="0"/>
      <w:marRight w:val="0"/>
      <w:marTop w:val="0"/>
      <w:marBottom w:val="0"/>
      <w:divBdr>
        <w:top w:val="none" w:sz="0" w:space="0" w:color="auto"/>
        <w:left w:val="none" w:sz="0" w:space="0" w:color="auto"/>
        <w:bottom w:val="none" w:sz="0" w:space="0" w:color="auto"/>
        <w:right w:val="none" w:sz="0" w:space="0" w:color="auto"/>
      </w:divBdr>
    </w:div>
    <w:div w:id="1338507400">
      <w:bodyDiv w:val="1"/>
      <w:marLeft w:val="0"/>
      <w:marRight w:val="0"/>
      <w:marTop w:val="0"/>
      <w:marBottom w:val="0"/>
      <w:divBdr>
        <w:top w:val="none" w:sz="0" w:space="0" w:color="auto"/>
        <w:left w:val="none" w:sz="0" w:space="0" w:color="auto"/>
        <w:bottom w:val="none" w:sz="0" w:space="0" w:color="auto"/>
        <w:right w:val="none" w:sz="0" w:space="0" w:color="auto"/>
      </w:divBdr>
    </w:div>
    <w:div w:id="1450736267">
      <w:bodyDiv w:val="1"/>
      <w:marLeft w:val="0"/>
      <w:marRight w:val="0"/>
      <w:marTop w:val="0"/>
      <w:marBottom w:val="0"/>
      <w:divBdr>
        <w:top w:val="none" w:sz="0" w:space="0" w:color="auto"/>
        <w:left w:val="none" w:sz="0" w:space="0" w:color="auto"/>
        <w:bottom w:val="none" w:sz="0" w:space="0" w:color="auto"/>
        <w:right w:val="none" w:sz="0" w:space="0" w:color="auto"/>
      </w:divBdr>
    </w:div>
    <w:div w:id="1510412218">
      <w:bodyDiv w:val="1"/>
      <w:marLeft w:val="0"/>
      <w:marRight w:val="0"/>
      <w:marTop w:val="0"/>
      <w:marBottom w:val="0"/>
      <w:divBdr>
        <w:top w:val="none" w:sz="0" w:space="0" w:color="auto"/>
        <w:left w:val="none" w:sz="0" w:space="0" w:color="auto"/>
        <w:bottom w:val="none" w:sz="0" w:space="0" w:color="auto"/>
        <w:right w:val="none" w:sz="0" w:space="0" w:color="auto"/>
      </w:divBdr>
    </w:div>
    <w:div w:id="1526557819">
      <w:bodyDiv w:val="1"/>
      <w:marLeft w:val="0"/>
      <w:marRight w:val="0"/>
      <w:marTop w:val="0"/>
      <w:marBottom w:val="0"/>
      <w:divBdr>
        <w:top w:val="none" w:sz="0" w:space="0" w:color="auto"/>
        <w:left w:val="none" w:sz="0" w:space="0" w:color="auto"/>
        <w:bottom w:val="none" w:sz="0" w:space="0" w:color="auto"/>
        <w:right w:val="none" w:sz="0" w:space="0" w:color="auto"/>
      </w:divBdr>
    </w:div>
    <w:div w:id="1601647280">
      <w:bodyDiv w:val="1"/>
      <w:marLeft w:val="0"/>
      <w:marRight w:val="0"/>
      <w:marTop w:val="0"/>
      <w:marBottom w:val="0"/>
      <w:divBdr>
        <w:top w:val="none" w:sz="0" w:space="0" w:color="auto"/>
        <w:left w:val="none" w:sz="0" w:space="0" w:color="auto"/>
        <w:bottom w:val="none" w:sz="0" w:space="0" w:color="auto"/>
        <w:right w:val="none" w:sz="0" w:space="0" w:color="auto"/>
      </w:divBdr>
    </w:div>
    <w:div w:id="1619215650">
      <w:bodyDiv w:val="1"/>
      <w:marLeft w:val="0"/>
      <w:marRight w:val="0"/>
      <w:marTop w:val="0"/>
      <w:marBottom w:val="0"/>
      <w:divBdr>
        <w:top w:val="none" w:sz="0" w:space="0" w:color="auto"/>
        <w:left w:val="none" w:sz="0" w:space="0" w:color="auto"/>
        <w:bottom w:val="none" w:sz="0" w:space="0" w:color="auto"/>
        <w:right w:val="none" w:sz="0" w:space="0" w:color="auto"/>
      </w:divBdr>
    </w:div>
    <w:div w:id="1643073884">
      <w:bodyDiv w:val="1"/>
      <w:marLeft w:val="0"/>
      <w:marRight w:val="0"/>
      <w:marTop w:val="0"/>
      <w:marBottom w:val="0"/>
      <w:divBdr>
        <w:top w:val="none" w:sz="0" w:space="0" w:color="auto"/>
        <w:left w:val="none" w:sz="0" w:space="0" w:color="auto"/>
        <w:bottom w:val="none" w:sz="0" w:space="0" w:color="auto"/>
        <w:right w:val="none" w:sz="0" w:space="0" w:color="auto"/>
      </w:divBdr>
    </w:div>
    <w:div w:id="1682510105">
      <w:bodyDiv w:val="1"/>
      <w:marLeft w:val="0"/>
      <w:marRight w:val="0"/>
      <w:marTop w:val="0"/>
      <w:marBottom w:val="0"/>
      <w:divBdr>
        <w:top w:val="none" w:sz="0" w:space="0" w:color="auto"/>
        <w:left w:val="none" w:sz="0" w:space="0" w:color="auto"/>
        <w:bottom w:val="none" w:sz="0" w:space="0" w:color="auto"/>
        <w:right w:val="none" w:sz="0" w:space="0" w:color="auto"/>
      </w:divBdr>
    </w:div>
    <w:div w:id="1698966458">
      <w:bodyDiv w:val="1"/>
      <w:marLeft w:val="0"/>
      <w:marRight w:val="0"/>
      <w:marTop w:val="0"/>
      <w:marBottom w:val="0"/>
      <w:divBdr>
        <w:top w:val="none" w:sz="0" w:space="0" w:color="auto"/>
        <w:left w:val="none" w:sz="0" w:space="0" w:color="auto"/>
        <w:bottom w:val="none" w:sz="0" w:space="0" w:color="auto"/>
        <w:right w:val="none" w:sz="0" w:space="0" w:color="auto"/>
      </w:divBdr>
    </w:div>
    <w:div w:id="1719623276">
      <w:bodyDiv w:val="1"/>
      <w:marLeft w:val="0"/>
      <w:marRight w:val="0"/>
      <w:marTop w:val="0"/>
      <w:marBottom w:val="0"/>
      <w:divBdr>
        <w:top w:val="none" w:sz="0" w:space="0" w:color="auto"/>
        <w:left w:val="none" w:sz="0" w:space="0" w:color="auto"/>
        <w:bottom w:val="none" w:sz="0" w:space="0" w:color="auto"/>
        <w:right w:val="none" w:sz="0" w:space="0" w:color="auto"/>
      </w:divBdr>
    </w:div>
    <w:div w:id="1877886469">
      <w:bodyDiv w:val="1"/>
      <w:marLeft w:val="0"/>
      <w:marRight w:val="0"/>
      <w:marTop w:val="0"/>
      <w:marBottom w:val="0"/>
      <w:divBdr>
        <w:top w:val="none" w:sz="0" w:space="0" w:color="auto"/>
        <w:left w:val="none" w:sz="0" w:space="0" w:color="auto"/>
        <w:bottom w:val="none" w:sz="0" w:space="0" w:color="auto"/>
        <w:right w:val="none" w:sz="0" w:space="0" w:color="auto"/>
      </w:divBdr>
    </w:div>
    <w:div w:id="1911116916">
      <w:bodyDiv w:val="1"/>
      <w:marLeft w:val="0"/>
      <w:marRight w:val="0"/>
      <w:marTop w:val="0"/>
      <w:marBottom w:val="0"/>
      <w:divBdr>
        <w:top w:val="none" w:sz="0" w:space="0" w:color="auto"/>
        <w:left w:val="none" w:sz="0" w:space="0" w:color="auto"/>
        <w:bottom w:val="none" w:sz="0" w:space="0" w:color="auto"/>
        <w:right w:val="none" w:sz="0" w:space="0" w:color="auto"/>
      </w:divBdr>
    </w:div>
    <w:div w:id="2040230636">
      <w:bodyDiv w:val="1"/>
      <w:marLeft w:val="0"/>
      <w:marRight w:val="0"/>
      <w:marTop w:val="0"/>
      <w:marBottom w:val="0"/>
      <w:divBdr>
        <w:top w:val="none" w:sz="0" w:space="0" w:color="auto"/>
        <w:left w:val="none" w:sz="0" w:space="0" w:color="auto"/>
        <w:bottom w:val="none" w:sz="0" w:space="0" w:color="auto"/>
        <w:right w:val="none" w:sz="0" w:space="0" w:color="auto"/>
      </w:divBdr>
    </w:div>
    <w:div w:id="2085099298">
      <w:bodyDiv w:val="1"/>
      <w:marLeft w:val="0"/>
      <w:marRight w:val="0"/>
      <w:marTop w:val="0"/>
      <w:marBottom w:val="0"/>
      <w:divBdr>
        <w:top w:val="none" w:sz="0" w:space="0" w:color="auto"/>
        <w:left w:val="none" w:sz="0" w:space="0" w:color="auto"/>
        <w:bottom w:val="none" w:sz="0" w:space="0" w:color="auto"/>
        <w:right w:val="none" w:sz="0" w:space="0" w:color="auto"/>
      </w:divBdr>
    </w:div>
    <w:div w:id="2097482922">
      <w:bodyDiv w:val="1"/>
      <w:marLeft w:val="0"/>
      <w:marRight w:val="0"/>
      <w:marTop w:val="0"/>
      <w:marBottom w:val="0"/>
      <w:divBdr>
        <w:top w:val="none" w:sz="0" w:space="0" w:color="auto"/>
        <w:left w:val="none" w:sz="0" w:space="0" w:color="auto"/>
        <w:bottom w:val="none" w:sz="0" w:space="0" w:color="auto"/>
        <w:right w:val="none" w:sz="0" w:space="0" w:color="auto"/>
      </w:divBdr>
    </w:div>
    <w:div w:id="21245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51"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9B60A-DBB2-4A90-98AF-44921E08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2</TotalTime>
  <Pages>5</Pages>
  <Words>3111</Words>
  <Characters>18355</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2016-10-19T12:45:00Z</cp:lastPrinted>
  <dcterms:created xsi:type="dcterms:W3CDTF">2016-10-21T17:01:00Z</dcterms:created>
  <dcterms:modified xsi:type="dcterms:W3CDTF">2016-10-21T17:02:00Z</dcterms:modified>
</cp:coreProperties>
</file>