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A62" w:rsidRPr="00F43D2E" w:rsidRDefault="00DD2A62" w:rsidP="00DD2A62">
      <w:pPr>
        <w:pStyle w:val="Odstavecseseznamem"/>
        <w:rPr>
          <w:sz w:val="2"/>
          <w:szCs w:val="2"/>
          <w:lang w:val="en-GB"/>
        </w:rPr>
      </w:pPr>
    </w:p>
    <w:p w:rsidR="00DD2A62" w:rsidRPr="00F43D2E" w:rsidRDefault="00DD2A62" w:rsidP="00DD2A62">
      <w:pPr>
        <w:pStyle w:val="Textpoznpodarou"/>
        <w:numPr>
          <w:ilvl w:val="0"/>
          <w:numId w:val="2"/>
        </w:numPr>
        <w:ind w:left="425" w:hanging="357"/>
        <w:jc w:val="both"/>
        <w:rPr>
          <w:sz w:val="2"/>
          <w:szCs w:val="2"/>
          <w:lang w:val="en-GB"/>
        </w:rPr>
      </w:pPr>
    </w:p>
    <w:p w:rsidR="00960769" w:rsidRPr="00F43D2E" w:rsidRDefault="0063769A" w:rsidP="00960769">
      <w:pPr>
        <w:pStyle w:val="Nadpis1"/>
        <w:numPr>
          <w:ilvl w:val="0"/>
          <w:numId w:val="3"/>
        </w:numPr>
        <w:jc w:val="both"/>
        <w:rPr>
          <w:lang w:val="en-GB"/>
        </w:rPr>
      </w:pPr>
      <w:bookmarkStart w:id="0" w:name="_Toc454185149"/>
      <w:r w:rsidRPr="00F43D2E">
        <w:rPr>
          <w:lang w:val="en-GB"/>
        </w:rPr>
        <w:t>Overall Economic Performance</w:t>
      </w:r>
      <w:bookmarkEnd w:id="0"/>
    </w:p>
    <w:tbl>
      <w:tblPr>
        <w:tblW w:w="5000" w:type="pct"/>
        <w:tblLayout w:type="fixed"/>
        <w:tblLook w:val="00A0"/>
      </w:tblPr>
      <w:tblGrid>
        <w:gridCol w:w="2077"/>
        <w:gridCol w:w="282"/>
        <w:gridCol w:w="7495"/>
      </w:tblGrid>
      <w:tr w:rsidR="001550F3" w:rsidRPr="00F43D2E" w:rsidTr="00AF5D62">
        <w:tc>
          <w:tcPr>
            <w:tcW w:w="1054" w:type="pct"/>
          </w:tcPr>
          <w:p w:rsidR="001550F3" w:rsidRPr="00F43D2E" w:rsidRDefault="00E81543" w:rsidP="00E81543">
            <w:pPr>
              <w:spacing w:line="240" w:lineRule="auto"/>
              <w:rPr>
                <w:sz w:val="16"/>
                <w:szCs w:val="16"/>
                <w:highlight w:val="yellow"/>
                <w:lang w:val="en-GB"/>
              </w:rPr>
            </w:pPr>
            <w:r w:rsidRPr="00F43D2E">
              <w:rPr>
                <w:sz w:val="16"/>
                <w:szCs w:val="16"/>
                <w:lang w:val="en-GB"/>
              </w:rPr>
              <w:t>The growth of the economy of the Czech Republic continued also in Q2 2016, in addition it even mildly accelerated compared to Q1. Bo</w:t>
            </w:r>
            <w:r w:rsidR="00EF1542">
              <w:rPr>
                <w:sz w:val="16"/>
                <w:szCs w:val="16"/>
                <w:lang w:val="en-GB"/>
              </w:rPr>
              <w:t>th GDP and GVA increased by 0.9</w:t>
            </w:r>
            <w:r w:rsidRPr="00F43D2E">
              <w:rPr>
                <w:sz w:val="16"/>
                <w:szCs w:val="16"/>
                <w:lang w:val="en-GB"/>
              </w:rPr>
              <w:t xml:space="preserve">% year-on-year… </w:t>
            </w:r>
          </w:p>
        </w:tc>
        <w:tc>
          <w:tcPr>
            <w:tcW w:w="143" w:type="pct"/>
          </w:tcPr>
          <w:p w:rsidR="001550F3" w:rsidRPr="00F43D2E" w:rsidRDefault="001550F3" w:rsidP="00AF5D62">
            <w:pPr>
              <w:pStyle w:val="Textpoznpodarou"/>
              <w:jc w:val="both"/>
              <w:rPr>
                <w:lang w:val="en-GB"/>
              </w:rPr>
            </w:pPr>
          </w:p>
        </w:tc>
        <w:tc>
          <w:tcPr>
            <w:tcW w:w="3803" w:type="pct"/>
          </w:tcPr>
          <w:p w:rsidR="001550F3" w:rsidRPr="00F43D2E" w:rsidRDefault="00BE272F" w:rsidP="00AF5D62">
            <w:pPr>
              <w:pStyle w:val="Textpoznpodarou"/>
              <w:jc w:val="both"/>
              <w:rPr>
                <w:lang w:val="en-GB"/>
              </w:rPr>
            </w:pPr>
            <w:r w:rsidRPr="00F43D2E">
              <w:rPr>
                <w:lang w:val="en-GB"/>
              </w:rPr>
              <w:t>The stable economic growth of the Czech economy from the last years continued also in Q2 2016.</w:t>
            </w:r>
            <w:r w:rsidR="0099684C" w:rsidRPr="00F43D2E">
              <w:rPr>
                <w:rStyle w:val="Znakapoznpodarou"/>
                <w:lang w:val="en-GB"/>
              </w:rPr>
              <w:footnoteReference w:id="1"/>
            </w:r>
            <w:r w:rsidR="001550F3" w:rsidRPr="00F43D2E">
              <w:rPr>
                <w:lang w:val="en-GB"/>
              </w:rPr>
              <w:t xml:space="preserve"> </w:t>
            </w:r>
            <w:r w:rsidRPr="00F43D2E">
              <w:rPr>
                <w:lang w:val="en-GB"/>
              </w:rPr>
              <w:t>It is evidence</w:t>
            </w:r>
            <w:r w:rsidR="00DC213A" w:rsidRPr="00F43D2E">
              <w:rPr>
                <w:lang w:val="en-GB"/>
              </w:rPr>
              <w:t>d</w:t>
            </w:r>
            <w:r w:rsidRPr="00F43D2E">
              <w:rPr>
                <w:lang w:val="en-GB"/>
              </w:rPr>
              <w:t xml:space="preserve"> by the development of the gross domestic product (GDP) as well as the gross value added (GVA). Bo</w:t>
            </w:r>
            <w:r w:rsidR="00EF1542">
              <w:rPr>
                <w:lang w:val="en-GB"/>
              </w:rPr>
              <w:t>th GDP and GVA increased by 0.9</w:t>
            </w:r>
            <w:r w:rsidRPr="00F43D2E">
              <w:rPr>
                <w:lang w:val="en-GB"/>
              </w:rPr>
              <w:t xml:space="preserve">% in comparison to Q1. This development signals </w:t>
            </w:r>
            <w:r w:rsidR="00B52F8A" w:rsidRPr="00F43D2E">
              <w:rPr>
                <w:lang w:val="en-GB"/>
              </w:rPr>
              <w:t>mild</w:t>
            </w:r>
            <w:r w:rsidRPr="00F43D2E">
              <w:rPr>
                <w:lang w:val="en-GB"/>
              </w:rPr>
              <w:t xml:space="preserve"> growth acceleration, since the quarter-on-quarter growth of GD</w:t>
            </w:r>
            <w:r w:rsidR="00EF1542">
              <w:rPr>
                <w:lang w:val="en-GB"/>
              </w:rPr>
              <w:t>P and GVA fluctuated around 0.4</w:t>
            </w:r>
            <w:r w:rsidRPr="00F43D2E">
              <w:rPr>
                <w:lang w:val="en-GB"/>
              </w:rPr>
              <w:t xml:space="preserve">% in Q1. It is apparent, that </w:t>
            </w:r>
            <w:r w:rsidR="00B52F8A">
              <w:rPr>
                <w:lang w:val="en-GB"/>
              </w:rPr>
              <w:t>despite of</w:t>
            </w:r>
            <w:r w:rsidRPr="00F43D2E">
              <w:rPr>
                <w:lang w:val="en-GB"/>
              </w:rPr>
              <w:t xml:space="preserve"> the subsiding of the exceptional factors supporting the economic growth in the last year (finalisation of drawing of resources from the European funds or the marked drop of the prices of oil), </w:t>
            </w:r>
            <w:proofErr w:type="gramStart"/>
            <w:r w:rsidRPr="00F43D2E">
              <w:rPr>
                <w:lang w:val="en-GB"/>
              </w:rPr>
              <w:t>the</w:t>
            </w:r>
            <w:proofErr w:type="gramEnd"/>
            <w:r w:rsidRPr="00F43D2E">
              <w:rPr>
                <w:lang w:val="en-GB"/>
              </w:rPr>
              <w:t xml:space="preserve"> economic situation remains favourable and above-average in the context of the latest years. </w:t>
            </w:r>
          </w:p>
          <w:p w:rsidR="001550F3" w:rsidRPr="00F43D2E" w:rsidRDefault="001550F3" w:rsidP="00AF5D62">
            <w:pPr>
              <w:pStyle w:val="Textpoznpodarou"/>
              <w:jc w:val="both"/>
              <w:rPr>
                <w:sz w:val="16"/>
                <w:szCs w:val="16"/>
                <w:highlight w:val="yellow"/>
                <w:lang w:val="en-GB"/>
              </w:rPr>
            </w:pPr>
          </w:p>
        </w:tc>
      </w:tr>
      <w:tr w:rsidR="001550F3" w:rsidRPr="00F43D2E" w:rsidTr="00AF5D62">
        <w:tc>
          <w:tcPr>
            <w:tcW w:w="1054" w:type="pct"/>
          </w:tcPr>
          <w:p w:rsidR="001550F3" w:rsidRPr="00F43D2E" w:rsidRDefault="001550F3" w:rsidP="00E81543">
            <w:pPr>
              <w:spacing w:line="240" w:lineRule="auto"/>
              <w:rPr>
                <w:sz w:val="16"/>
                <w:szCs w:val="16"/>
                <w:lang w:val="en-GB"/>
              </w:rPr>
            </w:pPr>
            <w:r w:rsidRPr="00F43D2E">
              <w:rPr>
                <w:sz w:val="16"/>
                <w:szCs w:val="16"/>
                <w:lang w:val="en-GB"/>
              </w:rPr>
              <w:t xml:space="preserve">… </w:t>
            </w:r>
            <w:r w:rsidR="00E81543" w:rsidRPr="00F43D2E">
              <w:rPr>
                <w:sz w:val="16"/>
                <w:szCs w:val="16"/>
                <w:lang w:val="en-GB"/>
              </w:rPr>
              <w:t>and the performance of the economy increased accor</w:t>
            </w:r>
            <w:r w:rsidR="00EF1542">
              <w:rPr>
                <w:sz w:val="16"/>
                <w:szCs w:val="16"/>
                <w:lang w:val="en-GB"/>
              </w:rPr>
              <w:t>ding to these indicators by 2.6</w:t>
            </w:r>
            <w:r w:rsidR="00E81543" w:rsidRPr="00F43D2E">
              <w:rPr>
                <w:sz w:val="16"/>
                <w:szCs w:val="16"/>
                <w:lang w:val="en-GB"/>
              </w:rPr>
              <w:t xml:space="preserve">% and 2.7% compared to the same quarter of </w:t>
            </w:r>
            <w:r w:rsidR="00F26FDA">
              <w:rPr>
                <w:sz w:val="16"/>
                <w:szCs w:val="16"/>
                <w:lang w:val="en-GB"/>
              </w:rPr>
              <w:t xml:space="preserve">the </w:t>
            </w:r>
            <w:r w:rsidR="00E81543" w:rsidRPr="00F43D2E">
              <w:rPr>
                <w:sz w:val="16"/>
                <w:szCs w:val="16"/>
                <w:lang w:val="en-GB"/>
              </w:rPr>
              <w:t xml:space="preserve">year 2015  </w:t>
            </w:r>
          </w:p>
        </w:tc>
        <w:tc>
          <w:tcPr>
            <w:tcW w:w="143" w:type="pct"/>
          </w:tcPr>
          <w:p w:rsidR="001550F3" w:rsidRPr="00F43D2E" w:rsidRDefault="001550F3" w:rsidP="00AF5D62">
            <w:pPr>
              <w:pStyle w:val="Textpoznpodarou"/>
              <w:jc w:val="both"/>
              <w:rPr>
                <w:lang w:val="en-GB"/>
              </w:rPr>
            </w:pPr>
          </w:p>
        </w:tc>
        <w:tc>
          <w:tcPr>
            <w:tcW w:w="3803" w:type="pct"/>
          </w:tcPr>
          <w:p w:rsidR="001550F3" w:rsidRPr="00F43D2E" w:rsidRDefault="00EF1542" w:rsidP="00AF5D62">
            <w:pPr>
              <w:pStyle w:val="Textpoznpodarou"/>
              <w:jc w:val="both"/>
              <w:rPr>
                <w:highlight w:val="yellow"/>
                <w:lang w:val="en-GB"/>
              </w:rPr>
            </w:pPr>
            <w:r>
              <w:rPr>
                <w:lang w:val="en-GB"/>
              </w:rPr>
              <w:t>The GDP was higher by 2.6% and GVA by 2.7</w:t>
            </w:r>
            <w:r w:rsidR="00A94EAE" w:rsidRPr="00F43D2E">
              <w:rPr>
                <w:lang w:val="en-GB"/>
              </w:rPr>
              <w:t xml:space="preserve">% in comparison to the same quarter of the preceding year. The dynamics of the GDP growth mildly decreased in Q2 </w:t>
            </w:r>
            <w:r>
              <w:rPr>
                <w:lang w:val="en-GB"/>
              </w:rPr>
              <w:t>compared to Q1 (GDP grew by 3.0</w:t>
            </w:r>
            <w:r w:rsidR="00A94EAE" w:rsidRPr="00F43D2E">
              <w:rPr>
                <w:lang w:val="en-GB"/>
              </w:rPr>
              <w:t>%)</w:t>
            </w:r>
            <w:proofErr w:type="gramStart"/>
            <w:r w:rsidR="00A94EAE" w:rsidRPr="00F43D2E">
              <w:rPr>
                <w:lang w:val="en-GB"/>
              </w:rPr>
              <w:t>,</w:t>
            </w:r>
            <w:proofErr w:type="gramEnd"/>
            <w:r w:rsidR="00A94EAE" w:rsidRPr="00F43D2E">
              <w:rPr>
                <w:lang w:val="en-GB"/>
              </w:rPr>
              <w:t xml:space="preserve"> nevertheless it was caused especially by the higher comparative basis of Q2 2015. The last year's significant economic growth peaked just in Q2 and thus the year-on-year comparison of </w:t>
            </w:r>
            <w:r w:rsidR="00F26FDA">
              <w:rPr>
                <w:lang w:val="en-GB"/>
              </w:rPr>
              <w:t xml:space="preserve">the </w:t>
            </w:r>
            <w:r w:rsidR="00A94EAE" w:rsidRPr="00F43D2E">
              <w:rPr>
                <w:lang w:val="en-GB"/>
              </w:rPr>
              <w:t xml:space="preserve">year 2016 is also affected by this development. </w:t>
            </w:r>
          </w:p>
          <w:p w:rsidR="001550F3" w:rsidRPr="00F43D2E" w:rsidRDefault="001550F3" w:rsidP="00AF5D62">
            <w:pPr>
              <w:pStyle w:val="Textpoznpodarou"/>
              <w:jc w:val="both"/>
              <w:rPr>
                <w:sz w:val="16"/>
                <w:szCs w:val="16"/>
                <w:highlight w:val="yellow"/>
                <w:lang w:val="en-GB"/>
              </w:rPr>
            </w:pPr>
          </w:p>
        </w:tc>
      </w:tr>
      <w:tr w:rsidR="001550F3" w:rsidRPr="00F43D2E" w:rsidTr="00AF5D62">
        <w:tc>
          <w:tcPr>
            <w:tcW w:w="1054" w:type="pct"/>
          </w:tcPr>
          <w:p w:rsidR="001550F3" w:rsidRPr="00F43D2E" w:rsidRDefault="00EF1542" w:rsidP="00BE272F">
            <w:pPr>
              <w:spacing w:line="240" w:lineRule="auto"/>
              <w:rPr>
                <w:sz w:val="16"/>
                <w:szCs w:val="16"/>
                <w:lang w:val="en-GB"/>
              </w:rPr>
            </w:pPr>
            <w:r>
              <w:rPr>
                <w:sz w:val="16"/>
                <w:szCs w:val="16"/>
                <w:lang w:val="en-GB"/>
              </w:rPr>
              <w:t>The GDP increased by 2.8</w:t>
            </w:r>
            <w:r w:rsidR="00BE272F" w:rsidRPr="00F43D2E">
              <w:rPr>
                <w:sz w:val="16"/>
                <w:szCs w:val="16"/>
                <w:lang w:val="en-GB"/>
              </w:rPr>
              <w:t xml:space="preserve">% year-on-year in total for the whole H1 </w:t>
            </w:r>
          </w:p>
        </w:tc>
        <w:tc>
          <w:tcPr>
            <w:tcW w:w="143" w:type="pct"/>
          </w:tcPr>
          <w:p w:rsidR="001550F3" w:rsidRPr="00F43D2E" w:rsidRDefault="001550F3" w:rsidP="00AF5D62">
            <w:pPr>
              <w:pStyle w:val="Textpoznpodarou"/>
              <w:jc w:val="both"/>
              <w:rPr>
                <w:lang w:val="en-GB"/>
              </w:rPr>
            </w:pPr>
          </w:p>
        </w:tc>
        <w:tc>
          <w:tcPr>
            <w:tcW w:w="3803" w:type="pct"/>
          </w:tcPr>
          <w:p w:rsidR="001550F3" w:rsidRPr="00F43D2E" w:rsidRDefault="00A94EAE" w:rsidP="00AF5D62">
            <w:pPr>
              <w:pStyle w:val="Textpoznpodarou"/>
              <w:jc w:val="both"/>
              <w:rPr>
                <w:lang w:val="en-GB"/>
              </w:rPr>
            </w:pPr>
            <w:r w:rsidRPr="00F43D2E">
              <w:rPr>
                <w:lang w:val="en-GB"/>
              </w:rPr>
              <w:t xml:space="preserve">The view of the whole H1 2016 </w:t>
            </w:r>
            <w:r w:rsidR="00D7344B" w:rsidRPr="00F43D2E">
              <w:rPr>
                <w:lang w:val="en-GB"/>
              </w:rPr>
              <w:t>confirms</w:t>
            </w:r>
            <w:r w:rsidRPr="00F43D2E">
              <w:rPr>
                <w:lang w:val="en-GB"/>
              </w:rPr>
              <w:t xml:space="preserve"> that the Czech economy flourished. The performance of the economy gauged by GDP increased by 1.</w:t>
            </w:r>
            <w:r w:rsidR="00EF1542">
              <w:rPr>
                <w:lang w:val="en-GB"/>
              </w:rPr>
              <w:t>0</w:t>
            </w:r>
            <w:r w:rsidRPr="00F43D2E">
              <w:rPr>
                <w:lang w:val="en-GB"/>
              </w:rPr>
              <w:t>%</w:t>
            </w:r>
            <w:r w:rsidR="00EF1542">
              <w:rPr>
                <w:lang w:val="en-GB"/>
              </w:rPr>
              <w:t xml:space="preserve"> compared to H2 2015 and by 2.8</w:t>
            </w:r>
            <w:r w:rsidRPr="00F43D2E">
              <w:rPr>
                <w:lang w:val="en-GB"/>
              </w:rPr>
              <w:t>% in comparison to the first six months of</w:t>
            </w:r>
            <w:r w:rsidR="00F26FDA">
              <w:rPr>
                <w:lang w:val="en-GB"/>
              </w:rPr>
              <w:t xml:space="preserve"> the</w:t>
            </w:r>
            <w:r w:rsidRPr="00F43D2E">
              <w:rPr>
                <w:lang w:val="en-GB"/>
              </w:rPr>
              <w:t xml:space="preserve"> year 2015. If we omit the extraordinary last year, it still represented the highest rate of growth since year 2008. </w:t>
            </w:r>
            <w:r w:rsidR="001550F3" w:rsidRPr="00F43D2E">
              <w:rPr>
                <w:lang w:val="en-GB"/>
              </w:rPr>
              <w:t xml:space="preserve"> </w:t>
            </w:r>
          </w:p>
          <w:p w:rsidR="001550F3" w:rsidRPr="00F43D2E" w:rsidRDefault="001550F3" w:rsidP="00AF5D62">
            <w:pPr>
              <w:pStyle w:val="Textpoznpodarou"/>
              <w:jc w:val="both"/>
              <w:rPr>
                <w:sz w:val="16"/>
                <w:szCs w:val="16"/>
                <w:lang w:val="en-GB"/>
              </w:rPr>
            </w:pPr>
          </w:p>
        </w:tc>
      </w:tr>
      <w:tr w:rsidR="001550F3" w:rsidRPr="00F43D2E" w:rsidTr="00AF5D62">
        <w:tc>
          <w:tcPr>
            <w:tcW w:w="1054" w:type="pct"/>
          </w:tcPr>
          <w:p w:rsidR="001550F3" w:rsidRPr="00F43D2E" w:rsidRDefault="00B92C76" w:rsidP="00B92C76">
            <w:pPr>
              <w:spacing w:line="240" w:lineRule="auto"/>
              <w:rPr>
                <w:sz w:val="16"/>
                <w:szCs w:val="16"/>
                <w:lang w:val="en-GB"/>
              </w:rPr>
            </w:pPr>
            <w:r w:rsidRPr="00F43D2E">
              <w:rPr>
                <w:sz w:val="16"/>
                <w:szCs w:val="16"/>
                <w:lang w:val="en-GB"/>
              </w:rPr>
              <w:t xml:space="preserve">The economy of the CR keeps expanding faster than the European Union both in the year-on-year and quarter-on-quarter comparison </w:t>
            </w:r>
          </w:p>
        </w:tc>
        <w:tc>
          <w:tcPr>
            <w:tcW w:w="143" w:type="pct"/>
          </w:tcPr>
          <w:p w:rsidR="001550F3" w:rsidRPr="00F43D2E" w:rsidRDefault="001550F3" w:rsidP="00AF5D62">
            <w:pPr>
              <w:pStyle w:val="Textpoznpodarou"/>
              <w:jc w:val="both"/>
              <w:rPr>
                <w:highlight w:val="green"/>
                <w:lang w:val="en-GB"/>
              </w:rPr>
            </w:pPr>
          </w:p>
        </w:tc>
        <w:tc>
          <w:tcPr>
            <w:tcW w:w="3803" w:type="pct"/>
          </w:tcPr>
          <w:p w:rsidR="001550F3" w:rsidRPr="00F43D2E" w:rsidRDefault="00B92C76" w:rsidP="00AF5D62">
            <w:pPr>
              <w:pStyle w:val="Textpoznpodarou"/>
              <w:jc w:val="both"/>
              <w:rPr>
                <w:spacing w:val="-2"/>
                <w:highlight w:val="green"/>
                <w:lang w:val="en-GB"/>
              </w:rPr>
            </w:pPr>
            <w:r w:rsidRPr="00F43D2E">
              <w:rPr>
                <w:spacing w:val="-2"/>
                <w:lang w:val="en-GB"/>
              </w:rPr>
              <w:t>T</w:t>
            </w:r>
            <w:r w:rsidRPr="00F43D2E">
              <w:rPr>
                <w:lang w:val="en-GB"/>
              </w:rPr>
              <w:t xml:space="preserve">he year-on-year growth of </w:t>
            </w:r>
            <w:r w:rsidR="00DC213A" w:rsidRPr="00F43D2E">
              <w:rPr>
                <w:lang w:val="en-GB"/>
              </w:rPr>
              <w:t xml:space="preserve">the </w:t>
            </w:r>
            <w:r w:rsidRPr="00F43D2E">
              <w:rPr>
                <w:lang w:val="en-GB"/>
              </w:rPr>
              <w:t xml:space="preserve">GDP in the CR remains despite its slow-down still stronger compared to the European Union. The domestic economy grows faster practically since stepping out of recession in 2013. Its dynamics was by 0.8 </w:t>
            </w:r>
            <w:r w:rsidR="00A95742">
              <w:rPr>
                <w:lang w:val="en-GB"/>
              </w:rPr>
              <w:t>p.p.</w:t>
            </w:r>
            <w:r w:rsidRPr="00F43D2E">
              <w:rPr>
                <w:lang w:val="en-GB"/>
              </w:rPr>
              <w:t xml:space="preserve"> </w:t>
            </w:r>
            <w:r w:rsidR="00DC213A" w:rsidRPr="00F43D2E">
              <w:rPr>
                <w:lang w:val="en-GB"/>
              </w:rPr>
              <w:t>h</w:t>
            </w:r>
            <w:r w:rsidRPr="00F43D2E">
              <w:rPr>
                <w:lang w:val="en-GB"/>
              </w:rPr>
              <w:t>igher compared to the EU28 in Q2 of this year, since the gr</w:t>
            </w:r>
            <w:r w:rsidR="00EF1542">
              <w:rPr>
                <w:lang w:val="en-GB"/>
              </w:rPr>
              <w:t>owth of the EU28 arrived at 1.8</w:t>
            </w:r>
            <w:r w:rsidRPr="00F43D2E">
              <w:rPr>
                <w:lang w:val="en-GB"/>
              </w:rPr>
              <w:t xml:space="preserve">%. The Czech economy was faster also from the view of the quarter-on-quarter rate of growth, specifically by 0.5 p.p. (given the growth of the EU28 economy </w:t>
            </w:r>
            <w:proofErr w:type="gramStart"/>
            <w:r w:rsidRPr="00F43D2E">
              <w:rPr>
                <w:lang w:val="en-GB"/>
              </w:rPr>
              <w:t>by 0.4 p.p</w:t>
            </w:r>
            <w:proofErr w:type="gramEnd"/>
            <w:r w:rsidRPr="00F43D2E">
              <w:rPr>
                <w:lang w:val="en-GB"/>
              </w:rPr>
              <w:t>.).</w:t>
            </w:r>
            <w:r w:rsidR="001550F3" w:rsidRPr="00F43D2E">
              <w:rPr>
                <w:spacing w:val="-2"/>
                <w:lang w:val="en-GB"/>
              </w:rPr>
              <w:t xml:space="preserve"> </w:t>
            </w:r>
          </w:p>
          <w:p w:rsidR="001550F3" w:rsidRPr="00F43D2E" w:rsidRDefault="001550F3" w:rsidP="00AF5D62">
            <w:pPr>
              <w:pStyle w:val="Textpoznpodarou"/>
              <w:jc w:val="both"/>
              <w:rPr>
                <w:sz w:val="16"/>
                <w:szCs w:val="16"/>
                <w:highlight w:val="green"/>
                <w:lang w:val="en-GB"/>
              </w:rPr>
            </w:pPr>
          </w:p>
        </w:tc>
      </w:tr>
      <w:tr w:rsidR="001550F3" w:rsidRPr="00F43D2E" w:rsidTr="00AF5D62">
        <w:tc>
          <w:tcPr>
            <w:tcW w:w="1054" w:type="pct"/>
          </w:tcPr>
          <w:p w:rsidR="001550F3" w:rsidRPr="00F43D2E" w:rsidRDefault="00A10CB1" w:rsidP="00A10CB1">
            <w:pPr>
              <w:spacing w:line="240" w:lineRule="auto"/>
              <w:rPr>
                <w:sz w:val="16"/>
                <w:szCs w:val="16"/>
                <w:highlight w:val="green"/>
                <w:lang w:val="en-GB"/>
              </w:rPr>
            </w:pPr>
            <w:r w:rsidRPr="00F43D2E">
              <w:rPr>
                <w:sz w:val="16"/>
                <w:szCs w:val="16"/>
                <w:lang w:val="en-GB"/>
              </w:rPr>
              <w:t xml:space="preserve">Only the Great Britain keeps growing by the above-average pace among the three largest economies of the EU </w:t>
            </w:r>
          </w:p>
        </w:tc>
        <w:tc>
          <w:tcPr>
            <w:tcW w:w="143" w:type="pct"/>
          </w:tcPr>
          <w:p w:rsidR="001550F3" w:rsidRPr="00F43D2E" w:rsidRDefault="001550F3" w:rsidP="00AF5D62">
            <w:pPr>
              <w:pStyle w:val="Textpoznpodarou"/>
              <w:jc w:val="both"/>
              <w:rPr>
                <w:highlight w:val="green"/>
                <w:lang w:val="en-GB"/>
              </w:rPr>
            </w:pPr>
          </w:p>
        </w:tc>
        <w:tc>
          <w:tcPr>
            <w:tcW w:w="3803" w:type="pct"/>
          </w:tcPr>
          <w:p w:rsidR="001550F3" w:rsidRPr="00F43D2E" w:rsidRDefault="00A10CB1" w:rsidP="00AF5D62">
            <w:pPr>
              <w:pStyle w:val="Textpoznpodarou"/>
              <w:jc w:val="both"/>
              <w:rPr>
                <w:lang w:val="en-GB"/>
              </w:rPr>
            </w:pPr>
            <w:r w:rsidRPr="00F43D2E">
              <w:rPr>
                <w:lang w:val="en-GB"/>
              </w:rPr>
              <w:t>Based on the available data for the individual countries of the EU, the GDP grew the fastest in Romania, Slovakia</w:t>
            </w:r>
            <w:bookmarkStart w:id="1" w:name="_ftnref3"/>
            <w:r w:rsidR="0099684C" w:rsidRPr="00F43D2E">
              <w:rPr>
                <w:vertAlign w:val="superscript"/>
                <w:lang w:val="en-GB"/>
              </w:rPr>
              <w:footnoteReference w:id="2"/>
            </w:r>
            <w:bookmarkEnd w:id="1"/>
            <w:r w:rsidRPr="00F43D2E">
              <w:rPr>
                <w:rFonts w:cs="Arial"/>
                <w:vertAlign w:val="superscript"/>
                <w:lang w:val="en-GB"/>
              </w:rPr>
              <w:t xml:space="preserve"> </w:t>
            </w:r>
            <w:r w:rsidRPr="00F43D2E">
              <w:rPr>
                <w:lang w:val="en-GB"/>
              </w:rPr>
              <w:t xml:space="preserve">and Spain year-on-year in Q2 2016. The Czech </w:t>
            </w:r>
            <w:r w:rsidR="00DC213A" w:rsidRPr="00F43D2E">
              <w:rPr>
                <w:lang w:val="en-GB"/>
              </w:rPr>
              <w:t>R</w:t>
            </w:r>
            <w:r w:rsidRPr="00F43D2E">
              <w:rPr>
                <w:lang w:val="en-GB"/>
              </w:rPr>
              <w:t>epublic ranked the eighth. The Great</w:t>
            </w:r>
            <w:r w:rsidR="00EF1542">
              <w:rPr>
                <w:lang w:val="en-GB"/>
              </w:rPr>
              <w:t xml:space="preserve"> Britain grew the fastest (+2.2</w:t>
            </w:r>
            <w:r w:rsidRPr="00F43D2E">
              <w:rPr>
                <w:lang w:val="en-GB"/>
              </w:rPr>
              <w:t xml:space="preserve">%) among the largest EU28 economies. Romania and Hungary grew the fastest quarter-on-quarter, the Czech </w:t>
            </w:r>
            <w:r w:rsidR="00DC213A" w:rsidRPr="00F43D2E">
              <w:rPr>
                <w:lang w:val="en-GB"/>
              </w:rPr>
              <w:t>R</w:t>
            </w:r>
            <w:r w:rsidRPr="00F43D2E">
              <w:rPr>
                <w:lang w:val="en-GB"/>
              </w:rPr>
              <w:t xml:space="preserve">epublic together with Poland and Slovakia shared the third place. </w:t>
            </w:r>
          </w:p>
          <w:p w:rsidR="001550F3" w:rsidRPr="00F43D2E" w:rsidRDefault="001550F3" w:rsidP="00AF5D62">
            <w:pPr>
              <w:pStyle w:val="Textpoznpodarou"/>
              <w:jc w:val="both"/>
              <w:rPr>
                <w:sz w:val="16"/>
                <w:szCs w:val="16"/>
                <w:highlight w:val="green"/>
                <w:lang w:val="en-GB"/>
              </w:rPr>
            </w:pPr>
          </w:p>
        </w:tc>
      </w:tr>
      <w:tr w:rsidR="001550F3" w:rsidRPr="00F43D2E" w:rsidTr="00AF5D62">
        <w:tc>
          <w:tcPr>
            <w:tcW w:w="1054" w:type="pct"/>
          </w:tcPr>
          <w:p w:rsidR="001550F3" w:rsidRPr="00F43D2E" w:rsidRDefault="00913BCD" w:rsidP="00913BCD">
            <w:pPr>
              <w:spacing w:line="240" w:lineRule="auto"/>
              <w:rPr>
                <w:sz w:val="16"/>
                <w:szCs w:val="16"/>
                <w:lang w:val="en-GB"/>
              </w:rPr>
            </w:pPr>
            <w:r w:rsidRPr="00F43D2E">
              <w:rPr>
                <w:sz w:val="16"/>
                <w:szCs w:val="16"/>
                <w:lang w:val="en-GB"/>
              </w:rPr>
              <w:t xml:space="preserve">A foreign trade was the main source of the year-on-year growth of the Czech economy in Q2 2016  </w:t>
            </w:r>
          </w:p>
        </w:tc>
        <w:tc>
          <w:tcPr>
            <w:tcW w:w="143" w:type="pct"/>
          </w:tcPr>
          <w:p w:rsidR="001550F3" w:rsidRPr="00F43D2E" w:rsidRDefault="001550F3" w:rsidP="00AF5D62">
            <w:pPr>
              <w:pStyle w:val="Textpoznpodarou"/>
              <w:jc w:val="both"/>
              <w:rPr>
                <w:lang w:val="en-GB"/>
              </w:rPr>
            </w:pPr>
          </w:p>
        </w:tc>
        <w:tc>
          <w:tcPr>
            <w:tcW w:w="3803" w:type="pct"/>
          </w:tcPr>
          <w:p w:rsidR="001550F3" w:rsidRPr="00F43D2E" w:rsidRDefault="00913BCD" w:rsidP="00AF5D62">
            <w:pPr>
              <w:pStyle w:val="Textpoznpodarou"/>
              <w:jc w:val="both"/>
              <w:rPr>
                <w:lang w:val="en-GB"/>
              </w:rPr>
            </w:pPr>
            <w:r w:rsidRPr="00F43D2E">
              <w:rPr>
                <w:lang w:val="en-GB"/>
              </w:rPr>
              <w:t xml:space="preserve">Similarly to Q1, </w:t>
            </w:r>
            <w:r w:rsidR="00B52F8A">
              <w:rPr>
                <w:lang w:val="en-GB"/>
              </w:rPr>
              <w:t>the three pillars which supported the growth most in the last year were reduced to two. Only the household consumption and foreign demand</w:t>
            </w:r>
            <w:r w:rsidRPr="00F43D2E">
              <w:rPr>
                <w:lang w:val="en-GB"/>
              </w:rPr>
              <w:t xml:space="preserve"> participated on the year-on-year growth of the CR </w:t>
            </w:r>
            <w:r w:rsidR="006A0F1B" w:rsidRPr="00F43D2E">
              <w:rPr>
                <w:lang w:val="en-GB"/>
              </w:rPr>
              <w:t>economy</w:t>
            </w:r>
            <w:r w:rsidR="006A0F1B">
              <w:rPr>
                <w:lang w:val="en-GB"/>
              </w:rPr>
              <w:t>. The</w:t>
            </w:r>
            <w:r w:rsidRPr="00F43D2E">
              <w:rPr>
                <w:lang w:val="en-GB"/>
              </w:rPr>
              <w:t xml:space="preserve"> domestic demand was driven only by the final consumption expenditure of households in Q2 2016, fuelled by the good situation on the labour market, and the government expenditure. Rising foreign demand, resp. </w:t>
            </w:r>
            <w:r w:rsidR="00DC213A" w:rsidRPr="00F43D2E">
              <w:rPr>
                <w:lang w:val="en-GB"/>
              </w:rPr>
              <w:t>t</w:t>
            </w:r>
            <w:r w:rsidRPr="00F43D2E">
              <w:rPr>
                <w:lang w:val="en-GB"/>
              </w:rPr>
              <w:t>he surplus of the foreign trade were the most significant factors behind the economic growth in Q2</w:t>
            </w:r>
            <w:r w:rsidR="00DC213A" w:rsidRPr="00F43D2E">
              <w:rPr>
                <w:lang w:val="en-GB"/>
              </w:rPr>
              <w:t>.</w:t>
            </w:r>
            <w:r w:rsidR="0099684C" w:rsidRPr="00F43D2E">
              <w:rPr>
                <w:vertAlign w:val="superscript"/>
                <w:lang w:val="en-GB"/>
              </w:rPr>
              <w:footnoteReference w:id="3"/>
            </w:r>
            <w:r w:rsidR="0099684C" w:rsidRPr="00F43D2E">
              <w:rPr>
                <w:lang w:val="en-GB"/>
              </w:rPr>
              <w:t xml:space="preserve"> </w:t>
            </w:r>
            <w:r w:rsidRPr="00F43D2E">
              <w:rPr>
                <w:lang w:val="en-GB"/>
              </w:rPr>
              <w:t xml:space="preserve">The household consumption more significant by weight contributed to the GDP </w:t>
            </w:r>
            <w:r w:rsidR="00EF1542">
              <w:rPr>
                <w:lang w:val="en-GB"/>
              </w:rPr>
              <w:t>growth of 2.6</w:t>
            </w:r>
            <w:r w:rsidRPr="00F43D2E">
              <w:rPr>
                <w:lang w:val="en-GB"/>
              </w:rPr>
              <w:t xml:space="preserve">% </w:t>
            </w:r>
            <w:r w:rsidR="00B52F8A">
              <w:rPr>
                <w:lang w:val="en-GB"/>
              </w:rPr>
              <w:t xml:space="preserve">by </w:t>
            </w:r>
            <w:r w:rsidRPr="00F43D2E">
              <w:rPr>
                <w:lang w:val="en-GB"/>
              </w:rPr>
              <w:t xml:space="preserve">0.8 p.p., consumption of the government institutions added </w:t>
            </w:r>
            <w:proofErr w:type="gramStart"/>
            <w:r w:rsidRPr="00F43D2E">
              <w:rPr>
                <w:lang w:val="en-GB"/>
              </w:rPr>
              <w:t>0.5 p.p</w:t>
            </w:r>
            <w:proofErr w:type="gramEnd"/>
            <w:r w:rsidRPr="00F43D2E">
              <w:rPr>
                <w:lang w:val="en-GB"/>
              </w:rPr>
              <w:t xml:space="preserve">. And the foreign trade </w:t>
            </w:r>
            <w:proofErr w:type="gramStart"/>
            <w:r w:rsidRPr="00F43D2E">
              <w:rPr>
                <w:lang w:val="en-GB"/>
              </w:rPr>
              <w:t>2.5 p.p</w:t>
            </w:r>
            <w:proofErr w:type="gramEnd"/>
            <w:r w:rsidRPr="00F43D2E">
              <w:rPr>
                <w:lang w:val="en-GB"/>
              </w:rPr>
              <w:t xml:space="preserve">. On the contrary, the cooling down of the total investment activity (gross fixed capital formation) induced especially by the drop of investment of the government institutions sector was reflected in the negative effect of this demand component on GDP (-1.1 p.p.). The increasing household consumption was partially satiated by the rising imports, nonetheless it </w:t>
            </w:r>
            <w:proofErr w:type="gramStart"/>
            <w:r w:rsidRPr="00F43D2E">
              <w:rPr>
                <w:lang w:val="en-GB"/>
              </w:rPr>
              <w:t>stimulated  the</w:t>
            </w:r>
            <w:proofErr w:type="gramEnd"/>
            <w:r w:rsidRPr="00F43D2E">
              <w:rPr>
                <w:lang w:val="en-GB"/>
              </w:rPr>
              <w:t xml:space="preserve"> domestic production rather than imports.</w:t>
            </w:r>
            <w:r w:rsidR="001550F3" w:rsidRPr="00F43D2E">
              <w:rPr>
                <w:lang w:val="en-GB"/>
              </w:rPr>
              <w:t xml:space="preserve"> </w:t>
            </w:r>
          </w:p>
          <w:p w:rsidR="001550F3" w:rsidRPr="00F43D2E" w:rsidRDefault="001550F3" w:rsidP="00AF5D62">
            <w:pPr>
              <w:pStyle w:val="Textpoznpodarou"/>
              <w:jc w:val="both"/>
              <w:rPr>
                <w:sz w:val="16"/>
                <w:szCs w:val="16"/>
                <w:lang w:val="en-GB"/>
              </w:rPr>
            </w:pPr>
          </w:p>
        </w:tc>
      </w:tr>
      <w:tr w:rsidR="001550F3" w:rsidRPr="00F43D2E" w:rsidTr="00AF5D62">
        <w:tc>
          <w:tcPr>
            <w:tcW w:w="1054" w:type="pct"/>
          </w:tcPr>
          <w:p w:rsidR="001550F3" w:rsidRPr="00F43D2E" w:rsidRDefault="00927D62" w:rsidP="00927D62">
            <w:pPr>
              <w:spacing w:line="240" w:lineRule="auto"/>
              <w:rPr>
                <w:sz w:val="16"/>
                <w:szCs w:val="16"/>
                <w:vertAlign w:val="superscript"/>
                <w:lang w:val="en-GB"/>
              </w:rPr>
            </w:pPr>
            <w:r w:rsidRPr="00F43D2E">
              <w:rPr>
                <w:sz w:val="16"/>
                <w:szCs w:val="16"/>
                <w:lang w:val="en-GB"/>
              </w:rPr>
              <w:lastRenderedPageBreak/>
              <w:t xml:space="preserve">The year-on-year growth of the household consumption was still significant in spite of the strong last year </w:t>
            </w:r>
          </w:p>
        </w:tc>
        <w:tc>
          <w:tcPr>
            <w:tcW w:w="143" w:type="pct"/>
          </w:tcPr>
          <w:p w:rsidR="001550F3" w:rsidRPr="00F43D2E" w:rsidRDefault="001550F3" w:rsidP="00AF5D62">
            <w:pPr>
              <w:pStyle w:val="Textpoznpodarou"/>
              <w:jc w:val="both"/>
              <w:rPr>
                <w:lang w:val="en-GB"/>
              </w:rPr>
            </w:pPr>
          </w:p>
        </w:tc>
        <w:tc>
          <w:tcPr>
            <w:tcW w:w="3803" w:type="pct"/>
          </w:tcPr>
          <w:p w:rsidR="001550F3" w:rsidRPr="00F43D2E" w:rsidRDefault="00927D62" w:rsidP="00AF5D62">
            <w:pPr>
              <w:pStyle w:val="Textpoznpodarou"/>
              <w:jc w:val="both"/>
              <w:rPr>
                <w:lang w:val="en-GB"/>
              </w:rPr>
            </w:pPr>
            <w:r w:rsidRPr="00F43D2E">
              <w:rPr>
                <w:lang w:val="en-GB"/>
              </w:rPr>
              <w:t>The continuing year-on-year growth of the household</w:t>
            </w:r>
            <w:r w:rsidR="00EF1542">
              <w:rPr>
                <w:lang w:val="en-GB"/>
              </w:rPr>
              <w:t xml:space="preserve"> consumption, which reached 2.2</w:t>
            </w:r>
            <w:r w:rsidRPr="00F43D2E">
              <w:rPr>
                <w:lang w:val="en-GB"/>
              </w:rPr>
              <w:t>% in Q2, was supported by the rising average wage, record employment and of course also the persisting high consumer confidence. It can be stated based on the quarter-on-quarter development, that the household consumption remains stable at the relatively high level of Q1. It did rise compared to this quarter, but only by 0.1 p.p. The final consumption expenditure of households was in tot</w:t>
            </w:r>
            <w:r w:rsidR="00EF1542">
              <w:rPr>
                <w:lang w:val="en-GB"/>
              </w:rPr>
              <w:t>al for the whole H1 2016 by 2.4</w:t>
            </w:r>
            <w:r w:rsidRPr="00F43D2E">
              <w:rPr>
                <w:lang w:val="en-GB"/>
              </w:rPr>
              <w:t>% higher year-on-year. The development in Q1 participated on this result to a higher extent, since the household cons</w:t>
            </w:r>
            <w:r w:rsidR="00EF1542">
              <w:rPr>
                <w:lang w:val="en-GB"/>
              </w:rPr>
              <w:t>umption expenditure rose by 2.7</w:t>
            </w:r>
            <w:r w:rsidRPr="00F43D2E">
              <w:rPr>
                <w:lang w:val="en-GB"/>
              </w:rPr>
              <w:t>% year-on-year in this quarter. The willingness of households to spend was favourably influenced by the rising real average wage and rising employment in first half of the year. The total volume of paid out wages and salaries</w:t>
            </w:r>
            <w:bookmarkStart w:id="2" w:name="_ft___nref5"/>
            <w:r w:rsidR="0099684C" w:rsidRPr="00F43D2E">
              <w:rPr>
                <w:rStyle w:val="Znakapoznpodarou"/>
                <w:lang w:val="en-GB"/>
              </w:rPr>
              <w:footnoteReference w:id="4"/>
            </w:r>
            <w:bookmarkEnd w:id="2"/>
            <w:r w:rsidR="00EF1542">
              <w:rPr>
                <w:rFonts w:cs="Arial"/>
                <w:lang w:val="en-GB"/>
              </w:rPr>
              <w:t xml:space="preserve"> was by 5.7</w:t>
            </w:r>
            <w:r w:rsidRPr="00F43D2E">
              <w:rPr>
                <w:rFonts w:cs="Arial"/>
                <w:lang w:val="en-GB"/>
              </w:rPr>
              <w:t xml:space="preserve">% higher </w:t>
            </w:r>
            <w:r w:rsidRPr="00F43D2E">
              <w:rPr>
                <w:lang w:val="en-GB"/>
              </w:rPr>
              <w:t>in nominal terms in Q2, in real terms then</w:t>
            </w:r>
            <w:r w:rsidR="0099684C" w:rsidRPr="00F43D2E">
              <w:rPr>
                <w:vertAlign w:val="superscript"/>
                <w:lang w:val="en-GB"/>
              </w:rPr>
              <w:footnoteReference w:id="5"/>
            </w:r>
            <w:r w:rsidR="00EF1542">
              <w:rPr>
                <w:lang w:val="en-GB"/>
              </w:rPr>
              <w:t xml:space="preserve"> it was by 5.3</w:t>
            </w:r>
            <w:r w:rsidRPr="00F43D2E">
              <w:rPr>
                <w:lang w:val="en-GB"/>
              </w:rPr>
              <w:t xml:space="preserve">% higher. </w:t>
            </w:r>
            <w:r w:rsidR="007A46C3" w:rsidRPr="00F43D2E">
              <w:rPr>
                <w:lang w:val="en-GB"/>
              </w:rPr>
              <w:t xml:space="preserve">The trend from Q1 that the beginning of </w:t>
            </w:r>
            <w:r w:rsidR="00F26FDA">
              <w:rPr>
                <w:lang w:val="en-GB"/>
              </w:rPr>
              <w:t xml:space="preserve">the </w:t>
            </w:r>
            <w:r w:rsidR="007A46C3" w:rsidRPr="00F43D2E">
              <w:rPr>
                <w:lang w:val="en-GB"/>
              </w:rPr>
              <w:t>year 2016 represents the strongest raise of the wage resources since Q3 20</w:t>
            </w:r>
            <w:r w:rsidR="00B52F8A">
              <w:rPr>
                <w:lang w:val="en-GB"/>
              </w:rPr>
              <w:t>0</w:t>
            </w:r>
            <w:r w:rsidR="007A46C3" w:rsidRPr="00F43D2E">
              <w:rPr>
                <w:lang w:val="en-GB"/>
              </w:rPr>
              <w:t xml:space="preserve">8, in real terms even since the beginning of </w:t>
            </w:r>
            <w:r w:rsidR="0081315E">
              <w:rPr>
                <w:lang w:val="en-GB"/>
              </w:rPr>
              <w:t xml:space="preserve">the </w:t>
            </w:r>
            <w:r w:rsidR="007A46C3" w:rsidRPr="00F43D2E">
              <w:rPr>
                <w:lang w:val="en-GB"/>
              </w:rPr>
              <w:t xml:space="preserve">year 2007, is thus validated. </w:t>
            </w:r>
            <w:r w:rsidRPr="00F43D2E">
              <w:rPr>
                <w:lang w:val="en-GB"/>
              </w:rPr>
              <w:t xml:space="preserve">The year-on-year increase of the </w:t>
            </w:r>
            <w:r w:rsidR="00EF1542">
              <w:rPr>
                <w:lang w:val="en-GB"/>
              </w:rPr>
              <w:t>wage resources moved around 5.7</w:t>
            </w:r>
            <w:r w:rsidRPr="00F43D2E">
              <w:rPr>
                <w:lang w:val="en-GB"/>
              </w:rPr>
              <w:t xml:space="preserve">% for the whole H1. </w:t>
            </w:r>
          </w:p>
          <w:p w:rsidR="001550F3" w:rsidRPr="00F43D2E" w:rsidRDefault="001550F3" w:rsidP="00AF5D62">
            <w:pPr>
              <w:pStyle w:val="Textpoznpodarou"/>
              <w:jc w:val="both"/>
              <w:rPr>
                <w:sz w:val="16"/>
                <w:szCs w:val="16"/>
                <w:lang w:val="en-GB"/>
              </w:rPr>
            </w:pPr>
          </w:p>
        </w:tc>
      </w:tr>
      <w:tr w:rsidR="001550F3" w:rsidRPr="00F43D2E" w:rsidTr="00AF5D62">
        <w:tc>
          <w:tcPr>
            <w:tcW w:w="1054" w:type="pct"/>
          </w:tcPr>
          <w:p w:rsidR="001550F3" w:rsidRPr="00F43D2E" w:rsidRDefault="00D92EC1" w:rsidP="00D92EC1">
            <w:pPr>
              <w:spacing w:line="240" w:lineRule="auto"/>
              <w:rPr>
                <w:sz w:val="16"/>
                <w:szCs w:val="16"/>
                <w:lang w:val="en-GB"/>
              </w:rPr>
            </w:pPr>
            <w:r w:rsidRPr="00F43D2E">
              <w:rPr>
                <w:sz w:val="16"/>
                <w:szCs w:val="16"/>
                <w:lang w:val="en-GB"/>
              </w:rPr>
              <w:t xml:space="preserve">Year-on-year dynamics of the final consumption expenditure of government institutions approximately on the level of the last year, similarly as in Q1 </w:t>
            </w:r>
          </w:p>
        </w:tc>
        <w:tc>
          <w:tcPr>
            <w:tcW w:w="143" w:type="pct"/>
          </w:tcPr>
          <w:p w:rsidR="001550F3" w:rsidRPr="00F43D2E" w:rsidRDefault="001550F3" w:rsidP="00AF5D62">
            <w:pPr>
              <w:pStyle w:val="Textpoznpodarou"/>
              <w:jc w:val="both"/>
              <w:rPr>
                <w:lang w:val="en-GB"/>
              </w:rPr>
            </w:pPr>
          </w:p>
        </w:tc>
        <w:tc>
          <w:tcPr>
            <w:tcW w:w="3803" w:type="pct"/>
          </w:tcPr>
          <w:p w:rsidR="001550F3" w:rsidRPr="00F43D2E" w:rsidRDefault="00D92EC1" w:rsidP="00AF5D62">
            <w:pPr>
              <w:pStyle w:val="Textpoznpodarou"/>
              <w:jc w:val="both"/>
              <w:rPr>
                <w:lang w:val="en-GB"/>
              </w:rPr>
            </w:pPr>
            <w:r w:rsidRPr="00F43D2E">
              <w:rPr>
                <w:lang w:val="en-GB"/>
              </w:rPr>
              <w:t>Final consumption expenditure of government institutions including the expenditure on the individual consumption (benefiting exclusively households) and the collective consumption (benefitin</w:t>
            </w:r>
            <w:r w:rsidR="00EF1542">
              <w:rPr>
                <w:lang w:val="en-GB"/>
              </w:rPr>
              <w:t>g all sectors) increased by 2.8</w:t>
            </w:r>
            <w:r w:rsidRPr="00F43D2E">
              <w:rPr>
                <w:lang w:val="en-GB"/>
              </w:rPr>
              <w:t>% year-on-year in Q2 of this year – similarly to the preceding quarter. The quarter-on-quarter growth was somewhat faster c</w:t>
            </w:r>
            <w:r w:rsidR="00EF1542">
              <w:rPr>
                <w:lang w:val="en-GB"/>
              </w:rPr>
              <w:t>ompared to Q1, specifically 0.8</w:t>
            </w:r>
            <w:r w:rsidRPr="00F43D2E">
              <w:rPr>
                <w:lang w:val="en-GB"/>
              </w:rPr>
              <w:t>%. The picture of the development for the whole half-year is very similar. The governme</w:t>
            </w:r>
            <w:r w:rsidR="00EF1542">
              <w:rPr>
                <w:lang w:val="en-GB"/>
              </w:rPr>
              <w:t>nt consumption increased by 2.8</w:t>
            </w:r>
            <w:r w:rsidRPr="00F43D2E">
              <w:rPr>
                <w:lang w:val="en-GB"/>
              </w:rPr>
              <w:t xml:space="preserve">% year-on-year </w:t>
            </w:r>
            <w:r w:rsidR="003D2CA4">
              <w:rPr>
                <w:lang w:val="en-GB"/>
              </w:rPr>
              <w:t>in</w:t>
            </w:r>
            <w:r w:rsidR="003D2CA4" w:rsidRPr="00F43D2E">
              <w:rPr>
                <w:lang w:val="en-GB"/>
              </w:rPr>
              <w:t xml:space="preserve"> </w:t>
            </w:r>
            <w:r w:rsidR="00EF1542">
              <w:rPr>
                <w:lang w:val="en-GB"/>
              </w:rPr>
              <w:t>the first six months and by 0.8</w:t>
            </w:r>
            <w:r w:rsidRPr="00F43D2E">
              <w:rPr>
                <w:lang w:val="en-GB"/>
              </w:rPr>
              <w:t xml:space="preserve">% compared to the second half of the year 2015. </w:t>
            </w:r>
          </w:p>
          <w:p w:rsidR="001550F3" w:rsidRPr="00F43D2E" w:rsidRDefault="001550F3" w:rsidP="00AF5D62">
            <w:pPr>
              <w:pStyle w:val="Textpoznpodarou"/>
              <w:jc w:val="both"/>
              <w:rPr>
                <w:sz w:val="16"/>
                <w:szCs w:val="16"/>
                <w:lang w:val="en-GB"/>
              </w:rPr>
            </w:pPr>
          </w:p>
        </w:tc>
      </w:tr>
      <w:tr w:rsidR="001550F3" w:rsidRPr="00F43D2E" w:rsidTr="00AF5D62">
        <w:tc>
          <w:tcPr>
            <w:tcW w:w="1054" w:type="pct"/>
          </w:tcPr>
          <w:p w:rsidR="001550F3" w:rsidRPr="00F43D2E" w:rsidRDefault="00FC34A6" w:rsidP="00FC34A6">
            <w:pPr>
              <w:spacing w:line="240" w:lineRule="auto"/>
              <w:rPr>
                <w:sz w:val="16"/>
                <w:szCs w:val="16"/>
                <w:lang w:val="en-GB"/>
              </w:rPr>
            </w:pPr>
            <w:r w:rsidRPr="00F43D2E">
              <w:rPr>
                <w:sz w:val="16"/>
                <w:szCs w:val="16"/>
                <w:lang w:val="en-GB"/>
              </w:rPr>
              <w:t xml:space="preserve">The quarter-on-quarter slump of investment considerably strengthened. Investment was falling not only year-on-year, but also quarter-on-quarter </w:t>
            </w:r>
          </w:p>
        </w:tc>
        <w:tc>
          <w:tcPr>
            <w:tcW w:w="143" w:type="pct"/>
          </w:tcPr>
          <w:p w:rsidR="001550F3" w:rsidRPr="00F43D2E" w:rsidRDefault="001550F3" w:rsidP="00AF5D62">
            <w:pPr>
              <w:pStyle w:val="Textpoznpodarou"/>
              <w:jc w:val="both"/>
              <w:rPr>
                <w:lang w:val="en-GB"/>
              </w:rPr>
            </w:pPr>
          </w:p>
        </w:tc>
        <w:tc>
          <w:tcPr>
            <w:tcW w:w="3803" w:type="pct"/>
          </w:tcPr>
          <w:p w:rsidR="001550F3" w:rsidRPr="00F43D2E" w:rsidRDefault="00FC34A6" w:rsidP="00AF5D62">
            <w:pPr>
              <w:pStyle w:val="Textpoznpodarou"/>
              <w:jc w:val="both"/>
              <w:rPr>
                <w:lang w:val="en-GB"/>
              </w:rPr>
            </w:pPr>
            <w:r w:rsidRPr="00F43D2E">
              <w:rPr>
                <w:lang w:val="en-GB"/>
              </w:rPr>
              <w:t xml:space="preserve">The </w:t>
            </w:r>
            <w:r w:rsidR="001F5E8F" w:rsidRPr="00F43D2E">
              <w:rPr>
                <w:lang w:val="en-GB"/>
              </w:rPr>
              <w:t>impulse</w:t>
            </w:r>
            <w:r w:rsidRPr="00F43D2E">
              <w:rPr>
                <w:lang w:val="en-GB"/>
              </w:rPr>
              <w:t xml:space="preserve"> in the form of completion of drawing on the European funds</w:t>
            </w:r>
            <w:r w:rsidR="00B44FC4">
              <w:rPr>
                <w:lang w:val="en-GB"/>
              </w:rPr>
              <w:t xml:space="preserve"> from the programm</w:t>
            </w:r>
            <w:r w:rsidR="003D2CA4">
              <w:rPr>
                <w:lang w:val="en-GB"/>
              </w:rPr>
              <w:t>ing</w:t>
            </w:r>
            <w:r w:rsidR="00B44FC4">
              <w:rPr>
                <w:lang w:val="en-GB"/>
              </w:rPr>
              <w:t xml:space="preserve"> period 2007</w:t>
            </w:r>
            <w:r w:rsidR="00B44FC4" w:rsidRPr="00CF2816">
              <w:rPr>
                <w:lang w:val="en-GB"/>
              </w:rPr>
              <w:t>–</w:t>
            </w:r>
            <w:r w:rsidRPr="00F43D2E">
              <w:rPr>
                <w:lang w:val="en-GB"/>
              </w:rPr>
              <w:t>2014 was reflected in the growing year-on-year dynamics of invest</w:t>
            </w:r>
            <w:r w:rsidR="00EF1542">
              <w:rPr>
                <w:lang w:val="en-GB"/>
              </w:rPr>
              <w:t>ment, reaching the value of 9.1</w:t>
            </w:r>
            <w:r w:rsidRPr="00F43D2E">
              <w:rPr>
                <w:lang w:val="en-GB"/>
              </w:rPr>
              <w:t xml:space="preserve">%, during the whole last year. Investment increased also quarter-on-quarter in all periods in 2015, even though in a decelerating fashion. Thus it can be stated, </w:t>
            </w:r>
            <w:r w:rsidR="005175BC" w:rsidRPr="00F43D2E">
              <w:rPr>
                <w:lang w:val="en-GB"/>
              </w:rPr>
              <w:t xml:space="preserve">that </w:t>
            </w:r>
            <w:r w:rsidRPr="00F43D2E">
              <w:rPr>
                <w:lang w:val="en-GB"/>
              </w:rPr>
              <w:t>the high investment activity persisted during the whole year. The quarter-on-quarter slump eventuated in Q1 2016, even though the formation of investment was still h</w:t>
            </w:r>
            <w:r w:rsidR="00EF1542">
              <w:rPr>
                <w:lang w:val="en-GB"/>
              </w:rPr>
              <w:t>igher (by 2.6</w:t>
            </w:r>
            <w:r w:rsidRPr="00F43D2E">
              <w:rPr>
                <w:lang w:val="en-GB"/>
              </w:rPr>
              <w:t>%) when compared to the beginning of</w:t>
            </w:r>
            <w:r w:rsidR="0081315E">
              <w:rPr>
                <w:lang w:val="en-GB"/>
              </w:rPr>
              <w:t xml:space="preserve"> the</w:t>
            </w:r>
            <w:r w:rsidRPr="00F43D2E">
              <w:rPr>
                <w:lang w:val="en-GB"/>
              </w:rPr>
              <w:t xml:space="preserve"> year 2015. In </w:t>
            </w:r>
            <w:proofErr w:type="gramStart"/>
            <w:r w:rsidRPr="00F43D2E">
              <w:rPr>
                <w:lang w:val="en-GB"/>
              </w:rPr>
              <w:t>Q2  the</w:t>
            </w:r>
            <w:proofErr w:type="gramEnd"/>
            <w:r w:rsidRPr="00F43D2E">
              <w:rPr>
                <w:lang w:val="en-GB"/>
              </w:rPr>
              <w:t xml:space="preserve"> fall of investment activities was evident both in quarter-on-quarter and year-on-year expression. The overall development was to a large extent affected by the drop of investment into other buildings and structures, resp. high comparative basis of </w:t>
            </w:r>
            <w:r w:rsidR="0081315E">
              <w:rPr>
                <w:lang w:val="en-GB"/>
              </w:rPr>
              <w:t xml:space="preserve">the </w:t>
            </w:r>
            <w:r w:rsidRPr="00F43D2E">
              <w:rPr>
                <w:lang w:val="en-GB"/>
              </w:rPr>
              <w:t>year 2015. Fix</w:t>
            </w:r>
            <w:r w:rsidR="00EF1542">
              <w:rPr>
                <w:lang w:val="en-GB"/>
              </w:rPr>
              <w:t>ed capital formation was by 4.4</w:t>
            </w:r>
            <w:r w:rsidRPr="00F43D2E">
              <w:rPr>
                <w:lang w:val="en-GB"/>
              </w:rPr>
              <w:t>% low</w:t>
            </w:r>
            <w:r w:rsidR="00EF1542">
              <w:rPr>
                <w:lang w:val="en-GB"/>
              </w:rPr>
              <w:t>er year-on-year, it fell by 4.1</w:t>
            </w:r>
            <w:r w:rsidRPr="00F43D2E">
              <w:rPr>
                <w:lang w:val="en-GB"/>
              </w:rPr>
              <w:t>% quarter-on-quarter.</w:t>
            </w:r>
            <w:r w:rsidR="001550F3" w:rsidRPr="00F43D2E">
              <w:rPr>
                <w:lang w:val="en-GB"/>
              </w:rPr>
              <w:t xml:space="preserve"> </w:t>
            </w:r>
          </w:p>
          <w:p w:rsidR="001550F3" w:rsidRPr="00F43D2E" w:rsidRDefault="001550F3" w:rsidP="00AF5D62">
            <w:pPr>
              <w:pStyle w:val="Textpoznpodarou"/>
              <w:jc w:val="both"/>
              <w:rPr>
                <w:sz w:val="16"/>
                <w:szCs w:val="16"/>
                <w:lang w:val="en-GB"/>
              </w:rPr>
            </w:pPr>
          </w:p>
        </w:tc>
      </w:tr>
      <w:tr w:rsidR="001550F3" w:rsidRPr="00F43D2E" w:rsidTr="00AF5D62">
        <w:tc>
          <w:tcPr>
            <w:tcW w:w="1054" w:type="pct"/>
          </w:tcPr>
          <w:p w:rsidR="001550F3" w:rsidRPr="00F43D2E" w:rsidRDefault="00FC34A6" w:rsidP="00FC34A6">
            <w:pPr>
              <w:spacing w:line="240" w:lineRule="auto"/>
              <w:rPr>
                <w:sz w:val="16"/>
                <w:szCs w:val="16"/>
                <w:lang w:val="en-GB"/>
              </w:rPr>
            </w:pPr>
            <w:r w:rsidRPr="00F43D2E">
              <w:rPr>
                <w:sz w:val="16"/>
                <w:szCs w:val="16"/>
                <w:lang w:val="en-GB"/>
              </w:rPr>
              <w:t xml:space="preserve">The low investment into other buildings and structures, whose growth was supported by the funds from the programme period 2007 – 2014 in the last year, was the main cause behind the fall of the total volume of investment </w:t>
            </w:r>
          </w:p>
        </w:tc>
        <w:tc>
          <w:tcPr>
            <w:tcW w:w="143" w:type="pct"/>
          </w:tcPr>
          <w:p w:rsidR="001550F3" w:rsidRPr="00F43D2E" w:rsidRDefault="001550F3" w:rsidP="00AF5D62">
            <w:pPr>
              <w:pStyle w:val="Textpoznpodarou"/>
              <w:jc w:val="both"/>
              <w:rPr>
                <w:lang w:val="en-GB"/>
              </w:rPr>
            </w:pPr>
          </w:p>
        </w:tc>
        <w:tc>
          <w:tcPr>
            <w:tcW w:w="3803" w:type="pct"/>
          </w:tcPr>
          <w:p w:rsidR="001550F3" w:rsidRPr="00F43D2E" w:rsidRDefault="007934A6" w:rsidP="00FC34A6">
            <w:pPr>
              <w:pStyle w:val="Textpoznpodarou"/>
              <w:jc w:val="both"/>
              <w:rPr>
                <w:lang w:val="en-GB"/>
              </w:rPr>
            </w:pPr>
            <w:r>
              <w:rPr>
                <w:lang w:val="en-GB"/>
              </w:rPr>
              <w:t xml:space="preserve">The type classification of gross fixed capital formation </w:t>
            </w:r>
            <w:r w:rsidRPr="00F43D2E">
              <w:rPr>
                <w:lang w:val="en-GB"/>
              </w:rPr>
              <w:t>(not adjusted for seasonal and calendar effects)</w:t>
            </w:r>
            <w:r>
              <w:rPr>
                <w:lang w:val="en-GB"/>
              </w:rPr>
              <w:t xml:space="preserve"> reveals that o</w:t>
            </w:r>
            <w:r w:rsidR="00155D03" w:rsidRPr="00F43D2E">
              <w:rPr>
                <w:lang w:val="en-GB"/>
              </w:rPr>
              <w:t>nly t</w:t>
            </w:r>
            <w:r w:rsidR="00EF1542">
              <w:rPr>
                <w:lang w:val="en-GB"/>
              </w:rPr>
              <w:t>he investment into housing (2.5</w:t>
            </w:r>
            <w:r w:rsidR="00155D03" w:rsidRPr="00F43D2E">
              <w:rPr>
                <w:lang w:val="en-GB"/>
              </w:rPr>
              <w:t>%), reflecting the low cost of financing of the residential real estate on credit, and investment into th</w:t>
            </w:r>
            <w:r w:rsidR="00EF1542">
              <w:rPr>
                <w:lang w:val="en-GB"/>
              </w:rPr>
              <w:t>e transportation equipment (6.6</w:t>
            </w:r>
            <w:r w:rsidR="00155D03" w:rsidRPr="00F43D2E">
              <w:rPr>
                <w:lang w:val="en-GB"/>
              </w:rPr>
              <w:t>%), associated with the renewal and expansion of the company car park</w:t>
            </w:r>
            <w:r w:rsidR="008752B9" w:rsidRPr="00F43D2E">
              <w:rPr>
                <w:lang w:val="en-GB"/>
              </w:rPr>
              <w:t xml:space="preserve"> increased</w:t>
            </w:r>
            <w:r w:rsidR="005175BC" w:rsidRPr="00F43D2E">
              <w:rPr>
                <w:lang w:val="en-GB"/>
              </w:rPr>
              <w:t xml:space="preserve"> </w:t>
            </w:r>
            <w:r w:rsidR="008752B9" w:rsidRPr="00F43D2E">
              <w:rPr>
                <w:lang w:val="en-GB"/>
              </w:rPr>
              <w:t xml:space="preserve">in year-on-year comparison in Q2 of this year. </w:t>
            </w:r>
            <w:r w:rsidR="00FC34A6" w:rsidRPr="00F43D2E">
              <w:rPr>
                <w:lang w:val="en-GB"/>
              </w:rPr>
              <w:t>The purchases of the groups most significant by weight</w:t>
            </w:r>
            <w:r w:rsidR="005175BC" w:rsidRPr="00F43D2E">
              <w:rPr>
                <w:lang w:val="en-GB"/>
              </w:rPr>
              <w:t xml:space="preserve"> ICT, other machinery and equipment </w:t>
            </w:r>
            <w:r w:rsidR="00FC34A6" w:rsidRPr="00F43D2E">
              <w:rPr>
                <w:lang w:val="en-GB"/>
              </w:rPr>
              <w:t xml:space="preserve">were </w:t>
            </w:r>
            <w:r w:rsidR="001F5E8F" w:rsidRPr="00F43D2E">
              <w:rPr>
                <w:lang w:val="en-GB"/>
              </w:rPr>
              <w:t>mildly</w:t>
            </w:r>
            <w:r w:rsidR="00FC34A6" w:rsidRPr="00F43D2E">
              <w:rPr>
                <w:lang w:val="en-GB"/>
              </w:rPr>
              <w:t xml:space="preserve"> decreasing, which could be partially associated </w:t>
            </w:r>
            <w:r w:rsidR="005175BC" w:rsidRPr="00F43D2E">
              <w:rPr>
                <w:lang w:val="en-GB"/>
              </w:rPr>
              <w:t>with</w:t>
            </w:r>
            <w:r w:rsidR="00FC34A6" w:rsidRPr="00F43D2E">
              <w:rPr>
                <w:lang w:val="en-GB"/>
              </w:rPr>
              <w:t xml:space="preserve"> the fact, that not only other buildings and structures, but also other assets were linked to the end of the programm</w:t>
            </w:r>
            <w:r>
              <w:rPr>
                <w:lang w:val="en-GB"/>
              </w:rPr>
              <w:t>ing</w:t>
            </w:r>
            <w:r w:rsidR="00FC34A6" w:rsidRPr="00F43D2E">
              <w:rPr>
                <w:lang w:val="en-GB"/>
              </w:rPr>
              <w:t xml:space="preserve"> period in the last year. Invest</w:t>
            </w:r>
            <w:r w:rsidR="008752B9" w:rsidRPr="00F43D2E">
              <w:rPr>
                <w:lang w:val="en-GB"/>
              </w:rPr>
              <w:t>ment into other buildings and structures, which w</w:t>
            </w:r>
            <w:r w:rsidR="005175BC" w:rsidRPr="00F43D2E">
              <w:rPr>
                <w:lang w:val="en-GB"/>
              </w:rPr>
              <w:t>as</w:t>
            </w:r>
            <w:r w:rsidR="008752B9" w:rsidRPr="00F43D2E">
              <w:rPr>
                <w:lang w:val="en-GB"/>
              </w:rPr>
              <w:t xml:space="preserve"> significantly supported by the investment subsidies </w:t>
            </w:r>
            <w:r w:rsidR="00EF1542">
              <w:rPr>
                <w:lang w:val="en-GB"/>
              </w:rPr>
              <w:t>from the EU funds, fell by 18.4</w:t>
            </w:r>
            <w:r w:rsidR="008752B9" w:rsidRPr="00F43D2E">
              <w:rPr>
                <w:lang w:val="en-GB"/>
              </w:rPr>
              <w:t xml:space="preserve">% in the year-on-year comparison. </w:t>
            </w:r>
            <w:r w:rsidR="00FC34A6" w:rsidRPr="00F43D2E">
              <w:rPr>
                <w:lang w:val="en-GB"/>
              </w:rPr>
              <w:t xml:space="preserve">  </w:t>
            </w:r>
          </w:p>
          <w:p w:rsidR="00FC34A6" w:rsidRPr="00F43D2E" w:rsidRDefault="00FC34A6" w:rsidP="00FC34A6">
            <w:pPr>
              <w:pStyle w:val="Textpoznpodarou"/>
              <w:jc w:val="both"/>
              <w:rPr>
                <w:spacing w:val="-2"/>
                <w:sz w:val="16"/>
                <w:szCs w:val="16"/>
                <w:lang w:val="en-GB"/>
              </w:rPr>
            </w:pPr>
          </w:p>
        </w:tc>
      </w:tr>
      <w:tr w:rsidR="001550F3" w:rsidRPr="00F43D2E" w:rsidTr="00AF5D62">
        <w:tc>
          <w:tcPr>
            <w:tcW w:w="1054" w:type="pct"/>
          </w:tcPr>
          <w:p w:rsidR="001550F3" w:rsidRPr="00F43D2E" w:rsidRDefault="0097562D" w:rsidP="0097562D">
            <w:pPr>
              <w:spacing w:line="240" w:lineRule="auto"/>
              <w:rPr>
                <w:spacing w:val="-4"/>
                <w:sz w:val="16"/>
                <w:szCs w:val="16"/>
                <w:lang w:val="en-GB"/>
              </w:rPr>
            </w:pPr>
            <w:r w:rsidRPr="00F43D2E">
              <w:rPr>
                <w:sz w:val="16"/>
                <w:szCs w:val="16"/>
                <w:lang w:val="en-GB"/>
              </w:rPr>
              <w:t xml:space="preserve">Higher year-on-year growth of exports </w:t>
            </w:r>
            <w:r w:rsidR="001550F3" w:rsidRPr="00F43D2E">
              <w:rPr>
                <w:sz w:val="16"/>
                <w:szCs w:val="16"/>
                <w:lang w:val="en-GB"/>
              </w:rPr>
              <w:t>(5</w:t>
            </w:r>
            <w:r w:rsidRPr="00F43D2E">
              <w:rPr>
                <w:sz w:val="16"/>
                <w:szCs w:val="16"/>
                <w:lang w:val="en-GB"/>
              </w:rPr>
              <w:t>.</w:t>
            </w:r>
            <w:r w:rsidR="00EF1542">
              <w:rPr>
                <w:sz w:val="16"/>
                <w:szCs w:val="16"/>
                <w:lang w:val="en-GB"/>
              </w:rPr>
              <w:t>7</w:t>
            </w:r>
            <w:r w:rsidR="001550F3" w:rsidRPr="00F43D2E">
              <w:rPr>
                <w:sz w:val="16"/>
                <w:szCs w:val="16"/>
                <w:lang w:val="en-GB"/>
              </w:rPr>
              <w:t>%)</w:t>
            </w:r>
            <w:r w:rsidRPr="00F43D2E">
              <w:rPr>
                <w:sz w:val="16"/>
                <w:szCs w:val="16"/>
                <w:lang w:val="en-GB"/>
              </w:rPr>
              <w:t xml:space="preserve"> over imports </w:t>
            </w:r>
            <w:r w:rsidR="001550F3" w:rsidRPr="00F43D2E">
              <w:rPr>
                <w:sz w:val="16"/>
                <w:szCs w:val="16"/>
                <w:lang w:val="en-GB"/>
              </w:rPr>
              <w:t>(3</w:t>
            </w:r>
            <w:r w:rsidRPr="00F43D2E">
              <w:rPr>
                <w:sz w:val="16"/>
                <w:szCs w:val="16"/>
                <w:lang w:val="en-GB"/>
              </w:rPr>
              <w:t>.</w:t>
            </w:r>
            <w:r w:rsidR="00EF1542">
              <w:rPr>
                <w:sz w:val="16"/>
                <w:szCs w:val="16"/>
                <w:lang w:val="en-GB"/>
              </w:rPr>
              <w:t>1</w:t>
            </w:r>
            <w:r w:rsidR="001550F3" w:rsidRPr="00F43D2E">
              <w:rPr>
                <w:sz w:val="16"/>
                <w:szCs w:val="16"/>
                <w:lang w:val="en-GB"/>
              </w:rPr>
              <w:t xml:space="preserve">%) </w:t>
            </w:r>
            <w:r w:rsidRPr="00F43D2E">
              <w:rPr>
                <w:sz w:val="16"/>
                <w:szCs w:val="16"/>
                <w:lang w:val="en-GB"/>
              </w:rPr>
              <w:t xml:space="preserve">together with the positive terms of trade led to a high surplus in the foreign </w:t>
            </w:r>
            <w:r w:rsidRPr="00F43D2E">
              <w:rPr>
                <w:sz w:val="16"/>
                <w:szCs w:val="16"/>
                <w:lang w:val="en-GB"/>
              </w:rPr>
              <w:lastRenderedPageBreak/>
              <w:t>trade</w:t>
            </w:r>
          </w:p>
        </w:tc>
        <w:tc>
          <w:tcPr>
            <w:tcW w:w="143" w:type="pct"/>
          </w:tcPr>
          <w:p w:rsidR="001550F3" w:rsidRPr="00F43D2E" w:rsidRDefault="001550F3" w:rsidP="00AF5D62">
            <w:pPr>
              <w:pStyle w:val="Textpoznpodarou"/>
              <w:jc w:val="both"/>
              <w:rPr>
                <w:lang w:val="en-GB"/>
              </w:rPr>
            </w:pPr>
          </w:p>
        </w:tc>
        <w:tc>
          <w:tcPr>
            <w:tcW w:w="3803" w:type="pct"/>
          </w:tcPr>
          <w:p w:rsidR="001550F3" w:rsidRPr="00F43D2E" w:rsidRDefault="00850DFC" w:rsidP="007F17DF">
            <w:pPr>
              <w:pStyle w:val="Textpoznpodarou"/>
              <w:jc w:val="both"/>
              <w:rPr>
                <w:lang w:val="en-GB"/>
              </w:rPr>
            </w:pPr>
            <w:r w:rsidRPr="00F43D2E">
              <w:rPr>
                <w:lang w:val="en-GB"/>
              </w:rPr>
              <w:t xml:space="preserve">From the view of the foreign trade, the Czech economy was very successful in Q2. The foreign trade balance in the current prices (94.2 </w:t>
            </w:r>
            <w:r w:rsidR="007A46C3" w:rsidRPr="00F43D2E">
              <w:rPr>
                <w:lang w:val="en-GB"/>
              </w:rPr>
              <w:t>CZK bn</w:t>
            </w:r>
            <w:r w:rsidRPr="00F43D2E">
              <w:rPr>
                <w:lang w:val="en-GB"/>
              </w:rPr>
              <w:t xml:space="preserve">) was higher by 34.2 </w:t>
            </w:r>
            <w:r w:rsidR="007A46C3" w:rsidRPr="00F43D2E">
              <w:rPr>
                <w:lang w:val="en-GB"/>
              </w:rPr>
              <w:t>CZK bn</w:t>
            </w:r>
            <w:r w:rsidRPr="00F43D2E">
              <w:rPr>
                <w:lang w:val="en-GB"/>
              </w:rPr>
              <w:t xml:space="preserve"> </w:t>
            </w:r>
            <w:proofErr w:type="gramStart"/>
            <w:r w:rsidRPr="00F43D2E">
              <w:rPr>
                <w:lang w:val="en-GB"/>
              </w:rPr>
              <w:t>year-on-year</w:t>
            </w:r>
            <w:proofErr w:type="gramEnd"/>
            <w:r w:rsidRPr="00F43D2E">
              <w:rPr>
                <w:lang w:val="en-GB"/>
              </w:rPr>
              <w:t xml:space="preserve"> in Q2. </w:t>
            </w:r>
            <w:r w:rsidR="00E63672" w:rsidRPr="00F43D2E">
              <w:rPr>
                <w:lang w:val="en-GB"/>
              </w:rPr>
              <w:t xml:space="preserve">Both the trade with goods as well as the trade with services participated on the record foreign trade balance. </w:t>
            </w:r>
            <w:r w:rsidR="007F17DF" w:rsidRPr="00F43D2E">
              <w:rPr>
                <w:lang w:val="en-GB"/>
              </w:rPr>
              <w:t>The growth of exports noticeably exceeded the growth of imports in both ca</w:t>
            </w:r>
            <w:r w:rsidR="00EF1542">
              <w:rPr>
                <w:lang w:val="en-GB"/>
              </w:rPr>
              <w:t xml:space="preserve">ses. Exports, which </w:t>
            </w:r>
            <w:r w:rsidR="00EF1542">
              <w:rPr>
                <w:lang w:val="en-GB"/>
              </w:rPr>
              <w:lastRenderedPageBreak/>
              <w:t>rose by 5.7</w:t>
            </w:r>
            <w:r w:rsidR="007F17DF" w:rsidRPr="00F43D2E">
              <w:rPr>
                <w:lang w:val="en-GB"/>
              </w:rPr>
              <w:t>% in real terms year-o</w:t>
            </w:r>
            <w:r w:rsidR="002A0814" w:rsidRPr="00F43D2E">
              <w:rPr>
                <w:lang w:val="en-GB"/>
              </w:rPr>
              <w:t>n</w:t>
            </w:r>
            <w:r w:rsidR="007F17DF" w:rsidRPr="00F43D2E">
              <w:rPr>
                <w:lang w:val="en-GB"/>
              </w:rPr>
              <w:t>-year, were driven especially by the trade with the</w:t>
            </w:r>
            <w:r w:rsidR="00663FFB" w:rsidRPr="00F43D2E">
              <w:rPr>
                <w:lang w:val="en-GB"/>
              </w:rPr>
              <w:t xml:space="preserve"> transport equipment </w:t>
            </w:r>
            <w:r w:rsidR="007F17DF" w:rsidRPr="00F43D2E">
              <w:rPr>
                <w:lang w:val="en-GB"/>
              </w:rPr>
              <w:t>in goods and by the</w:t>
            </w:r>
            <w:r w:rsidR="002A0814" w:rsidRPr="00F43D2E">
              <w:rPr>
                <w:lang w:val="en-GB"/>
              </w:rPr>
              <w:t xml:space="preserve"> land transport </w:t>
            </w:r>
            <w:r w:rsidR="00663FFB" w:rsidRPr="00F43D2E">
              <w:rPr>
                <w:lang w:val="en-GB"/>
              </w:rPr>
              <w:t xml:space="preserve">or information and communication activities </w:t>
            </w:r>
            <w:r w:rsidR="007F17DF" w:rsidRPr="00F43D2E">
              <w:rPr>
                <w:lang w:val="en-GB"/>
              </w:rPr>
              <w:t xml:space="preserve">in services. </w:t>
            </w:r>
            <w:r w:rsidR="007934A6">
              <w:rPr>
                <w:lang w:val="en-GB"/>
              </w:rPr>
              <w:t>The growth of imports by 3.1</w:t>
            </w:r>
            <w:r w:rsidR="007934A6" w:rsidRPr="00F43D2E">
              <w:rPr>
                <w:lang w:val="en-GB"/>
              </w:rPr>
              <w:t>%</w:t>
            </w:r>
            <w:r w:rsidR="007934A6">
              <w:rPr>
                <w:lang w:val="en-GB"/>
              </w:rPr>
              <w:t xml:space="preserve"> was supported significantly by t</w:t>
            </w:r>
            <w:r w:rsidR="007F17DF" w:rsidRPr="00F43D2E">
              <w:rPr>
                <w:lang w:val="en-GB"/>
              </w:rPr>
              <w:t>he</w:t>
            </w:r>
            <w:r w:rsidR="00663FFB" w:rsidRPr="00F43D2E">
              <w:rPr>
                <w:lang w:val="en-GB"/>
              </w:rPr>
              <w:t xml:space="preserve"> sub-supplies for the motor vehicles and the production of electrical appliances and equipment</w:t>
            </w:r>
            <w:r w:rsidR="007934A6">
              <w:rPr>
                <w:lang w:val="en-GB"/>
              </w:rPr>
              <w:t>.</w:t>
            </w:r>
            <w:r w:rsidR="007F17DF" w:rsidRPr="00F43D2E">
              <w:rPr>
                <w:lang w:val="en-GB"/>
              </w:rPr>
              <w:t xml:space="preserve"> In the view of the whole H1, the foreign trade surplus also reached a record level. The gain of the foreign trade for the Czech economy in the form of a positive balance has never been so large in the history of the CR, as at the beginning of this year. The positive terms of trade also affected the foreign trade favourably, since the prices of imports kept decreasing faster year-on-year than the prices of exports. Nevertheless, this phenomenon has already started to </w:t>
            </w:r>
            <w:r w:rsidR="007934A6">
              <w:rPr>
                <w:lang w:val="en-GB"/>
              </w:rPr>
              <w:t>change</w:t>
            </w:r>
            <w:r w:rsidR="007934A6" w:rsidRPr="00F43D2E">
              <w:rPr>
                <w:lang w:val="en-GB"/>
              </w:rPr>
              <w:t xml:space="preserve"> </w:t>
            </w:r>
            <w:r w:rsidR="007F17DF" w:rsidRPr="00F43D2E">
              <w:rPr>
                <w:lang w:val="en-GB"/>
              </w:rPr>
              <w:t>quarter-on-quarter and the prices of imports were falling slower compared to prices of exports especially for the reason of the quarter-on-quarter growth of the prices of oil.  </w:t>
            </w:r>
            <w:r w:rsidR="001550F3" w:rsidRPr="00F43D2E">
              <w:rPr>
                <w:lang w:val="en-GB"/>
              </w:rPr>
              <w:t xml:space="preserve"> </w:t>
            </w:r>
          </w:p>
          <w:p w:rsidR="007F17DF" w:rsidRPr="00F43D2E" w:rsidRDefault="007F17DF" w:rsidP="007F17DF">
            <w:pPr>
              <w:pStyle w:val="Textpoznpodarou"/>
              <w:jc w:val="both"/>
              <w:rPr>
                <w:sz w:val="16"/>
                <w:szCs w:val="16"/>
                <w:lang w:val="en-GB"/>
              </w:rPr>
            </w:pPr>
          </w:p>
        </w:tc>
      </w:tr>
      <w:tr w:rsidR="001550F3" w:rsidRPr="00F43D2E" w:rsidTr="00AF5D62">
        <w:tc>
          <w:tcPr>
            <w:tcW w:w="1054" w:type="pct"/>
          </w:tcPr>
          <w:p w:rsidR="001550F3" w:rsidRPr="00F43D2E" w:rsidRDefault="001550F3" w:rsidP="00F3159B">
            <w:pPr>
              <w:spacing w:line="240" w:lineRule="auto"/>
              <w:rPr>
                <w:sz w:val="16"/>
                <w:szCs w:val="16"/>
                <w:lang w:val="en-GB"/>
              </w:rPr>
            </w:pPr>
            <w:r w:rsidRPr="00F43D2E">
              <w:rPr>
                <w:sz w:val="16"/>
                <w:szCs w:val="16"/>
                <w:lang w:val="en-GB"/>
              </w:rPr>
              <w:lastRenderedPageBreak/>
              <w:t>Re</w:t>
            </w:r>
            <w:r w:rsidR="00F3159B" w:rsidRPr="00F43D2E">
              <w:rPr>
                <w:sz w:val="16"/>
                <w:szCs w:val="16"/>
                <w:lang w:val="en-GB"/>
              </w:rPr>
              <w:t xml:space="preserve">al gross domestic income rose by </w:t>
            </w:r>
            <w:r w:rsidRPr="00F43D2E">
              <w:rPr>
                <w:sz w:val="16"/>
                <w:szCs w:val="16"/>
                <w:lang w:val="en-GB"/>
              </w:rPr>
              <w:t>4</w:t>
            </w:r>
            <w:r w:rsidR="00F3159B" w:rsidRPr="00F43D2E">
              <w:rPr>
                <w:sz w:val="16"/>
                <w:szCs w:val="16"/>
                <w:lang w:val="en-GB"/>
              </w:rPr>
              <w:t>.</w:t>
            </w:r>
            <w:r w:rsidR="00EF1542">
              <w:rPr>
                <w:sz w:val="16"/>
                <w:szCs w:val="16"/>
                <w:lang w:val="en-GB"/>
              </w:rPr>
              <w:t>3</w:t>
            </w:r>
            <w:r w:rsidRPr="00F43D2E">
              <w:rPr>
                <w:sz w:val="16"/>
                <w:szCs w:val="16"/>
                <w:lang w:val="en-GB"/>
              </w:rPr>
              <w:t>%</w:t>
            </w:r>
          </w:p>
        </w:tc>
        <w:tc>
          <w:tcPr>
            <w:tcW w:w="143" w:type="pct"/>
          </w:tcPr>
          <w:p w:rsidR="001550F3" w:rsidRPr="00F43D2E" w:rsidRDefault="001550F3" w:rsidP="00AF5D62">
            <w:pPr>
              <w:pStyle w:val="Textpoznpodarou"/>
              <w:jc w:val="both"/>
              <w:rPr>
                <w:lang w:val="en-GB"/>
              </w:rPr>
            </w:pPr>
          </w:p>
        </w:tc>
        <w:tc>
          <w:tcPr>
            <w:tcW w:w="3803" w:type="pct"/>
          </w:tcPr>
          <w:p w:rsidR="001550F3" w:rsidRPr="00F43D2E" w:rsidRDefault="007F17DF" w:rsidP="00AF5D62">
            <w:pPr>
              <w:pStyle w:val="Textpoznpodarou"/>
              <w:jc w:val="both"/>
              <w:rPr>
                <w:lang w:val="en-GB"/>
              </w:rPr>
            </w:pPr>
            <w:r w:rsidRPr="00F43D2E">
              <w:rPr>
                <w:lang w:val="en-GB"/>
              </w:rPr>
              <w:t xml:space="preserve">Real gross domestic income (RGDI), which unlike the GDP takes into consideration the additional profits or losses from the development of prices in the foreign trade, resp. </w:t>
            </w:r>
            <w:r w:rsidR="006000F4" w:rsidRPr="00F43D2E">
              <w:rPr>
                <w:lang w:val="en-GB"/>
              </w:rPr>
              <w:t>p</w:t>
            </w:r>
            <w:r w:rsidRPr="00F43D2E">
              <w:rPr>
                <w:lang w:val="en-GB"/>
              </w:rPr>
              <w:t>rofits or losses from the t</w:t>
            </w:r>
            <w:r w:rsidR="00EF1542">
              <w:rPr>
                <w:lang w:val="en-GB"/>
              </w:rPr>
              <w:t>erms of trade, increased by 4.3</w:t>
            </w:r>
            <w:r w:rsidRPr="00F43D2E">
              <w:rPr>
                <w:lang w:val="en-GB"/>
              </w:rPr>
              <w:t>% year-on-year in Q2 2016 (not adjusted for seasonal or calendar effects)</w:t>
            </w:r>
            <w:r w:rsidR="001550F3" w:rsidRPr="00F43D2E">
              <w:rPr>
                <w:lang w:val="en-GB"/>
              </w:rPr>
              <w:t xml:space="preserve">. </w:t>
            </w:r>
          </w:p>
          <w:p w:rsidR="001550F3" w:rsidRPr="00F43D2E" w:rsidRDefault="001550F3" w:rsidP="00AF5D62">
            <w:pPr>
              <w:pStyle w:val="Textpoznpodarou"/>
              <w:jc w:val="both"/>
              <w:rPr>
                <w:sz w:val="16"/>
                <w:szCs w:val="16"/>
                <w:lang w:val="en-GB"/>
              </w:rPr>
            </w:pPr>
          </w:p>
        </w:tc>
      </w:tr>
      <w:tr w:rsidR="001550F3" w:rsidRPr="00F43D2E" w:rsidTr="00AF5D62">
        <w:tc>
          <w:tcPr>
            <w:tcW w:w="1054" w:type="pct"/>
          </w:tcPr>
          <w:p w:rsidR="001550F3" w:rsidRPr="00F43D2E" w:rsidRDefault="007F17DF" w:rsidP="007F17DF">
            <w:pPr>
              <w:spacing w:line="240" w:lineRule="auto"/>
              <w:rPr>
                <w:sz w:val="16"/>
                <w:szCs w:val="16"/>
                <w:lang w:val="en-GB"/>
              </w:rPr>
            </w:pPr>
            <w:r w:rsidRPr="00F43D2E">
              <w:rPr>
                <w:sz w:val="16"/>
                <w:szCs w:val="16"/>
                <w:lang w:val="en-GB"/>
              </w:rPr>
              <w:t>Manufacturing mostly participated on the year-on-year growth of the economy on the supply side in Q2 2016, services also participated significantly</w:t>
            </w:r>
            <w:proofErr w:type="gramStart"/>
            <w:r w:rsidRPr="00F43D2E">
              <w:rPr>
                <w:sz w:val="16"/>
                <w:szCs w:val="16"/>
                <w:lang w:val="en-GB"/>
              </w:rPr>
              <w:t>,…</w:t>
            </w:r>
            <w:proofErr w:type="gramEnd"/>
          </w:p>
        </w:tc>
        <w:tc>
          <w:tcPr>
            <w:tcW w:w="143" w:type="pct"/>
          </w:tcPr>
          <w:p w:rsidR="001550F3" w:rsidRPr="00F43D2E" w:rsidRDefault="001550F3" w:rsidP="00AF5D62">
            <w:pPr>
              <w:pStyle w:val="Textpoznpodarou"/>
              <w:jc w:val="both"/>
              <w:rPr>
                <w:lang w:val="en-GB"/>
              </w:rPr>
            </w:pPr>
          </w:p>
        </w:tc>
        <w:tc>
          <w:tcPr>
            <w:tcW w:w="3803" w:type="pct"/>
          </w:tcPr>
          <w:p w:rsidR="001550F3" w:rsidRPr="00F43D2E" w:rsidRDefault="007F17DF" w:rsidP="00AF5D62">
            <w:pPr>
              <w:pStyle w:val="Textpoznpodarou"/>
              <w:jc w:val="both"/>
              <w:rPr>
                <w:lang w:val="en-GB"/>
              </w:rPr>
            </w:pPr>
            <w:r w:rsidRPr="00F43D2E">
              <w:rPr>
                <w:lang w:val="en-GB"/>
              </w:rPr>
              <w:t>On the supply side, the majority of the main branches participated on the year-on-year growth of the economy in Q2, similarly to Q1. Manufacturing sustained its dominant position, with the g</w:t>
            </w:r>
            <w:r w:rsidR="00EF1542">
              <w:rPr>
                <w:lang w:val="en-GB"/>
              </w:rPr>
              <w:t>ross value added growing by 4.8</w:t>
            </w:r>
            <w:r w:rsidRPr="00F43D2E">
              <w:rPr>
                <w:lang w:val="en-GB"/>
              </w:rPr>
              <w:t xml:space="preserve">% and contributing to the total growth </w:t>
            </w:r>
            <w:proofErr w:type="gramStart"/>
            <w:r w:rsidRPr="00F43D2E">
              <w:rPr>
                <w:lang w:val="en-GB"/>
              </w:rPr>
              <w:t>1.3 p.p</w:t>
            </w:r>
            <w:proofErr w:type="gramEnd"/>
            <w:r w:rsidRPr="00F43D2E">
              <w:rPr>
                <w:lang w:val="en-GB"/>
              </w:rPr>
              <w:t>. Most branches thrived from the view of dynamics within the</w:t>
            </w:r>
            <w:r w:rsidR="00F220A9" w:rsidRPr="00F43D2E">
              <w:rPr>
                <w:lang w:val="en-GB"/>
              </w:rPr>
              <w:t xml:space="preserve"> services sector. </w:t>
            </w:r>
            <w:r w:rsidRPr="00F43D2E">
              <w:rPr>
                <w:lang w:val="en-GB"/>
              </w:rPr>
              <w:t>The</w:t>
            </w:r>
            <w:r w:rsidR="00F220A9" w:rsidRPr="00F43D2E">
              <w:rPr>
                <w:lang w:val="en-GB"/>
              </w:rPr>
              <w:t xml:space="preserve"> grouping trade, transport</w:t>
            </w:r>
            <w:r w:rsidR="008F3423" w:rsidRPr="00F43D2E">
              <w:rPr>
                <w:lang w:val="en-GB"/>
              </w:rPr>
              <w:t>ation</w:t>
            </w:r>
            <w:r w:rsidR="00F220A9" w:rsidRPr="00F43D2E">
              <w:rPr>
                <w:lang w:val="en-GB"/>
              </w:rPr>
              <w:t xml:space="preserve">, accommodation and food service activities </w:t>
            </w:r>
            <w:r w:rsidR="00EF1542">
              <w:rPr>
                <w:lang w:val="en-GB"/>
              </w:rPr>
              <w:t>increased by 2.5</w:t>
            </w:r>
            <w:r w:rsidRPr="00F43D2E">
              <w:rPr>
                <w:lang w:val="en-GB"/>
              </w:rPr>
              <w:t>%,</w:t>
            </w:r>
            <w:r w:rsidR="00F220A9" w:rsidRPr="00F43D2E">
              <w:rPr>
                <w:lang w:val="en-GB"/>
              </w:rPr>
              <w:t xml:space="preserve"> financial and insurance activities </w:t>
            </w:r>
            <w:r w:rsidR="00EF1542">
              <w:rPr>
                <w:lang w:val="en-GB"/>
              </w:rPr>
              <w:t>by 3.8</w:t>
            </w:r>
            <w:r w:rsidRPr="00F43D2E">
              <w:rPr>
                <w:lang w:val="en-GB"/>
              </w:rPr>
              <w:t>%, professional, scientific, technical and administrative activities by</w:t>
            </w:r>
            <w:r w:rsidR="00EF1542">
              <w:rPr>
                <w:lang w:val="en-GB"/>
              </w:rPr>
              <w:t xml:space="preserve"> 3.4</w:t>
            </w:r>
            <w:r w:rsidRPr="00F43D2E">
              <w:rPr>
                <w:lang w:val="en-GB"/>
              </w:rPr>
              <w:t>% and activities in</w:t>
            </w:r>
            <w:r w:rsidR="00EF1542">
              <w:rPr>
                <w:lang w:val="en-GB"/>
              </w:rPr>
              <w:t xml:space="preserve"> the area of real estate by 2.1</w:t>
            </w:r>
            <w:r w:rsidRPr="00F43D2E">
              <w:rPr>
                <w:lang w:val="en-GB"/>
              </w:rPr>
              <w:t>%. Agriculture, fores</w:t>
            </w:r>
            <w:r w:rsidR="00EF1542">
              <w:rPr>
                <w:lang w:val="en-GB"/>
              </w:rPr>
              <w:t>try and fishing expanded by 5.6</w:t>
            </w:r>
            <w:r w:rsidRPr="00F43D2E">
              <w:rPr>
                <w:lang w:val="en-GB"/>
              </w:rPr>
              <w:t>%. </w:t>
            </w:r>
          </w:p>
          <w:p w:rsidR="001550F3" w:rsidRPr="00F43D2E" w:rsidRDefault="001550F3" w:rsidP="00AF5D62">
            <w:pPr>
              <w:pStyle w:val="Textpoznpodarou"/>
              <w:jc w:val="both"/>
              <w:rPr>
                <w:spacing w:val="-4"/>
                <w:sz w:val="16"/>
                <w:szCs w:val="16"/>
                <w:lang w:val="en-GB"/>
              </w:rPr>
            </w:pPr>
          </w:p>
        </w:tc>
      </w:tr>
      <w:tr w:rsidR="001550F3" w:rsidRPr="00F43D2E" w:rsidTr="00AF5D62">
        <w:tc>
          <w:tcPr>
            <w:tcW w:w="1054" w:type="pct"/>
          </w:tcPr>
          <w:p w:rsidR="001550F3" w:rsidRPr="00F43D2E" w:rsidRDefault="007F17DF" w:rsidP="00F220A9">
            <w:pPr>
              <w:spacing w:line="240" w:lineRule="auto"/>
              <w:rPr>
                <w:sz w:val="16"/>
                <w:szCs w:val="16"/>
                <w:lang w:val="en-GB"/>
              </w:rPr>
            </w:pPr>
            <w:r w:rsidRPr="00F43D2E">
              <w:rPr>
                <w:lang w:val="en-GB"/>
              </w:rPr>
              <w:t xml:space="preserve">… </w:t>
            </w:r>
            <w:r w:rsidRPr="00F43D2E">
              <w:rPr>
                <w:sz w:val="16"/>
                <w:szCs w:val="16"/>
                <w:lang w:val="en-GB"/>
              </w:rPr>
              <w:t xml:space="preserve">construction however sank in comparison from the exceptional year 2015 </w:t>
            </w:r>
          </w:p>
        </w:tc>
        <w:tc>
          <w:tcPr>
            <w:tcW w:w="143" w:type="pct"/>
          </w:tcPr>
          <w:p w:rsidR="001550F3" w:rsidRPr="00F43D2E" w:rsidRDefault="001550F3" w:rsidP="00AF5D62">
            <w:pPr>
              <w:pStyle w:val="Textpoznpodarou"/>
              <w:jc w:val="both"/>
              <w:rPr>
                <w:lang w:val="en-GB"/>
              </w:rPr>
            </w:pPr>
          </w:p>
        </w:tc>
        <w:tc>
          <w:tcPr>
            <w:tcW w:w="3803" w:type="pct"/>
          </w:tcPr>
          <w:p w:rsidR="001550F3" w:rsidRPr="00F43D2E" w:rsidRDefault="007F17DF" w:rsidP="007F17DF">
            <w:pPr>
              <w:pStyle w:val="Textpoznpodarou"/>
              <w:jc w:val="both"/>
              <w:rPr>
                <w:lang w:val="en-GB"/>
              </w:rPr>
            </w:pPr>
            <w:r w:rsidRPr="00F43D2E">
              <w:rPr>
                <w:lang w:val="en-GB"/>
              </w:rPr>
              <w:t>Lower investment into other buildings and structures compared to the last year, which was boosted by the extraordinary finalisation of drawing of funds from the programm</w:t>
            </w:r>
            <w:r w:rsidR="007934A6">
              <w:rPr>
                <w:lang w:val="en-GB"/>
              </w:rPr>
              <w:t>ing</w:t>
            </w:r>
            <w:r w:rsidRPr="00F43D2E">
              <w:rPr>
                <w:lang w:val="en-GB"/>
              </w:rPr>
              <w:t xml:space="preserve"> period 2007 to 2014, was reflected in the notable year-on-year as well as quarter-on-quarter fall of the gross value</w:t>
            </w:r>
            <w:r w:rsidR="00EF1542">
              <w:rPr>
                <w:lang w:val="en-GB"/>
              </w:rPr>
              <w:t xml:space="preserve"> added of construction (by -5.5%, resp. 5.7</w:t>
            </w:r>
            <w:r w:rsidRPr="00F43D2E">
              <w:rPr>
                <w:lang w:val="en-GB"/>
              </w:rPr>
              <w:t xml:space="preserve">% in Q2). </w:t>
            </w:r>
          </w:p>
        </w:tc>
      </w:tr>
    </w:tbl>
    <w:p w:rsidR="001550F3" w:rsidRDefault="001550F3" w:rsidP="001550F3">
      <w:pPr>
        <w:pStyle w:val="Textpoznpodarou"/>
        <w:jc w:val="both"/>
        <w:rPr>
          <w:sz w:val="18"/>
          <w:szCs w:val="18"/>
          <w:lang w:val="en-GB"/>
        </w:rPr>
      </w:pPr>
    </w:p>
    <w:p w:rsidR="00232B6B" w:rsidRPr="00F43D2E" w:rsidRDefault="00232B6B" w:rsidP="001550F3">
      <w:pPr>
        <w:pStyle w:val="Textpoznpodarou"/>
        <w:jc w:val="both"/>
        <w:rPr>
          <w:sz w:val="18"/>
          <w:szCs w:val="18"/>
          <w:lang w:val="en-GB"/>
        </w:rPr>
      </w:pPr>
    </w:p>
    <w:tbl>
      <w:tblPr>
        <w:tblW w:w="5000" w:type="pct"/>
        <w:tblLook w:val="04A0"/>
      </w:tblPr>
      <w:tblGrid>
        <w:gridCol w:w="954"/>
        <w:gridCol w:w="3898"/>
        <w:gridCol w:w="903"/>
        <w:gridCol w:w="4099"/>
      </w:tblGrid>
      <w:tr w:rsidR="001550F3" w:rsidRPr="00F43D2E" w:rsidTr="00D7344B">
        <w:tc>
          <w:tcPr>
            <w:tcW w:w="487" w:type="pct"/>
          </w:tcPr>
          <w:p w:rsidR="001550F3" w:rsidRPr="00F43D2E" w:rsidRDefault="00A63114" w:rsidP="00A63114">
            <w:pPr>
              <w:pStyle w:val="Textpoznpodarou"/>
              <w:rPr>
                <w:lang w:val="en-GB" w:eastAsia="en-US"/>
              </w:rPr>
            </w:pPr>
            <w:r w:rsidRPr="00F43D2E">
              <w:rPr>
                <w:lang w:val="en-GB" w:eastAsia="en-US"/>
              </w:rPr>
              <w:t xml:space="preserve">Chart </w:t>
            </w:r>
            <w:r w:rsidR="001550F3" w:rsidRPr="00F43D2E">
              <w:rPr>
                <w:lang w:val="en-GB" w:eastAsia="en-US"/>
              </w:rPr>
              <w:t>1</w:t>
            </w:r>
          </w:p>
        </w:tc>
        <w:tc>
          <w:tcPr>
            <w:tcW w:w="1990" w:type="pct"/>
          </w:tcPr>
          <w:p w:rsidR="001550F3" w:rsidRPr="00F43D2E" w:rsidRDefault="00A63114" w:rsidP="00A63114">
            <w:pPr>
              <w:pStyle w:val="Textpoznpodarou"/>
              <w:rPr>
                <w:lang w:val="en-GB" w:eastAsia="en-US"/>
              </w:rPr>
            </w:pPr>
            <w:r w:rsidRPr="00F43D2E">
              <w:rPr>
                <w:b/>
                <w:lang w:val="en-GB" w:eastAsia="en-US"/>
              </w:rPr>
              <w:t xml:space="preserve">GDP </w:t>
            </w:r>
            <w:r w:rsidR="001550F3" w:rsidRPr="00F43D2E">
              <w:rPr>
                <w:lang w:val="en-GB" w:eastAsia="en-US"/>
              </w:rPr>
              <w:t>(</w:t>
            </w:r>
            <w:r w:rsidRPr="00F43D2E">
              <w:rPr>
                <w:lang w:val="en-GB" w:eastAsia="en-US"/>
              </w:rPr>
              <w:t xml:space="preserve">constant </w:t>
            </w:r>
            <w:r w:rsidR="006A0F1B" w:rsidRPr="00F43D2E">
              <w:rPr>
                <w:lang w:val="en-GB" w:eastAsia="en-US"/>
              </w:rPr>
              <w:t>prices</w:t>
            </w:r>
            <w:r w:rsidR="001550F3" w:rsidRPr="00F43D2E">
              <w:rPr>
                <w:lang w:val="en-GB" w:eastAsia="en-US"/>
              </w:rPr>
              <w:t xml:space="preserve"> </w:t>
            </w:r>
            <w:r w:rsidRPr="00F43D2E">
              <w:rPr>
                <w:lang w:val="en-GB" w:eastAsia="en-US"/>
              </w:rPr>
              <w:t>adjusted for seasonal and calendar effects</w:t>
            </w:r>
            <w:r w:rsidR="001550F3" w:rsidRPr="00F43D2E">
              <w:rPr>
                <w:lang w:val="en-GB" w:eastAsia="en-US"/>
              </w:rPr>
              <w:t xml:space="preserve">, </w:t>
            </w:r>
            <w:r w:rsidRPr="00F43D2E">
              <w:rPr>
                <w:lang w:val="en-GB" w:eastAsia="en-US"/>
              </w:rPr>
              <w:t>in</w:t>
            </w:r>
            <w:r w:rsidR="001550F3" w:rsidRPr="00F43D2E">
              <w:rPr>
                <w:lang w:val="en-GB" w:eastAsia="en-US"/>
              </w:rPr>
              <w:t xml:space="preserve"> %)</w:t>
            </w:r>
          </w:p>
        </w:tc>
        <w:tc>
          <w:tcPr>
            <w:tcW w:w="455" w:type="pct"/>
          </w:tcPr>
          <w:p w:rsidR="001550F3" w:rsidRPr="00F43D2E" w:rsidRDefault="00A63114" w:rsidP="00A63114">
            <w:pPr>
              <w:pStyle w:val="Textpoznpodarou"/>
              <w:rPr>
                <w:lang w:val="en-GB" w:eastAsia="en-US"/>
              </w:rPr>
            </w:pPr>
            <w:r w:rsidRPr="00F43D2E">
              <w:rPr>
                <w:lang w:val="en-GB" w:eastAsia="en-US"/>
              </w:rPr>
              <w:t>Chart</w:t>
            </w:r>
            <w:r w:rsidR="001550F3" w:rsidRPr="00F43D2E">
              <w:rPr>
                <w:lang w:val="en-GB" w:eastAsia="en-US"/>
              </w:rPr>
              <w:t xml:space="preserve"> 2</w:t>
            </w:r>
          </w:p>
        </w:tc>
        <w:tc>
          <w:tcPr>
            <w:tcW w:w="2068" w:type="pct"/>
          </w:tcPr>
          <w:p w:rsidR="001550F3" w:rsidRPr="00F43D2E" w:rsidRDefault="00A63114" w:rsidP="00A63114">
            <w:pPr>
              <w:pStyle w:val="Textpoznpodarou"/>
              <w:rPr>
                <w:spacing w:val="-2"/>
                <w:lang w:val="en-GB" w:eastAsia="en-US"/>
              </w:rPr>
            </w:pPr>
            <w:r w:rsidRPr="00F43D2E">
              <w:rPr>
                <w:b/>
                <w:spacing w:val="-2"/>
                <w:lang w:val="en-GB" w:eastAsia="en-US"/>
              </w:rPr>
              <w:t xml:space="preserve">GDP </w:t>
            </w:r>
            <w:r w:rsidR="001550F3" w:rsidRPr="00F43D2E">
              <w:rPr>
                <w:spacing w:val="-2"/>
                <w:lang w:val="en-GB" w:eastAsia="en-US"/>
              </w:rPr>
              <w:t>(</w:t>
            </w:r>
            <w:r w:rsidRPr="00F43D2E">
              <w:rPr>
                <w:spacing w:val="-2"/>
                <w:lang w:val="en-GB" w:eastAsia="en-US"/>
              </w:rPr>
              <w:t>constant prices</w:t>
            </w:r>
            <w:r w:rsidR="001550F3" w:rsidRPr="00F43D2E">
              <w:rPr>
                <w:spacing w:val="-2"/>
                <w:lang w:val="en-GB" w:eastAsia="en-US"/>
              </w:rPr>
              <w:t>,</w:t>
            </w:r>
            <w:r w:rsidRPr="00F43D2E">
              <w:rPr>
                <w:spacing w:val="-2"/>
                <w:lang w:val="en-GB" w:eastAsia="en-US"/>
              </w:rPr>
              <w:t xml:space="preserve"> adjusted for seasonal and calendar effects</w:t>
            </w:r>
            <w:r w:rsidR="001550F3" w:rsidRPr="00F43D2E">
              <w:rPr>
                <w:spacing w:val="-2"/>
                <w:lang w:val="en-GB" w:eastAsia="en-US"/>
              </w:rPr>
              <w:t xml:space="preserve">, y/y </w:t>
            </w:r>
            <w:r w:rsidRPr="00F43D2E">
              <w:rPr>
                <w:spacing w:val="-2"/>
                <w:lang w:val="en-GB" w:eastAsia="en-US"/>
              </w:rPr>
              <w:t>in</w:t>
            </w:r>
            <w:r w:rsidR="001550F3" w:rsidRPr="00F43D2E">
              <w:rPr>
                <w:spacing w:val="-2"/>
                <w:lang w:val="en-GB" w:eastAsia="en-US"/>
              </w:rPr>
              <w:t xml:space="preserve"> %, </w:t>
            </w:r>
            <w:r w:rsidRPr="00F43D2E">
              <w:rPr>
                <w:spacing w:val="-2"/>
                <w:lang w:val="en-GB" w:eastAsia="en-US"/>
              </w:rPr>
              <w:t>right axis</w:t>
            </w:r>
            <w:r w:rsidR="001550F3" w:rsidRPr="00F43D2E">
              <w:rPr>
                <w:spacing w:val="-2"/>
                <w:lang w:val="en-GB" w:eastAsia="en-US"/>
              </w:rPr>
              <w:t xml:space="preserve">) </w:t>
            </w:r>
            <w:r w:rsidR="001550F3" w:rsidRPr="00F43D2E">
              <w:rPr>
                <w:b/>
                <w:spacing w:val="-2"/>
                <w:lang w:val="en-GB" w:eastAsia="en-US"/>
              </w:rPr>
              <w:t>a</w:t>
            </w:r>
            <w:r w:rsidRPr="00F43D2E">
              <w:rPr>
                <w:b/>
                <w:spacing w:val="-2"/>
                <w:lang w:val="en-GB" w:eastAsia="en-US"/>
              </w:rPr>
              <w:t>nd confidence indicators</w:t>
            </w:r>
            <w:r w:rsidR="001550F3" w:rsidRPr="00F43D2E">
              <w:rPr>
                <w:spacing w:val="-2"/>
                <w:lang w:val="en-GB" w:eastAsia="en-US"/>
              </w:rPr>
              <w:t xml:space="preserve"> (2005=100, </w:t>
            </w:r>
            <w:r w:rsidRPr="00F43D2E">
              <w:rPr>
                <w:spacing w:val="-2"/>
                <w:lang w:val="en-GB" w:eastAsia="en-US"/>
              </w:rPr>
              <w:t>left axis</w:t>
            </w:r>
            <w:r w:rsidR="001550F3" w:rsidRPr="00F43D2E">
              <w:rPr>
                <w:spacing w:val="-2"/>
                <w:lang w:val="en-GB" w:eastAsia="en-US"/>
              </w:rPr>
              <w:t>)</w:t>
            </w:r>
          </w:p>
        </w:tc>
      </w:tr>
      <w:tr w:rsidR="001550F3" w:rsidRPr="00F43D2E" w:rsidTr="00D7344B">
        <w:tblPrEx>
          <w:tblCellMar>
            <w:left w:w="70" w:type="dxa"/>
            <w:right w:w="70" w:type="dxa"/>
          </w:tblCellMar>
        </w:tblPrEx>
        <w:tc>
          <w:tcPr>
            <w:tcW w:w="2477" w:type="pct"/>
            <w:gridSpan w:val="2"/>
          </w:tcPr>
          <w:p w:rsidR="001550F3" w:rsidRPr="00F43D2E" w:rsidRDefault="00707D23" w:rsidP="00AF5D62">
            <w:pPr>
              <w:pStyle w:val="Textpoznpodarou"/>
              <w:jc w:val="both"/>
              <w:rPr>
                <w:color w:val="FF0000"/>
                <w:lang w:val="en-GB" w:eastAsia="en-US"/>
              </w:rPr>
            </w:pPr>
            <w:r>
              <w:rPr>
                <w:noProof/>
                <w:color w:val="FF0000"/>
              </w:rPr>
              <w:drawing>
                <wp:inline distT="0" distB="0" distL="0" distR="0">
                  <wp:extent cx="2981961" cy="2354400"/>
                  <wp:effectExtent l="19050" t="0" r="8889" b="0"/>
                  <wp:docPr id="35"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981961" cy="2354400"/>
                          </a:xfrm>
                          <a:prstGeom prst="rect">
                            <a:avLst/>
                          </a:prstGeom>
                          <a:noFill/>
                          <a:ln w="9525">
                            <a:noFill/>
                            <a:miter lim="800000"/>
                            <a:headEnd/>
                            <a:tailEnd/>
                          </a:ln>
                        </pic:spPr>
                      </pic:pic>
                    </a:graphicData>
                  </a:graphic>
                </wp:inline>
              </w:drawing>
            </w:r>
          </w:p>
        </w:tc>
        <w:tc>
          <w:tcPr>
            <w:tcW w:w="2523" w:type="pct"/>
            <w:gridSpan w:val="2"/>
          </w:tcPr>
          <w:p w:rsidR="001550F3" w:rsidRPr="00F43D2E" w:rsidRDefault="00707D23" w:rsidP="00AF5D62">
            <w:pPr>
              <w:pStyle w:val="Textpoznpodarou"/>
              <w:jc w:val="both"/>
              <w:rPr>
                <w:color w:val="FF0000"/>
                <w:lang w:val="en-GB" w:eastAsia="en-US"/>
              </w:rPr>
            </w:pPr>
            <w:r>
              <w:rPr>
                <w:noProof/>
                <w:color w:val="FF0000"/>
              </w:rPr>
              <w:drawing>
                <wp:inline distT="0" distB="0" distL="0" distR="0">
                  <wp:extent cx="3084385" cy="2346316"/>
                  <wp:effectExtent l="19050" t="0" r="1715" b="0"/>
                  <wp:docPr id="3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089308" cy="2350061"/>
                          </a:xfrm>
                          <a:prstGeom prst="rect">
                            <a:avLst/>
                          </a:prstGeom>
                          <a:noFill/>
                          <a:ln w="9525">
                            <a:noFill/>
                            <a:miter lim="800000"/>
                            <a:headEnd/>
                            <a:tailEnd/>
                          </a:ln>
                        </pic:spPr>
                      </pic:pic>
                    </a:graphicData>
                  </a:graphic>
                </wp:inline>
              </w:drawing>
            </w:r>
          </w:p>
        </w:tc>
      </w:tr>
      <w:tr w:rsidR="001550F3" w:rsidRPr="00F43D2E" w:rsidTr="00D7344B">
        <w:tc>
          <w:tcPr>
            <w:tcW w:w="5000" w:type="pct"/>
            <w:gridSpan w:val="4"/>
          </w:tcPr>
          <w:p w:rsidR="001550F3" w:rsidRPr="00F43D2E" w:rsidRDefault="00A63114" w:rsidP="00A63114">
            <w:pPr>
              <w:pStyle w:val="Textpoznpodarou"/>
              <w:jc w:val="right"/>
              <w:rPr>
                <w:sz w:val="18"/>
                <w:szCs w:val="18"/>
                <w:lang w:val="en-GB" w:eastAsia="en-US"/>
              </w:rPr>
            </w:pPr>
            <w:r w:rsidRPr="00F43D2E">
              <w:rPr>
                <w:sz w:val="18"/>
                <w:szCs w:val="18"/>
                <w:lang w:val="en-GB" w:eastAsia="en-US"/>
              </w:rPr>
              <w:t>Source</w:t>
            </w:r>
            <w:r w:rsidR="001550F3" w:rsidRPr="00F43D2E">
              <w:rPr>
                <w:sz w:val="18"/>
                <w:szCs w:val="18"/>
                <w:lang w:val="en-GB" w:eastAsia="en-US"/>
              </w:rPr>
              <w:t xml:space="preserve">: </w:t>
            </w:r>
            <w:r w:rsidRPr="00F43D2E">
              <w:rPr>
                <w:sz w:val="18"/>
                <w:szCs w:val="18"/>
                <w:lang w:val="en-GB" w:eastAsia="en-US"/>
              </w:rPr>
              <w:t>CZSO</w:t>
            </w:r>
            <w:r w:rsidR="001550F3" w:rsidRPr="00F43D2E">
              <w:rPr>
                <w:sz w:val="18"/>
                <w:szCs w:val="18"/>
                <w:lang w:val="en-GB" w:eastAsia="en-US"/>
              </w:rPr>
              <w:t>, Eurostat</w:t>
            </w:r>
          </w:p>
        </w:tc>
      </w:tr>
    </w:tbl>
    <w:p w:rsidR="001550F3" w:rsidRDefault="001550F3" w:rsidP="001550F3">
      <w:pPr>
        <w:pStyle w:val="Textpoznpodarou"/>
        <w:jc w:val="both"/>
        <w:rPr>
          <w:sz w:val="18"/>
          <w:szCs w:val="18"/>
          <w:lang w:val="en-GB"/>
        </w:rPr>
      </w:pPr>
    </w:p>
    <w:p w:rsidR="00232B6B" w:rsidRDefault="00232B6B" w:rsidP="001550F3">
      <w:pPr>
        <w:pStyle w:val="Textpoznpodarou"/>
        <w:jc w:val="both"/>
        <w:rPr>
          <w:sz w:val="18"/>
          <w:szCs w:val="18"/>
          <w:lang w:val="en-GB"/>
        </w:rPr>
      </w:pPr>
    </w:p>
    <w:p w:rsidR="00232B6B" w:rsidRDefault="00232B6B" w:rsidP="001550F3">
      <w:pPr>
        <w:pStyle w:val="Textpoznpodarou"/>
        <w:jc w:val="both"/>
        <w:rPr>
          <w:sz w:val="18"/>
          <w:szCs w:val="18"/>
          <w:lang w:val="en-GB"/>
        </w:rPr>
      </w:pPr>
    </w:p>
    <w:p w:rsidR="00232B6B" w:rsidRDefault="00232B6B" w:rsidP="001550F3">
      <w:pPr>
        <w:pStyle w:val="Textpoznpodarou"/>
        <w:jc w:val="both"/>
        <w:rPr>
          <w:sz w:val="18"/>
          <w:szCs w:val="18"/>
          <w:lang w:val="en-GB"/>
        </w:rPr>
      </w:pPr>
    </w:p>
    <w:p w:rsidR="00232B6B" w:rsidRDefault="00232B6B" w:rsidP="001550F3">
      <w:pPr>
        <w:pStyle w:val="Textpoznpodarou"/>
        <w:jc w:val="both"/>
        <w:rPr>
          <w:sz w:val="18"/>
          <w:szCs w:val="18"/>
          <w:lang w:val="en-GB"/>
        </w:rPr>
      </w:pPr>
    </w:p>
    <w:p w:rsidR="00232B6B" w:rsidRPr="00F43D2E" w:rsidRDefault="00232B6B" w:rsidP="001550F3">
      <w:pPr>
        <w:pStyle w:val="Textpoznpodarou"/>
        <w:jc w:val="both"/>
        <w:rPr>
          <w:sz w:val="18"/>
          <w:szCs w:val="18"/>
          <w:lang w:val="en-GB"/>
        </w:rPr>
      </w:pPr>
    </w:p>
    <w:tbl>
      <w:tblPr>
        <w:tblW w:w="5000" w:type="pct"/>
        <w:tblLook w:val="04A0"/>
      </w:tblPr>
      <w:tblGrid>
        <w:gridCol w:w="949"/>
        <w:gridCol w:w="3943"/>
        <w:gridCol w:w="1013"/>
        <w:gridCol w:w="3949"/>
      </w:tblGrid>
      <w:tr w:rsidR="001550F3" w:rsidRPr="00F43D2E" w:rsidTr="00F27D6C">
        <w:tc>
          <w:tcPr>
            <w:tcW w:w="487" w:type="pct"/>
          </w:tcPr>
          <w:p w:rsidR="001550F3" w:rsidRPr="00F43D2E" w:rsidRDefault="00A63114" w:rsidP="00D7344B">
            <w:pPr>
              <w:pStyle w:val="Textpoznpodarou"/>
              <w:rPr>
                <w:lang w:val="en-GB" w:eastAsia="en-US"/>
              </w:rPr>
            </w:pPr>
            <w:r w:rsidRPr="00F43D2E">
              <w:rPr>
                <w:lang w:val="en-GB" w:eastAsia="en-US"/>
              </w:rPr>
              <w:lastRenderedPageBreak/>
              <w:t>Chart</w:t>
            </w:r>
            <w:r w:rsidR="00D7344B">
              <w:rPr>
                <w:lang w:val="en-GB" w:eastAsia="en-US"/>
              </w:rPr>
              <w:t xml:space="preserve"> </w:t>
            </w:r>
            <w:r w:rsidR="001550F3" w:rsidRPr="00F43D2E">
              <w:rPr>
                <w:lang w:val="en-GB" w:eastAsia="en-US"/>
              </w:rPr>
              <w:t>3</w:t>
            </w:r>
          </w:p>
        </w:tc>
        <w:tc>
          <w:tcPr>
            <w:tcW w:w="2027" w:type="pct"/>
          </w:tcPr>
          <w:p w:rsidR="001550F3" w:rsidRPr="00F43D2E" w:rsidRDefault="009C13A4" w:rsidP="009C13A4">
            <w:pPr>
              <w:pStyle w:val="Textpoznpodarou"/>
              <w:rPr>
                <w:spacing w:val="-6"/>
                <w:lang w:val="en-GB" w:eastAsia="en-US"/>
              </w:rPr>
            </w:pPr>
            <w:r w:rsidRPr="00F43D2E">
              <w:rPr>
                <w:b/>
                <w:spacing w:val="-6"/>
                <w:lang w:val="en-GB" w:eastAsia="en-US"/>
              </w:rPr>
              <w:t xml:space="preserve">Contributions of expenditure items to GDP change </w:t>
            </w:r>
            <w:r w:rsidR="001550F3" w:rsidRPr="00F43D2E">
              <w:rPr>
                <w:b/>
                <w:spacing w:val="-6"/>
                <w:lang w:val="en-GB" w:eastAsia="en-US"/>
              </w:rPr>
              <w:t>*</w:t>
            </w:r>
            <w:r w:rsidR="001550F3" w:rsidRPr="00F43D2E">
              <w:rPr>
                <w:spacing w:val="-6"/>
                <w:lang w:val="en-GB" w:eastAsia="en-US"/>
              </w:rPr>
              <w:t xml:space="preserve"> (</w:t>
            </w:r>
            <w:r w:rsidR="00A63114" w:rsidRPr="00F43D2E">
              <w:rPr>
                <w:spacing w:val="-6"/>
                <w:lang w:val="en-GB" w:eastAsia="en-US"/>
              </w:rPr>
              <w:t>constant</w:t>
            </w:r>
            <w:r w:rsidR="001550F3" w:rsidRPr="00F43D2E">
              <w:rPr>
                <w:spacing w:val="-6"/>
                <w:lang w:val="en-GB" w:eastAsia="en-US"/>
              </w:rPr>
              <w:t xml:space="preserve"> </w:t>
            </w:r>
            <w:r w:rsidR="00A63114" w:rsidRPr="00F43D2E">
              <w:rPr>
                <w:spacing w:val="-6"/>
                <w:lang w:val="en-GB" w:eastAsia="en-US"/>
              </w:rPr>
              <w:t>prices</w:t>
            </w:r>
            <w:r w:rsidR="001550F3" w:rsidRPr="00F43D2E">
              <w:rPr>
                <w:spacing w:val="-6"/>
                <w:lang w:val="en-GB" w:eastAsia="en-US"/>
              </w:rPr>
              <w:t xml:space="preserve">, y/y, </w:t>
            </w:r>
            <w:r w:rsidRPr="00F43D2E">
              <w:rPr>
                <w:spacing w:val="-6"/>
                <w:lang w:val="en-GB" w:eastAsia="en-US"/>
              </w:rPr>
              <w:t xml:space="preserve">contributions in </w:t>
            </w:r>
            <w:r w:rsidR="001550F3" w:rsidRPr="00F43D2E">
              <w:rPr>
                <w:spacing w:val="-6"/>
                <w:lang w:val="en-GB" w:eastAsia="en-US"/>
              </w:rPr>
              <w:t>p.</w:t>
            </w:r>
            <w:r w:rsidRPr="00F43D2E">
              <w:rPr>
                <w:spacing w:val="-6"/>
                <w:lang w:val="en-GB" w:eastAsia="en-US"/>
              </w:rPr>
              <w:t>p</w:t>
            </w:r>
            <w:r w:rsidR="001550F3" w:rsidRPr="00F43D2E">
              <w:rPr>
                <w:spacing w:val="-6"/>
                <w:lang w:val="en-GB" w:eastAsia="en-US"/>
              </w:rPr>
              <w:t xml:space="preserve">., </w:t>
            </w:r>
            <w:r w:rsidRPr="00F43D2E">
              <w:rPr>
                <w:spacing w:val="-6"/>
                <w:lang w:val="en-GB" w:eastAsia="en-US"/>
              </w:rPr>
              <w:t>GDP in</w:t>
            </w:r>
            <w:r w:rsidR="001550F3" w:rsidRPr="00F43D2E">
              <w:rPr>
                <w:spacing w:val="-6"/>
                <w:lang w:val="en-GB" w:eastAsia="en-US"/>
              </w:rPr>
              <w:t xml:space="preserve"> %)</w:t>
            </w:r>
          </w:p>
        </w:tc>
        <w:tc>
          <w:tcPr>
            <w:tcW w:w="507" w:type="pct"/>
          </w:tcPr>
          <w:p w:rsidR="001550F3" w:rsidRPr="00F43D2E" w:rsidRDefault="00A63114" w:rsidP="00A63114">
            <w:pPr>
              <w:pStyle w:val="Textpoznpodarou"/>
              <w:rPr>
                <w:lang w:val="en-GB" w:eastAsia="en-US"/>
              </w:rPr>
            </w:pPr>
            <w:r w:rsidRPr="00F43D2E">
              <w:rPr>
                <w:lang w:val="en-GB" w:eastAsia="en-US"/>
              </w:rPr>
              <w:t xml:space="preserve">Chart </w:t>
            </w:r>
            <w:r w:rsidR="001550F3" w:rsidRPr="00F43D2E">
              <w:rPr>
                <w:lang w:val="en-GB" w:eastAsia="en-US"/>
              </w:rPr>
              <w:t>4</w:t>
            </w:r>
          </w:p>
        </w:tc>
        <w:tc>
          <w:tcPr>
            <w:tcW w:w="1979" w:type="pct"/>
          </w:tcPr>
          <w:p w:rsidR="001550F3" w:rsidRPr="00F43D2E" w:rsidRDefault="009C13A4" w:rsidP="009C13A4">
            <w:pPr>
              <w:pStyle w:val="Textpoznpodarou"/>
              <w:rPr>
                <w:lang w:val="en-GB" w:eastAsia="en-US"/>
              </w:rPr>
            </w:pPr>
            <w:r w:rsidRPr="00F43D2E">
              <w:rPr>
                <w:b/>
                <w:lang w:val="en-GB" w:eastAsia="en-US"/>
              </w:rPr>
              <w:t>Contributions of branches to change in GVA</w:t>
            </w:r>
            <w:r w:rsidRPr="00F43D2E">
              <w:rPr>
                <w:lang w:val="en-GB" w:eastAsia="en-US"/>
              </w:rPr>
              <w:t xml:space="preserve"> </w:t>
            </w:r>
            <w:r w:rsidR="001550F3" w:rsidRPr="00F43D2E">
              <w:rPr>
                <w:lang w:val="en-GB" w:eastAsia="en-US"/>
              </w:rPr>
              <w:t>(</w:t>
            </w:r>
            <w:r w:rsidRPr="00F43D2E">
              <w:rPr>
                <w:lang w:val="en-GB" w:eastAsia="en-US"/>
              </w:rPr>
              <w:t>constant prices</w:t>
            </w:r>
            <w:r w:rsidR="001550F3" w:rsidRPr="00F43D2E">
              <w:rPr>
                <w:lang w:val="en-GB" w:eastAsia="en-US"/>
              </w:rPr>
              <w:t xml:space="preserve">, y/y, </w:t>
            </w:r>
            <w:r w:rsidRPr="00F43D2E">
              <w:rPr>
                <w:lang w:val="en-GB" w:eastAsia="en-US"/>
              </w:rPr>
              <w:t xml:space="preserve">contributions in </w:t>
            </w:r>
            <w:r w:rsidR="001550F3" w:rsidRPr="00F43D2E">
              <w:rPr>
                <w:lang w:val="en-GB" w:eastAsia="en-US"/>
              </w:rPr>
              <w:t>p.</w:t>
            </w:r>
            <w:r w:rsidRPr="00F43D2E">
              <w:rPr>
                <w:lang w:val="en-GB" w:eastAsia="en-US"/>
              </w:rPr>
              <w:t>p</w:t>
            </w:r>
            <w:r w:rsidR="001550F3" w:rsidRPr="00F43D2E">
              <w:rPr>
                <w:lang w:val="en-GB" w:eastAsia="en-US"/>
              </w:rPr>
              <w:t xml:space="preserve">., </w:t>
            </w:r>
            <w:r w:rsidRPr="00F43D2E">
              <w:rPr>
                <w:lang w:val="en-GB" w:eastAsia="en-US"/>
              </w:rPr>
              <w:t xml:space="preserve">GVA in </w:t>
            </w:r>
            <w:r w:rsidR="001550F3" w:rsidRPr="00F43D2E">
              <w:rPr>
                <w:lang w:val="en-GB" w:eastAsia="en-US"/>
              </w:rPr>
              <w:t>%)</w:t>
            </w:r>
          </w:p>
        </w:tc>
      </w:tr>
      <w:tr w:rsidR="001550F3" w:rsidRPr="00F43D2E" w:rsidTr="00F27D6C">
        <w:tc>
          <w:tcPr>
            <w:tcW w:w="2514" w:type="pct"/>
            <w:gridSpan w:val="2"/>
          </w:tcPr>
          <w:p w:rsidR="001550F3" w:rsidRPr="00F43D2E" w:rsidRDefault="00707D23" w:rsidP="00AF5D62">
            <w:pPr>
              <w:pStyle w:val="Textpoznpodarou"/>
              <w:jc w:val="both"/>
              <w:rPr>
                <w:sz w:val="22"/>
                <w:lang w:val="en-GB" w:eastAsia="en-US"/>
              </w:rPr>
            </w:pPr>
            <w:r>
              <w:rPr>
                <w:noProof/>
                <w:sz w:val="22"/>
              </w:rPr>
              <w:drawing>
                <wp:inline distT="0" distB="0" distL="0" distR="0">
                  <wp:extent cx="2980800" cy="2354395"/>
                  <wp:effectExtent l="19050" t="0" r="0" b="0"/>
                  <wp:docPr id="34"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980800" cy="2354395"/>
                          </a:xfrm>
                          <a:prstGeom prst="rect">
                            <a:avLst/>
                          </a:prstGeom>
                          <a:noFill/>
                          <a:ln w="9525">
                            <a:noFill/>
                            <a:miter lim="800000"/>
                            <a:headEnd/>
                            <a:tailEnd/>
                          </a:ln>
                        </pic:spPr>
                      </pic:pic>
                    </a:graphicData>
                  </a:graphic>
                </wp:inline>
              </w:drawing>
            </w:r>
          </w:p>
        </w:tc>
        <w:tc>
          <w:tcPr>
            <w:tcW w:w="2486" w:type="pct"/>
            <w:gridSpan w:val="2"/>
          </w:tcPr>
          <w:p w:rsidR="001550F3" w:rsidRPr="00F43D2E" w:rsidRDefault="00707D23" w:rsidP="00D7344B">
            <w:pPr>
              <w:pStyle w:val="Textpoznpodarou"/>
              <w:ind w:left="-104"/>
              <w:jc w:val="both"/>
              <w:rPr>
                <w:sz w:val="22"/>
                <w:lang w:val="en-GB" w:eastAsia="en-US"/>
              </w:rPr>
            </w:pPr>
            <w:r>
              <w:rPr>
                <w:noProof/>
                <w:sz w:val="22"/>
              </w:rPr>
              <w:drawing>
                <wp:inline distT="0" distB="0" distL="0" distR="0">
                  <wp:extent cx="3092640" cy="2354239"/>
                  <wp:effectExtent l="19050" t="0" r="0" b="0"/>
                  <wp:docPr id="3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092851" cy="2354400"/>
                          </a:xfrm>
                          <a:prstGeom prst="rect">
                            <a:avLst/>
                          </a:prstGeom>
                          <a:noFill/>
                          <a:ln w="9525">
                            <a:noFill/>
                            <a:miter lim="800000"/>
                            <a:headEnd/>
                            <a:tailEnd/>
                          </a:ln>
                        </pic:spPr>
                      </pic:pic>
                    </a:graphicData>
                  </a:graphic>
                </wp:inline>
              </w:drawing>
            </w:r>
          </w:p>
        </w:tc>
      </w:tr>
      <w:tr w:rsidR="00F27D6C" w:rsidRPr="00F43D2E" w:rsidTr="00F27D6C">
        <w:tc>
          <w:tcPr>
            <w:tcW w:w="5000" w:type="pct"/>
            <w:gridSpan w:val="4"/>
          </w:tcPr>
          <w:p w:rsidR="00F27D6C" w:rsidRPr="00F43D2E" w:rsidRDefault="00F27D6C" w:rsidP="00F27D6C">
            <w:pPr>
              <w:pStyle w:val="Textpoznpodarou"/>
              <w:rPr>
                <w:sz w:val="18"/>
                <w:szCs w:val="18"/>
                <w:lang w:val="en-GB" w:eastAsia="en-US"/>
              </w:rPr>
            </w:pPr>
            <w:r w:rsidRPr="00F43D2E">
              <w:rPr>
                <w:sz w:val="18"/>
                <w:szCs w:val="18"/>
                <w:lang w:val="en-GB" w:eastAsia="en-US"/>
              </w:rPr>
              <w:t>* Contributions to GDP change after exclusion of imports for final use.</w:t>
            </w:r>
            <w:r>
              <w:rPr>
                <w:sz w:val="18"/>
                <w:szCs w:val="18"/>
                <w:lang w:val="en-GB" w:eastAsia="en-US"/>
              </w:rPr>
              <w:t xml:space="preserve">                                                          </w:t>
            </w:r>
            <w:r w:rsidRPr="00F43D2E">
              <w:rPr>
                <w:sz w:val="18"/>
                <w:szCs w:val="18"/>
                <w:lang w:val="en-GB" w:eastAsia="en-US"/>
              </w:rPr>
              <w:t>Source: CZSO</w:t>
            </w:r>
          </w:p>
        </w:tc>
      </w:tr>
    </w:tbl>
    <w:p w:rsidR="00F27D6C" w:rsidRDefault="00F27D6C" w:rsidP="00960769">
      <w:pPr>
        <w:pStyle w:val="Textpoznpodarou"/>
        <w:jc w:val="both"/>
        <w:rPr>
          <w:lang w:val="en-GB"/>
        </w:rPr>
      </w:pPr>
    </w:p>
    <w:sectPr w:rsidR="00F27D6C" w:rsidSect="00D43998">
      <w:headerReference w:type="even" r:id="rId12"/>
      <w:headerReference w:type="default" r:id="rId13"/>
      <w:footerReference w:type="even" r:id="rId14"/>
      <w:footerReference w:type="default" r:id="rId15"/>
      <w:type w:val="continuous"/>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C0A" w:rsidRDefault="00300C0A" w:rsidP="00E71A58">
      <w:r>
        <w:separator/>
      </w:r>
    </w:p>
  </w:endnote>
  <w:endnote w:type="continuationSeparator" w:id="0">
    <w:p w:rsidR="00300C0A" w:rsidRDefault="00300C0A"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Default="008437F0"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00CD5165" w:rsidRPr="005A21E0">
      <w:rPr>
        <w:rFonts w:ascii="Arial" w:hAnsi="Arial" w:cs="Arial"/>
        <w:sz w:val="16"/>
        <w:szCs w:val="16"/>
      </w:rPr>
      <w:fldChar w:fldCharType="begin"/>
    </w:r>
    <w:r w:rsidRPr="005A21E0">
      <w:rPr>
        <w:rFonts w:ascii="Arial" w:hAnsi="Arial" w:cs="Arial"/>
        <w:sz w:val="16"/>
        <w:szCs w:val="16"/>
      </w:rPr>
      <w:instrText>PAGE   \* MERGEFORMAT</w:instrText>
    </w:r>
    <w:r w:rsidR="00CD5165" w:rsidRPr="005A21E0">
      <w:rPr>
        <w:rFonts w:ascii="Arial" w:hAnsi="Arial" w:cs="Arial"/>
        <w:sz w:val="16"/>
        <w:szCs w:val="16"/>
      </w:rPr>
      <w:fldChar w:fldCharType="separate"/>
    </w:r>
    <w:r w:rsidR="00232B6B">
      <w:rPr>
        <w:rFonts w:ascii="Arial" w:hAnsi="Arial" w:cs="Arial"/>
        <w:noProof/>
        <w:sz w:val="16"/>
        <w:szCs w:val="16"/>
      </w:rPr>
      <w:t>2</w:t>
    </w:r>
    <w:r w:rsidR="00CD5165" w:rsidRPr="005A21E0">
      <w:rPr>
        <w:rFonts w:ascii="Arial" w:hAnsi="Arial" w:cs="Arial"/>
        <w:sz w:val="16"/>
        <w:szCs w:val="16"/>
      </w:rPr>
      <w:fldChar w:fldCharType="end"/>
    </w:r>
    <w:r>
      <w:rPr>
        <w:rFonts w:ascii="Arial" w:hAnsi="Arial" w:cs="Arial"/>
        <w:sz w:val="16"/>
        <w:szCs w:val="16"/>
      </w:rPr>
      <w:tab/>
      <w:t>2016</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Default="00667271" w:rsidP="00357449">
    <w:pPr>
      <w:pStyle w:val="Zpat"/>
      <w:tabs>
        <w:tab w:val="clear" w:pos="4536"/>
        <w:tab w:val="clear" w:pos="9072"/>
        <w:tab w:val="left" w:pos="1134"/>
        <w:tab w:val="left" w:pos="1920"/>
        <w:tab w:val="center" w:pos="4820"/>
        <w:tab w:val="right" w:pos="9639"/>
      </w:tabs>
    </w:pPr>
    <w:r w:rsidRPr="00667271">
      <w:rPr>
        <w:noProof/>
        <w:lang w:eastAsia="cs-CZ"/>
      </w:rPr>
      <w:drawing>
        <wp:anchor distT="0" distB="0" distL="114300" distR="114300" simplePos="0" relativeHeight="251662848" behindDoc="0" locked="0" layoutInCell="1" allowOverlap="1">
          <wp:simplePos x="0" y="0"/>
          <wp:positionH relativeFrom="column">
            <wp:posOffset>67504</wp:posOffset>
          </wp:positionH>
          <wp:positionV relativeFrom="paragraph">
            <wp:posOffset>159704</wp:posOffset>
          </wp:positionV>
          <wp:extent cx="687787" cy="201954"/>
          <wp:effectExtent l="19050" t="0" r="0" b="0"/>
          <wp:wrapNone/>
          <wp:docPr id="13"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87787" cy="201954"/>
                  </a:xfrm>
                  <a:prstGeom prst="rect">
                    <a:avLst/>
                  </a:prstGeom>
                  <a:noFill/>
                  <a:ln w="9525">
                    <a:noFill/>
                    <a:miter lim="800000"/>
                    <a:headEnd/>
                    <a:tailEnd/>
                  </a:ln>
                </pic:spPr>
              </pic:pic>
            </a:graphicData>
          </a:graphic>
        </wp:anchor>
      </w:drawing>
    </w:r>
    <w:r w:rsidR="008437F0">
      <w:tab/>
    </w:r>
    <w:r w:rsidR="008437F0">
      <w:tab/>
    </w:r>
    <w:r w:rsidR="008437F0" w:rsidRPr="00DC5B3B">
      <w:t xml:space="preserve">                              </w:t>
    </w:r>
  </w:p>
  <w:p w:rsidR="008437F0" w:rsidRPr="00223E00" w:rsidRDefault="008437F0"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00CD5165"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CD5165" w:rsidRPr="00223E00">
      <w:rPr>
        <w:rFonts w:ascii="Arial" w:hAnsi="Arial" w:cs="Arial"/>
        <w:sz w:val="16"/>
        <w:szCs w:val="16"/>
      </w:rPr>
      <w:fldChar w:fldCharType="separate"/>
    </w:r>
    <w:r w:rsidR="00232B6B">
      <w:rPr>
        <w:rFonts w:ascii="Arial" w:hAnsi="Arial" w:cs="Arial"/>
        <w:noProof/>
        <w:sz w:val="16"/>
        <w:szCs w:val="16"/>
      </w:rPr>
      <w:t>1</w:t>
    </w:r>
    <w:r w:rsidR="00CD5165"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C0A" w:rsidRDefault="00300C0A" w:rsidP="00E71A58">
      <w:r>
        <w:separator/>
      </w:r>
    </w:p>
  </w:footnote>
  <w:footnote w:type="continuationSeparator" w:id="0">
    <w:p w:rsidR="00300C0A" w:rsidRDefault="00300C0A" w:rsidP="00E71A58">
      <w:r>
        <w:continuationSeparator/>
      </w:r>
    </w:p>
  </w:footnote>
  <w:footnote w:id="1">
    <w:p w:rsidR="008437F0" w:rsidRPr="000D431B" w:rsidRDefault="008437F0" w:rsidP="000D431B">
      <w:pPr>
        <w:pStyle w:val="Textpoznpodarou"/>
        <w:jc w:val="both"/>
        <w:rPr>
          <w:sz w:val="16"/>
          <w:szCs w:val="16"/>
          <w:lang w:val="en-GB"/>
        </w:rPr>
      </w:pPr>
      <w:r w:rsidRPr="003839C9">
        <w:rPr>
          <w:rStyle w:val="Znakapoznpodarou"/>
          <w:sz w:val="16"/>
          <w:szCs w:val="16"/>
        </w:rPr>
        <w:footnoteRef/>
      </w:r>
      <w:r w:rsidRPr="000D431B">
        <w:rPr>
          <w:sz w:val="16"/>
          <w:szCs w:val="16"/>
          <w:lang w:val="en-GB"/>
        </w:rPr>
        <w:t xml:space="preserve">Unless stated otherwise, data related to the GDP and its components are expressed in real terms and adjusted for seasonal and calendar effects. The same is also valid for the gross value added. The GDP time series in the period of Q1 2014 has been seasonally adjusted by using a new model. This model takes into account a change of the seasonal behaviour of GDP after 2013, associated with the newly more </w:t>
      </w:r>
      <w:r>
        <w:rPr>
          <w:sz w:val="16"/>
          <w:szCs w:val="16"/>
          <w:lang w:val="en-GB"/>
        </w:rPr>
        <w:t>e</w:t>
      </w:r>
      <w:r w:rsidRPr="000D431B">
        <w:rPr>
          <w:sz w:val="16"/>
          <w:szCs w:val="16"/>
          <w:lang w:val="en-GB"/>
        </w:rPr>
        <w:t>ven collection of taxes on products, especially tobacco products.</w:t>
      </w:r>
    </w:p>
  </w:footnote>
  <w:footnote w:id="2">
    <w:p w:rsidR="008437F0" w:rsidRPr="000D431B" w:rsidRDefault="008437F0" w:rsidP="000D431B">
      <w:pPr>
        <w:pStyle w:val="Textpoznpodarou"/>
        <w:jc w:val="both"/>
        <w:rPr>
          <w:sz w:val="16"/>
          <w:szCs w:val="16"/>
          <w:lang w:val="en-GB"/>
        </w:rPr>
      </w:pPr>
      <w:r w:rsidRPr="000D431B">
        <w:rPr>
          <w:rStyle w:val="Znakapoznpodarou"/>
          <w:sz w:val="16"/>
          <w:szCs w:val="16"/>
          <w:lang w:val="en-GB"/>
        </w:rPr>
        <w:footnoteRef/>
      </w:r>
      <w:r w:rsidRPr="000D431B">
        <w:rPr>
          <w:sz w:val="16"/>
          <w:szCs w:val="16"/>
          <w:lang w:val="en-GB"/>
        </w:rPr>
        <w:t xml:space="preserve">Data for Ireland and Luxembourg </w:t>
      </w:r>
      <w:r>
        <w:rPr>
          <w:sz w:val="16"/>
          <w:szCs w:val="16"/>
          <w:lang w:val="en-GB"/>
        </w:rPr>
        <w:t xml:space="preserve">are </w:t>
      </w:r>
      <w:r w:rsidRPr="000D431B">
        <w:rPr>
          <w:sz w:val="16"/>
          <w:szCs w:val="16"/>
          <w:lang w:val="en-GB"/>
        </w:rPr>
        <w:t xml:space="preserve">not available. Dynamics for Slovakia not adjusted for calendar effects. </w:t>
      </w:r>
    </w:p>
  </w:footnote>
  <w:footnote w:id="3">
    <w:p w:rsidR="008437F0" w:rsidRPr="000D431B" w:rsidRDefault="008437F0" w:rsidP="004E4DE8">
      <w:pPr>
        <w:pStyle w:val="Textpoznpodarou"/>
        <w:jc w:val="both"/>
        <w:rPr>
          <w:sz w:val="16"/>
          <w:szCs w:val="16"/>
          <w:lang w:val="en-GB"/>
        </w:rPr>
      </w:pPr>
      <w:r w:rsidRPr="005E01FF">
        <w:rPr>
          <w:rStyle w:val="Znakapoznpodarou"/>
          <w:sz w:val="16"/>
          <w:szCs w:val="16"/>
        </w:rPr>
        <w:footnoteRef/>
      </w:r>
      <w:r w:rsidRPr="005E01FF">
        <w:rPr>
          <w:sz w:val="16"/>
          <w:szCs w:val="16"/>
        </w:rPr>
        <w:t xml:space="preserve"> </w:t>
      </w:r>
      <w:r w:rsidRPr="000D431B">
        <w:rPr>
          <w:sz w:val="16"/>
          <w:szCs w:val="16"/>
          <w:lang w:val="en-GB"/>
        </w:rPr>
        <w:t>Contributions to the GDP change after exclusion of imports for final use.</w:t>
      </w:r>
    </w:p>
  </w:footnote>
  <w:footnote w:id="4">
    <w:p w:rsidR="008437F0" w:rsidRPr="000D431B" w:rsidRDefault="008437F0" w:rsidP="004E4DE8">
      <w:pPr>
        <w:pStyle w:val="Textpoznpodarou"/>
        <w:jc w:val="both"/>
        <w:rPr>
          <w:sz w:val="16"/>
          <w:lang w:val="en-GB"/>
        </w:rPr>
      </w:pPr>
      <w:r w:rsidRPr="000D431B">
        <w:rPr>
          <w:rStyle w:val="Znakapoznpodarou"/>
          <w:sz w:val="16"/>
          <w:lang w:val="en-GB"/>
        </w:rPr>
        <w:footnoteRef/>
      </w:r>
      <w:r w:rsidRPr="000D431B">
        <w:rPr>
          <w:sz w:val="16"/>
          <w:lang w:val="en-GB"/>
        </w:rPr>
        <w:t xml:space="preserve"> Not adjusted for seasonal and calendar effects.</w:t>
      </w:r>
    </w:p>
  </w:footnote>
  <w:footnote w:id="5">
    <w:p w:rsidR="008437F0" w:rsidRPr="000D431B" w:rsidRDefault="008437F0" w:rsidP="004E4DE8">
      <w:pPr>
        <w:pStyle w:val="Textpoznpodarou"/>
        <w:jc w:val="both"/>
        <w:rPr>
          <w:sz w:val="16"/>
          <w:szCs w:val="16"/>
          <w:lang w:val="en-GB"/>
        </w:rPr>
      </w:pPr>
      <w:r w:rsidRPr="000D431B">
        <w:rPr>
          <w:rStyle w:val="Znakapoznpodarou"/>
          <w:sz w:val="16"/>
          <w:szCs w:val="16"/>
          <w:lang w:val="en-GB"/>
        </w:rPr>
        <w:footnoteRef/>
      </w:r>
      <w:r w:rsidRPr="000D431B">
        <w:rPr>
          <w:sz w:val="16"/>
          <w:szCs w:val="16"/>
          <w:lang w:val="en-GB"/>
        </w:rPr>
        <w:t xml:space="preserve"> </w:t>
      </w:r>
      <w:r>
        <w:rPr>
          <w:sz w:val="16"/>
          <w:szCs w:val="16"/>
          <w:lang w:val="en-GB"/>
        </w:rPr>
        <w:t>Wages e</w:t>
      </w:r>
      <w:r w:rsidRPr="000D431B">
        <w:rPr>
          <w:sz w:val="16"/>
          <w:szCs w:val="16"/>
          <w:lang w:val="en-GB"/>
        </w:rPr>
        <w:t>xpressed in real terms using the deflators of final consumption expenditure of households.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Pr="00163521" w:rsidRDefault="008437F0" w:rsidP="00163521">
    <w:pPr>
      <w:pStyle w:val="Zhlav"/>
      <w:tabs>
        <w:tab w:val="clear" w:pos="4536"/>
        <w:tab w:val="clear" w:pos="9072"/>
        <w:tab w:val="left" w:pos="-6379"/>
        <w:tab w:val="center" w:pos="4820"/>
        <w:tab w:val="right" w:pos="9639"/>
      </w:tabs>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Pr>
        <w:rFonts w:ascii="Arial" w:hAnsi="Arial" w:cs="Arial"/>
        <w:sz w:val="16"/>
        <w:szCs w:val="16"/>
      </w:rPr>
      <w:t>Development</w:t>
    </w:r>
    <w:proofErr w:type="spellEnd"/>
    <w:r>
      <w:rPr>
        <w:rFonts w:ascii="Arial" w:hAnsi="Arial" w:cs="Arial"/>
        <w:sz w:val="16"/>
        <w:szCs w:val="16"/>
      </w:rPr>
      <w:t xml:space="preserve"> in </w:t>
    </w: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First</w:t>
    </w:r>
    <w:proofErr w:type="spellEnd"/>
    <w:r>
      <w:rPr>
        <w:rFonts w:ascii="Arial" w:hAnsi="Arial" w:cs="Arial"/>
        <w:sz w:val="16"/>
        <w:szCs w:val="16"/>
      </w:rPr>
      <w:t xml:space="preserve"> Half </w:t>
    </w:r>
    <w:proofErr w:type="spellStart"/>
    <w:r>
      <w:rPr>
        <w:rFonts w:ascii="Arial" w:hAnsi="Arial" w:cs="Arial"/>
        <w:sz w:val="16"/>
        <w:szCs w:val="16"/>
      </w:rPr>
      <w:t>of</w:t>
    </w:r>
    <w:proofErr w:type="spellEnd"/>
    <w:r>
      <w:rPr>
        <w:rFonts w:ascii="Arial" w:hAnsi="Arial" w:cs="Arial"/>
        <w:sz w:val="16"/>
        <w:szCs w:val="16"/>
      </w:rPr>
      <w:t xml:space="preserv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Pr="00D766EF" w:rsidRDefault="008437F0" w:rsidP="00D766EF">
    <w:pPr>
      <w:pStyle w:val="Zhlav"/>
      <w:tabs>
        <w:tab w:val="clear" w:pos="4536"/>
        <w:tab w:val="clear" w:pos="9072"/>
        <w:tab w:val="left" w:pos="-6379"/>
        <w:tab w:val="center" w:pos="4820"/>
        <w:tab w:val="right" w:pos="9639"/>
      </w:tabs>
      <w:rPr>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Pr>
        <w:rFonts w:ascii="Arial" w:hAnsi="Arial" w:cs="Arial"/>
        <w:sz w:val="16"/>
        <w:szCs w:val="16"/>
      </w:rPr>
      <w:t>Development</w:t>
    </w:r>
    <w:proofErr w:type="spellEnd"/>
    <w:r>
      <w:rPr>
        <w:rFonts w:ascii="Arial" w:hAnsi="Arial" w:cs="Arial"/>
        <w:sz w:val="16"/>
        <w:szCs w:val="16"/>
      </w:rPr>
      <w:t xml:space="preserve"> in </w:t>
    </w: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First</w:t>
    </w:r>
    <w:proofErr w:type="spellEnd"/>
    <w:r>
      <w:rPr>
        <w:rFonts w:ascii="Arial" w:hAnsi="Arial" w:cs="Arial"/>
        <w:sz w:val="16"/>
        <w:szCs w:val="16"/>
      </w:rPr>
      <w:t xml:space="preserve"> Half </w:t>
    </w:r>
    <w:proofErr w:type="spellStart"/>
    <w:r>
      <w:rPr>
        <w:rFonts w:ascii="Arial" w:hAnsi="Arial" w:cs="Arial"/>
        <w:sz w:val="16"/>
        <w:szCs w:val="16"/>
      </w:rPr>
      <w:t>of</w:t>
    </w:r>
    <w:proofErr w:type="spellEnd"/>
    <w:r>
      <w:rPr>
        <w:rFonts w:ascii="Arial" w:hAnsi="Arial" w:cs="Arial"/>
        <w:sz w:val="16"/>
        <w:szCs w:val="16"/>
      </w:rPr>
      <w:t xml:space="preserve">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9B70BD"/>
    <w:rsid w:val="00000FA7"/>
    <w:rsid w:val="00001981"/>
    <w:rsid w:val="00001EFF"/>
    <w:rsid w:val="00003687"/>
    <w:rsid w:val="00003C43"/>
    <w:rsid w:val="00007044"/>
    <w:rsid w:val="00007498"/>
    <w:rsid w:val="0000767A"/>
    <w:rsid w:val="000101F5"/>
    <w:rsid w:val="000104B9"/>
    <w:rsid w:val="00010702"/>
    <w:rsid w:val="00011191"/>
    <w:rsid w:val="0001159B"/>
    <w:rsid w:val="00012986"/>
    <w:rsid w:val="00014028"/>
    <w:rsid w:val="00015195"/>
    <w:rsid w:val="0001519F"/>
    <w:rsid w:val="0001572B"/>
    <w:rsid w:val="0001573E"/>
    <w:rsid w:val="000157DA"/>
    <w:rsid w:val="000162DB"/>
    <w:rsid w:val="00017F05"/>
    <w:rsid w:val="000202C6"/>
    <w:rsid w:val="00020946"/>
    <w:rsid w:val="00022081"/>
    <w:rsid w:val="0002292C"/>
    <w:rsid w:val="00022B41"/>
    <w:rsid w:val="0002434F"/>
    <w:rsid w:val="00024887"/>
    <w:rsid w:val="00024CBA"/>
    <w:rsid w:val="00025501"/>
    <w:rsid w:val="00026998"/>
    <w:rsid w:val="000304C4"/>
    <w:rsid w:val="0003066A"/>
    <w:rsid w:val="00030F14"/>
    <w:rsid w:val="000311C5"/>
    <w:rsid w:val="00031A9D"/>
    <w:rsid w:val="00032838"/>
    <w:rsid w:val="00032C12"/>
    <w:rsid w:val="00032E0C"/>
    <w:rsid w:val="00035CCF"/>
    <w:rsid w:val="00035DC9"/>
    <w:rsid w:val="00035FC6"/>
    <w:rsid w:val="0003705E"/>
    <w:rsid w:val="00037667"/>
    <w:rsid w:val="0004075D"/>
    <w:rsid w:val="000411E1"/>
    <w:rsid w:val="00041476"/>
    <w:rsid w:val="00041F1F"/>
    <w:rsid w:val="000426E5"/>
    <w:rsid w:val="00043E05"/>
    <w:rsid w:val="0004694F"/>
    <w:rsid w:val="000500DC"/>
    <w:rsid w:val="00052052"/>
    <w:rsid w:val="00052172"/>
    <w:rsid w:val="00053CBA"/>
    <w:rsid w:val="00053F27"/>
    <w:rsid w:val="00054E43"/>
    <w:rsid w:val="00055059"/>
    <w:rsid w:val="000553E4"/>
    <w:rsid w:val="000567FA"/>
    <w:rsid w:val="00056B26"/>
    <w:rsid w:val="00057C16"/>
    <w:rsid w:val="00057C8B"/>
    <w:rsid w:val="00060F26"/>
    <w:rsid w:val="00062D43"/>
    <w:rsid w:val="00062EC5"/>
    <w:rsid w:val="00064256"/>
    <w:rsid w:val="00066C0B"/>
    <w:rsid w:val="000706A4"/>
    <w:rsid w:val="00070A0C"/>
    <w:rsid w:val="00071F80"/>
    <w:rsid w:val="00072118"/>
    <w:rsid w:val="00073173"/>
    <w:rsid w:val="000779AC"/>
    <w:rsid w:val="00080AA8"/>
    <w:rsid w:val="00083803"/>
    <w:rsid w:val="00084393"/>
    <w:rsid w:val="0008716A"/>
    <w:rsid w:val="00087634"/>
    <w:rsid w:val="00091237"/>
    <w:rsid w:val="0009191B"/>
    <w:rsid w:val="000920EC"/>
    <w:rsid w:val="00092208"/>
    <w:rsid w:val="00092505"/>
    <w:rsid w:val="00092C9A"/>
    <w:rsid w:val="00095C0E"/>
    <w:rsid w:val="00096459"/>
    <w:rsid w:val="0009716E"/>
    <w:rsid w:val="00097D02"/>
    <w:rsid w:val="000A1183"/>
    <w:rsid w:val="000A2121"/>
    <w:rsid w:val="000A2484"/>
    <w:rsid w:val="000A36CE"/>
    <w:rsid w:val="000A59BF"/>
    <w:rsid w:val="000A66C2"/>
    <w:rsid w:val="000B1CFE"/>
    <w:rsid w:val="000B210A"/>
    <w:rsid w:val="000B249B"/>
    <w:rsid w:val="000B3B01"/>
    <w:rsid w:val="000B3DB9"/>
    <w:rsid w:val="000B3F02"/>
    <w:rsid w:val="000B48A2"/>
    <w:rsid w:val="000B48E7"/>
    <w:rsid w:val="000B4F41"/>
    <w:rsid w:val="000B7663"/>
    <w:rsid w:val="000C1106"/>
    <w:rsid w:val="000C11D3"/>
    <w:rsid w:val="000C12F5"/>
    <w:rsid w:val="000C3408"/>
    <w:rsid w:val="000C5C0F"/>
    <w:rsid w:val="000C5D56"/>
    <w:rsid w:val="000C6498"/>
    <w:rsid w:val="000C6E0B"/>
    <w:rsid w:val="000C73BF"/>
    <w:rsid w:val="000D0D51"/>
    <w:rsid w:val="000D14B3"/>
    <w:rsid w:val="000D208B"/>
    <w:rsid w:val="000D263E"/>
    <w:rsid w:val="000D2B8D"/>
    <w:rsid w:val="000D2E41"/>
    <w:rsid w:val="000D342A"/>
    <w:rsid w:val="000D431B"/>
    <w:rsid w:val="000D5E7A"/>
    <w:rsid w:val="000D5FAA"/>
    <w:rsid w:val="000D65A4"/>
    <w:rsid w:val="000D6AEF"/>
    <w:rsid w:val="000E025B"/>
    <w:rsid w:val="000E0ECB"/>
    <w:rsid w:val="000E153A"/>
    <w:rsid w:val="000E19A8"/>
    <w:rsid w:val="000E1EEA"/>
    <w:rsid w:val="000E4A42"/>
    <w:rsid w:val="000E6476"/>
    <w:rsid w:val="000E78D2"/>
    <w:rsid w:val="000F3332"/>
    <w:rsid w:val="000F33EE"/>
    <w:rsid w:val="000F401E"/>
    <w:rsid w:val="000F40CD"/>
    <w:rsid w:val="000F5445"/>
    <w:rsid w:val="000F5673"/>
    <w:rsid w:val="000F67B2"/>
    <w:rsid w:val="000F74B6"/>
    <w:rsid w:val="000F790F"/>
    <w:rsid w:val="000F7E1B"/>
    <w:rsid w:val="00100014"/>
    <w:rsid w:val="0010039A"/>
    <w:rsid w:val="00101E94"/>
    <w:rsid w:val="00101FB2"/>
    <w:rsid w:val="00102CB8"/>
    <w:rsid w:val="00102F02"/>
    <w:rsid w:val="0010385D"/>
    <w:rsid w:val="00103E41"/>
    <w:rsid w:val="00104174"/>
    <w:rsid w:val="001041B6"/>
    <w:rsid w:val="001070EA"/>
    <w:rsid w:val="0011002A"/>
    <w:rsid w:val="001107CE"/>
    <w:rsid w:val="0011110A"/>
    <w:rsid w:val="001118AF"/>
    <w:rsid w:val="00111CA5"/>
    <w:rsid w:val="0011256E"/>
    <w:rsid w:val="0011352E"/>
    <w:rsid w:val="00114779"/>
    <w:rsid w:val="00114FC0"/>
    <w:rsid w:val="00115496"/>
    <w:rsid w:val="001165F9"/>
    <w:rsid w:val="00116DB9"/>
    <w:rsid w:val="00116F28"/>
    <w:rsid w:val="00121C39"/>
    <w:rsid w:val="00123255"/>
    <w:rsid w:val="00124572"/>
    <w:rsid w:val="00124D2D"/>
    <w:rsid w:val="00124DA1"/>
    <w:rsid w:val="00125326"/>
    <w:rsid w:val="00125CB5"/>
    <w:rsid w:val="00127535"/>
    <w:rsid w:val="001307BE"/>
    <w:rsid w:val="00130C8F"/>
    <w:rsid w:val="001314F2"/>
    <w:rsid w:val="001317DA"/>
    <w:rsid w:val="001323BA"/>
    <w:rsid w:val="0013254D"/>
    <w:rsid w:val="00133AAC"/>
    <w:rsid w:val="00133FBD"/>
    <w:rsid w:val="00135767"/>
    <w:rsid w:val="00136561"/>
    <w:rsid w:val="001400E1"/>
    <w:rsid w:val="001405FA"/>
    <w:rsid w:val="001413B3"/>
    <w:rsid w:val="001425C3"/>
    <w:rsid w:val="00142F16"/>
    <w:rsid w:val="00143E03"/>
    <w:rsid w:val="00143E93"/>
    <w:rsid w:val="0014428D"/>
    <w:rsid w:val="001500FC"/>
    <w:rsid w:val="00151AC0"/>
    <w:rsid w:val="00151B27"/>
    <w:rsid w:val="00152046"/>
    <w:rsid w:val="00154147"/>
    <w:rsid w:val="001550F3"/>
    <w:rsid w:val="00155746"/>
    <w:rsid w:val="00155D03"/>
    <w:rsid w:val="001561B7"/>
    <w:rsid w:val="00156318"/>
    <w:rsid w:val="0015639A"/>
    <w:rsid w:val="0016081D"/>
    <w:rsid w:val="00160CF3"/>
    <w:rsid w:val="00160E61"/>
    <w:rsid w:val="001620FA"/>
    <w:rsid w:val="00162853"/>
    <w:rsid w:val="00163521"/>
    <w:rsid w:val="00163793"/>
    <w:rsid w:val="00167FB2"/>
    <w:rsid w:val="001707DE"/>
    <w:rsid w:val="00170B04"/>
    <w:rsid w:val="00170F47"/>
    <w:rsid w:val="001711F2"/>
    <w:rsid w:val="001714F2"/>
    <w:rsid w:val="00172264"/>
    <w:rsid w:val="00173642"/>
    <w:rsid w:val="00173AF4"/>
    <w:rsid w:val="00173CB0"/>
    <w:rsid w:val="00174CE8"/>
    <w:rsid w:val="00175351"/>
    <w:rsid w:val="00175F60"/>
    <w:rsid w:val="00176050"/>
    <w:rsid w:val="001764D8"/>
    <w:rsid w:val="00176A8F"/>
    <w:rsid w:val="00180D58"/>
    <w:rsid w:val="00182981"/>
    <w:rsid w:val="00184CF9"/>
    <w:rsid w:val="00185010"/>
    <w:rsid w:val="001852EC"/>
    <w:rsid w:val="00186447"/>
    <w:rsid w:val="001874CF"/>
    <w:rsid w:val="00190214"/>
    <w:rsid w:val="00190D9B"/>
    <w:rsid w:val="001916BC"/>
    <w:rsid w:val="00191BAE"/>
    <w:rsid w:val="00193432"/>
    <w:rsid w:val="0019346C"/>
    <w:rsid w:val="00195444"/>
    <w:rsid w:val="001A0B1F"/>
    <w:rsid w:val="001A199D"/>
    <w:rsid w:val="001A2BDB"/>
    <w:rsid w:val="001A30F4"/>
    <w:rsid w:val="001A4C0D"/>
    <w:rsid w:val="001A5202"/>
    <w:rsid w:val="001A552F"/>
    <w:rsid w:val="001A56F3"/>
    <w:rsid w:val="001A737B"/>
    <w:rsid w:val="001A750C"/>
    <w:rsid w:val="001B1D89"/>
    <w:rsid w:val="001B3110"/>
    <w:rsid w:val="001B4198"/>
    <w:rsid w:val="001B44BC"/>
    <w:rsid w:val="001B5888"/>
    <w:rsid w:val="001B618F"/>
    <w:rsid w:val="001B6545"/>
    <w:rsid w:val="001B681B"/>
    <w:rsid w:val="001B6A49"/>
    <w:rsid w:val="001B7231"/>
    <w:rsid w:val="001B74FB"/>
    <w:rsid w:val="001B77A1"/>
    <w:rsid w:val="001C0422"/>
    <w:rsid w:val="001C0E0E"/>
    <w:rsid w:val="001C0EB9"/>
    <w:rsid w:val="001C1219"/>
    <w:rsid w:val="001C357A"/>
    <w:rsid w:val="001C3A37"/>
    <w:rsid w:val="001C3F60"/>
    <w:rsid w:val="001C4384"/>
    <w:rsid w:val="001C65FF"/>
    <w:rsid w:val="001D47E5"/>
    <w:rsid w:val="001D584C"/>
    <w:rsid w:val="001D5E1B"/>
    <w:rsid w:val="001D6655"/>
    <w:rsid w:val="001D66C1"/>
    <w:rsid w:val="001D70E4"/>
    <w:rsid w:val="001D7390"/>
    <w:rsid w:val="001D7C6F"/>
    <w:rsid w:val="001E0024"/>
    <w:rsid w:val="001E0C65"/>
    <w:rsid w:val="001E23E3"/>
    <w:rsid w:val="001E387A"/>
    <w:rsid w:val="001E3DA4"/>
    <w:rsid w:val="001E5830"/>
    <w:rsid w:val="001E684C"/>
    <w:rsid w:val="001E701C"/>
    <w:rsid w:val="001E724F"/>
    <w:rsid w:val="001E7C03"/>
    <w:rsid w:val="001F02AF"/>
    <w:rsid w:val="001F0649"/>
    <w:rsid w:val="001F28F4"/>
    <w:rsid w:val="001F2CC6"/>
    <w:rsid w:val="001F3055"/>
    <w:rsid w:val="001F31BC"/>
    <w:rsid w:val="001F378E"/>
    <w:rsid w:val="001F3C79"/>
    <w:rsid w:val="001F3E68"/>
    <w:rsid w:val="001F4597"/>
    <w:rsid w:val="001F56A9"/>
    <w:rsid w:val="001F5C6A"/>
    <w:rsid w:val="001F5E8F"/>
    <w:rsid w:val="001F63A7"/>
    <w:rsid w:val="001F670A"/>
    <w:rsid w:val="001F6A0E"/>
    <w:rsid w:val="001F6E5B"/>
    <w:rsid w:val="00200D15"/>
    <w:rsid w:val="0020223B"/>
    <w:rsid w:val="00203074"/>
    <w:rsid w:val="00203B46"/>
    <w:rsid w:val="00203DB3"/>
    <w:rsid w:val="002048E1"/>
    <w:rsid w:val="00207DB6"/>
    <w:rsid w:val="00210278"/>
    <w:rsid w:val="00210CC2"/>
    <w:rsid w:val="00210F5B"/>
    <w:rsid w:val="00210FFA"/>
    <w:rsid w:val="00211262"/>
    <w:rsid w:val="002115F5"/>
    <w:rsid w:val="00211AC9"/>
    <w:rsid w:val="00212B33"/>
    <w:rsid w:val="0021355B"/>
    <w:rsid w:val="0021385F"/>
    <w:rsid w:val="002179F9"/>
    <w:rsid w:val="002205F2"/>
    <w:rsid w:val="0022080E"/>
    <w:rsid w:val="0022139E"/>
    <w:rsid w:val="0022272B"/>
    <w:rsid w:val="00222A99"/>
    <w:rsid w:val="00223678"/>
    <w:rsid w:val="002236F7"/>
    <w:rsid w:val="00223E00"/>
    <w:rsid w:val="002252E0"/>
    <w:rsid w:val="002255F6"/>
    <w:rsid w:val="00226466"/>
    <w:rsid w:val="002266D0"/>
    <w:rsid w:val="00226887"/>
    <w:rsid w:val="00230DAD"/>
    <w:rsid w:val="00230F82"/>
    <w:rsid w:val="002310F1"/>
    <w:rsid w:val="0023229C"/>
    <w:rsid w:val="00232B6B"/>
    <w:rsid w:val="0023355C"/>
    <w:rsid w:val="00234280"/>
    <w:rsid w:val="00235000"/>
    <w:rsid w:val="002350E3"/>
    <w:rsid w:val="00235330"/>
    <w:rsid w:val="00235541"/>
    <w:rsid w:val="00236443"/>
    <w:rsid w:val="002365BA"/>
    <w:rsid w:val="00240773"/>
    <w:rsid w:val="00240815"/>
    <w:rsid w:val="00240A5B"/>
    <w:rsid w:val="00240C76"/>
    <w:rsid w:val="002411EF"/>
    <w:rsid w:val="00241446"/>
    <w:rsid w:val="00242730"/>
    <w:rsid w:val="002436BA"/>
    <w:rsid w:val="002444ED"/>
    <w:rsid w:val="00244A15"/>
    <w:rsid w:val="00244D40"/>
    <w:rsid w:val="00246AE9"/>
    <w:rsid w:val="0024799E"/>
    <w:rsid w:val="00250C59"/>
    <w:rsid w:val="00250E0D"/>
    <w:rsid w:val="002518F6"/>
    <w:rsid w:val="00251D59"/>
    <w:rsid w:val="00252602"/>
    <w:rsid w:val="00252FDC"/>
    <w:rsid w:val="002532E2"/>
    <w:rsid w:val="002550D8"/>
    <w:rsid w:val="00257613"/>
    <w:rsid w:val="00261E5B"/>
    <w:rsid w:val="00262F34"/>
    <w:rsid w:val="00263470"/>
    <w:rsid w:val="00263733"/>
    <w:rsid w:val="00264676"/>
    <w:rsid w:val="00265536"/>
    <w:rsid w:val="00265E54"/>
    <w:rsid w:val="00266F3E"/>
    <w:rsid w:val="00270785"/>
    <w:rsid w:val="00272464"/>
    <w:rsid w:val="00273DCD"/>
    <w:rsid w:val="00274291"/>
    <w:rsid w:val="00276CFE"/>
    <w:rsid w:val="00277071"/>
    <w:rsid w:val="0027786C"/>
    <w:rsid w:val="00277BF7"/>
    <w:rsid w:val="00281416"/>
    <w:rsid w:val="00282556"/>
    <w:rsid w:val="0028471E"/>
    <w:rsid w:val="00285CD3"/>
    <w:rsid w:val="0028686A"/>
    <w:rsid w:val="00286E66"/>
    <w:rsid w:val="002870B7"/>
    <w:rsid w:val="0028751D"/>
    <w:rsid w:val="002919B5"/>
    <w:rsid w:val="00293441"/>
    <w:rsid w:val="00294238"/>
    <w:rsid w:val="0029493E"/>
    <w:rsid w:val="002962E0"/>
    <w:rsid w:val="00296C2E"/>
    <w:rsid w:val="002A0814"/>
    <w:rsid w:val="002A1B05"/>
    <w:rsid w:val="002A267F"/>
    <w:rsid w:val="002A3354"/>
    <w:rsid w:val="002A35EA"/>
    <w:rsid w:val="002A37B6"/>
    <w:rsid w:val="002A3BD5"/>
    <w:rsid w:val="002A43A2"/>
    <w:rsid w:val="002A44ED"/>
    <w:rsid w:val="002A4612"/>
    <w:rsid w:val="002A4F70"/>
    <w:rsid w:val="002A5263"/>
    <w:rsid w:val="002A6821"/>
    <w:rsid w:val="002A7239"/>
    <w:rsid w:val="002A74D2"/>
    <w:rsid w:val="002A7CDA"/>
    <w:rsid w:val="002A7F47"/>
    <w:rsid w:val="002B1544"/>
    <w:rsid w:val="002B1BF4"/>
    <w:rsid w:val="002B1DC1"/>
    <w:rsid w:val="002B2789"/>
    <w:rsid w:val="002B36C8"/>
    <w:rsid w:val="002B46DE"/>
    <w:rsid w:val="002B71B4"/>
    <w:rsid w:val="002B7240"/>
    <w:rsid w:val="002C0E23"/>
    <w:rsid w:val="002C0FF4"/>
    <w:rsid w:val="002C125A"/>
    <w:rsid w:val="002C2668"/>
    <w:rsid w:val="002C43BD"/>
    <w:rsid w:val="002C493D"/>
    <w:rsid w:val="002C5261"/>
    <w:rsid w:val="002C6091"/>
    <w:rsid w:val="002D0562"/>
    <w:rsid w:val="002D1B5A"/>
    <w:rsid w:val="002D2500"/>
    <w:rsid w:val="002D338A"/>
    <w:rsid w:val="002D3738"/>
    <w:rsid w:val="002D3F00"/>
    <w:rsid w:val="002D4B81"/>
    <w:rsid w:val="002D4D59"/>
    <w:rsid w:val="002D54BF"/>
    <w:rsid w:val="002D5E94"/>
    <w:rsid w:val="002D632D"/>
    <w:rsid w:val="002D6FC7"/>
    <w:rsid w:val="002E02A1"/>
    <w:rsid w:val="002E0982"/>
    <w:rsid w:val="002E0DB9"/>
    <w:rsid w:val="002E2CE4"/>
    <w:rsid w:val="002E34F3"/>
    <w:rsid w:val="002E435E"/>
    <w:rsid w:val="002E5B78"/>
    <w:rsid w:val="002E73F2"/>
    <w:rsid w:val="002F33FB"/>
    <w:rsid w:val="002F663A"/>
    <w:rsid w:val="002F68A4"/>
    <w:rsid w:val="002F7594"/>
    <w:rsid w:val="00300C0A"/>
    <w:rsid w:val="00300D6F"/>
    <w:rsid w:val="00301357"/>
    <w:rsid w:val="003016F6"/>
    <w:rsid w:val="00301D04"/>
    <w:rsid w:val="003035D4"/>
    <w:rsid w:val="00303DCB"/>
    <w:rsid w:val="00304771"/>
    <w:rsid w:val="00305736"/>
    <w:rsid w:val="00306C5B"/>
    <w:rsid w:val="00306E3B"/>
    <w:rsid w:val="003119B6"/>
    <w:rsid w:val="00312C3D"/>
    <w:rsid w:val="00314331"/>
    <w:rsid w:val="00314AA7"/>
    <w:rsid w:val="00317E31"/>
    <w:rsid w:val="00320214"/>
    <w:rsid w:val="003209D6"/>
    <w:rsid w:val="0032109A"/>
    <w:rsid w:val="0032214F"/>
    <w:rsid w:val="00322164"/>
    <w:rsid w:val="00323CF7"/>
    <w:rsid w:val="00323E61"/>
    <w:rsid w:val="0032513D"/>
    <w:rsid w:val="00326251"/>
    <w:rsid w:val="0032739C"/>
    <w:rsid w:val="00327DEE"/>
    <w:rsid w:val="00327FF5"/>
    <w:rsid w:val="003302DA"/>
    <w:rsid w:val="00330EB0"/>
    <w:rsid w:val="00332214"/>
    <w:rsid w:val="0033229B"/>
    <w:rsid w:val="003329F3"/>
    <w:rsid w:val="0033352E"/>
    <w:rsid w:val="00333690"/>
    <w:rsid w:val="00333D20"/>
    <w:rsid w:val="00333F53"/>
    <w:rsid w:val="003340EF"/>
    <w:rsid w:val="00334A49"/>
    <w:rsid w:val="0033536F"/>
    <w:rsid w:val="00335BB0"/>
    <w:rsid w:val="0033627B"/>
    <w:rsid w:val="003366FC"/>
    <w:rsid w:val="00337107"/>
    <w:rsid w:val="003406BD"/>
    <w:rsid w:val="00343474"/>
    <w:rsid w:val="00343553"/>
    <w:rsid w:val="00343F84"/>
    <w:rsid w:val="00344135"/>
    <w:rsid w:val="003450E2"/>
    <w:rsid w:val="00351B63"/>
    <w:rsid w:val="00352E57"/>
    <w:rsid w:val="003541B0"/>
    <w:rsid w:val="0035457E"/>
    <w:rsid w:val="00355885"/>
    <w:rsid w:val="0035605E"/>
    <w:rsid w:val="00357449"/>
    <w:rsid w:val="0036238B"/>
    <w:rsid w:val="003651A4"/>
    <w:rsid w:val="00365680"/>
    <w:rsid w:val="003657F3"/>
    <w:rsid w:val="00366D4D"/>
    <w:rsid w:val="00367038"/>
    <w:rsid w:val="00370963"/>
    <w:rsid w:val="0037144E"/>
    <w:rsid w:val="003736B5"/>
    <w:rsid w:val="00374F1E"/>
    <w:rsid w:val="00376DEC"/>
    <w:rsid w:val="00377200"/>
    <w:rsid w:val="0038034A"/>
    <w:rsid w:val="00380E04"/>
    <w:rsid w:val="00380E6C"/>
    <w:rsid w:val="00383227"/>
    <w:rsid w:val="003839C9"/>
    <w:rsid w:val="00384B8E"/>
    <w:rsid w:val="00384D8F"/>
    <w:rsid w:val="00385D98"/>
    <w:rsid w:val="00385EC5"/>
    <w:rsid w:val="0038658E"/>
    <w:rsid w:val="0039066E"/>
    <w:rsid w:val="00391C95"/>
    <w:rsid w:val="00392110"/>
    <w:rsid w:val="00394D49"/>
    <w:rsid w:val="00396DAC"/>
    <w:rsid w:val="003A0214"/>
    <w:rsid w:val="003A027D"/>
    <w:rsid w:val="003A1D74"/>
    <w:rsid w:val="003A2B4D"/>
    <w:rsid w:val="003A2D2B"/>
    <w:rsid w:val="003A2DD4"/>
    <w:rsid w:val="003A3B1C"/>
    <w:rsid w:val="003A4088"/>
    <w:rsid w:val="003A478C"/>
    <w:rsid w:val="003A4F82"/>
    <w:rsid w:val="003A5525"/>
    <w:rsid w:val="003A6750"/>
    <w:rsid w:val="003A6B38"/>
    <w:rsid w:val="003B0218"/>
    <w:rsid w:val="003B20D9"/>
    <w:rsid w:val="003B2580"/>
    <w:rsid w:val="003B2E63"/>
    <w:rsid w:val="003B3189"/>
    <w:rsid w:val="003B3A9D"/>
    <w:rsid w:val="003B3DDD"/>
    <w:rsid w:val="003B4683"/>
    <w:rsid w:val="003B5031"/>
    <w:rsid w:val="003B5A32"/>
    <w:rsid w:val="003B6105"/>
    <w:rsid w:val="003C03CC"/>
    <w:rsid w:val="003C04C4"/>
    <w:rsid w:val="003C26F4"/>
    <w:rsid w:val="003C3686"/>
    <w:rsid w:val="003C4852"/>
    <w:rsid w:val="003C5BC7"/>
    <w:rsid w:val="003C601E"/>
    <w:rsid w:val="003C66C4"/>
    <w:rsid w:val="003D2C4E"/>
    <w:rsid w:val="003D2CA4"/>
    <w:rsid w:val="003D3600"/>
    <w:rsid w:val="003D3825"/>
    <w:rsid w:val="003D3D90"/>
    <w:rsid w:val="003D3EC4"/>
    <w:rsid w:val="003D4760"/>
    <w:rsid w:val="003D49DC"/>
    <w:rsid w:val="003D4DD9"/>
    <w:rsid w:val="003D5D7A"/>
    <w:rsid w:val="003D653F"/>
    <w:rsid w:val="003E0663"/>
    <w:rsid w:val="003E0E1D"/>
    <w:rsid w:val="003E133F"/>
    <w:rsid w:val="003E2DA8"/>
    <w:rsid w:val="003E49F6"/>
    <w:rsid w:val="003E699C"/>
    <w:rsid w:val="003E69F3"/>
    <w:rsid w:val="003E782E"/>
    <w:rsid w:val="003E7A0B"/>
    <w:rsid w:val="003E7B2B"/>
    <w:rsid w:val="003F181F"/>
    <w:rsid w:val="003F1A48"/>
    <w:rsid w:val="003F1E23"/>
    <w:rsid w:val="003F22F6"/>
    <w:rsid w:val="003F2B0A"/>
    <w:rsid w:val="003F313C"/>
    <w:rsid w:val="003F341B"/>
    <w:rsid w:val="003F37FC"/>
    <w:rsid w:val="003F3A26"/>
    <w:rsid w:val="003F49A6"/>
    <w:rsid w:val="003F5098"/>
    <w:rsid w:val="003F5568"/>
    <w:rsid w:val="003F5A95"/>
    <w:rsid w:val="003F6D19"/>
    <w:rsid w:val="004000D5"/>
    <w:rsid w:val="00400244"/>
    <w:rsid w:val="004005C1"/>
    <w:rsid w:val="00401716"/>
    <w:rsid w:val="00401A09"/>
    <w:rsid w:val="0040273A"/>
    <w:rsid w:val="00402C25"/>
    <w:rsid w:val="004050D7"/>
    <w:rsid w:val="00405EC9"/>
    <w:rsid w:val="00406292"/>
    <w:rsid w:val="00406769"/>
    <w:rsid w:val="004078BD"/>
    <w:rsid w:val="00410132"/>
    <w:rsid w:val="00410B3B"/>
    <w:rsid w:val="00410BCD"/>
    <w:rsid w:val="00410DE5"/>
    <w:rsid w:val="0041175D"/>
    <w:rsid w:val="004117CE"/>
    <w:rsid w:val="004123BE"/>
    <w:rsid w:val="00414CE5"/>
    <w:rsid w:val="00416673"/>
    <w:rsid w:val="00420C0B"/>
    <w:rsid w:val="0042160D"/>
    <w:rsid w:val="00423A3C"/>
    <w:rsid w:val="0042681B"/>
    <w:rsid w:val="00427193"/>
    <w:rsid w:val="00430627"/>
    <w:rsid w:val="0043068A"/>
    <w:rsid w:val="004306E0"/>
    <w:rsid w:val="00431A03"/>
    <w:rsid w:val="00431D54"/>
    <w:rsid w:val="004329BE"/>
    <w:rsid w:val="00432C38"/>
    <w:rsid w:val="004342EC"/>
    <w:rsid w:val="00436227"/>
    <w:rsid w:val="00437C76"/>
    <w:rsid w:val="0044105C"/>
    <w:rsid w:val="00443E95"/>
    <w:rsid w:val="004441A0"/>
    <w:rsid w:val="00444268"/>
    <w:rsid w:val="00444326"/>
    <w:rsid w:val="004443BF"/>
    <w:rsid w:val="004447F3"/>
    <w:rsid w:val="00444C19"/>
    <w:rsid w:val="00445218"/>
    <w:rsid w:val="00445CDD"/>
    <w:rsid w:val="00446043"/>
    <w:rsid w:val="00446892"/>
    <w:rsid w:val="00447E36"/>
    <w:rsid w:val="00450700"/>
    <w:rsid w:val="00450C30"/>
    <w:rsid w:val="004529C7"/>
    <w:rsid w:val="004540FF"/>
    <w:rsid w:val="004541F1"/>
    <w:rsid w:val="00455ECA"/>
    <w:rsid w:val="00457296"/>
    <w:rsid w:val="00457320"/>
    <w:rsid w:val="00460164"/>
    <w:rsid w:val="0046039A"/>
    <w:rsid w:val="00460A6B"/>
    <w:rsid w:val="00461977"/>
    <w:rsid w:val="00461A3F"/>
    <w:rsid w:val="004627A6"/>
    <w:rsid w:val="00462843"/>
    <w:rsid w:val="004629FD"/>
    <w:rsid w:val="00462AD2"/>
    <w:rsid w:val="00463B4B"/>
    <w:rsid w:val="00463F4D"/>
    <w:rsid w:val="0046471F"/>
    <w:rsid w:val="00464BE8"/>
    <w:rsid w:val="00465019"/>
    <w:rsid w:val="00465FA4"/>
    <w:rsid w:val="0046613F"/>
    <w:rsid w:val="0046655D"/>
    <w:rsid w:val="00466AAE"/>
    <w:rsid w:val="0046765E"/>
    <w:rsid w:val="004676E2"/>
    <w:rsid w:val="00471EDD"/>
    <w:rsid w:val="00473E94"/>
    <w:rsid w:val="00473FB6"/>
    <w:rsid w:val="0047400C"/>
    <w:rsid w:val="004745D9"/>
    <w:rsid w:val="00475CF8"/>
    <w:rsid w:val="004762D8"/>
    <w:rsid w:val="004765B3"/>
    <w:rsid w:val="00476D29"/>
    <w:rsid w:val="00477241"/>
    <w:rsid w:val="00477EAF"/>
    <w:rsid w:val="00477EE0"/>
    <w:rsid w:val="00480AB8"/>
    <w:rsid w:val="00480C5D"/>
    <w:rsid w:val="0048139F"/>
    <w:rsid w:val="00481C00"/>
    <w:rsid w:val="00483053"/>
    <w:rsid w:val="00484874"/>
    <w:rsid w:val="00485230"/>
    <w:rsid w:val="004879E9"/>
    <w:rsid w:val="00487F81"/>
    <w:rsid w:val="00490247"/>
    <w:rsid w:val="0049104F"/>
    <w:rsid w:val="00491218"/>
    <w:rsid w:val="00491CFD"/>
    <w:rsid w:val="00493362"/>
    <w:rsid w:val="00494343"/>
    <w:rsid w:val="0049438A"/>
    <w:rsid w:val="00496B60"/>
    <w:rsid w:val="00496C2F"/>
    <w:rsid w:val="0049740D"/>
    <w:rsid w:val="004978D3"/>
    <w:rsid w:val="004A11F8"/>
    <w:rsid w:val="004A22BD"/>
    <w:rsid w:val="004A22FA"/>
    <w:rsid w:val="004A2517"/>
    <w:rsid w:val="004A269A"/>
    <w:rsid w:val="004A30FB"/>
    <w:rsid w:val="004A35DD"/>
    <w:rsid w:val="004A37D3"/>
    <w:rsid w:val="004A3AD6"/>
    <w:rsid w:val="004A4F28"/>
    <w:rsid w:val="004A52AA"/>
    <w:rsid w:val="004A5865"/>
    <w:rsid w:val="004A77DF"/>
    <w:rsid w:val="004B0295"/>
    <w:rsid w:val="004B0803"/>
    <w:rsid w:val="004B10A8"/>
    <w:rsid w:val="004B22DA"/>
    <w:rsid w:val="004B3CB7"/>
    <w:rsid w:val="004B3D55"/>
    <w:rsid w:val="004B55B7"/>
    <w:rsid w:val="004B5836"/>
    <w:rsid w:val="004B5F05"/>
    <w:rsid w:val="004C00A6"/>
    <w:rsid w:val="004C0BBB"/>
    <w:rsid w:val="004C1AD6"/>
    <w:rsid w:val="004C1B86"/>
    <w:rsid w:val="004C3382"/>
    <w:rsid w:val="004C3867"/>
    <w:rsid w:val="004C4AB7"/>
    <w:rsid w:val="004C4B88"/>
    <w:rsid w:val="004C4CD0"/>
    <w:rsid w:val="004C57B5"/>
    <w:rsid w:val="004C5C25"/>
    <w:rsid w:val="004C6717"/>
    <w:rsid w:val="004C6CFF"/>
    <w:rsid w:val="004C70DC"/>
    <w:rsid w:val="004C7268"/>
    <w:rsid w:val="004D0211"/>
    <w:rsid w:val="004D1C9C"/>
    <w:rsid w:val="004D2872"/>
    <w:rsid w:val="004D458D"/>
    <w:rsid w:val="004D504B"/>
    <w:rsid w:val="004D536E"/>
    <w:rsid w:val="004D76CC"/>
    <w:rsid w:val="004E1839"/>
    <w:rsid w:val="004E4A75"/>
    <w:rsid w:val="004E4DE8"/>
    <w:rsid w:val="004E541A"/>
    <w:rsid w:val="004E5A5C"/>
    <w:rsid w:val="004E7007"/>
    <w:rsid w:val="004E75F9"/>
    <w:rsid w:val="004E76D6"/>
    <w:rsid w:val="004E7F57"/>
    <w:rsid w:val="004F06F5"/>
    <w:rsid w:val="004F191F"/>
    <w:rsid w:val="004F2A4D"/>
    <w:rsid w:val="004F2A73"/>
    <w:rsid w:val="004F33A0"/>
    <w:rsid w:val="004F4353"/>
    <w:rsid w:val="004F447D"/>
    <w:rsid w:val="004F4C28"/>
    <w:rsid w:val="004F4E82"/>
    <w:rsid w:val="004F5470"/>
    <w:rsid w:val="004F5CC5"/>
    <w:rsid w:val="004F6350"/>
    <w:rsid w:val="005010BA"/>
    <w:rsid w:val="005028E1"/>
    <w:rsid w:val="0050692E"/>
    <w:rsid w:val="00507040"/>
    <w:rsid w:val="005073E8"/>
    <w:rsid w:val="005079F8"/>
    <w:rsid w:val="00510189"/>
    <w:rsid w:val="005108C0"/>
    <w:rsid w:val="00511873"/>
    <w:rsid w:val="0051367B"/>
    <w:rsid w:val="00513B7E"/>
    <w:rsid w:val="005140DE"/>
    <w:rsid w:val="00514474"/>
    <w:rsid w:val="005147E9"/>
    <w:rsid w:val="005175BC"/>
    <w:rsid w:val="0051778E"/>
    <w:rsid w:val="00521210"/>
    <w:rsid w:val="005215EF"/>
    <w:rsid w:val="00524637"/>
    <w:rsid w:val="00524FDD"/>
    <w:rsid w:val="00525128"/>
    <w:rsid w:val="00525137"/>
    <w:rsid w:val="005251DD"/>
    <w:rsid w:val="00526DB6"/>
    <w:rsid w:val="0053017A"/>
    <w:rsid w:val="00530492"/>
    <w:rsid w:val="00532854"/>
    <w:rsid w:val="005329D6"/>
    <w:rsid w:val="005350F2"/>
    <w:rsid w:val="00535152"/>
    <w:rsid w:val="00535359"/>
    <w:rsid w:val="005357A2"/>
    <w:rsid w:val="005359E3"/>
    <w:rsid w:val="00535D87"/>
    <w:rsid w:val="00535EF0"/>
    <w:rsid w:val="005363DF"/>
    <w:rsid w:val="005369F9"/>
    <w:rsid w:val="0053734B"/>
    <w:rsid w:val="005375B1"/>
    <w:rsid w:val="00537AFD"/>
    <w:rsid w:val="00537CB4"/>
    <w:rsid w:val="00540CD4"/>
    <w:rsid w:val="0054516B"/>
    <w:rsid w:val="0054559E"/>
    <w:rsid w:val="00550ACB"/>
    <w:rsid w:val="005513D5"/>
    <w:rsid w:val="005523B9"/>
    <w:rsid w:val="005545E0"/>
    <w:rsid w:val="00554865"/>
    <w:rsid w:val="00554E57"/>
    <w:rsid w:val="00555463"/>
    <w:rsid w:val="00562749"/>
    <w:rsid w:val="00562DE9"/>
    <w:rsid w:val="005638A5"/>
    <w:rsid w:val="00566381"/>
    <w:rsid w:val="00566A03"/>
    <w:rsid w:val="005700EF"/>
    <w:rsid w:val="00571932"/>
    <w:rsid w:val="00573C97"/>
    <w:rsid w:val="00574240"/>
    <w:rsid w:val="00575CDC"/>
    <w:rsid w:val="005765D5"/>
    <w:rsid w:val="00576A3E"/>
    <w:rsid w:val="0057703D"/>
    <w:rsid w:val="00580733"/>
    <w:rsid w:val="0058366F"/>
    <w:rsid w:val="00583715"/>
    <w:rsid w:val="00583D5B"/>
    <w:rsid w:val="00583FFD"/>
    <w:rsid w:val="00587CCD"/>
    <w:rsid w:val="005908AE"/>
    <w:rsid w:val="0059176E"/>
    <w:rsid w:val="00592854"/>
    <w:rsid w:val="00592A9F"/>
    <w:rsid w:val="00593152"/>
    <w:rsid w:val="00593CA3"/>
    <w:rsid w:val="00594161"/>
    <w:rsid w:val="00594969"/>
    <w:rsid w:val="00594B91"/>
    <w:rsid w:val="00596C5E"/>
    <w:rsid w:val="005A2194"/>
    <w:rsid w:val="005A21E0"/>
    <w:rsid w:val="005A33A1"/>
    <w:rsid w:val="005A54EE"/>
    <w:rsid w:val="005A563B"/>
    <w:rsid w:val="005A7500"/>
    <w:rsid w:val="005A77E4"/>
    <w:rsid w:val="005B1BDB"/>
    <w:rsid w:val="005B2BAA"/>
    <w:rsid w:val="005B2D53"/>
    <w:rsid w:val="005B3247"/>
    <w:rsid w:val="005B3409"/>
    <w:rsid w:val="005B498A"/>
    <w:rsid w:val="005B7B12"/>
    <w:rsid w:val="005C16CB"/>
    <w:rsid w:val="005C21D6"/>
    <w:rsid w:val="005C3C24"/>
    <w:rsid w:val="005C3F9F"/>
    <w:rsid w:val="005C406F"/>
    <w:rsid w:val="005C4A23"/>
    <w:rsid w:val="005C562C"/>
    <w:rsid w:val="005C5812"/>
    <w:rsid w:val="005C6400"/>
    <w:rsid w:val="005C700A"/>
    <w:rsid w:val="005C74F2"/>
    <w:rsid w:val="005C7F1E"/>
    <w:rsid w:val="005D25B4"/>
    <w:rsid w:val="005D374F"/>
    <w:rsid w:val="005D5802"/>
    <w:rsid w:val="005D6CFC"/>
    <w:rsid w:val="005D73E2"/>
    <w:rsid w:val="005D757A"/>
    <w:rsid w:val="005D7C4B"/>
    <w:rsid w:val="005E1E4B"/>
    <w:rsid w:val="005E223E"/>
    <w:rsid w:val="005E3006"/>
    <w:rsid w:val="005E362D"/>
    <w:rsid w:val="005E3A0C"/>
    <w:rsid w:val="005E3FAC"/>
    <w:rsid w:val="005E492C"/>
    <w:rsid w:val="005E4BAA"/>
    <w:rsid w:val="005E52EF"/>
    <w:rsid w:val="005E5B56"/>
    <w:rsid w:val="005E6059"/>
    <w:rsid w:val="005E6088"/>
    <w:rsid w:val="005E61DF"/>
    <w:rsid w:val="005E6B65"/>
    <w:rsid w:val="005E6B78"/>
    <w:rsid w:val="005E75B8"/>
    <w:rsid w:val="005F0976"/>
    <w:rsid w:val="005F26CE"/>
    <w:rsid w:val="005F4057"/>
    <w:rsid w:val="005F4088"/>
    <w:rsid w:val="005F4C83"/>
    <w:rsid w:val="005F601D"/>
    <w:rsid w:val="005F6119"/>
    <w:rsid w:val="005F7940"/>
    <w:rsid w:val="006000F4"/>
    <w:rsid w:val="0060107A"/>
    <w:rsid w:val="00601AFF"/>
    <w:rsid w:val="00602D1D"/>
    <w:rsid w:val="00604307"/>
    <w:rsid w:val="0060487F"/>
    <w:rsid w:val="00605814"/>
    <w:rsid w:val="00606B93"/>
    <w:rsid w:val="00607727"/>
    <w:rsid w:val="00610BD5"/>
    <w:rsid w:val="00611363"/>
    <w:rsid w:val="00611531"/>
    <w:rsid w:val="006118AA"/>
    <w:rsid w:val="006139C7"/>
    <w:rsid w:val="006153E3"/>
    <w:rsid w:val="00615BE6"/>
    <w:rsid w:val="006167AB"/>
    <w:rsid w:val="00617D2D"/>
    <w:rsid w:val="00617D83"/>
    <w:rsid w:val="00620430"/>
    <w:rsid w:val="00620AC5"/>
    <w:rsid w:val="00621575"/>
    <w:rsid w:val="006215FC"/>
    <w:rsid w:val="00624093"/>
    <w:rsid w:val="00624A23"/>
    <w:rsid w:val="00630F66"/>
    <w:rsid w:val="00631FC2"/>
    <w:rsid w:val="00632171"/>
    <w:rsid w:val="0063332A"/>
    <w:rsid w:val="006347F9"/>
    <w:rsid w:val="0063494E"/>
    <w:rsid w:val="00634C90"/>
    <w:rsid w:val="00635E79"/>
    <w:rsid w:val="00636E5E"/>
    <w:rsid w:val="0063769A"/>
    <w:rsid w:val="006379E0"/>
    <w:rsid w:val="006404A7"/>
    <w:rsid w:val="006407F3"/>
    <w:rsid w:val="006408EC"/>
    <w:rsid w:val="00640C96"/>
    <w:rsid w:val="0064129B"/>
    <w:rsid w:val="00641DF7"/>
    <w:rsid w:val="00643A80"/>
    <w:rsid w:val="00644DFC"/>
    <w:rsid w:val="006451E4"/>
    <w:rsid w:val="006454B4"/>
    <w:rsid w:val="00645A9C"/>
    <w:rsid w:val="006460B8"/>
    <w:rsid w:val="006504A0"/>
    <w:rsid w:val="006520C7"/>
    <w:rsid w:val="006520D5"/>
    <w:rsid w:val="00652CBB"/>
    <w:rsid w:val="006530B8"/>
    <w:rsid w:val="006535D6"/>
    <w:rsid w:val="00656716"/>
    <w:rsid w:val="006572ED"/>
    <w:rsid w:val="00657E87"/>
    <w:rsid w:val="00660457"/>
    <w:rsid w:val="00660CB4"/>
    <w:rsid w:val="00660E1E"/>
    <w:rsid w:val="006637B1"/>
    <w:rsid w:val="00663FFB"/>
    <w:rsid w:val="00664B64"/>
    <w:rsid w:val="00665D67"/>
    <w:rsid w:val="00665D77"/>
    <w:rsid w:val="006660CD"/>
    <w:rsid w:val="00666EC8"/>
    <w:rsid w:val="00666F4B"/>
    <w:rsid w:val="00667271"/>
    <w:rsid w:val="006676D0"/>
    <w:rsid w:val="0066796E"/>
    <w:rsid w:val="00670FAC"/>
    <w:rsid w:val="006710C9"/>
    <w:rsid w:val="006716A5"/>
    <w:rsid w:val="00675CF1"/>
    <w:rsid w:val="00675E37"/>
    <w:rsid w:val="006764ED"/>
    <w:rsid w:val="00676AFC"/>
    <w:rsid w:val="00676F11"/>
    <w:rsid w:val="00677BFE"/>
    <w:rsid w:val="00680079"/>
    <w:rsid w:val="00680F68"/>
    <w:rsid w:val="0068260E"/>
    <w:rsid w:val="0068373D"/>
    <w:rsid w:val="00683BFE"/>
    <w:rsid w:val="0068437D"/>
    <w:rsid w:val="006857DF"/>
    <w:rsid w:val="00685E66"/>
    <w:rsid w:val="00686B72"/>
    <w:rsid w:val="00686BF1"/>
    <w:rsid w:val="00687AE5"/>
    <w:rsid w:val="00690A09"/>
    <w:rsid w:val="00690A25"/>
    <w:rsid w:val="006936AD"/>
    <w:rsid w:val="00693EA1"/>
    <w:rsid w:val="00693FEA"/>
    <w:rsid w:val="00694930"/>
    <w:rsid w:val="00695170"/>
    <w:rsid w:val="00695BEF"/>
    <w:rsid w:val="006960D6"/>
    <w:rsid w:val="00696AA5"/>
    <w:rsid w:val="006977F6"/>
    <w:rsid w:val="00697A13"/>
    <w:rsid w:val="006A0F1B"/>
    <w:rsid w:val="006A109C"/>
    <w:rsid w:val="006A18AE"/>
    <w:rsid w:val="006A2EE8"/>
    <w:rsid w:val="006A3CF3"/>
    <w:rsid w:val="006A568F"/>
    <w:rsid w:val="006A65EF"/>
    <w:rsid w:val="006A672B"/>
    <w:rsid w:val="006B23A9"/>
    <w:rsid w:val="006B281D"/>
    <w:rsid w:val="006B3F8A"/>
    <w:rsid w:val="006B5CA3"/>
    <w:rsid w:val="006B6B3B"/>
    <w:rsid w:val="006B7248"/>
    <w:rsid w:val="006B7714"/>
    <w:rsid w:val="006B78D8"/>
    <w:rsid w:val="006B7B66"/>
    <w:rsid w:val="006B7BE9"/>
    <w:rsid w:val="006C090F"/>
    <w:rsid w:val="006C0935"/>
    <w:rsid w:val="006C0BCE"/>
    <w:rsid w:val="006C113F"/>
    <w:rsid w:val="006C2AED"/>
    <w:rsid w:val="006C38DD"/>
    <w:rsid w:val="006C457F"/>
    <w:rsid w:val="006C53C7"/>
    <w:rsid w:val="006C5577"/>
    <w:rsid w:val="006C559A"/>
    <w:rsid w:val="006C58FA"/>
    <w:rsid w:val="006D042D"/>
    <w:rsid w:val="006D06EF"/>
    <w:rsid w:val="006D142E"/>
    <w:rsid w:val="006D4497"/>
    <w:rsid w:val="006D4927"/>
    <w:rsid w:val="006D4E6F"/>
    <w:rsid w:val="006D5A0C"/>
    <w:rsid w:val="006D61F6"/>
    <w:rsid w:val="006E0EB0"/>
    <w:rsid w:val="006E1F4C"/>
    <w:rsid w:val="006E22C8"/>
    <w:rsid w:val="006E279A"/>
    <w:rsid w:val="006E2F3F"/>
    <w:rsid w:val="006E313B"/>
    <w:rsid w:val="006E442A"/>
    <w:rsid w:val="006E4434"/>
    <w:rsid w:val="006E59FC"/>
    <w:rsid w:val="006E5CFD"/>
    <w:rsid w:val="006E5D21"/>
    <w:rsid w:val="006E7E2C"/>
    <w:rsid w:val="006F1326"/>
    <w:rsid w:val="006F2BEE"/>
    <w:rsid w:val="006F3708"/>
    <w:rsid w:val="006F394E"/>
    <w:rsid w:val="006F3E6B"/>
    <w:rsid w:val="006F4619"/>
    <w:rsid w:val="006F4A59"/>
    <w:rsid w:val="00700232"/>
    <w:rsid w:val="007014C7"/>
    <w:rsid w:val="00702D6F"/>
    <w:rsid w:val="00703B6C"/>
    <w:rsid w:val="00703C6B"/>
    <w:rsid w:val="007047D5"/>
    <w:rsid w:val="00705D98"/>
    <w:rsid w:val="00707891"/>
    <w:rsid w:val="00707D23"/>
    <w:rsid w:val="00707D43"/>
    <w:rsid w:val="00711EF1"/>
    <w:rsid w:val="0071229A"/>
    <w:rsid w:val="00712572"/>
    <w:rsid w:val="00713495"/>
    <w:rsid w:val="00713EEB"/>
    <w:rsid w:val="007159D2"/>
    <w:rsid w:val="0072050E"/>
    <w:rsid w:val="00720FA2"/>
    <w:rsid w:val="007211F5"/>
    <w:rsid w:val="00722CE0"/>
    <w:rsid w:val="00724666"/>
    <w:rsid w:val="00725492"/>
    <w:rsid w:val="00726043"/>
    <w:rsid w:val="0072704A"/>
    <w:rsid w:val="00730AE8"/>
    <w:rsid w:val="007315DA"/>
    <w:rsid w:val="00731963"/>
    <w:rsid w:val="00733AF9"/>
    <w:rsid w:val="00734321"/>
    <w:rsid w:val="0073532E"/>
    <w:rsid w:val="00740310"/>
    <w:rsid w:val="00740652"/>
    <w:rsid w:val="00740F02"/>
    <w:rsid w:val="00740FEC"/>
    <w:rsid w:val="0074132E"/>
    <w:rsid w:val="00741493"/>
    <w:rsid w:val="007426B3"/>
    <w:rsid w:val="007426FD"/>
    <w:rsid w:val="0074329D"/>
    <w:rsid w:val="007442F7"/>
    <w:rsid w:val="00744376"/>
    <w:rsid w:val="007449EA"/>
    <w:rsid w:val="00744D00"/>
    <w:rsid w:val="00744D2B"/>
    <w:rsid w:val="00745273"/>
    <w:rsid w:val="00746DD9"/>
    <w:rsid w:val="0075057A"/>
    <w:rsid w:val="00751771"/>
    <w:rsid w:val="00751C1C"/>
    <w:rsid w:val="00752180"/>
    <w:rsid w:val="007521A1"/>
    <w:rsid w:val="00752BC3"/>
    <w:rsid w:val="00752FA1"/>
    <w:rsid w:val="0075315D"/>
    <w:rsid w:val="007538F9"/>
    <w:rsid w:val="00754253"/>
    <w:rsid w:val="007552BB"/>
    <w:rsid w:val="007558D3"/>
    <w:rsid w:val="007559D7"/>
    <w:rsid w:val="00755D3A"/>
    <w:rsid w:val="00760141"/>
    <w:rsid w:val="007609C6"/>
    <w:rsid w:val="007610A0"/>
    <w:rsid w:val="00762036"/>
    <w:rsid w:val="007620F2"/>
    <w:rsid w:val="00762EBA"/>
    <w:rsid w:val="0076359D"/>
    <w:rsid w:val="0076370B"/>
    <w:rsid w:val="007642C3"/>
    <w:rsid w:val="0077058D"/>
    <w:rsid w:val="00772536"/>
    <w:rsid w:val="00773613"/>
    <w:rsid w:val="00774782"/>
    <w:rsid w:val="00776476"/>
    <w:rsid w:val="00776527"/>
    <w:rsid w:val="007805E1"/>
    <w:rsid w:val="0078113E"/>
    <w:rsid w:val="00781834"/>
    <w:rsid w:val="007821DB"/>
    <w:rsid w:val="00782818"/>
    <w:rsid w:val="007838F1"/>
    <w:rsid w:val="00784C4A"/>
    <w:rsid w:val="00787432"/>
    <w:rsid w:val="00787507"/>
    <w:rsid w:val="007879F2"/>
    <w:rsid w:val="00791804"/>
    <w:rsid w:val="00791CF8"/>
    <w:rsid w:val="00791EF9"/>
    <w:rsid w:val="00792262"/>
    <w:rsid w:val="00793387"/>
    <w:rsid w:val="007934A6"/>
    <w:rsid w:val="00793BAE"/>
    <w:rsid w:val="00794E0A"/>
    <w:rsid w:val="00796642"/>
    <w:rsid w:val="007A11D9"/>
    <w:rsid w:val="007A327B"/>
    <w:rsid w:val="007A4048"/>
    <w:rsid w:val="007A45B1"/>
    <w:rsid w:val="007A4606"/>
    <w:rsid w:val="007A46C3"/>
    <w:rsid w:val="007A4CDD"/>
    <w:rsid w:val="007B03A6"/>
    <w:rsid w:val="007B0D67"/>
    <w:rsid w:val="007B1966"/>
    <w:rsid w:val="007B2779"/>
    <w:rsid w:val="007B3DCC"/>
    <w:rsid w:val="007B4518"/>
    <w:rsid w:val="007B5031"/>
    <w:rsid w:val="007B573F"/>
    <w:rsid w:val="007B78F8"/>
    <w:rsid w:val="007C0065"/>
    <w:rsid w:val="007C010B"/>
    <w:rsid w:val="007C0A4B"/>
    <w:rsid w:val="007C0CB9"/>
    <w:rsid w:val="007C3AE3"/>
    <w:rsid w:val="007C605B"/>
    <w:rsid w:val="007D2A5A"/>
    <w:rsid w:val="007D2AD8"/>
    <w:rsid w:val="007D2C47"/>
    <w:rsid w:val="007D2F81"/>
    <w:rsid w:val="007D3167"/>
    <w:rsid w:val="007D4128"/>
    <w:rsid w:val="007D4281"/>
    <w:rsid w:val="007D42F5"/>
    <w:rsid w:val="007D44C3"/>
    <w:rsid w:val="007D5947"/>
    <w:rsid w:val="007D65C1"/>
    <w:rsid w:val="007E030F"/>
    <w:rsid w:val="007E0E59"/>
    <w:rsid w:val="007E0F4B"/>
    <w:rsid w:val="007E3715"/>
    <w:rsid w:val="007E7E61"/>
    <w:rsid w:val="007F02FE"/>
    <w:rsid w:val="007F0845"/>
    <w:rsid w:val="007F16F9"/>
    <w:rsid w:val="007F17DF"/>
    <w:rsid w:val="007F3E3E"/>
    <w:rsid w:val="007F42E0"/>
    <w:rsid w:val="007F500D"/>
    <w:rsid w:val="007F5F14"/>
    <w:rsid w:val="007F7B54"/>
    <w:rsid w:val="00800073"/>
    <w:rsid w:val="008005D7"/>
    <w:rsid w:val="00801FDD"/>
    <w:rsid w:val="008020C2"/>
    <w:rsid w:val="0080255C"/>
    <w:rsid w:val="00806088"/>
    <w:rsid w:val="00806D07"/>
    <w:rsid w:val="0081019B"/>
    <w:rsid w:val="0081187C"/>
    <w:rsid w:val="00811E24"/>
    <w:rsid w:val="00812386"/>
    <w:rsid w:val="00812E2B"/>
    <w:rsid w:val="0081315E"/>
    <w:rsid w:val="00813A70"/>
    <w:rsid w:val="00813FE6"/>
    <w:rsid w:val="00815C6E"/>
    <w:rsid w:val="0081645F"/>
    <w:rsid w:val="00817755"/>
    <w:rsid w:val="008178C2"/>
    <w:rsid w:val="008178CF"/>
    <w:rsid w:val="00817C98"/>
    <w:rsid w:val="00820C9F"/>
    <w:rsid w:val="00821FF6"/>
    <w:rsid w:val="00823AAF"/>
    <w:rsid w:val="00824081"/>
    <w:rsid w:val="0082409A"/>
    <w:rsid w:val="008252D7"/>
    <w:rsid w:val="00825C0F"/>
    <w:rsid w:val="008269C3"/>
    <w:rsid w:val="00826ED1"/>
    <w:rsid w:val="00827181"/>
    <w:rsid w:val="0082733C"/>
    <w:rsid w:val="00827746"/>
    <w:rsid w:val="00827E77"/>
    <w:rsid w:val="0083017F"/>
    <w:rsid w:val="0083102D"/>
    <w:rsid w:val="0083143E"/>
    <w:rsid w:val="0083159D"/>
    <w:rsid w:val="008318FF"/>
    <w:rsid w:val="00832187"/>
    <w:rsid w:val="00832493"/>
    <w:rsid w:val="008329BD"/>
    <w:rsid w:val="008336D8"/>
    <w:rsid w:val="008339C4"/>
    <w:rsid w:val="00834F0A"/>
    <w:rsid w:val="00834FAA"/>
    <w:rsid w:val="00835181"/>
    <w:rsid w:val="00835991"/>
    <w:rsid w:val="00836086"/>
    <w:rsid w:val="00840699"/>
    <w:rsid w:val="008410CF"/>
    <w:rsid w:val="00841D9F"/>
    <w:rsid w:val="00842604"/>
    <w:rsid w:val="008437F0"/>
    <w:rsid w:val="00843ECF"/>
    <w:rsid w:val="00845AB1"/>
    <w:rsid w:val="00846673"/>
    <w:rsid w:val="00846772"/>
    <w:rsid w:val="00850DFC"/>
    <w:rsid w:val="0085281A"/>
    <w:rsid w:val="00853F33"/>
    <w:rsid w:val="008559FE"/>
    <w:rsid w:val="00855D8F"/>
    <w:rsid w:val="00857339"/>
    <w:rsid w:val="00860706"/>
    <w:rsid w:val="00862A7A"/>
    <w:rsid w:val="00863104"/>
    <w:rsid w:val="008636CD"/>
    <w:rsid w:val="00863702"/>
    <w:rsid w:val="00863D9E"/>
    <w:rsid w:val="00863FDC"/>
    <w:rsid w:val="008642AF"/>
    <w:rsid w:val="00865729"/>
    <w:rsid w:val="00865ED4"/>
    <w:rsid w:val="008669A7"/>
    <w:rsid w:val="00867464"/>
    <w:rsid w:val="00867E29"/>
    <w:rsid w:val="00870F2B"/>
    <w:rsid w:val="00873B2E"/>
    <w:rsid w:val="008746E6"/>
    <w:rsid w:val="008752B9"/>
    <w:rsid w:val="0087594C"/>
    <w:rsid w:val="00876086"/>
    <w:rsid w:val="008765FA"/>
    <w:rsid w:val="008768D6"/>
    <w:rsid w:val="008775D1"/>
    <w:rsid w:val="008777BB"/>
    <w:rsid w:val="0087798D"/>
    <w:rsid w:val="00877D68"/>
    <w:rsid w:val="00877E5D"/>
    <w:rsid w:val="00880150"/>
    <w:rsid w:val="00880ABA"/>
    <w:rsid w:val="00883A67"/>
    <w:rsid w:val="00883D45"/>
    <w:rsid w:val="00884D69"/>
    <w:rsid w:val="0088503D"/>
    <w:rsid w:val="00886A8F"/>
    <w:rsid w:val="0088733A"/>
    <w:rsid w:val="00891BE0"/>
    <w:rsid w:val="00893302"/>
    <w:rsid w:val="00893648"/>
    <w:rsid w:val="00893F3C"/>
    <w:rsid w:val="008945A1"/>
    <w:rsid w:val="00894A63"/>
    <w:rsid w:val="00895A54"/>
    <w:rsid w:val="00896916"/>
    <w:rsid w:val="00896BDE"/>
    <w:rsid w:val="008A0861"/>
    <w:rsid w:val="008A0BB2"/>
    <w:rsid w:val="008A1AB3"/>
    <w:rsid w:val="008A1D5C"/>
    <w:rsid w:val="008A3292"/>
    <w:rsid w:val="008A3371"/>
    <w:rsid w:val="008A3A85"/>
    <w:rsid w:val="008A43E9"/>
    <w:rsid w:val="008A4CB1"/>
    <w:rsid w:val="008A615E"/>
    <w:rsid w:val="008A632B"/>
    <w:rsid w:val="008A6680"/>
    <w:rsid w:val="008A6BFE"/>
    <w:rsid w:val="008A7EB8"/>
    <w:rsid w:val="008B00C2"/>
    <w:rsid w:val="008B07EF"/>
    <w:rsid w:val="008B16DE"/>
    <w:rsid w:val="008B190E"/>
    <w:rsid w:val="008B1A8A"/>
    <w:rsid w:val="008B1FC9"/>
    <w:rsid w:val="008B531F"/>
    <w:rsid w:val="008B54A3"/>
    <w:rsid w:val="008B6B67"/>
    <w:rsid w:val="008B7306"/>
    <w:rsid w:val="008B775F"/>
    <w:rsid w:val="008B7C02"/>
    <w:rsid w:val="008B7D13"/>
    <w:rsid w:val="008B7F9E"/>
    <w:rsid w:val="008C034E"/>
    <w:rsid w:val="008C0E88"/>
    <w:rsid w:val="008C1399"/>
    <w:rsid w:val="008C1AA8"/>
    <w:rsid w:val="008C22A8"/>
    <w:rsid w:val="008C3C7A"/>
    <w:rsid w:val="008C5B43"/>
    <w:rsid w:val="008C63FD"/>
    <w:rsid w:val="008C6CB8"/>
    <w:rsid w:val="008C7815"/>
    <w:rsid w:val="008C7A07"/>
    <w:rsid w:val="008C7EB3"/>
    <w:rsid w:val="008D0171"/>
    <w:rsid w:val="008D13EA"/>
    <w:rsid w:val="008D2671"/>
    <w:rsid w:val="008D2A16"/>
    <w:rsid w:val="008D2ECF"/>
    <w:rsid w:val="008D347D"/>
    <w:rsid w:val="008D3F3D"/>
    <w:rsid w:val="008D4376"/>
    <w:rsid w:val="008E0367"/>
    <w:rsid w:val="008E308D"/>
    <w:rsid w:val="008E31FF"/>
    <w:rsid w:val="008E46A3"/>
    <w:rsid w:val="008E5DE6"/>
    <w:rsid w:val="008E6113"/>
    <w:rsid w:val="008E67B2"/>
    <w:rsid w:val="008E6AB3"/>
    <w:rsid w:val="008E6AD3"/>
    <w:rsid w:val="008E71A6"/>
    <w:rsid w:val="008E7695"/>
    <w:rsid w:val="008E77B6"/>
    <w:rsid w:val="008E7C55"/>
    <w:rsid w:val="008F032E"/>
    <w:rsid w:val="008F0F14"/>
    <w:rsid w:val="008F2F44"/>
    <w:rsid w:val="008F3423"/>
    <w:rsid w:val="008F3A8A"/>
    <w:rsid w:val="008F4FCE"/>
    <w:rsid w:val="008F5301"/>
    <w:rsid w:val="008F6627"/>
    <w:rsid w:val="008F6967"/>
    <w:rsid w:val="008F6A0C"/>
    <w:rsid w:val="008F6F38"/>
    <w:rsid w:val="008F7721"/>
    <w:rsid w:val="008F7D28"/>
    <w:rsid w:val="009003A8"/>
    <w:rsid w:val="009010A7"/>
    <w:rsid w:val="009010E3"/>
    <w:rsid w:val="00901AF3"/>
    <w:rsid w:val="00901CA8"/>
    <w:rsid w:val="00902BDD"/>
    <w:rsid w:val="00902CBE"/>
    <w:rsid w:val="00902D09"/>
    <w:rsid w:val="00902D74"/>
    <w:rsid w:val="00902EFF"/>
    <w:rsid w:val="00903E06"/>
    <w:rsid w:val="009040B3"/>
    <w:rsid w:val="00904B9D"/>
    <w:rsid w:val="00905A11"/>
    <w:rsid w:val="00905E96"/>
    <w:rsid w:val="009066E1"/>
    <w:rsid w:val="00907A41"/>
    <w:rsid w:val="009102BD"/>
    <w:rsid w:val="00910F93"/>
    <w:rsid w:val="0091255A"/>
    <w:rsid w:val="00913BCD"/>
    <w:rsid w:val="00914426"/>
    <w:rsid w:val="0091675F"/>
    <w:rsid w:val="00917709"/>
    <w:rsid w:val="00917918"/>
    <w:rsid w:val="00920874"/>
    <w:rsid w:val="00921F14"/>
    <w:rsid w:val="00923750"/>
    <w:rsid w:val="009243A5"/>
    <w:rsid w:val="0092500F"/>
    <w:rsid w:val="009250D2"/>
    <w:rsid w:val="0092519D"/>
    <w:rsid w:val="0092540B"/>
    <w:rsid w:val="009256C5"/>
    <w:rsid w:val="00926283"/>
    <w:rsid w:val="00927D62"/>
    <w:rsid w:val="009306BE"/>
    <w:rsid w:val="00930F8D"/>
    <w:rsid w:val="009319E3"/>
    <w:rsid w:val="00937B11"/>
    <w:rsid w:val="00940F1F"/>
    <w:rsid w:val="00941250"/>
    <w:rsid w:val="00941F4F"/>
    <w:rsid w:val="0094427A"/>
    <w:rsid w:val="00944380"/>
    <w:rsid w:val="009459C5"/>
    <w:rsid w:val="0094626C"/>
    <w:rsid w:val="0095013A"/>
    <w:rsid w:val="00953AEF"/>
    <w:rsid w:val="009551E2"/>
    <w:rsid w:val="00955783"/>
    <w:rsid w:val="009558A6"/>
    <w:rsid w:val="00955E5F"/>
    <w:rsid w:val="009560B0"/>
    <w:rsid w:val="00956F23"/>
    <w:rsid w:val="009576AC"/>
    <w:rsid w:val="00957871"/>
    <w:rsid w:val="00960077"/>
    <w:rsid w:val="00960769"/>
    <w:rsid w:val="00962D2E"/>
    <w:rsid w:val="00963724"/>
    <w:rsid w:val="00964498"/>
    <w:rsid w:val="0096504D"/>
    <w:rsid w:val="00965795"/>
    <w:rsid w:val="00965A2D"/>
    <w:rsid w:val="009663EB"/>
    <w:rsid w:val="0096650F"/>
    <w:rsid w:val="00967801"/>
    <w:rsid w:val="00967AD2"/>
    <w:rsid w:val="009700DB"/>
    <w:rsid w:val="00971DC6"/>
    <w:rsid w:val="00972263"/>
    <w:rsid w:val="00972502"/>
    <w:rsid w:val="00972D8D"/>
    <w:rsid w:val="00973A7A"/>
    <w:rsid w:val="00973AAE"/>
    <w:rsid w:val="0097476C"/>
    <w:rsid w:val="00974923"/>
    <w:rsid w:val="00974D48"/>
    <w:rsid w:val="00974D5F"/>
    <w:rsid w:val="00975017"/>
    <w:rsid w:val="0097562D"/>
    <w:rsid w:val="009759DF"/>
    <w:rsid w:val="0098019B"/>
    <w:rsid w:val="00980373"/>
    <w:rsid w:val="00980621"/>
    <w:rsid w:val="0098095B"/>
    <w:rsid w:val="00982072"/>
    <w:rsid w:val="009833FA"/>
    <w:rsid w:val="00983DBB"/>
    <w:rsid w:val="00983ECF"/>
    <w:rsid w:val="00986745"/>
    <w:rsid w:val="009867BC"/>
    <w:rsid w:val="00987109"/>
    <w:rsid w:val="00987309"/>
    <w:rsid w:val="0099012D"/>
    <w:rsid w:val="00990363"/>
    <w:rsid w:val="009954FF"/>
    <w:rsid w:val="00995E2F"/>
    <w:rsid w:val="009961BC"/>
    <w:rsid w:val="00996355"/>
    <w:rsid w:val="0099684C"/>
    <w:rsid w:val="009A2014"/>
    <w:rsid w:val="009A3030"/>
    <w:rsid w:val="009A3A87"/>
    <w:rsid w:val="009A434E"/>
    <w:rsid w:val="009A4E12"/>
    <w:rsid w:val="009A5C68"/>
    <w:rsid w:val="009A6EF7"/>
    <w:rsid w:val="009B04D0"/>
    <w:rsid w:val="009B052C"/>
    <w:rsid w:val="009B0EF2"/>
    <w:rsid w:val="009B23A3"/>
    <w:rsid w:val="009B2C0E"/>
    <w:rsid w:val="009B4925"/>
    <w:rsid w:val="009B4B4B"/>
    <w:rsid w:val="009B68B8"/>
    <w:rsid w:val="009B6FD3"/>
    <w:rsid w:val="009B70BD"/>
    <w:rsid w:val="009C07A5"/>
    <w:rsid w:val="009C13A4"/>
    <w:rsid w:val="009C2A52"/>
    <w:rsid w:val="009C3705"/>
    <w:rsid w:val="009C7388"/>
    <w:rsid w:val="009D0CFF"/>
    <w:rsid w:val="009D1551"/>
    <w:rsid w:val="009D2859"/>
    <w:rsid w:val="009D36EC"/>
    <w:rsid w:val="009D4173"/>
    <w:rsid w:val="009D6095"/>
    <w:rsid w:val="009D6306"/>
    <w:rsid w:val="009E048A"/>
    <w:rsid w:val="009E1FBA"/>
    <w:rsid w:val="009E2C54"/>
    <w:rsid w:val="009E3710"/>
    <w:rsid w:val="009E6F65"/>
    <w:rsid w:val="009E7340"/>
    <w:rsid w:val="009E7B1F"/>
    <w:rsid w:val="009F3FC3"/>
    <w:rsid w:val="009F4126"/>
    <w:rsid w:val="009F41C4"/>
    <w:rsid w:val="009F5846"/>
    <w:rsid w:val="009F63D2"/>
    <w:rsid w:val="009F7B52"/>
    <w:rsid w:val="009F7D77"/>
    <w:rsid w:val="00A004D2"/>
    <w:rsid w:val="00A015EA"/>
    <w:rsid w:val="00A041F3"/>
    <w:rsid w:val="00A10CB1"/>
    <w:rsid w:val="00A10D66"/>
    <w:rsid w:val="00A12BA8"/>
    <w:rsid w:val="00A13993"/>
    <w:rsid w:val="00A1420C"/>
    <w:rsid w:val="00A1456C"/>
    <w:rsid w:val="00A14821"/>
    <w:rsid w:val="00A15E65"/>
    <w:rsid w:val="00A17754"/>
    <w:rsid w:val="00A2055B"/>
    <w:rsid w:val="00A20AAE"/>
    <w:rsid w:val="00A2253C"/>
    <w:rsid w:val="00A23545"/>
    <w:rsid w:val="00A23A55"/>
    <w:rsid w:val="00A23E43"/>
    <w:rsid w:val="00A23EF0"/>
    <w:rsid w:val="00A24F8C"/>
    <w:rsid w:val="00A2565B"/>
    <w:rsid w:val="00A262BF"/>
    <w:rsid w:val="00A271AD"/>
    <w:rsid w:val="00A276D5"/>
    <w:rsid w:val="00A30336"/>
    <w:rsid w:val="00A30BB5"/>
    <w:rsid w:val="00A30C37"/>
    <w:rsid w:val="00A3128F"/>
    <w:rsid w:val="00A31BE3"/>
    <w:rsid w:val="00A326D0"/>
    <w:rsid w:val="00A35287"/>
    <w:rsid w:val="00A378F8"/>
    <w:rsid w:val="00A40B19"/>
    <w:rsid w:val="00A41D07"/>
    <w:rsid w:val="00A424F8"/>
    <w:rsid w:val="00A42883"/>
    <w:rsid w:val="00A437B7"/>
    <w:rsid w:val="00A44D3A"/>
    <w:rsid w:val="00A46D48"/>
    <w:rsid w:val="00A46DE0"/>
    <w:rsid w:val="00A4778A"/>
    <w:rsid w:val="00A47C94"/>
    <w:rsid w:val="00A504C0"/>
    <w:rsid w:val="00A5067F"/>
    <w:rsid w:val="00A517C1"/>
    <w:rsid w:val="00A518E0"/>
    <w:rsid w:val="00A55301"/>
    <w:rsid w:val="00A572FB"/>
    <w:rsid w:val="00A57B3C"/>
    <w:rsid w:val="00A57F1B"/>
    <w:rsid w:val="00A600D2"/>
    <w:rsid w:val="00A6128E"/>
    <w:rsid w:val="00A62CE1"/>
    <w:rsid w:val="00A63114"/>
    <w:rsid w:val="00A631FA"/>
    <w:rsid w:val="00A64203"/>
    <w:rsid w:val="00A64348"/>
    <w:rsid w:val="00A644E1"/>
    <w:rsid w:val="00A711B0"/>
    <w:rsid w:val="00A721FB"/>
    <w:rsid w:val="00A727BA"/>
    <w:rsid w:val="00A72D4B"/>
    <w:rsid w:val="00A732AE"/>
    <w:rsid w:val="00A75E40"/>
    <w:rsid w:val="00A76965"/>
    <w:rsid w:val="00A76F5B"/>
    <w:rsid w:val="00A77AE4"/>
    <w:rsid w:val="00A77EB2"/>
    <w:rsid w:val="00A81094"/>
    <w:rsid w:val="00A82B66"/>
    <w:rsid w:val="00A83B58"/>
    <w:rsid w:val="00A84FAF"/>
    <w:rsid w:val="00A851B6"/>
    <w:rsid w:val="00A85729"/>
    <w:rsid w:val="00A8574B"/>
    <w:rsid w:val="00A857C0"/>
    <w:rsid w:val="00A90343"/>
    <w:rsid w:val="00A91336"/>
    <w:rsid w:val="00A9221C"/>
    <w:rsid w:val="00A94628"/>
    <w:rsid w:val="00A94954"/>
    <w:rsid w:val="00A94EAE"/>
    <w:rsid w:val="00A95742"/>
    <w:rsid w:val="00A96463"/>
    <w:rsid w:val="00A97E3F"/>
    <w:rsid w:val="00AA020E"/>
    <w:rsid w:val="00AA09D3"/>
    <w:rsid w:val="00AA23FB"/>
    <w:rsid w:val="00AA34FE"/>
    <w:rsid w:val="00AA42AB"/>
    <w:rsid w:val="00AA559A"/>
    <w:rsid w:val="00AA5F10"/>
    <w:rsid w:val="00AB104D"/>
    <w:rsid w:val="00AB1441"/>
    <w:rsid w:val="00AB2AF1"/>
    <w:rsid w:val="00AB440B"/>
    <w:rsid w:val="00AB47E3"/>
    <w:rsid w:val="00AB7170"/>
    <w:rsid w:val="00AB74C5"/>
    <w:rsid w:val="00AB7BEE"/>
    <w:rsid w:val="00AB7DF2"/>
    <w:rsid w:val="00AC1E3F"/>
    <w:rsid w:val="00AC1E88"/>
    <w:rsid w:val="00AC219A"/>
    <w:rsid w:val="00AC4F18"/>
    <w:rsid w:val="00AD0B46"/>
    <w:rsid w:val="00AD1094"/>
    <w:rsid w:val="00AD2565"/>
    <w:rsid w:val="00AD306C"/>
    <w:rsid w:val="00AD3424"/>
    <w:rsid w:val="00AD50D1"/>
    <w:rsid w:val="00AD59BB"/>
    <w:rsid w:val="00AD5D68"/>
    <w:rsid w:val="00AD6C73"/>
    <w:rsid w:val="00AD7D49"/>
    <w:rsid w:val="00AE06D0"/>
    <w:rsid w:val="00AE1B8A"/>
    <w:rsid w:val="00AE39DC"/>
    <w:rsid w:val="00AE3CDA"/>
    <w:rsid w:val="00AE6331"/>
    <w:rsid w:val="00AE7968"/>
    <w:rsid w:val="00AE7B2B"/>
    <w:rsid w:val="00AE7DFF"/>
    <w:rsid w:val="00AF128B"/>
    <w:rsid w:val="00AF1AEA"/>
    <w:rsid w:val="00AF2852"/>
    <w:rsid w:val="00AF3225"/>
    <w:rsid w:val="00AF4983"/>
    <w:rsid w:val="00AF518B"/>
    <w:rsid w:val="00AF5275"/>
    <w:rsid w:val="00AF5D62"/>
    <w:rsid w:val="00AF6367"/>
    <w:rsid w:val="00AF6A79"/>
    <w:rsid w:val="00AF724E"/>
    <w:rsid w:val="00AF73A9"/>
    <w:rsid w:val="00B01436"/>
    <w:rsid w:val="00B01C2C"/>
    <w:rsid w:val="00B01E40"/>
    <w:rsid w:val="00B0231C"/>
    <w:rsid w:val="00B07C2A"/>
    <w:rsid w:val="00B13681"/>
    <w:rsid w:val="00B15DCD"/>
    <w:rsid w:val="00B17ACB"/>
    <w:rsid w:val="00B17E71"/>
    <w:rsid w:val="00B17FDE"/>
    <w:rsid w:val="00B208FC"/>
    <w:rsid w:val="00B20C65"/>
    <w:rsid w:val="00B22E17"/>
    <w:rsid w:val="00B25567"/>
    <w:rsid w:val="00B266C5"/>
    <w:rsid w:val="00B27293"/>
    <w:rsid w:val="00B301BB"/>
    <w:rsid w:val="00B321E3"/>
    <w:rsid w:val="00B3229E"/>
    <w:rsid w:val="00B32DDB"/>
    <w:rsid w:val="00B34931"/>
    <w:rsid w:val="00B35174"/>
    <w:rsid w:val="00B35BEA"/>
    <w:rsid w:val="00B378C5"/>
    <w:rsid w:val="00B37915"/>
    <w:rsid w:val="00B3793D"/>
    <w:rsid w:val="00B41BE6"/>
    <w:rsid w:val="00B42831"/>
    <w:rsid w:val="00B428A4"/>
    <w:rsid w:val="00B44FC4"/>
    <w:rsid w:val="00B457E7"/>
    <w:rsid w:val="00B45D1B"/>
    <w:rsid w:val="00B463F5"/>
    <w:rsid w:val="00B46D25"/>
    <w:rsid w:val="00B47430"/>
    <w:rsid w:val="00B47AC6"/>
    <w:rsid w:val="00B52D2D"/>
    <w:rsid w:val="00B52F8A"/>
    <w:rsid w:val="00B534EF"/>
    <w:rsid w:val="00B55BA8"/>
    <w:rsid w:val="00B55F15"/>
    <w:rsid w:val="00B561A6"/>
    <w:rsid w:val="00B60062"/>
    <w:rsid w:val="00B62960"/>
    <w:rsid w:val="00B63A11"/>
    <w:rsid w:val="00B63D16"/>
    <w:rsid w:val="00B63FD0"/>
    <w:rsid w:val="00B65C84"/>
    <w:rsid w:val="00B6608F"/>
    <w:rsid w:val="00B74317"/>
    <w:rsid w:val="00B76D1E"/>
    <w:rsid w:val="00B77BC8"/>
    <w:rsid w:val="00B800EB"/>
    <w:rsid w:val="00B822D2"/>
    <w:rsid w:val="00B83308"/>
    <w:rsid w:val="00B83D46"/>
    <w:rsid w:val="00B848B8"/>
    <w:rsid w:val="00B84A41"/>
    <w:rsid w:val="00B84D57"/>
    <w:rsid w:val="00B8504B"/>
    <w:rsid w:val="00B85689"/>
    <w:rsid w:val="00B86748"/>
    <w:rsid w:val="00B87C5F"/>
    <w:rsid w:val="00B907EA"/>
    <w:rsid w:val="00B91EC9"/>
    <w:rsid w:val="00B924CA"/>
    <w:rsid w:val="00B92A34"/>
    <w:rsid w:val="00B92A4B"/>
    <w:rsid w:val="00B92C76"/>
    <w:rsid w:val="00B93384"/>
    <w:rsid w:val="00B93616"/>
    <w:rsid w:val="00B94417"/>
    <w:rsid w:val="00B95566"/>
    <w:rsid w:val="00B95940"/>
    <w:rsid w:val="00B95EF8"/>
    <w:rsid w:val="00B95F50"/>
    <w:rsid w:val="00B96BD9"/>
    <w:rsid w:val="00B97DCE"/>
    <w:rsid w:val="00BA4358"/>
    <w:rsid w:val="00BB0274"/>
    <w:rsid w:val="00BB1CFD"/>
    <w:rsid w:val="00BB2C53"/>
    <w:rsid w:val="00BB32DA"/>
    <w:rsid w:val="00BB3A54"/>
    <w:rsid w:val="00BB4D26"/>
    <w:rsid w:val="00BB4E21"/>
    <w:rsid w:val="00BB7746"/>
    <w:rsid w:val="00BC22EB"/>
    <w:rsid w:val="00BC682B"/>
    <w:rsid w:val="00BC6B04"/>
    <w:rsid w:val="00BC6D27"/>
    <w:rsid w:val="00BD059A"/>
    <w:rsid w:val="00BD1708"/>
    <w:rsid w:val="00BD186B"/>
    <w:rsid w:val="00BD1EAC"/>
    <w:rsid w:val="00BD254C"/>
    <w:rsid w:val="00BD3428"/>
    <w:rsid w:val="00BD366B"/>
    <w:rsid w:val="00BD534C"/>
    <w:rsid w:val="00BD55A9"/>
    <w:rsid w:val="00BD56BC"/>
    <w:rsid w:val="00BD5D91"/>
    <w:rsid w:val="00BD6445"/>
    <w:rsid w:val="00BD6615"/>
    <w:rsid w:val="00BD6D50"/>
    <w:rsid w:val="00BE0D79"/>
    <w:rsid w:val="00BE0DB0"/>
    <w:rsid w:val="00BE272F"/>
    <w:rsid w:val="00BE3282"/>
    <w:rsid w:val="00BE3381"/>
    <w:rsid w:val="00BE3F09"/>
    <w:rsid w:val="00BE670A"/>
    <w:rsid w:val="00BE6906"/>
    <w:rsid w:val="00BF18F4"/>
    <w:rsid w:val="00BF1A69"/>
    <w:rsid w:val="00BF3BC8"/>
    <w:rsid w:val="00BF3DF1"/>
    <w:rsid w:val="00BF4C31"/>
    <w:rsid w:val="00BF4E57"/>
    <w:rsid w:val="00BF537B"/>
    <w:rsid w:val="00BF53B8"/>
    <w:rsid w:val="00BF786A"/>
    <w:rsid w:val="00BF7CB8"/>
    <w:rsid w:val="00C00F20"/>
    <w:rsid w:val="00C01700"/>
    <w:rsid w:val="00C034E6"/>
    <w:rsid w:val="00C05715"/>
    <w:rsid w:val="00C05926"/>
    <w:rsid w:val="00C0784A"/>
    <w:rsid w:val="00C10B28"/>
    <w:rsid w:val="00C10D62"/>
    <w:rsid w:val="00C10FAE"/>
    <w:rsid w:val="00C11DAF"/>
    <w:rsid w:val="00C123B4"/>
    <w:rsid w:val="00C12A69"/>
    <w:rsid w:val="00C13737"/>
    <w:rsid w:val="00C150BE"/>
    <w:rsid w:val="00C158B0"/>
    <w:rsid w:val="00C15A0C"/>
    <w:rsid w:val="00C15DCB"/>
    <w:rsid w:val="00C16208"/>
    <w:rsid w:val="00C1711F"/>
    <w:rsid w:val="00C17E06"/>
    <w:rsid w:val="00C17E38"/>
    <w:rsid w:val="00C20744"/>
    <w:rsid w:val="00C20B1C"/>
    <w:rsid w:val="00C20C4D"/>
    <w:rsid w:val="00C2150A"/>
    <w:rsid w:val="00C21D46"/>
    <w:rsid w:val="00C21F94"/>
    <w:rsid w:val="00C222A1"/>
    <w:rsid w:val="00C23371"/>
    <w:rsid w:val="00C23CBD"/>
    <w:rsid w:val="00C23D22"/>
    <w:rsid w:val="00C2463B"/>
    <w:rsid w:val="00C24E77"/>
    <w:rsid w:val="00C2732D"/>
    <w:rsid w:val="00C273C6"/>
    <w:rsid w:val="00C27913"/>
    <w:rsid w:val="00C300C6"/>
    <w:rsid w:val="00C30828"/>
    <w:rsid w:val="00C31DD8"/>
    <w:rsid w:val="00C3271C"/>
    <w:rsid w:val="00C34FDE"/>
    <w:rsid w:val="00C35C16"/>
    <w:rsid w:val="00C3609E"/>
    <w:rsid w:val="00C40F81"/>
    <w:rsid w:val="00C41463"/>
    <w:rsid w:val="00C419B4"/>
    <w:rsid w:val="00C41A72"/>
    <w:rsid w:val="00C42D45"/>
    <w:rsid w:val="00C4422D"/>
    <w:rsid w:val="00C45806"/>
    <w:rsid w:val="00C45ECA"/>
    <w:rsid w:val="00C476C5"/>
    <w:rsid w:val="00C503B0"/>
    <w:rsid w:val="00C511C2"/>
    <w:rsid w:val="00C5253B"/>
    <w:rsid w:val="00C527C6"/>
    <w:rsid w:val="00C53CDB"/>
    <w:rsid w:val="00C53D82"/>
    <w:rsid w:val="00C54748"/>
    <w:rsid w:val="00C55C1B"/>
    <w:rsid w:val="00C575FB"/>
    <w:rsid w:val="00C60696"/>
    <w:rsid w:val="00C60943"/>
    <w:rsid w:val="00C60EEF"/>
    <w:rsid w:val="00C6121D"/>
    <w:rsid w:val="00C615F1"/>
    <w:rsid w:val="00C61627"/>
    <w:rsid w:val="00C63B1A"/>
    <w:rsid w:val="00C64E60"/>
    <w:rsid w:val="00C657A4"/>
    <w:rsid w:val="00C6736C"/>
    <w:rsid w:val="00C71A1D"/>
    <w:rsid w:val="00C71EC4"/>
    <w:rsid w:val="00C71FD7"/>
    <w:rsid w:val="00C7591E"/>
    <w:rsid w:val="00C75C7E"/>
    <w:rsid w:val="00C75C9B"/>
    <w:rsid w:val="00C76D8E"/>
    <w:rsid w:val="00C772C1"/>
    <w:rsid w:val="00C77833"/>
    <w:rsid w:val="00C80C9B"/>
    <w:rsid w:val="00C8335E"/>
    <w:rsid w:val="00C83A6D"/>
    <w:rsid w:val="00C83F9C"/>
    <w:rsid w:val="00C84CE3"/>
    <w:rsid w:val="00C85614"/>
    <w:rsid w:val="00C86127"/>
    <w:rsid w:val="00C90CF4"/>
    <w:rsid w:val="00C91C19"/>
    <w:rsid w:val="00C929A0"/>
    <w:rsid w:val="00C93389"/>
    <w:rsid w:val="00C937DB"/>
    <w:rsid w:val="00C94519"/>
    <w:rsid w:val="00C94E83"/>
    <w:rsid w:val="00C97038"/>
    <w:rsid w:val="00CA02B2"/>
    <w:rsid w:val="00CA0883"/>
    <w:rsid w:val="00CA1085"/>
    <w:rsid w:val="00CA140F"/>
    <w:rsid w:val="00CA25C2"/>
    <w:rsid w:val="00CA37BB"/>
    <w:rsid w:val="00CA37CA"/>
    <w:rsid w:val="00CA5724"/>
    <w:rsid w:val="00CA6508"/>
    <w:rsid w:val="00CA6BA1"/>
    <w:rsid w:val="00CA6CD5"/>
    <w:rsid w:val="00CA7C47"/>
    <w:rsid w:val="00CB1910"/>
    <w:rsid w:val="00CB2150"/>
    <w:rsid w:val="00CB28EE"/>
    <w:rsid w:val="00CB43A7"/>
    <w:rsid w:val="00CB4DF1"/>
    <w:rsid w:val="00CB5996"/>
    <w:rsid w:val="00CB6809"/>
    <w:rsid w:val="00CB7452"/>
    <w:rsid w:val="00CC06C7"/>
    <w:rsid w:val="00CC0E10"/>
    <w:rsid w:val="00CC1DAF"/>
    <w:rsid w:val="00CC2642"/>
    <w:rsid w:val="00CC2967"/>
    <w:rsid w:val="00CC2A36"/>
    <w:rsid w:val="00CC2E15"/>
    <w:rsid w:val="00CC3440"/>
    <w:rsid w:val="00CC3641"/>
    <w:rsid w:val="00CC3908"/>
    <w:rsid w:val="00CC62AD"/>
    <w:rsid w:val="00CC6CA2"/>
    <w:rsid w:val="00CC7B80"/>
    <w:rsid w:val="00CD2B3C"/>
    <w:rsid w:val="00CD30F6"/>
    <w:rsid w:val="00CD3B07"/>
    <w:rsid w:val="00CD482D"/>
    <w:rsid w:val="00CD4B29"/>
    <w:rsid w:val="00CD5165"/>
    <w:rsid w:val="00CD6954"/>
    <w:rsid w:val="00CD6DA3"/>
    <w:rsid w:val="00CD6EF1"/>
    <w:rsid w:val="00CD7E35"/>
    <w:rsid w:val="00CE21C7"/>
    <w:rsid w:val="00CE2682"/>
    <w:rsid w:val="00CE2756"/>
    <w:rsid w:val="00CE442A"/>
    <w:rsid w:val="00CE57D8"/>
    <w:rsid w:val="00CE617A"/>
    <w:rsid w:val="00CE6E3C"/>
    <w:rsid w:val="00CE74FE"/>
    <w:rsid w:val="00CE797F"/>
    <w:rsid w:val="00CF25D2"/>
    <w:rsid w:val="00CF28C2"/>
    <w:rsid w:val="00CF42BD"/>
    <w:rsid w:val="00CF51EC"/>
    <w:rsid w:val="00CF6A9D"/>
    <w:rsid w:val="00CF6CD7"/>
    <w:rsid w:val="00CF75EC"/>
    <w:rsid w:val="00D0037A"/>
    <w:rsid w:val="00D0061E"/>
    <w:rsid w:val="00D00DAF"/>
    <w:rsid w:val="00D017EC"/>
    <w:rsid w:val="00D01CDA"/>
    <w:rsid w:val="00D020FC"/>
    <w:rsid w:val="00D040DD"/>
    <w:rsid w:val="00D04E1B"/>
    <w:rsid w:val="00D0547B"/>
    <w:rsid w:val="00D076DB"/>
    <w:rsid w:val="00D07EFF"/>
    <w:rsid w:val="00D1067C"/>
    <w:rsid w:val="00D10DC5"/>
    <w:rsid w:val="00D11CBB"/>
    <w:rsid w:val="00D132AE"/>
    <w:rsid w:val="00D136D4"/>
    <w:rsid w:val="00D13830"/>
    <w:rsid w:val="00D13ECF"/>
    <w:rsid w:val="00D142E5"/>
    <w:rsid w:val="00D148CD"/>
    <w:rsid w:val="00D14E11"/>
    <w:rsid w:val="00D1611E"/>
    <w:rsid w:val="00D163CC"/>
    <w:rsid w:val="00D16E69"/>
    <w:rsid w:val="00D17F4A"/>
    <w:rsid w:val="00D205A9"/>
    <w:rsid w:val="00D217EE"/>
    <w:rsid w:val="00D245BA"/>
    <w:rsid w:val="00D26923"/>
    <w:rsid w:val="00D27856"/>
    <w:rsid w:val="00D27941"/>
    <w:rsid w:val="00D27D34"/>
    <w:rsid w:val="00D3006B"/>
    <w:rsid w:val="00D301CA"/>
    <w:rsid w:val="00D30740"/>
    <w:rsid w:val="00D31075"/>
    <w:rsid w:val="00D31445"/>
    <w:rsid w:val="00D31932"/>
    <w:rsid w:val="00D32AE0"/>
    <w:rsid w:val="00D33531"/>
    <w:rsid w:val="00D360DA"/>
    <w:rsid w:val="00D37689"/>
    <w:rsid w:val="00D378CC"/>
    <w:rsid w:val="00D4042C"/>
    <w:rsid w:val="00D40B9E"/>
    <w:rsid w:val="00D41281"/>
    <w:rsid w:val="00D42312"/>
    <w:rsid w:val="00D42F89"/>
    <w:rsid w:val="00D433F5"/>
    <w:rsid w:val="00D43998"/>
    <w:rsid w:val="00D439C2"/>
    <w:rsid w:val="00D446E3"/>
    <w:rsid w:val="00D451E0"/>
    <w:rsid w:val="00D45A1D"/>
    <w:rsid w:val="00D4615E"/>
    <w:rsid w:val="00D478E2"/>
    <w:rsid w:val="00D51535"/>
    <w:rsid w:val="00D5264C"/>
    <w:rsid w:val="00D547BA"/>
    <w:rsid w:val="00D55626"/>
    <w:rsid w:val="00D556BC"/>
    <w:rsid w:val="00D5626D"/>
    <w:rsid w:val="00D56631"/>
    <w:rsid w:val="00D56B60"/>
    <w:rsid w:val="00D56BA2"/>
    <w:rsid w:val="00D60277"/>
    <w:rsid w:val="00D60336"/>
    <w:rsid w:val="00D61F88"/>
    <w:rsid w:val="00D62901"/>
    <w:rsid w:val="00D63415"/>
    <w:rsid w:val="00D6470C"/>
    <w:rsid w:val="00D64853"/>
    <w:rsid w:val="00D64CB5"/>
    <w:rsid w:val="00D66D48"/>
    <w:rsid w:val="00D7162F"/>
    <w:rsid w:val="00D72897"/>
    <w:rsid w:val="00D73256"/>
    <w:rsid w:val="00D7344B"/>
    <w:rsid w:val="00D73A30"/>
    <w:rsid w:val="00D74C65"/>
    <w:rsid w:val="00D74F21"/>
    <w:rsid w:val="00D75DC2"/>
    <w:rsid w:val="00D766EF"/>
    <w:rsid w:val="00D76C03"/>
    <w:rsid w:val="00D77F8D"/>
    <w:rsid w:val="00D8119B"/>
    <w:rsid w:val="00D815C0"/>
    <w:rsid w:val="00D82462"/>
    <w:rsid w:val="00D868CE"/>
    <w:rsid w:val="00D86DAE"/>
    <w:rsid w:val="00D90116"/>
    <w:rsid w:val="00D90C1E"/>
    <w:rsid w:val="00D91BDF"/>
    <w:rsid w:val="00D91F2C"/>
    <w:rsid w:val="00D92EC1"/>
    <w:rsid w:val="00D93F09"/>
    <w:rsid w:val="00D954C2"/>
    <w:rsid w:val="00D97BB8"/>
    <w:rsid w:val="00DA097A"/>
    <w:rsid w:val="00DA1318"/>
    <w:rsid w:val="00DA1382"/>
    <w:rsid w:val="00DA28B7"/>
    <w:rsid w:val="00DA2FE8"/>
    <w:rsid w:val="00DA380E"/>
    <w:rsid w:val="00DA4AF6"/>
    <w:rsid w:val="00DB016E"/>
    <w:rsid w:val="00DB06E9"/>
    <w:rsid w:val="00DB19BD"/>
    <w:rsid w:val="00DB1D55"/>
    <w:rsid w:val="00DB378E"/>
    <w:rsid w:val="00DB3E9D"/>
    <w:rsid w:val="00DB47B9"/>
    <w:rsid w:val="00DB4FB8"/>
    <w:rsid w:val="00DB53CE"/>
    <w:rsid w:val="00DB549D"/>
    <w:rsid w:val="00DB5792"/>
    <w:rsid w:val="00DB6A88"/>
    <w:rsid w:val="00DB76AC"/>
    <w:rsid w:val="00DB7BA4"/>
    <w:rsid w:val="00DC213A"/>
    <w:rsid w:val="00DC226A"/>
    <w:rsid w:val="00DC257F"/>
    <w:rsid w:val="00DC2A9F"/>
    <w:rsid w:val="00DC350B"/>
    <w:rsid w:val="00DC3790"/>
    <w:rsid w:val="00DC408A"/>
    <w:rsid w:val="00DC436D"/>
    <w:rsid w:val="00DC519B"/>
    <w:rsid w:val="00DC5B3B"/>
    <w:rsid w:val="00DC6796"/>
    <w:rsid w:val="00DC78DF"/>
    <w:rsid w:val="00DC7D4C"/>
    <w:rsid w:val="00DD0821"/>
    <w:rsid w:val="00DD0E32"/>
    <w:rsid w:val="00DD2872"/>
    <w:rsid w:val="00DD2A62"/>
    <w:rsid w:val="00DD2BFE"/>
    <w:rsid w:val="00DD373E"/>
    <w:rsid w:val="00DD57AD"/>
    <w:rsid w:val="00DD7435"/>
    <w:rsid w:val="00DD7C6D"/>
    <w:rsid w:val="00DE009B"/>
    <w:rsid w:val="00DE0243"/>
    <w:rsid w:val="00DE08F8"/>
    <w:rsid w:val="00DE0C31"/>
    <w:rsid w:val="00DE2ED9"/>
    <w:rsid w:val="00DE319A"/>
    <w:rsid w:val="00DF0615"/>
    <w:rsid w:val="00DF0DC3"/>
    <w:rsid w:val="00DF21FD"/>
    <w:rsid w:val="00DF2873"/>
    <w:rsid w:val="00DF293C"/>
    <w:rsid w:val="00DF4C74"/>
    <w:rsid w:val="00DF5578"/>
    <w:rsid w:val="00DF78DD"/>
    <w:rsid w:val="00DF7FEC"/>
    <w:rsid w:val="00E01C0E"/>
    <w:rsid w:val="00E02086"/>
    <w:rsid w:val="00E02740"/>
    <w:rsid w:val="00E03B27"/>
    <w:rsid w:val="00E04694"/>
    <w:rsid w:val="00E049F6"/>
    <w:rsid w:val="00E04CA9"/>
    <w:rsid w:val="00E05B2B"/>
    <w:rsid w:val="00E06A2A"/>
    <w:rsid w:val="00E07F05"/>
    <w:rsid w:val="00E127E1"/>
    <w:rsid w:val="00E142B3"/>
    <w:rsid w:val="00E144D2"/>
    <w:rsid w:val="00E144D6"/>
    <w:rsid w:val="00E15346"/>
    <w:rsid w:val="00E15B7D"/>
    <w:rsid w:val="00E2097E"/>
    <w:rsid w:val="00E21337"/>
    <w:rsid w:val="00E215EA"/>
    <w:rsid w:val="00E21CAB"/>
    <w:rsid w:val="00E221FC"/>
    <w:rsid w:val="00E225C8"/>
    <w:rsid w:val="00E22E78"/>
    <w:rsid w:val="00E24619"/>
    <w:rsid w:val="00E25223"/>
    <w:rsid w:val="00E25999"/>
    <w:rsid w:val="00E263A8"/>
    <w:rsid w:val="00E30BEA"/>
    <w:rsid w:val="00E31764"/>
    <w:rsid w:val="00E32BC2"/>
    <w:rsid w:val="00E33433"/>
    <w:rsid w:val="00E34985"/>
    <w:rsid w:val="00E34E4A"/>
    <w:rsid w:val="00E365B3"/>
    <w:rsid w:val="00E366BB"/>
    <w:rsid w:val="00E37C45"/>
    <w:rsid w:val="00E40AAA"/>
    <w:rsid w:val="00E42444"/>
    <w:rsid w:val="00E438CF"/>
    <w:rsid w:val="00E43B06"/>
    <w:rsid w:val="00E43C41"/>
    <w:rsid w:val="00E4500E"/>
    <w:rsid w:val="00E450CE"/>
    <w:rsid w:val="00E45A00"/>
    <w:rsid w:val="00E45CE7"/>
    <w:rsid w:val="00E4631F"/>
    <w:rsid w:val="00E46A4A"/>
    <w:rsid w:val="00E47CB8"/>
    <w:rsid w:val="00E522BB"/>
    <w:rsid w:val="00E539E4"/>
    <w:rsid w:val="00E569C7"/>
    <w:rsid w:val="00E571F2"/>
    <w:rsid w:val="00E57429"/>
    <w:rsid w:val="00E61726"/>
    <w:rsid w:val="00E61EA8"/>
    <w:rsid w:val="00E630CB"/>
    <w:rsid w:val="00E63221"/>
    <w:rsid w:val="00E63672"/>
    <w:rsid w:val="00E64EA1"/>
    <w:rsid w:val="00E65898"/>
    <w:rsid w:val="00E668A6"/>
    <w:rsid w:val="00E669C7"/>
    <w:rsid w:val="00E703AD"/>
    <w:rsid w:val="00E70510"/>
    <w:rsid w:val="00E71262"/>
    <w:rsid w:val="00E71A58"/>
    <w:rsid w:val="00E737F6"/>
    <w:rsid w:val="00E7568F"/>
    <w:rsid w:val="00E764AE"/>
    <w:rsid w:val="00E7724B"/>
    <w:rsid w:val="00E81543"/>
    <w:rsid w:val="00E84F21"/>
    <w:rsid w:val="00E8618A"/>
    <w:rsid w:val="00E90A4B"/>
    <w:rsid w:val="00E90F73"/>
    <w:rsid w:val="00E910A7"/>
    <w:rsid w:val="00E91607"/>
    <w:rsid w:val="00E921C7"/>
    <w:rsid w:val="00E92995"/>
    <w:rsid w:val="00E94612"/>
    <w:rsid w:val="00E95797"/>
    <w:rsid w:val="00E9682F"/>
    <w:rsid w:val="00E96A8D"/>
    <w:rsid w:val="00E972BA"/>
    <w:rsid w:val="00E97FA2"/>
    <w:rsid w:val="00EA06CB"/>
    <w:rsid w:val="00EA0AF3"/>
    <w:rsid w:val="00EA0C68"/>
    <w:rsid w:val="00EA19E2"/>
    <w:rsid w:val="00EA3EBE"/>
    <w:rsid w:val="00EA3FAC"/>
    <w:rsid w:val="00EA4153"/>
    <w:rsid w:val="00EA5CD6"/>
    <w:rsid w:val="00EA76FD"/>
    <w:rsid w:val="00EB03D4"/>
    <w:rsid w:val="00EB0555"/>
    <w:rsid w:val="00EB20A0"/>
    <w:rsid w:val="00EB30B6"/>
    <w:rsid w:val="00EB4FA4"/>
    <w:rsid w:val="00EB5146"/>
    <w:rsid w:val="00EB522B"/>
    <w:rsid w:val="00EB55E9"/>
    <w:rsid w:val="00EB5641"/>
    <w:rsid w:val="00EB5CA9"/>
    <w:rsid w:val="00EB5ED4"/>
    <w:rsid w:val="00EB6537"/>
    <w:rsid w:val="00EB70E1"/>
    <w:rsid w:val="00EB7EB5"/>
    <w:rsid w:val="00EC0860"/>
    <w:rsid w:val="00EC424C"/>
    <w:rsid w:val="00EC454B"/>
    <w:rsid w:val="00EC6153"/>
    <w:rsid w:val="00EC7F92"/>
    <w:rsid w:val="00ED00A8"/>
    <w:rsid w:val="00ED0A79"/>
    <w:rsid w:val="00ED2989"/>
    <w:rsid w:val="00ED2CA5"/>
    <w:rsid w:val="00ED336F"/>
    <w:rsid w:val="00ED3A94"/>
    <w:rsid w:val="00ED40F0"/>
    <w:rsid w:val="00ED4AC0"/>
    <w:rsid w:val="00ED53D3"/>
    <w:rsid w:val="00ED54D6"/>
    <w:rsid w:val="00ED5726"/>
    <w:rsid w:val="00EE0113"/>
    <w:rsid w:val="00EE0298"/>
    <w:rsid w:val="00EE0384"/>
    <w:rsid w:val="00EE1057"/>
    <w:rsid w:val="00EE10AA"/>
    <w:rsid w:val="00EE1637"/>
    <w:rsid w:val="00EE3679"/>
    <w:rsid w:val="00EE3B7A"/>
    <w:rsid w:val="00EE3E78"/>
    <w:rsid w:val="00EE495A"/>
    <w:rsid w:val="00EE5E02"/>
    <w:rsid w:val="00EE617D"/>
    <w:rsid w:val="00EE61BF"/>
    <w:rsid w:val="00EE6538"/>
    <w:rsid w:val="00EE6748"/>
    <w:rsid w:val="00EE6C6B"/>
    <w:rsid w:val="00EF0E75"/>
    <w:rsid w:val="00EF1542"/>
    <w:rsid w:val="00EF164E"/>
    <w:rsid w:val="00EF1F5A"/>
    <w:rsid w:val="00EF4685"/>
    <w:rsid w:val="00EF4CE3"/>
    <w:rsid w:val="00EF5397"/>
    <w:rsid w:val="00EF6BE3"/>
    <w:rsid w:val="00EF75D0"/>
    <w:rsid w:val="00EF76A9"/>
    <w:rsid w:val="00F00381"/>
    <w:rsid w:val="00F00D0E"/>
    <w:rsid w:val="00F00D3C"/>
    <w:rsid w:val="00F04811"/>
    <w:rsid w:val="00F0488C"/>
    <w:rsid w:val="00F0496E"/>
    <w:rsid w:val="00F04D10"/>
    <w:rsid w:val="00F053EA"/>
    <w:rsid w:val="00F0625B"/>
    <w:rsid w:val="00F101FF"/>
    <w:rsid w:val="00F104DF"/>
    <w:rsid w:val="00F10A33"/>
    <w:rsid w:val="00F10B64"/>
    <w:rsid w:val="00F1186C"/>
    <w:rsid w:val="00F1476A"/>
    <w:rsid w:val="00F14ACD"/>
    <w:rsid w:val="00F15BEF"/>
    <w:rsid w:val="00F172BE"/>
    <w:rsid w:val="00F1744E"/>
    <w:rsid w:val="00F1776C"/>
    <w:rsid w:val="00F2037E"/>
    <w:rsid w:val="00F20D17"/>
    <w:rsid w:val="00F2103E"/>
    <w:rsid w:val="00F214FC"/>
    <w:rsid w:val="00F21C31"/>
    <w:rsid w:val="00F220A9"/>
    <w:rsid w:val="00F23825"/>
    <w:rsid w:val="00F2389A"/>
    <w:rsid w:val="00F23FFF"/>
    <w:rsid w:val="00F2441D"/>
    <w:rsid w:val="00F24FAA"/>
    <w:rsid w:val="00F26197"/>
    <w:rsid w:val="00F264D6"/>
    <w:rsid w:val="00F26FDA"/>
    <w:rsid w:val="00F273D4"/>
    <w:rsid w:val="00F27D6C"/>
    <w:rsid w:val="00F307DD"/>
    <w:rsid w:val="00F3159B"/>
    <w:rsid w:val="00F318FC"/>
    <w:rsid w:val="00F31F76"/>
    <w:rsid w:val="00F325A3"/>
    <w:rsid w:val="00F32939"/>
    <w:rsid w:val="00F3364D"/>
    <w:rsid w:val="00F35ACD"/>
    <w:rsid w:val="00F365BF"/>
    <w:rsid w:val="00F36BF8"/>
    <w:rsid w:val="00F375BA"/>
    <w:rsid w:val="00F37760"/>
    <w:rsid w:val="00F403D1"/>
    <w:rsid w:val="00F43921"/>
    <w:rsid w:val="00F43D2E"/>
    <w:rsid w:val="00F44E1B"/>
    <w:rsid w:val="00F4524F"/>
    <w:rsid w:val="00F45530"/>
    <w:rsid w:val="00F4591F"/>
    <w:rsid w:val="00F47321"/>
    <w:rsid w:val="00F4736B"/>
    <w:rsid w:val="00F47997"/>
    <w:rsid w:val="00F47D05"/>
    <w:rsid w:val="00F50030"/>
    <w:rsid w:val="00F502F5"/>
    <w:rsid w:val="00F50B9D"/>
    <w:rsid w:val="00F51FC9"/>
    <w:rsid w:val="00F53243"/>
    <w:rsid w:val="00F53579"/>
    <w:rsid w:val="00F541ED"/>
    <w:rsid w:val="00F54B30"/>
    <w:rsid w:val="00F54B31"/>
    <w:rsid w:val="00F54FD3"/>
    <w:rsid w:val="00F55605"/>
    <w:rsid w:val="00F57CD7"/>
    <w:rsid w:val="00F62F02"/>
    <w:rsid w:val="00F6339F"/>
    <w:rsid w:val="00F63DDE"/>
    <w:rsid w:val="00F63FB7"/>
    <w:rsid w:val="00F64726"/>
    <w:rsid w:val="00F6561A"/>
    <w:rsid w:val="00F66243"/>
    <w:rsid w:val="00F665EB"/>
    <w:rsid w:val="00F70309"/>
    <w:rsid w:val="00F7078A"/>
    <w:rsid w:val="00F70E45"/>
    <w:rsid w:val="00F727D5"/>
    <w:rsid w:val="00F72F44"/>
    <w:rsid w:val="00F73A0C"/>
    <w:rsid w:val="00F7596B"/>
    <w:rsid w:val="00F759DC"/>
    <w:rsid w:val="00F7717C"/>
    <w:rsid w:val="00F771A5"/>
    <w:rsid w:val="00F77693"/>
    <w:rsid w:val="00F77D04"/>
    <w:rsid w:val="00F81697"/>
    <w:rsid w:val="00F817A4"/>
    <w:rsid w:val="00F81C3A"/>
    <w:rsid w:val="00F835E1"/>
    <w:rsid w:val="00F835FC"/>
    <w:rsid w:val="00F8373A"/>
    <w:rsid w:val="00F83E21"/>
    <w:rsid w:val="00F83FA4"/>
    <w:rsid w:val="00F84E18"/>
    <w:rsid w:val="00F852E5"/>
    <w:rsid w:val="00F90350"/>
    <w:rsid w:val="00F9310A"/>
    <w:rsid w:val="00F95117"/>
    <w:rsid w:val="00F97ED2"/>
    <w:rsid w:val="00FA05D7"/>
    <w:rsid w:val="00FA1992"/>
    <w:rsid w:val="00FA1C6C"/>
    <w:rsid w:val="00FA2447"/>
    <w:rsid w:val="00FA2C2A"/>
    <w:rsid w:val="00FA309A"/>
    <w:rsid w:val="00FA36EF"/>
    <w:rsid w:val="00FA7644"/>
    <w:rsid w:val="00FB0A9A"/>
    <w:rsid w:val="00FB16AD"/>
    <w:rsid w:val="00FB483B"/>
    <w:rsid w:val="00FB56F1"/>
    <w:rsid w:val="00FB5FD4"/>
    <w:rsid w:val="00FB6555"/>
    <w:rsid w:val="00FB6798"/>
    <w:rsid w:val="00FB67F3"/>
    <w:rsid w:val="00FC0D8A"/>
    <w:rsid w:val="00FC0E5F"/>
    <w:rsid w:val="00FC135D"/>
    <w:rsid w:val="00FC34A6"/>
    <w:rsid w:val="00FC3C84"/>
    <w:rsid w:val="00FC4660"/>
    <w:rsid w:val="00FC56DE"/>
    <w:rsid w:val="00FC5E01"/>
    <w:rsid w:val="00FD1261"/>
    <w:rsid w:val="00FD1627"/>
    <w:rsid w:val="00FD1BBD"/>
    <w:rsid w:val="00FD3B11"/>
    <w:rsid w:val="00FD473D"/>
    <w:rsid w:val="00FD4AAA"/>
    <w:rsid w:val="00FD61C8"/>
    <w:rsid w:val="00FD63CE"/>
    <w:rsid w:val="00FD7D49"/>
    <w:rsid w:val="00FE1251"/>
    <w:rsid w:val="00FE16E6"/>
    <w:rsid w:val="00FE2F78"/>
    <w:rsid w:val="00FE3510"/>
    <w:rsid w:val="00FE371D"/>
    <w:rsid w:val="00FE375F"/>
    <w:rsid w:val="00FE3D8B"/>
    <w:rsid w:val="00FE4FCB"/>
    <w:rsid w:val="00FE688F"/>
    <w:rsid w:val="00FE705E"/>
    <w:rsid w:val="00FF02EB"/>
    <w:rsid w:val="00FF28E0"/>
    <w:rsid w:val="00FF2FB4"/>
    <w:rsid w:val="00FF30B3"/>
    <w:rsid w:val="00FF3DF3"/>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uiPriority w:val="99"/>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uiPriority w:val="99"/>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unhideWhenUsed/>
    <w:locked/>
    <w:rsid w:val="00FB655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uiPriority w:val="99"/>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uiPriority w:val="99"/>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unhideWhenUsed/>
    <w:locked/>
    <w:rsid w:val="00FB6555"/>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55325993">
      <w:bodyDiv w:val="1"/>
      <w:marLeft w:val="0"/>
      <w:marRight w:val="0"/>
      <w:marTop w:val="0"/>
      <w:marBottom w:val="0"/>
      <w:divBdr>
        <w:top w:val="none" w:sz="0" w:space="0" w:color="auto"/>
        <w:left w:val="none" w:sz="0" w:space="0" w:color="auto"/>
        <w:bottom w:val="none" w:sz="0" w:space="0" w:color="auto"/>
        <w:right w:val="none" w:sz="0" w:space="0" w:color="auto"/>
      </w:divBdr>
    </w:div>
    <w:div w:id="63526688">
      <w:bodyDiv w:val="1"/>
      <w:marLeft w:val="0"/>
      <w:marRight w:val="0"/>
      <w:marTop w:val="0"/>
      <w:marBottom w:val="0"/>
      <w:divBdr>
        <w:top w:val="none" w:sz="0" w:space="0" w:color="auto"/>
        <w:left w:val="none" w:sz="0" w:space="0" w:color="auto"/>
        <w:bottom w:val="none" w:sz="0" w:space="0" w:color="auto"/>
        <w:right w:val="none" w:sz="0" w:space="0" w:color="auto"/>
      </w:divBdr>
    </w:div>
    <w:div w:id="114445636">
      <w:bodyDiv w:val="1"/>
      <w:marLeft w:val="0"/>
      <w:marRight w:val="0"/>
      <w:marTop w:val="0"/>
      <w:marBottom w:val="0"/>
      <w:divBdr>
        <w:top w:val="none" w:sz="0" w:space="0" w:color="auto"/>
        <w:left w:val="none" w:sz="0" w:space="0" w:color="auto"/>
        <w:bottom w:val="none" w:sz="0" w:space="0" w:color="auto"/>
        <w:right w:val="none" w:sz="0" w:space="0" w:color="auto"/>
      </w:divBdr>
    </w:div>
    <w:div w:id="228855498">
      <w:bodyDiv w:val="1"/>
      <w:marLeft w:val="0"/>
      <w:marRight w:val="0"/>
      <w:marTop w:val="0"/>
      <w:marBottom w:val="0"/>
      <w:divBdr>
        <w:top w:val="none" w:sz="0" w:space="0" w:color="auto"/>
        <w:left w:val="none" w:sz="0" w:space="0" w:color="auto"/>
        <w:bottom w:val="none" w:sz="0" w:space="0" w:color="auto"/>
        <w:right w:val="none" w:sz="0" w:space="0" w:color="auto"/>
      </w:divBdr>
    </w:div>
    <w:div w:id="484053728">
      <w:bodyDiv w:val="1"/>
      <w:marLeft w:val="0"/>
      <w:marRight w:val="0"/>
      <w:marTop w:val="0"/>
      <w:marBottom w:val="0"/>
      <w:divBdr>
        <w:top w:val="none" w:sz="0" w:space="0" w:color="auto"/>
        <w:left w:val="none" w:sz="0" w:space="0" w:color="auto"/>
        <w:bottom w:val="none" w:sz="0" w:space="0" w:color="auto"/>
        <w:right w:val="none" w:sz="0" w:space="0" w:color="auto"/>
      </w:divBdr>
    </w:div>
    <w:div w:id="506218342">
      <w:bodyDiv w:val="1"/>
      <w:marLeft w:val="0"/>
      <w:marRight w:val="0"/>
      <w:marTop w:val="0"/>
      <w:marBottom w:val="0"/>
      <w:divBdr>
        <w:top w:val="none" w:sz="0" w:space="0" w:color="auto"/>
        <w:left w:val="none" w:sz="0" w:space="0" w:color="auto"/>
        <w:bottom w:val="none" w:sz="0" w:space="0" w:color="auto"/>
        <w:right w:val="none" w:sz="0" w:space="0" w:color="auto"/>
      </w:divBdr>
    </w:div>
    <w:div w:id="529296442">
      <w:bodyDiv w:val="1"/>
      <w:marLeft w:val="0"/>
      <w:marRight w:val="0"/>
      <w:marTop w:val="0"/>
      <w:marBottom w:val="0"/>
      <w:divBdr>
        <w:top w:val="none" w:sz="0" w:space="0" w:color="auto"/>
        <w:left w:val="none" w:sz="0" w:space="0" w:color="auto"/>
        <w:bottom w:val="none" w:sz="0" w:space="0" w:color="auto"/>
        <w:right w:val="none" w:sz="0" w:space="0" w:color="auto"/>
      </w:divBdr>
    </w:div>
    <w:div w:id="603079723">
      <w:bodyDiv w:val="1"/>
      <w:marLeft w:val="0"/>
      <w:marRight w:val="0"/>
      <w:marTop w:val="0"/>
      <w:marBottom w:val="0"/>
      <w:divBdr>
        <w:top w:val="none" w:sz="0" w:space="0" w:color="auto"/>
        <w:left w:val="none" w:sz="0" w:space="0" w:color="auto"/>
        <w:bottom w:val="none" w:sz="0" w:space="0" w:color="auto"/>
        <w:right w:val="none" w:sz="0" w:space="0" w:color="auto"/>
      </w:divBdr>
    </w:div>
    <w:div w:id="614944147">
      <w:bodyDiv w:val="1"/>
      <w:marLeft w:val="0"/>
      <w:marRight w:val="0"/>
      <w:marTop w:val="0"/>
      <w:marBottom w:val="0"/>
      <w:divBdr>
        <w:top w:val="none" w:sz="0" w:space="0" w:color="auto"/>
        <w:left w:val="none" w:sz="0" w:space="0" w:color="auto"/>
        <w:bottom w:val="none" w:sz="0" w:space="0" w:color="auto"/>
        <w:right w:val="none" w:sz="0" w:space="0" w:color="auto"/>
      </w:divBdr>
    </w:div>
    <w:div w:id="628823926">
      <w:bodyDiv w:val="1"/>
      <w:marLeft w:val="0"/>
      <w:marRight w:val="0"/>
      <w:marTop w:val="0"/>
      <w:marBottom w:val="0"/>
      <w:divBdr>
        <w:top w:val="none" w:sz="0" w:space="0" w:color="auto"/>
        <w:left w:val="none" w:sz="0" w:space="0" w:color="auto"/>
        <w:bottom w:val="none" w:sz="0" w:space="0" w:color="auto"/>
        <w:right w:val="none" w:sz="0" w:space="0" w:color="auto"/>
      </w:divBdr>
    </w:div>
    <w:div w:id="732390569">
      <w:bodyDiv w:val="1"/>
      <w:marLeft w:val="0"/>
      <w:marRight w:val="0"/>
      <w:marTop w:val="0"/>
      <w:marBottom w:val="0"/>
      <w:divBdr>
        <w:top w:val="none" w:sz="0" w:space="0" w:color="auto"/>
        <w:left w:val="none" w:sz="0" w:space="0" w:color="auto"/>
        <w:bottom w:val="none" w:sz="0" w:space="0" w:color="auto"/>
        <w:right w:val="none" w:sz="0" w:space="0" w:color="auto"/>
      </w:divBdr>
    </w:div>
    <w:div w:id="748962139">
      <w:bodyDiv w:val="1"/>
      <w:marLeft w:val="0"/>
      <w:marRight w:val="0"/>
      <w:marTop w:val="0"/>
      <w:marBottom w:val="0"/>
      <w:divBdr>
        <w:top w:val="none" w:sz="0" w:space="0" w:color="auto"/>
        <w:left w:val="none" w:sz="0" w:space="0" w:color="auto"/>
        <w:bottom w:val="none" w:sz="0" w:space="0" w:color="auto"/>
        <w:right w:val="none" w:sz="0" w:space="0" w:color="auto"/>
      </w:divBdr>
    </w:div>
    <w:div w:id="767968854">
      <w:bodyDiv w:val="1"/>
      <w:marLeft w:val="0"/>
      <w:marRight w:val="0"/>
      <w:marTop w:val="0"/>
      <w:marBottom w:val="0"/>
      <w:divBdr>
        <w:top w:val="none" w:sz="0" w:space="0" w:color="auto"/>
        <w:left w:val="none" w:sz="0" w:space="0" w:color="auto"/>
        <w:bottom w:val="none" w:sz="0" w:space="0" w:color="auto"/>
        <w:right w:val="none" w:sz="0" w:space="0" w:color="auto"/>
      </w:divBdr>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1034768594">
      <w:bodyDiv w:val="1"/>
      <w:marLeft w:val="0"/>
      <w:marRight w:val="0"/>
      <w:marTop w:val="0"/>
      <w:marBottom w:val="0"/>
      <w:divBdr>
        <w:top w:val="none" w:sz="0" w:space="0" w:color="auto"/>
        <w:left w:val="none" w:sz="0" w:space="0" w:color="auto"/>
        <w:bottom w:val="none" w:sz="0" w:space="0" w:color="auto"/>
        <w:right w:val="none" w:sz="0" w:space="0" w:color="auto"/>
      </w:divBdr>
    </w:div>
    <w:div w:id="1069040061">
      <w:bodyDiv w:val="1"/>
      <w:marLeft w:val="0"/>
      <w:marRight w:val="0"/>
      <w:marTop w:val="0"/>
      <w:marBottom w:val="0"/>
      <w:divBdr>
        <w:top w:val="none" w:sz="0" w:space="0" w:color="auto"/>
        <w:left w:val="none" w:sz="0" w:space="0" w:color="auto"/>
        <w:bottom w:val="none" w:sz="0" w:space="0" w:color="auto"/>
        <w:right w:val="none" w:sz="0" w:space="0" w:color="auto"/>
      </w:divBdr>
    </w:div>
    <w:div w:id="1082026530">
      <w:bodyDiv w:val="1"/>
      <w:marLeft w:val="0"/>
      <w:marRight w:val="0"/>
      <w:marTop w:val="0"/>
      <w:marBottom w:val="0"/>
      <w:divBdr>
        <w:top w:val="none" w:sz="0" w:space="0" w:color="auto"/>
        <w:left w:val="none" w:sz="0" w:space="0" w:color="auto"/>
        <w:bottom w:val="none" w:sz="0" w:space="0" w:color="auto"/>
        <w:right w:val="none" w:sz="0" w:space="0" w:color="auto"/>
      </w:divBdr>
    </w:div>
    <w:div w:id="1212232217">
      <w:bodyDiv w:val="1"/>
      <w:marLeft w:val="0"/>
      <w:marRight w:val="0"/>
      <w:marTop w:val="0"/>
      <w:marBottom w:val="0"/>
      <w:divBdr>
        <w:top w:val="none" w:sz="0" w:space="0" w:color="auto"/>
        <w:left w:val="none" w:sz="0" w:space="0" w:color="auto"/>
        <w:bottom w:val="none" w:sz="0" w:space="0" w:color="auto"/>
        <w:right w:val="none" w:sz="0" w:space="0" w:color="auto"/>
      </w:divBdr>
    </w:div>
    <w:div w:id="1273784873">
      <w:bodyDiv w:val="1"/>
      <w:marLeft w:val="0"/>
      <w:marRight w:val="0"/>
      <w:marTop w:val="0"/>
      <w:marBottom w:val="0"/>
      <w:divBdr>
        <w:top w:val="none" w:sz="0" w:space="0" w:color="auto"/>
        <w:left w:val="none" w:sz="0" w:space="0" w:color="auto"/>
        <w:bottom w:val="none" w:sz="0" w:space="0" w:color="auto"/>
        <w:right w:val="none" w:sz="0" w:space="0" w:color="auto"/>
      </w:divBdr>
    </w:div>
    <w:div w:id="1305233296">
      <w:bodyDiv w:val="1"/>
      <w:marLeft w:val="0"/>
      <w:marRight w:val="0"/>
      <w:marTop w:val="0"/>
      <w:marBottom w:val="0"/>
      <w:divBdr>
        <w:top w:val="none" w:sz="0" w:space="0" w:color="auto"/>
        <w:left w:val="none" w:sz="0" w:space="0" w:color="auto"/>
        <w:bottom w:val="none" w:sz="0" w:space="0" w:color="auto"/>
        <w:right w:val="none" w:sz="0" w:space="0" w:color="auto"/>
      </w:divBdr>
    </w:div>
    <w:div w:id="1305769490">
      <w:bodyDiv w:val="1"/>
      <w:marLeft w:val="0"/>
      <w:marRight w:val="0"/>
      <w:marTop w:val="0"/>
      <w:marBottom w:val="0"/>
      <w:divBdr>
        <w:top w:val="none" w:sz="0" w:space="0" w:color="auto"/>
        <w:left w:val="none" w:sz="0" w:space="0" w:color="auto"/>
        <w:bottom w:val="none" w:sz="0" w:space="0" w:color="auto"/>
        <w:right w:val="none" w:sz="0" w:space="0" w:color="auto"/>
      </w:divBdr>
    </w:div>
    <w:div w:id="1328821066">
      <w:bodyDiv w:val="1"/>
      <w:marLeft w:val="0"/>
      <w:marRight w:val="0"/>
      <w:marTop w:val="0"/>
      <w:marBottom w:val="0"/>
      <w:divBdr>
        <w:top w:val="none" w:sz="0" w:space="0" w:color="auto"/>
        <w:left w:val="none" w:sz="0" w:space="0" w:color="auto"/>
        <w:bottom w:val="none" w:sz="0" w:space="0" w:color="auto"/>
        <w:right w:val="none" w:sz="0" w:space="0" w:color="auto"/>
      </w:divBdr>
    </w:div>
    <w:div w:id="1335111794">
      <w:bodyDiv w:val="1"/>
      <w:marLeft w:val="0"/>
      <w:marRight w:val="0"/>
      <w:marTop w:val="0"/>
      <w:marBottom w:val="0"/>
      <w:divBdr>
        <w:top w:val="none" w:sz="0" w:space="0" w:color="auto"/>
        <w:left w:val="none" w:sz="0" w:space="0" w:color="auto"/>
        <w:bottom w:val="none" w:sz="0" w:space="0" w:color="auto"/>
        <w:right w:val="none" w:sz="0" w:space="0" w:color="auto"/>
      </w:divBdr>
    </w:div>
    <w:div w:id="1337685621">
      <w:bodyDiv w:val="1"/>
      <w:marLeft w:val="0"/>
      <w:marRight w:val="0"/>
      <w:marTop w:val="0"/>
      <w:marBottom w:val="0"/>
      <w:divBdr>
        <w:top w:val="none" w:sz="0" w:space="0" w:color="auto"/>
        <w:left w:val="none" w:sz="0" w:space="0" w:color="auto"/>
        <w:bottom w:val="none" w:sz="0" w:space="0" w:color="auto"/>
        <w:right w:val="none" w:sz="0" w:space="0" w:color="auto"/>
      </w:divBdr>
    </w:div>
    <w:div w:id="1338507400">
      <w:bodyDiv w:val="1"/>
      <w:marLeft w:val="0"/>
      <w:marRight w:val="0"/>
      <w:marTop w:val="0"/>
      <w:marBottom w:val="0"/>
      <w:divBdr>
        <w:top w:val="none" w:sz="0" w:space="0" w:color="auto"/>
        <w:left w:val="none" w:sz="0" w:space="0" w:color="auto"/>
        <w:bottom w:val="none" w:sz="0" w:space="0" w:color="auto"/>
        <w:right w:val="none" w:sz="0" w:space="0" w:color="auto"/>
      </w:divBdr>
    </w:div>
    <w:div w:id="1450736267">
      <w:bodyDiv w:val="1"/>
      <w:marLeft w:val="0"/>
      <w:marRight w:val="0"/>
      <w:marTop w:val="0"/>
      <w:marBottom w:val="0"/>
      <w:divBdr>
        <w:top w:val="none" w:sz="0" w:space="0" w:color="auto"/>
        <w:left w:val="none" w:sz="0" w:space="0" w:color="auto"/>
        <w:bottom w:val="none" w:sz="0" w:space="0" w:color="auto"/>
        <w:right w:val="none" w:sz="0" w:space="0" w:color="auto"/>
      </w:divBdr>
    </w:div>
    <w:div w:id="1510412218">
      <w:bodyDiv w:val="1"/>
      <w:marLeft w:val="0"/>
      <w:marRight w:val="0"/>
      <w:marTop w:val="0"/>
      <w:marBottom w:val="0"/>
      <w:divBdr>
        <w:top w:val="none" w:sz="0" w:space="0" w:color="auto"/>
        <w:left w:val="none" w:sz="0" w:space="0" w:color="auto"/>
        <w:bottom w:val="none" w:sz="0" w:space="0" w:color="auto"/>
        <w:right w:val="none" w:sz="0" w:space="0" w:color="auto"/>
      </w:divBdr>
    </w:div>
    <w:div w:id="1526557819">
      <w:bodyDiv w:val="1"/>
      <w:marLeft w:val="0"/>
      <w:marRight w:val="0"/>
      <w:marTop w:val="0"/>
      <w:marBottom w:val="0"/>
      <w:divBdr>
        <w:top w:val="none" w:sz="0" w:space="0" w:color="auto"/>
        <w:left w:val="none" w:sz="0" w:space="0" w:color="auto"/>
        <w:bottom w:val="none" w:sz="0" w:space="0" w:color="auto"/>
        <w:right w:val="none" w:sz="0" w:space="0" w:color="auto"/>
      </w:divBdr>
    </w:div>
    <w:div w:id="1601647280">
      <w:bodyDiv w:val="1"/>
      <w:marLeft w:val="0"/>
      <w:marRight w:val="0"/>
      <w:marTop w:val="0"/>
      <w:marBottom w:val="0"/>
      <w:divBdr>
        <w:top w:val="none" w:sz="0" w:space="0" w:color="auto"/>
        <w:left w:val="none" w:sz="0" w:space="0" w:color="auto"/>
        <w:bottom w:val="none" w:sz="0" w:space="0" w:color="auto"/>
        <w:right w:val="none" w:sz="0" w:space="0" w:color="auto"/>
      </w:divBdr>
    </w:div>
    <w:div w:id="1619215650">
      <w:bodyDiv w:val="1"/>
      <w:marLeft w:val="0"/>
      <w:marRight w:val="0"/>
      <w:marTop w:val="0"/>
      <w:marBottom w:val="0"/>
      <w:divBdr>
        <w:top w:val="none" w:sz="0" w:space="0" w:color="auto"/>
        <w:left w:val="none" w:sz="0" w:space="0" w:color="auto"/>
        <w:bottom w:val="none" w:sz="0" w:space="0" w:color="auto"/>
        <w:right w:val="none" w:sz="0" w:space="0" w:color="auto"/>
      </w:divBdr>
    </w:div>
    <w:div w:id="1643073884">
      <w:bodyDiv w:val="1"/>
      <w:marLeft w:val="0"/>
      <w:marRight w:val="0"/>
      <w:marTop w:val="0"/>
      <w:marBottom w:val="0"/>
      <w:divBdr>
        <w:top w:val="none" w:sz="0" w:space="0" w:color="auto"/>
        <w:left w:val="none" w:sz="0" w:space="0" w:color="auto"/>
        <w:bottom w:val="none" w:sz="0" w:space="0" w:color="auto"/>
        <w:right w:val="none" w:sz="0" w:space="0" w:color="auto"/>
      </w:divBdr>
    </w:div>
    <w:div w:id="1682510105">
      <w:bodyDiv w:val="1"/>
      <w:marLeft w:val="0"/>
      <w:marRight w:val="0"/>
      <w:marTop w:val="0"/>
      <w:marBottom w:val="0"/>
      <w:divBdr>
        <w:top w:val="none" w:sz="0" w:space="0" w:color="auto"/>
        <w:left w:val="none" w:sz="0" w:space="0" w:color="auto"/>
        <w:bottom w:val="none" w:sz="0" w:space="0" w:color="auto"/>
        <w:right w:val="none" w:sz="0" w:space="0" w:color="auto"/>
      </w:divBdr>
    </w:div>
    <w:div w:id="1698966458">
      <w:bodyDiv w:val="1"/>
      <w:marLeft w:val="0"/>
      <w:marRight w:val="0"/>
      <w:marTop w:val="0"/>
      <w:marBottom w:val="0"/>
      <w:divBdr>
        <w:top w:val="none" w:sz="0" w:space="0" w:color="auto"/>
        <w:left w:val="none" w:sz="0" w:space="0" w:color="auto"/>
        <w:bottom w:val="none" w:sz="0" w:space="0" w:color="auto"/>
        <w:right w:val="none" w:sz="0" w:space="0" w:color="auto"/>
      </w:divBdr>
    </w:div>
    <w:div w:id="1719623276">
      <w:bodyDiv w:val="1"/>
      <w:marLeft w:val="0"/>
      <w:marRight w:val="0"/>
      <w:marTop w:val="0"/>
      <w:marBottom w:val="0"/>
      <w:divBdr>
        <w:top w:val="none" w:sz="0" w:space="0" w:color="auto"/>
        <w:left w:val="none" w:sz="0" w:space="0" w:color="auto"/>
        <w:bottom w:val="none" w:sz="0" w:space="0" w:color="auto"/>
        <w:right w:val="none" w:sz="0" w:space="0" w:color="auto"/>
      </w:divBdr>
    </w:div>
    <w:div w:id="1877886469">
      <w:bodyDiv w:val="1"/>
      <w:marLeft w:val="0"/>
      <w:marRight w:val="0"/>
      <w:marTop w:val="0"/>
      <w:marBottom w:val="0"/>
      <w:divBdr>
        <w:top w:val="none" w:sz="0" w:space="0" w:color="auto"/>
        <w:left w:val="none" w:sz="0" w:space="0" w:color="auto"/>
        <w:bottom w:val="none" w:sz="0" w:space="0" w:color="auto"/>
        <w:right w:val="none" w:sz="0" w:space="0" w:color="auto"/>
      </w:divBdr>
    </w:div>
    <w:div w:id="1911116916">
      <w:bodyDiv w:val="1"/>
      <w:marLeft w:val="0"/>
      <w:marRight w:val="0"/>
      <w:marTop w:val="0"/>
      <w:marBottom w:val="0"/>
      <w:divBdr>
        <w:top w:val="none" w:sz="0" w:space="0" w:color="auto"/>
        <w:left w:val="none" w:sz="0" w:space="0" w:color="auto"/>
        <w:bottom w:val="none" w:sz="0" w:space="0" w:color="auto"/>
        <w:right w:val="none" w:sz="0" w:space="0" w:color="auto"/>
      </w:divBdr>
    </w:div>
    <w:div w:id="2040230636">
      <w:bodyDiv w:val="1"/>
      <w:marLeft w:val="0"/>
      <w:marRight w:val="0"/>
      <w:marTop w:val="0"/>
      <w:marBottom w:val="0"/>
      <w:divBdr>
        <w:top w:val="none" w:sz="0" w:space="0" w:color="auto"/>
        <w:left w:val="none" w:sz="0" w:space="0" w:color="auto"/>
        <w:bottom w:val="none" w:sz="0" w:space="0" w:color="auto"/>
        <w:right w:val="none" w:sz="0" w:space="0" w:color="auto"/>
      </w:divBdr>
    </w:div>
    <w:div w:id="2085099298">
      <w:bodyDiv w:val="1"/>
      <w:marLeft w:val="0"/>
      <w:marRight w:val="0"/>
      <w:marTop w:val="0"/>
      <w:marBottom w:val="0"/>
      <w:divBdr>
        <w:top w:val="none" w:sz="0" w:space="0" w:color="auto"/>
        <w:left w:val="none" w:sz="0" w:space="0" w:color="auto"/>
        <w:bottom w:val="none" w:sz="0" w:space="0" w:color="auto"/>
        <w:right w:val="none" w:sz="0" w:space="0" w:color="auto"/>
      </w:divBdr>
    </w:div>
    <w:div w:id="2097482922">
      <w:bodyDiv w:val="1"/>
      <w:marLeft w:val="0"/>
      <w:marRight w:val="0"/>
      <w:marTop w:val="0"/>
      <w:marBottom w:val="0"/>
      <w:divBdr>
        <w:top w:val="none" w:sz="0" w:space="0" w:color="auto"/>
        <w:left w:val="none" w:sz="0" w:space="0" w:color="auto"/>
        <w:bottom w:val="none" w:sz="0" w:space="0" w:color="auto"/>
        <w:right w:val="none" w:sz="0" w:space="0" w:color="auto"/>
      </w:divBdr>
    </w:div>
    <w:div w:id="21245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51"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3F03E-C377-4B7C-B417-992B6DBB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1</TotalTime>
  <Pages>4</Pages>
  <Words>1798</Words>
  <Characters>10609</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3</cp:revision>
  <cp:lastPrinted>2016-10-19T12:45:00Z</cp:lastPrinted>
  <dcterms:created xsi:type="dcterms:W3CDTF">2016-10-21T16:59:00Z</dcterms:created>
  <dcterms:modified xsi:type="dcterms:W3CDTF">2016-10-21T17:00:00Z</dcterms:modified>
</cp:coreProperties>
</file>