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Default="00647313" w:rsidP="00331785">
      <w:pPr>
        <w:pStyle w:val="Nadpis1"/>
      </w:pPr>
      <w:bookmarkStart w:id="0" w:name="_Toc457389321"/>
      <w:r>
        <w:t>4</w:t>
      </w:r>
      <w:r w:rsidR="00331785">
        <w:t xml:space="preserve">. </w:t>
      </w:r>
      <w:r w:rsidR="00D871DA">
        <w:t>Cenový vývoj</w:t>
      </w:r>
      <w:bookmarkEnd w:id="0"/>
    </w:p>
    <w:tbl>
      <w:tblPr>
        <w:tblW w:w="5000" w:type="pct"/>
        <w:tblLayout w:type="fixed"/>
        <w:tblLook w:val="00A0"/>
      </w:tblPr>
      <w:tblGrid>
        <w:gridCol w:w="9854"/>
      </w:tblGrid>
      <w:tr w:rsidR="005E116A" w:rsidRPr="00FB0DF3" w:rsidTr="007A0BF4">
        <w:tc>
          <w:tcPr>
            <w:tcW w:w="5000" w:type="pct"/>
          </w:tcPr>
          <w:p w:rsidR="005E116A" w:rsidRPr="003B2CF0" w:rsidRDefault="005E116A" w:rsidP="007A0BF4">
            <w:pPr>
              <w:pStyle w:val="Textpoznpodarou"/>
              <w:jc w:val="both"/>
              <w:rPr>
                <w:color w:val="FF0000"/>
              </w:rPr>
            </w:pPr>
            <w:r w:rsidRPr="002711CC">
              <w:t xml:space="preserve">Cenový vývoj v České republice byl v roce 2015 silně poznamenán poklesem cen komodit na světovém trhu, především ropy, a deflací ve zpracovatelském průmyslu v </w:t>
            </w:r>
            <w:proofErr w:type="spellStart"/>
            <w:r w:rsidRPr="002711CC">
              <w:t>eurozóně</w:t>
            </w:r>
            <w:proofErr w:type="spellEnd"/>
            <w:r w:rsidRPr="002711CC">
              <w:t xml:space="preserve">. Tyto vnější vlivy snižovaly ceny dovozu do ČR a promítaly se dále </w:t>
            </w:r>
            <w:r>
              <w:t>v cenách výrobců</w:t>
            </w:r>
            <w:r w:rsidRPr="002711CC">
              <w:t>. Zcela zřetelný byl jejich vliv v průmyslu, kde ceny klesly vůbec nejvýrazněji v historii. Růst spotřebitelských cen dále oslabil a byl nejnižší od roku 2003.</w:t>
            </w:r>
          </w:p>
        </w:tc>
      </w:tr>
    </w:tbl>
    <w:p w:rsidR="005E116A" w:rsidRPr="006262DB" w:rsidRDefault="005E116A" w:rsidP="005E116A"/>
    <w:p w:rsidR="005E116A" w:rsidRPr="00F2561A" w:rsidRDefault="00647313" w:rsidP="005E116A">
      <w:pPr>
        <w:pStyle w:val="Nadpis2"/>
      </w:pPr>
      <w:bookmarkStart w:id="1" w:name="_Toc457389322"/>
      <w:r>
        <w:t>4</w:t>
      </w:r>
      <w:r w:rsidR="005E116A">
        <w:t xml:space="preserve">.1. </w:t>
      </w:r>
      <w:r w:rsidR="005E116A" w:rsidRPr="00F2561A">
        <w:t>Deflátor HDP</w:t>
      </w:r>
      <w:bookmarkEnd w:id="1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5E116A" w:rsidRPr="00AC4D73" w:rsidTr="007A0BF4">
        <w:tc>
          <w:tcPr>
            <w:tcW w:w="1054" w:type="pct"/>
          </w:tcPr>
          <w:p w:rsidR="005E116A" w:rsidRPr="006168B7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6168B7">
              <w:rPr>
                <w:sz w:val="16"/>
                <w:szCs w:val="16"/>
              </w:rPr>
              <w:t>Růst celkové cenové hladiny se v roce 2015 snížil na +1,0 %. Zpomalily ceny všech hlavních složek domácí poptávky kromě výdajů na konečnou spotřebu vládních institucí. Směnné relace setrvaly pozitivní, již třetím rokem, jejich hodnota však poklesla</w:t>
            </w:r>
          </w:p>
        </w:tc>
        <w:tc>
          <w:tcPr>
            <w:tcW w:w="143" w:type="pct"/>
          </w:tcPr>
          <w:p w:rsidR="005E116A" w:rsidRPr="006168B7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6168B7" w:rsidRDefault="005E116A" w:rsidP="007A0BF4">
            <w:pPr>
              <w:pStyle w:val="Textpoznpodarou"/>
              <w:jc w:val="both"/>
            </w:pPr>
            <w:r w:rsidRPr="006168B7">
              <w:t>Celková cenová hladina se v roce 2015 zvýšila pouze o 1,0 %. Ukazuje na to implicitní deflátor HDP. Přírůstek cenové hladiny poklesl podstatně, neboť v roce 2014 činil +</w:t>
            </w:r>
            <w:r w:rsidRPr="006168B7">
              <w:rPr>
                <w:spacing w:val="-2"/>
              </w:rPr>
              <w:t>2,5 %. I v porovnání s průměrem za posledních pět (+1,3 %) či deset let (+1,4</w:t>
            </w:r>
            <w:r w:rsidRPr="006168B7">
              <w:t xml:space="preserve"> %) byl cenový vývoj v Česku vloni utlumený. Pokud jde o strukturu deflátoru, snížila se cenová dynamika všech hlavních složek domácí poptávky s výjimkou výdajů na konečnou spotřebu vládních institucí. Nižší byly i směnné relace. Ceny výdajů na konečnou spotřebu domácností se zvýšily pouze o 0,1 %, když v roce 2014 narostly o 0,6 %. Mírnější přírůstky cen byly patrné i v případě tvorby hrubého fixního kapitálu, tj. investic (vloni +1,4 %, v roce 2014 +1,6 %). Směnné relace v zahraničním obchodě sice přetrvaly pozitivní, jejich hodnota ale byla menší než před rokem. Zatímco v roce 2014 dosáhly díky silnějšímu růstu cen vývozu (+4,0 %) v porovnání s dovozem (+2,5 %) hodnoty 101,5 % a byly nejvyšší </w:t>
            </w:r>
            <w:r w:rsidRPr="006168B7">
              <w:rPr>
                <w:spacing w:val="-4"/>
              </w:rPr>
              <w:t>za posledních pět let (2010–2014), loni při souběžném poklesu cen vývozu (o</w:t>
            </w:r>
            <w:r w:rsidRPr="006168B7">
              <w:rPr>
                <w:spacing w:val="-2"/>
              </w:rPr>
              <w:t xml:space="preserve"> </w:t>
            </w:r>
            <w:r w:rsidRPr="006168B7">
              <w:t>1,5 %) a dovozu (o 1,6 %) činily pouze 100,1 %.</w:t>
            </w:r>
          </w:p>
          <w:p w:rsidR="005E116A" w:rsidRPr="006168B7" w:rsidRDefault="005E116A" w:rsidP="007A0BF4">
            <w:pPr>
              <w:pStyle w:val="Textpoznpodarou"/>
              <w:jc w:val="both"/>
              <w:rPr>
                <w:spacing w:val="-2"/>
              </w:rPr>
            </w:pPr>
          </w:p>
        </w:tc>
      </w:tr>
      <w:tr w:rsidR="005E116A" w:rsidRPr="00AC4D73" w:rsidTr="007A0BF4">
        <w:tc>
          <w:tcPr>
            <w:tcW w:w="1054" w:type="pct"/>
          </w:tcPr>
          <w:p w:rsidR="005E116A" w:rsidRPr="006168B7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6168B7">
              <w:rPr>
                <w:sz w:val="16"/>
                <w:szCs w:val="16"/>
              </w:rPr>
              <w:t>Slabší růst dovozních cen strojů a dopravních prostředků se odrazil v nižším přírůstku cen investic do dopravních prostředků a zařízení a cen investic do ICT, ostatních strojů a zařízení</w:t>
            </w:r>
          </w:p>
        </w:tc>
        <w:tc>
          <w:tcPr>
            <w:tcW w:w="143" w:type="pct"/>
          </w:tcPr>
          <w:p w:rsidR="005E116A" w:rsidRPr="006168B7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6168B7" w:rsidRDefault="005E116A" w:rsidP="007A0BF4">
            <w:pPr>
              <w:pStyle w:val="Textpoznpodarou"/>
              <w:jc w:val="both"/>
              <w:rPr>
                <w:spacing w:val="-4"/>
              </w:rPr>
            </w:pPr>
            <w:r w:rsidRPr="006168B7">
              <w:rPr>
                <w:spacing w:val="-4"/>
              </w:rPr>
              <w:t xml:space="preserve">Na dezinflační až deflační tlaky v české ekonomice ukazoval i cenový vývoj investic podle věcného členění. Téměř ve všech skupinách byl horší než v roce 2014. </w:t>
            </w:r>
            <w:r w:rsidRPr="006168B7">
              <w:rPr>
                <w:spacing w:val="-6"/>
              </w:rPr>
              <w:t>Výrazně poklesla dynamika cen investic do dopravních prostředků a zařízení (z</w:t>
            </w:r>
            <w:r w:rsidRPr="006168B7">
              <w:rPr>
                <w:spacing w:val="-4"/>
              </w:rPr>
              <w:t xml:space="preserve"> +1,9 % na +0,1 %), podobný vývoj byl patrný i u investic do ICT, ostatních strojů a zařízení (cenový přírůstek se snížil z +2,9 % na +1,9 %). Jelikož jde o investice, které jsou ve velkém rozsahu uspokojovány dovozem, lze pokles jejich cenové dynamiky připisovat zejména slabšímu růstu dovozních cen strojů a dopravních prostředků. Ceny investic do obydlí i přes  nízké úrokové sazby a dobrou situaci na trhu práce, kdy se domácnosti přestávaly obávat investovat do nemovitostí, pokračovaly v poklesu, který se navíc prohloubil. Snížily se o 2,3 % a klesaly již sedmým rokem.</w:t>
            </w:r>
          </w:p>
          <w:p w:rsidR="005E116A" w:rsidRPr="006168B7" w:rsidRDefault="005E116A" w:rsidP="007A0BF4">
            <w:pPr>
              <w:pStyle w:val="Textpoznpodarou"/>
              <w:jc w:val="both"/>
            </w:pPr>
          </w:p>
        </w:tc>
      </w:tr>
      <w:tr w:rsidR="005E116A" w:rsidRPr="00AC4D73" w:rsidTr="007A0BF4">
        <w:tc>
          <w:tcPr>
            <w:tcW w:w="1054" w:type="pct"/>
          </w:tcPr>
          <w:p w:rsidR="005E116A" w:rsidRPr="006168B7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6168B7">
              <w:rPr>
                <w:sz w:val="16"/>
                <w:szCs w:val="16"/>
              </w:rPr>
              <w:t>Zatímco směnné relace v zahraničním obchodě se zbožím byly v roce 2015 pozitivní již potřetí, u služeb setrvávaly negativní čtvrtým rokem</w:t>
            </w:r>
          </w:p>
        </w:tc>
        <w:tc>
          <w:tcPr>
            <w:tcW w:w="143" w:type="pct"/>
          </w:tcPr>
          <w:p w:rsidR="005E116A" w:rsidRPr="006168B7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6168B7" w:rsidRDefault="005E116A" w:rsidP="007A0BF4">
            <w:pPr>
              <w:pStyle w:val="Textpoznpodarou"/>
              <w:jc w:val="both"/>
            </w:pPr>
            <w:r w:rsidRPr="006168B7">
              <w:t>Směnné relace v zahraničním obchodě se zbožím se dlouhodobě vyvíjí odlišně od směnných relací v obchodě se službami. Prvně jmenované byly pozitivní v roce 2015 již třetím rokem a favorizovaly tak vývoj celkového přebytku zahraničního obchodu (ekonomice z příznivého vývoje cen plynuly dodatečné zisky). Naproti tomu směnné relace v obchodě se službami nedosáhly hranice 100 % již čtyři roky. Ekonomika tedy na jejich nepříznivém cenovém vývoji tratila.</w:t>
            </w:r>
          </w:p>
        </w:tc>
      </w:tr>
    </w:tbl>
    <w:p w:rsidR="005E116A" w:rsidRDefault="005E116A" w:rsidP="005E116A"/>
    <w:tbl>
      <w:tblPr>
        <w:tblW w:w="5000" w:type="pct"/>
        <w:tblLook w:val="04A0"/>
      </w:tblPr>
      <w:tblGrid>
        <w:gridCol w:w="1112"/>
        <w:gridCol w:w="3457"/>
        <w:gridCol w:w="359"/>
        <w:gridCol w:w="997"/>
        <w:gridCol w:w="3929"/>
      </w:tblGrid>
      <w:tr w:rsidR="005E116A" w:rsidRPr="00AC4D73" w:rsidTr="005E116A">
        <w:tc>
          <w:tcPr>
            <w:tcW w:w="564" w:type="pct"/>
          </w:tcPr>
          <w:p w:rsidR="005E116A" w:rsidRPr="0053245B" w:rsidRDefault="005E116A" w:rsidP="007A0BF4">
            <w:pPr>
              <w:pStyle w:val="Textpoznpodarou"/>
              <w:rPr>
                <w:lang w:eastAsia="en-US"/>
              </w:rPr>
            </w:pPr>
            <w:r w:rsidRPr="0053245B">
              <w:rPr>
                <w:lang w:eastAsia="en-US"/>
              </w:rPr>
              <w:t>Graf č. 1</w:t>
            </w:r>
          </w:p>
        </w:tc>
        <w:tc>
          <w:tcPr>
            <w:tcW w:w="1936" w:type="pct"/>
            <w:gridSpan w:val="2"/>
          </w:tcPr>
          <w:p w:rsidR="005E116A" w:rsidRPr="0053245B" w:rsidRDefault="005E116A" w:rsidP="007A0BF4">
            <w:pPr>
              <w:pStyle w:val="Textpoznpodarou"/>
              <w:rPr>
                <w:lang w:eastAsia="en-US"/>
              </w:rPr>
            </w:pPr>
            <w:r w:rsidRPr="005E116A">
              <w:rPr>
                <w:b/>
                <w:lang w:eastAsia="en-US"/>
              </w:rPr>
              <w:t>Deflátor HDP a výdajů na konečnou spotřebu domácností</w:t>
            </w:r>
            <w:r w:rsidRPr="0053245B">
              <w:rPr>
                <w:lang w:eastAsia="en-US"/>
              </w:rPr>
              <w:t xml:space="preserve"> (v %)</w:t>
            </w:r>
          </w:p>
        </w:tc>
        <w:tc>
          <w:tcPr>
            <w:tcW w:w="505" w:type="pct"/>
          </w:tcPr>
          <w:p w:rsidR="005E116A" w:rsidRPr="0053245B" w:rsidRDefault="005E116A" w:rsidP="007A0BF4">
            <w:pPr>
              <w:pStyle w:val="Textpoznpodarou"/>
              <w:rPr>
                <w:lang w:eastAsia="en-US"/>
              </w:rPr>
            </w:pPr>
            <w:r w:rsidRPr="0053245B">
              <w:rPr>
                <w:lang w:eastAsia="en-US"/>
              </w:rPr>
              <w:t>Graf č. 2</w:t>
            </w:r>
          </w:p>
        </w:tc>
        <w:tc>
          <w:tcPr>
            <w:tcW w:w="1995" w:type="pct"/>
          </w:tcPr>
          <w:p w:rsidR="005E116A" w:rsidRPr="005E116A" w:rsidRDefault="005E116A" w:rsidP="007A0BF4">
            <w:pPr>
              <w:pStyle w:val="Textpoznpodarou"/>
              <w:rPr>
                <w:b/>
                <w:lang w:eastAsia="en-US"/>
              </w:rPr>
            </w:pPr>
            <w:r w:rsidRPr="005E116A">
              <w:rPr>
                <w:b/>
                <w:lang w:eastAsia="en-US"/>
              </w:rPr>
              <w:t>Směnné relace v zahraničním obchodě</w:t>
            </w:r>
          </w:p>
          <w:p w:rsidR="005E116A" w:rsidRPr="0053245B" w:rsidRDefault="005E116A" w:rsidP="007A0BF4">
            <w:pPr>
              <w:pStyle w:val="Textpoznpodarou"/>
              <w:rPr>
                <w:lang w:eastAsia="en-US"/>
              </w:rPr>
            </w:pPr>
            <w:r w:rsidRPr="0053245B">
              <w:rPr>
                <w:lang w:eastAsia="en-US"/>
              </w:rPr>
              <w:t>(vypočteno z deflátorů, v %)</w:t>
            </w:r>
          </w:p>
        </w:tc>
      </w:tr>
      <w:tr w:rsidR="005E116A" w:rsidRPr="00AC4D73" w:rsidTr="005E116A">
        <w:tc>
          <w:tcPr>
            <w:tcW w:w="2500" w:type="pct"/>
            <w:gridSpan w:val="3"/>
          </w:tcPr>
          <w:p w:rsidR="005E116A" w:rsidRPr="005E116A" w:rsidRDefault="007447A3" w:rsidP="005E116A">
            <w:pPr>
              <w:pStyle w:val="Textpoznpodarou"/>
              <w:jc w:val="both"/>
              <w:rPr>
                <w:color w:val="FF0000"/>
                <w:lang w:eastAsia="en-US"/>
              </w:rPr>
            </w:pPr>
            <w:r w:rsidRPr="007447A3">
              <w:rPr>
                <w:noProof/>
                <w:color w:val="FF0000"/>
              </w:rPr>
              <w:pict>
                <v:shape id="_x0000_i1073" type="#_x0000_t75" style="width:237.9pt;height:186.55pt;visibility:visible;mso-wrap-style:square">
                  <v:imagedata r:id="rId8" o:title=""/>
                </v:shape>
              </w:pict>
            </w:r>
          </w:p>
        </w:tc>
        <w:tc>
          <w:tcPr>
            <w:tcW w:w="2500" w:type="pct"/>
            <w:gridSpan w:val="2"/>
          </w:tcPr>
          <w:p w:rsidR="005E116A" w:rsidRPr="005E116A" w:rsidRDefault="007447A3" w:rsidP="005E116A">
            <w:pPr>
              <w:pStyle w:val="Textpoznpodarou"/>
              <w:jc w:val="both"/>
              <w:rPr>
                <w:color w:val="FF0000"/>
                <w:lang w:eastAsia="en-US"/>
              </w:rPr>
            </w:pPr>
            <w:r w:rsidRPr="007447A3">
              <w:rPr>
                <w:noProof/>
                <w:color w:val="FF0000"/>
              </w:rPr>
              <w:pict>
                <v:shape id="_x0000_i1074" type="#_x0000_t75" style="width:237.9pt;height:186.55pt;visibility:visible;mso-wrap-style:square">
                  <v:imagedata r:id="rId9" o:title=""/>
                </v:shape>
              </w:pict>
            </w:r>
          </w:p>
        </w:tc>
      </w:tr>
      <w:tr w:rsidR="005E116A" w:rsidRPr="00AC4D73" w:rsidTr="005E116A">
        <w:tc>
          <w:tcPr>
            <w:tcW w:w="2319" w:type="pct"/>
            <w:gridSpan w:val="2"/>
          </w:tcPr>
          <w:p w:rsidR="005E116A" w:rsidRPr="005E116A" w:rsidRDefault="005E116A" w:rsidP="007A0BF4">
            <w:pPr>
              <w:pStyle w:val="Textpoznpodarou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81" w:type="pct"/>
            <w:gridSpan w:val="3"/>
          </w:tcPr>
          <w:p w:rsidR="005E116A" w:rsidRPr="005E116A" w:rsidRDefault="005E116A" w:rsidP="005E116A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E116A">
              <w:rPr>
                <w:sz w:val="18"/>
                <w:szCs w:val="18"/>
                <w:lang w:eastAsia="en-US"/>
              </w:rPr>
              <w:t>Zdroj: ČSÚ, vlastní výpočty</w:t>
            </w:r>
          </w:p>
        </w:tc>
      </w:tr>
    </w:tbl>
    <w:p w:rsidR="005E116A" w:rsidRPr="00F2561A" w:rsidRDefault="00647313" w:rsidP="005E116A">
      <w:pPr>
        <w:pStyle w:val="Nadpis2"/>
      </w:pPr>
      <w:bookmarkStart w:id="2" w:name="_Toc457389323"/>
      <w:r>
        <w:lastRenderedPageBreak/>
        <w:t>4</w:t>
      </w:r>
      <w:r w:rsidR="005E116A">
        <w:t xml:space="preserve">.2. </w:t>
      </w:r>
      <w:r w:rsidR="005E116A" w:rsidRPr="00F2561A">
        <w:t>Spotřebitelské ceny</w:t>
      </w:r>
      <w:bookmarkEnd w:id="2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5E116A" w:rsidRPr="007D44C3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Růst spotřebitelských cen se v roce 2015 snížil na </w:t>
            </w:r>
            <w:r>
              <w:rPr>
                <w:sz w:val="16"/>
                <w:szCs w:val="16"/>
              </w:rPr>
              <w:t>+</w:t>
            </w:r>
            <w:r w:rsidRPr="00A927BA">
              <w:rPr>
                <w:sz w:val="16"/>
                <w:szCs w:val="16"/>
              </w:rPr>
              <w:t>0,3 % a byl nejslabší za posledních dvanáct let, …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 xml:space="preserve">Míra inflace vyjádřená meziroční změnou indexu spotřebitelských cen činila v roce 2015 pouze </w:t>
            </w:r>
            <w:r>
              <w:t>+</w:t>
            </w:r>
            <w:r w:rsidRPr="00A927BA">
              <w:t>0,3 % a byla nejnižší za posledních dvanáct let, tj. od roku 2003 (</w:t>
            </w:r>
            <w:r>
              <w:t>+</w:t>
            </w:r>
            <w:r w:rsidRPr="00A927BA">
              <w:t xml:space="preserve">0,1 %). Jak je patrné z vývoje v posledních čtyřech letech, cenová dynamika se kontinuálně snižovala. Jestliže v roce 2012 stouply ceny pro spotřebitele o 3,3 %, v roce 2013 činil jejich přírůstek pouze </w:t>
            </w:r>
            <w:r>
              <w:t>+</w:t>
            </w:r>
            <w:r w:rsidRPr="00A927BA">
              <w:t xml:space="preserve">1,4 % a v roce 2014 dokonce jen </w:t>
            </w:r>
            <w:r>
              <w:t>+</w:t>
            </w:r>
            <w:r w:rsidRPr="00A927BA">
              <w:t xml:space="preserve">0,4 %. Tento trend se však nezastavil a vyústil v roce 2015, za přispění poklesu ceny ropy na světovém trhu, v inflaci dosahující zmíněných </w:t>
            </w:r>
            <w:r>
              <w:t>+</w:t>
            </w:r>
            <w:r w:rsidRPr="00A927BA">
              <w:t>0,3 %.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pacing w:val="-2"/>
              </w:rPr>
            </w:pPr>
          </w:p>
        </w:tc>
      </w:tr>
      <w:tr w:rsidR="005E116A" w:rsidRPr="007D44C3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…přitom měnové podmínky přetrvaly uvolněné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 xml:space="preserve">Míra inflace se v roce 2015 snížila navzdory stále uvolněným měnovým podmínkám podporujícím stranu poptávky a stimulujícím tak </w:t>
            </w:r>
            <w:r>
              <w:t xml:space="preserve">hospodářský růst. Hlavní </w:t>
            </w:r>
            <w:proofErr w:type="spellStart"/>
            <w:r>
              <w:t>měnově</w:t>
            </w:r>
            <w:r w:rsidRPr="00A927BA">
              <w:t>politická</w:t>
            </w:r>
            <w:proofErr w:type="spellEnd"/>
            <w:r w:rsidRPr="00A927BA">
              <w:t xml:space="preserve"> sazba České národní banky (ČNB), tj. </w:t>
            </w:r>
            <w:r>
              <w:t>2T</w:t>
            </w:r>
            <w:r w:rsidRPr="00A927BA">
              <w:t xml:space="preserve"> </w:t>
            </w:r>
            <w:proofErr w:type="spellStart"/>
            <w:r w:rsidRPr="00A927BA">
              <w:t>repo</w:t>
            </w:r>
            <w:proofErr w:type="spellEnd"/>
            <w:r w:rsidRPr="00A927BA">
              <w:t xml:space="preserve"> sazba, zůstala blízká nule (0,05 %) a stejně tak diskontní (0,05 %) a lombardní sazba (0,25 %). Také měnový kurz působil </w:t>
            </w:r>
            <w:proofErr w:type="spellStart"/>
            <w:r w:rsidRPr="00A927BA">
              <w:t>proinflačně</w:t>
            </w:r>
            <w:proofErr w:type="spellEnd"/>
            <w:r w:rsidRPr="00A927BA">
              <w:t>, i když už ne v takovém rozsahu jako v roce 2014. Tehdy koruna k euru oslabila vzhledem k zahájení devizových intervencí (v listopadu 2013) o 6</w:t>
            </w:r>
            <w:r>
              <w:t>,0</w:t>
            </w:r>
            <w:r w:rsidR="00405507">
              <w:t xml:space="preserve"> % a k americkému dolaru rovněž</w:t>
            </w:r>
            <w:r w:rsidRPr="00A927BA">
              <w:t>. V roce 2015 byla koruna k euru sice již silnější (o 0,9 %), avšak k dolaru ztratil</w:t>
            </w:r>
            <w:r w:rsidR="00405507">
              <w:t>a téměř pětinu své hodnoty (18,6</w:t>
            </w:r>
            <w:r w:rsidRPr="00A927BA">
              <w:t xml:space="preserve"> %).</w:t>
            </w:r>
          </w:p>
          <w:p w:rsidR="005E116A" w:rsidRPr="00A927BA" w:rsidRDefault="005E116A" w:rsidP="007A0BF4">
            <w:pPr>
              <w:pStyle w:val="Textpoznpodarou"/>
              <w:jc w:val="both"/>
            </w:pPr>
          </w:p>
        </w:tc>
      </w:tr>
      <w:tr w:rsidR="005E116A" w:rsidRPr="007D44C3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Pokles míry inflace v roce 2015 byl z velké části způsoben propadem ceny ropy na světovém komoditním trhu. Komplexní vliv tohoto nabídkového šoku na inflaci vyčíslit nelze, …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Hlavní příčinou pokračující dezinflace v české ekonomice byl propad cen komodit na burze, zejména ropy. Také deflace ve zpracovatelském průmyslu v </w:t>
            </w:r>
            <w:proofErr w:type="spellStart"/>
            <w:r w:rsidRPr="00A927BA">
              <w:t>eurozóně</w:t>
            </w:r>
            <w:proofErr w:type="spellEnd"/>
            <w:r w:rsidRPr="00A927BA">
              <w:t xml:space="preserve"> a pokles cen zemědělských výrobců v tuzemsku  přispěly podstatně k dalšímu snížení dynamiky spotřebitelských cen. Zatímco v červnu 2014 se barel ropy Brent obchodoval na světových trzích v průměru za 112 amerických dolarů, v lednu 2015 byla jeho cena na 48 dolarech. Převis nabídky této suroviny nad poptávkou však tlačil ceny dolů dále a v prosinci 2015 se ropa obchodovala už jen za 38 dolarů. Její cena byla nejnižší od roku 2004 a je logické, že se promítala nejen přímo v cenách pohonných hmot, ale v cenách mnohem širšího spektra výrobků a služeb, neboť tato komodita se využívá – ať už v menším či větším rozsahu – při výrobě jakéhokoli produktu.</w:t>
            </w:r>
          </w:p>
          <w:p w:rsidR="005E116A" w:rsidRPr="00A927BA" w:rsidRDefault="005E116A" w:rsidP="007A0BF4">
            <w:pPr>
              <w:pStyle w:val="Textpoznpodarou"/>
              <w:jc w:val="both"/>
            </w:pPr>
          </w:p>
        </w:tc>
      </w:tr>
      <w:tr w:rsidR="005E116A" w:rsidRPr="007D44C3" w:rsidTr="007A0BF4">
        <w:tc>
          <w:tcPr>
            <w:tcW w:w="1054" w:type="pct"/>
          </w:tcPr>
          <w:p w:rsidR="005E116A" w:rsidRPr="00597A5D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1E4668">
              <w:rPr>
                <w:sz w:val="16"/>
                <w:szCs w:val="16"/>
              </w:rPr>
              <w:t xml:space="preserve">…avšak samotné </w:t>
            </w:r>
            <w:r>
              <w:rPr>
                <w:sz w:val="16"/>
                <w:szCs w:val="16"/>
              </w:rPr>
              <w:t>pohonné hmoty</w:t>
            </w:r>
            <w:r w:rsidRPr="001E4668">
              <w:rPr>
                <w:sz w:val="16"/>
                <w:szCs w:val="16"/>
              </w:rPr>
              <w:t xml:space="preserve">, které se v roce 2014 na vývoji spotřebitelských cen nepodílely, přispěly v loňském roce -0,5 </w:t>
            </w:r>
            <w:proofErr w:type="spellStart"/>
            <w:proofErr w:type="gramStart"/>
            <w:r w:rsidRPr="001E4668">
              <w:rPr>
                <w:sz w:val="16"/>
                <w:szCs w:val="16"/>
              </w:rPr>
              <w:t>p.b</w:t>
            </w:r>
            <w:proofErr w:type="spellEnd"/>
            <w:r w:rsidRPr="001E4668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3" w:type="pct"/>
          </w:tcPr>
          <w:p w:rsidR="005E116A" w:rsidRPr="00A533CE" w:rsidRDefault="005E116A" w:rsidP="007A0BF4">
            <w:pPr>
              <w:pStyle w:val="Textpoznpodarou"/>
              <w:jc w:val="both"/>
              <w:rPr>
                <w:color w:val="4F81BD" w:themeColor="accent1"/>
              </w:rPr>
            </w:pPr>
          </w:p>
        </w:tc>
        <w:tc>
          <w:tcPr>
            <w:tcW w:w="3803" w:type="pct"/>
          </w:tcPr>
          <w:p w:rsidR="005E116A" w:rsidRPr="00E117AC" w:rsidRDefault="005E116A" w:rsidP="007A0BF4">
            <w:pPr>
              <w:pStyle w:val="Textpoznpodarou"/>
              <w:jc w:val="both"/>
            </w:pPr>
            <w:r w:rsidRPr="00A927BA">
              <w:t>Úplný vliv poklesu ceny ropy na dynamiku indexu spotřebitelských cen</w:t>
            </w:r>
            <w:r>
              <w:t xml:space="preserve"> v České republice</w:t>
            </w:r>
            <w:r w:rsidRPr="00A927BA">
              <w:t xml:space="preserve"> vyčíslit nelze, protože k tomuto účelu by bylo nutné znát, jak se</w:t>
            </w:r>
            <w:r>
              <w:t xml:space="preserve"> cena této komodity</w:t>
            </w:r>
            <w:r w:rsidRPr="00A927BA">
              <w:t xml:space="preserve"> </w:t>
            </w:r>
            <w:r>
              <w:t>odrazila</w:t>
            </w:r>
            <w:r w:rsidRPr="00A927BA">
              <w:t xml:space="preserve"> </w:t>
            </w:r>
            <w:r>
              <w:t>v cenách</w:t>
            </w:r>
            <w:r w:rsidRPr="00A927BA">
              <w:t xml:space="preserve"> jednotlivých produktů. Lze však ukázat, jak se v indexu promítala skrze ceny pohonných hmot. </w:t>
            </w:r>
            <w:r w:rsidRPr="001E4668">
              <w:t>Ty jsou ve spotřebním koši zastoupeny v položce „provoz osobních dopravních prostřed</w:t>
            </w:r>
            <w:r>
              <w:t>ků“ a</w:t>
            </w:r>
            <w:r w:rsidRPr="001E4668">
              <w:t xml:space="preserve"> jejich váha</w:t>
            </w:r>
            <w:r>
              <w:t xml:space="preserve"> v celém koši </w:t>
            </w:r>
            <w:r w:rsidRPr="001E4668">
              <w:t>v</w:t>
            </w:r>
            <w:r>
              <w:t> </w:t>
            </w:r>
            <w:r w:rsidRPr="001E4668">
              <w:t>letech 2014 a</w:t>
            </w:r>
            <w:r>
              <w:t> </w:t>
            </w:r>
            <w:r w:rsidRPr="001E4668">
              <w:t>2015 činila 3,6 %.</w:t>
            </w:r>
            <w:r w:rsidRPr="001E4668">
              <w:rPr>
                <w:color w:val="FF0000"/>
              </w:rPr>
              <w:t xml:space="preserve"> </w:t>
            </w:r>
            <w:r w:rsidRPr="001E4668">
              <w:t xml:space="preserve">V roce 2014 byly ceny </w:t>
            </w:r>
            <w:r>
              <w:t>pohonných hmot</w:t>
            </w:r>
            <w:r w:rsidRPr="001E4668">
              <w:t xml:space="preserve"> meziročně </w:t>
            </w:r>
            <w:r>
              <w:t>vyšší o 0,1</w:t>
            </w:r>
            <w:r w:rsidRPr="001E4668">
              <w:t xml:space="preserve"> % a jejich příspěvek k vývoji spotřebitelských cen byl</w:t>
            </w:r>
            <w:r>
              <w:t> </w:t>
            </w:r>
            <w:r w:rsidRPr="001E4668">
              <w:t xml:space="preserve">prakticky nulový. </w:t>
            </w:r>
            <w:r>
              <w:t>V loňském roce</w:t>
            </w:r>
            <w:r w:rsidRPr="001E4668">
              <w:t xml:space="preserve"> </w:t>
            </w:r>
            <w:r>
              <w:t>pohonné hmoty</w:t>
            </w:r>
            <w:r w:rsidRPr="001E4668">
              <w:t xml:space="preserve"> v návaznosti na strmý propad ceny ropy</w:t>
            </w:r>
            <w:r>
              <w:t> </w:t>
            </w:r>
            <w:r w:rsidRPr="001E4668">
              <w:t xml:space="preserve">zlevnily </w:t>
            </w:r>
            <w:r>
              <w:t>o 13,5 %</w:t>
            </w:r>
            <w:r w:rsidRPr="001E4668">
              <w:t xml:space="preserve"> a podílely se na vývoji spotřebitelských cen</w:t>
            </w:r>
            <w:r>
              <w:t xml:space="preserve"> výraznými</w:t>
            </w:r>
            <w:r w:rsidRPr="001E4668">
              <w:t xml:space="preserve"> -0,5 </w:t>
            </w:r>
            <w:proofErr w:type="spellStart"/>
            <w:proofErr w:type="gramStart"/>
            <w:r w:rsidRPr="001E4668">
              <w:t>p.b</w:t>
            </w:r>
            <w:proofErr w:type="spellEnd"/>
            <w:r w:rsidRPr="001E4668">
              <w:t>.</w:t>
            </w:r>
            <w:proofErr w:type="gramEnd"/>
          </w:p>
        </w:tc>
      </w:tr>
    </w:tbl>
    <w:p w:rsidR="005E116A" w:rsidRDefault="005E116A" w:rsidP="005E116A">
      <w:pPr>
        <w:rPr>
          <w:szCs w:val="20"/>
        </w:rPr>
      </w:pPr>
    </w:p>
    <w:tbl>
      <w:tblPr>
        <w:tblW w:w="5000" w:type="pct"/>
        <w:tblLook w:val="04A0"/>
      </w:tblPr>
      <w:tblGrid>
        <w:gridCol w:w="1114"/>
        <w:gridCol w:w="964"/>
        <w:gridCol w:w="283"/>
        <w:gridCol w:w="2209"/>
        <w:gridCol w:w="361"/>
        <w:gridCol w:w="996"/>
        <w:gridCol w:w="3927"/>
      </w:tblGrid>
      <w:tr w:rsidR="005E116A" w:rsidRPr="00A927BA" w:rsidTr="005E116A">
        <w:tc>
          <w:tcPr>
            <w:tcW w:w="565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3</w:t>
            </w:r>
          </w:p>
        </w:tc>
        <w:tc>
          <w:tcPr>
            <w:tcW w:w="1936" w:type="pct"/>
            <w:gridSpan w:val="4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5E116A">
              <w:rPr>
                <w:b/>
                <w:lang w:eastAsia="en-US"/>
              </w:rPr>
              <w:t>Spotřebitelské ceny</w:t>
            </w:r>
            <w:r w:rsidRPr="00A927BA">
              <w:rPr>
                <w:lang w:eastAsia="en-US"/>
              </w:rPr>
              <w:t xml:space="preserve"> (y/y v %)</w:t>
            </w:r>
          </w:p>
        </w:tc>
        <w:tc>
          <w:tcPr>
            <w:tcW w:w="505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4</w:t>
            </w:r>
          </w:p>
        </w:tc>
        <w:tc>
          <w:tcPr>
            <w:tcW w:w="1994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5E116A">
              <w:rPr>
                <w:b/>
                <w:lang w:eastAsia="en-US"/>
              </w:rPr>
              <w:t xml:space="preserve">Ceny ropy Brent a </w:t>
            </w:r>
            <w:proofErr w:type="spellStart"/>
            <w:r w:rsidRPr="005E116A">
              <w:rPr>
                <w:b/>
                <w:lang w:eastAsia="en-US"/>
              </w:rPr>
              <w:t>West</w:t>
            </w:r>
            <w:proofErr w:type="spellEnd"/>
            <w:r w:rsidRPr="005E116A">
              <w:rPr>
                <w:b/>
                <w:lang w:eastAsia="en-US"/>
              </w:rPr>
              <w:t xml:space="preserve"> Texas </w:t>
            </w:r>
            <w:proofErr w:type="spellStart"/>
            <w:r w:rsidRPr="005E116A">
              <w:rPr>
                <w:b/>
                <w:lang w:eastAsia="en-US"/>
              </w:rPr>
              <w:t>Intermediate</w:t>
            </w:r>
            <w:proofErr w:type="spellEnd"/>
            <w:r w:rsidRPr="005E116A">
              <w:rPr>
                <w:b/>
                <w:lang w:eastAsia="en-US"/>
              </w:rPr>
              <w:t xml:space="preserve"> </w:t>
            </w:r>
            <w:r w:rsidRPr="00A927BA">
              <w:rPr>
                <w:lang w:eastAsia="en-US"/>
              </w:rPr>
              <w:t>(americký dolar/barel)</w:t>
            </w:r>
          </w:p>
        </w:tc>
      </w:tr>
      <w:tr w:rsidR="005E116A" w:rsidRPr="00A927BA" w:rsidTr="005E116A">
        <w:tc>
          <w:tcPr>
            <w:tcW w:w="2501" w:type="pct"/>
            <w:gridSpan w:val="5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75" type="#_x0000_t75" style="width:237.9pt;height:186.55pt;visibility:visible;mso-wrap-style:square">
                  <v:imagedata r:id="rId10" o:title=""/>
                </v:shape>
              </w:pict>
            </w:r>
          </w:p>
        </w:tc>
        <w:tc>
          <w:tcPr>
            <w:tcW w:w="2499" w:type="pct"/>
            <w:gridSpan w:val="2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76" type="#_x0000_t75" style="width:237.9pt;height:186.55pt;visibility:visible;mso-wrap-style:square">
                  <v:imagedata r:id="rId11" o:title=""/>
                </v:shape>
              </w:pict>
            </w:r>
          </w:p>
        </w:tc>
      </w:tr>
      <w:tr w:rsidR="005E116A" w:rsidRPr="00A927BA" w:rsidTr="005E116A">
        <w:tc>
          <w:tcPr>
            <w:tcW w:w="2319" w:type="pct"/>
            <w:gridSpan w:val="4"/>
          </w:tcPr>
          <w:p w:rsidR="005E116A" w:rsidRPr="005E116A" w:rsidRDefault="005E116A" w:rsidP="007A0BF4">
            <w:pPr>
              <w:pStyle w:val="Textpoznpodarou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81" w:type="pct"/>
            <w:gridSpan w:val="3"/>
          </w:tcPr>
          <w:p w:rsidR="005E116A" w:rsidRPr="005E116A" w:rsidRDefault="005E116A" w:rsidP="005E116A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E116A">
              <w:rPr>
                <w:sz w:val="18"/>
                <w:szCs w:val="18"/>
                <w:lang w:eastAsia="en-US"/>
              </w:rPr>
              <w:t xml:space="preserve">Zdroj: ČSÚ, U. S. </w:t>
            </w:r>
            <w:r w:rsidRPr="005E116A">
              <w:rPr>
                <w:sz w:val="18"/>
                <w:szCs w:val="18"/>
                <w:lang w:val="en-US" w:eastAsia="en-US"/>
              </w:rPr>
              <w:t>Energy Information Administration</w:t>
            </w:r>
          </w:p>
        </w:tc>
      </w:tr>
      <w:tr w:rsidR="005E116A" w:rsidRPr="001E57CE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lastRenderedPageBreak/>
              <w:t>Nejvýznamnějšími položkami spotřebního koše jsou potraviny a energie,…</w:t>
            </w:r>
          </w:p>
        </w:tc>
        <w:tc>
          <w:tcPr>
            <w:tcW w:w="143" w:type="pct"/>
          </w:tcPr>
          <w:p w:rsidR="005E116A" w:rsidRPr="00A533CE" w:rsidRDefault="005E116A" w:rsidP="007A0BF4">
            <w:pPr>
              <w:pStyle w:val="Textpoznpodarou"/>
              <w:jc w:val="both"/>
              <w:rPr>
                <w:color w:val="4F81BD" w:themeColor="accent1"/>
              </w:rPr>
            </w:pPr>
          </w:p>
        </w:tc>
        <w:tc>
          <w:tcPr>
            <w:tcW w:w="3803" w:type="pct"/>
            <w:gridSpan w:val="4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Nejvýznamnějšími položkami spotřebního koše jsou dlouhodobě potraviny a energie</w:t>
            </w:r>
            <w:r w:rsidRPr="00A927BA">
              <w:rPr>
                <w:rStyle w:val="Znakapoznpodarou"/>
              </w:rPr>
              <w:footnoteReference w:id="1"/>
            </w:r>
            <w:r w:rsidRPr="00A927BA">
              <w:t>. Podle struktury spotřebního koše z roku 2015, která byla sestavena na</w:t>
            </w:r>
            <w:r>
              <w:t> </w:t>
            </w:r>
            <w:r w:rsidRPr="00A927BA">
              <w:t xml:space="preserve">základě </w:t>
            </w:r>
            <w:r w:rsidR="00855F63">
              <w:t>výdajů domácností</w:t>
            </w:r>
            <w:r>
              <w:t xml:space="preserve"> z</w:t>
            </w:r>
            <w:r w:rsidRPr="00A927BA">
              <w:t xml:space="preserve"> roku 2012, se potraviny na celkových spotřebních vydáních domácností podílely 15,5 % a energie 10,3 %.</w:t>
            </w:r>
          </w:p>
          <w:p w:rsidR="005E116A" w:rsidRPr="005E116A" w:rsidRDefault="005E116A" w:rsidP="007A0BF4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5E116A" w:rsidRPr="001E57CE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… jeji</w:t>
            </w:r>
            <w:r>
              <w:rPr>
                <w:sz w:val="16"/>
                <w:szCs w:val="16"/>
              </w:rPr>
              <w:t xml:space="preserve">ch cenový vývoj v roce 2015 byl </w:t>
            </w:r>
            <w:r w:rsidRPr="00A927BA">
              <w:rPr>
                <w:sz w:val="16"/>
                <w:szCs w:val="16"/>
              </w:rPr>
              <w:t>podprůměrný a z pohledu domácností tedy příznivý</w:t>
            </w:r>
          </w:p>
        </w:tc>
        <w:tc>
          <w:tcPr>
            <w:tcW w:w="143" w:type="pct"/>
          </w:tcPr>
          <w:p w:rsidR="005E116A" w:rsidRPr="00A533CE" w:rsidRDefault="005E116A" w:rsidP="007A0BF4">
            <w:pPr>
              <w:pStyle w:val="Textpoznpodarou"/>
              <w:jc w:val="both"/>
              <w:rPr>
                <w:color w:val="4F81BD" w:themeColor="accent1"/>
              </w:rPr>
            </w:pPr>
          </w:p>
        </w:tc>
        <w:tc>
          <w:tcPr>
            <w:tcW w:w="3803" w:type="pct"/>
            <w:gridSpan w:val="4"/>
          </w:tcPr>
          <w:p w:rsidR="005E116A" w:rsidRDefault="005E116A" w:rsidP="007A0BF4">
            <w:pPr>
              <w:pStyle w:val="Textpoznpodarou"/>
              <w:jc w:val="both"/>
            </w:pPr>
            <w:r w:rsidRPr="00A927BA">
              <w:t xml:space="preserve">Co se týče cenového vývoje potravin a energií v loňském roce, ten byl z pohledu </w:t>
            </w:r>
            <w:r w:rsidRPr="003A2E2C">
              <w:t>domácností poměrně příznivý. Ceny potravin totiž poprvé od roku 2009 v meziročním srovnání klesly (o 1,1 %) a ceny energií narostly pouze mírně (</w:t>
            </w:r>
            <w:r>
              <w:t>+</w:t>
            </w:r>
            <w:r w:rsidRPr="003A2E2C">
              <w:t>1,2 %).</w:t>
            </w:r>
            <w:r w:rsidRPr="003A2E2C">
              <w:rPr>
                <w:color w:val="FF0000"/>
              </w:rPr>
              <w:t xml:space="preserve"> </w:t>
            </w:r>
            <w:r w:rsidRPr="003A2E2C">
              <w:t xml:space="preserve">V obou případech šlo o vývoj mimořádný, protože byl výrazně pod průměrem posledních pěti i deseti let. Potraviny zdražovaly v letech 2011–2015 v průměru o 3,5 % za rok a energie o 2,3 %. V dekádě 2006–2015 šlo o průměrné přírůstky ve výši </w:t>
            </w:r>
            <w:r>
              <w:t>+</w:t>
            </w:r>
            <w:r w:rsidRPr="003A2E2C">
              <w:t xml:space="preserve">2,8 % u potravin a </w:t>
            </w:r>
            <w:r>
              <w:t>+</w:t>
            </w:r>
            <w:r w:rsidRPr="003A2E2C">
              <w:t>4,8 % v případě energií.</w:t>
            </w:r>
          </w:p>
          <w:p w:rsidR="005E116A" w:rsidRPr="005E116A" w:rsidRDefault="005E116A" w:rsidP="007A0BF4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5E116A" w:rsidRPr="001E57CE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Ceny potravin se v loňském roce snížily díky poklesu cen zemědělských výrobců. Ceny dovozu potravin a živých zvířat totiž fakticky stagnovaly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334DEF" w:rsidRDefault="005E116A" w:rsidP="007A0BF4">
            <w:pPr>
              <w:pStyle w:val="Textpoznpodarou"/>
              <w:jc w:val="both"/>
              <w:rPr>
                <w:spacing w:val="-2"/>
              </w:rPr>
            </w:pPr>
            <w:r w:rsidRPr="00334DEF">
              <w:rPr>
                <w:spacing w:val="-2"/>
              </w:rPr>
              <w:t>Ceny potravin závisí na cenách zemědělských výrobců. Záleží ale i na cenách dovozu, neboť velká část potravin v obchodech – anebo jejich dílčích složek – má původ v zahraničí, hlavně v Německu a v Polsku. Pokud jde o ceny zemědělských výrobců (vč. ryb) v roce 2015, ty klesly o 6,0 %. Efekt poklesu cen se přenášel i do cen producentů potravinářských výrobků (-3,7 %) a promítal se do cen potravin v obchodech (-1,1 %). Je však velmi dobře patrné, že prvotní vliv se v průběhu výrobního řetězce pozvolna rozpouštěl. Příčinou byly právě ceny dovozu, které v roce 2015 fakticky stagnovaly (+0,1 %). Relativně slabé „prosáknutí“ nižších cen zemědělských výrobců do cen potravin bylo dané ale i dalšími náklady potravinářů a obchodníků, které jsou se zpracováním a obchodem spjaty, a </w:t>
            </w:r>
            <w:r>
              <w:rPr>
                <w:spacing w:val="-2"/>
              </w:rPr>
              <w:t>rovněž existencí</w:t>
            </w:r>
            <w:r w:rsidRPr="00334DEF">
              <w:rPr>
                <w:spacing w:val="-2"/>
              </w:rPr>
              <w:t xml:space="preserve"> marží. A ty se na rozdíl od cen zemědělských výrobců snižovat nemusely.</w:t>
            </w:r>
          </w:p>
          <w:p w:rsidR="005E116A" w:rsidRPr="00334DEF" w:rsidRDefault="005E116A" w:rsidP="007A0BF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5E116A" w:rsidRPr="001E57CE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3A2E2C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3A2E2C">
              <w:rPr>
                <w:sz w:val="16"/>
                <w:szCs w:val="16"/>
              </w:rPr>
              <w:t xml:space="preserve">Mírný nárůst cen energií v roce 2015 pod taktovkou plynu a tepelné energie </w:t>
            </w:r>
          </w:p>
        </w:tc>
        <w:tc>
          <w:tcPr>
            <w:tcW w:w="143" w:type="pct"/>
          </w:tcPr>
          <w:p w:rsidR="005E116A" w:rsidRPr="003A2E2C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3A2E2C" w:rsidRDefault="005E116A" w:rsidP="007A0BF4">
            <w:pPr>
              <w:pStyle w:val="Textpoznpodarou"/>
              <w:jc w:val="both"/>
            </w:pPr>
            <w:r w:rsidRPr="003A2E2C">
              <w:t>Po výrazném poklesu cen energií v roce 2014 (o 5,2 %), který byl v historickém ohledu ojedinělý a daný zejména nižšími cenami elektřiny (o 10,3 %), už ceny energií v roce 2015 zvolna rostly. Zvýšily se o 1,2 %, přitom ve směru jejich růstu působily zejména ceny plynu (+3</w:t>
            </w:r>
            <w:r>
              <w:t>,0</w:t>
            </w:r>
            <w:r w:rsidRPr="003A2E2C">
              <w:t xml:space="preserve"> %) a tepelné energie (+1,9 %). Ceny elektřiny se</w:t>
            </w:r>
            <w:r>
              <w:t> </w:t>
            </w:r>
            <w:r w:rsidRPr="003A2E2C">
              <w:t xml:space="preserve">dále snižovaly, v porovnání s rokem 2014 ale již podstatně pomaleji (-0,4 %). </w:t>
            </w:r>
          </w:p>
          <w:p w:rsidR="005E116A" w:rsidRPr="003A2E2C" w:rsidRDefault="005E116A" w:rsidP="007A0BF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5E116A" w:rsidRPr="001E57CE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 xml:space="preserve">Z utlumeného cenového vývoje v letech 2014 a 2015 těžily hlavně domácnosti důchodců 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Roky 2014 a 2015 byly obdobím nízkého růstu spotřebitelských cen. Z hlediska makroekonomického vyvolával utlumený cenový vývoj obavy, neboť se mohl překlopit do deflace a ovlivňovat negativně poptávku. Z </w:t>
            </w:r>
            <w:proofErr w:type="spellStart"/>
            <w:r w:rsidRPr="00A927BA">
              <w:t>mikro</w:t>
            </w:r>
            <w:proofErr w:type="spellEnd"/>
            <w:r w:rsidRPr="00A927BA">
              <w:t>-pohledu šlo ale o příznivé období – příjmy domácností se příliš „neznehodnocovaly“. Je zajímavé, že z tohoto vývoje těžily více domácnosti důchodců. Růst spotřebitelských cen z jejich pohledu byl totiž dokonce nulový (-0,1 %, +0,1 %). V roce 2014 byl vývoj cen pro domácnosti důchodců příznivější oproti</w:t>
            </w:r>
            <w:r>
              <w:t xml:space="preserve"> cenám pro domácnosti</w:t>
            </w:r>
            <w:r w:rsidRPr="00A927BA">
              <w:t xml:space="preserve"> celkem vlivem poklesu cen energií, na které vyna</w:t>
            </w:r>
            <w:r>
              <w:t xml:space="preserve">kládají větší část svých výdajů. </w:t>
            </w:r>
            <w:r w:rsidRPr="000442F0">
              <w:rPr>
                <w:spacing w:val="-2"/>
              </w:rPr>
              <w:t>Loni se jednalo o důsledek nižších cen výdajů na zdraví (jež souvisely se</w:t>
            </w:r>
            <w:r w:rsidRPr="00A927BA">
              <w:t xml:space="preserve"> zrušením regulačních poplatků za výdej léků na recept a poplatků při návštěvě lékaře).</w:t>
            </w:r>
          </w:p>
        </w:tc>
      </w:tr>
    </w:tbl>
    <w:p w:rsidR="001E5555" w:rsidRPr="006611E0" w:rsidRDefault="001E5555" w:rsidP="005E116A">
      <w:pPr>
        <w:rPr>
          <w:sz w:val="14"/>
          <w:szCs w:val="14"/>
        </w:rPr>
      </w:pPr>
    </w:p>
    <w:tbl>
      <w:tblPr>
        <w:tblW w:w="5000" w:type="pct"/>
        <w:tblLook w:val="04A0"/>
      </w:tblPr>
      <w:tblGrid>
        <w:gridCol w:w="1118"/>
        <w:gridCol w:w="961"/>
        <w:gridCol w:w="284"/>
        <w:gridCol w:w="2565"/>
        <w:gridCol w:w="856"/>
        <w:gridCol w:w="142"/>
        <w:gridCol w:w="3928"/>
      </w:tblGrid>
      <w:tr w:rsidR="005E116A" w:rsidRPr="0057417F" w:rsidTr="005E116A">
        <w:tc>
          <w:tcPr>
            <w:tcW w:w="567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5</w:t>
            </w:r>
          </w:p>
        </w:tc>
        <w:tc>
          <w:tcPr>
            <w:tcW w:w="1932" w:type="pct"/>
            <w:gridSpan w:val="3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5E116A">
              <w:rPr>
                <w:b/>
                <w:lang w:eastAsia="en-US"/>
              </w:rPr>
              <w:t>Spotřebitelské ceny</w:t>
            </w:r>
            <w:r w:rsidRPr="00A927BA">
              <w:rPr>
                <w:lang w:eastAsia="en-US"/>
              </w:rPr>
              <w:t xml:space="preserve"> (y/y v %)</w:t>
            </w:r>
          </w:p>
        </w:tc>
        <w:tc>
          <w:tcPr>
            <w:tcW w:w="505" w:type="pct"/>
            <w:gridSpan w:val="2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6</w:t>
            </w:r>
          </w:p>
        </w:tc>
        <w:tc>
          <w:tcPr>
            <w:tcW w:w="1996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5E116A">
              <w:rPr>
                <w:b/>
                <w:lang w:eastAsia="en-US"/>
              </w:rPr>
              <w:t xml:space="preserve">Spotřebitelské ceny podle typu domácnosti </w:t>
            </w:r>
            <w:r w:rsidRPr="00A927BA">
              <w:rPr>
                <w:lang w:eastAsia="en-US"/>
              </w:rPr>
              <w:t>(y/y v %)</w:t>
            </w:r>
          </w:p>
        </w:tc>
      </w:tr>
      <w:tr w:rsidR="005E116A" w:rsidRPr="0057417F" w:rsidTr="005E116A">
        <w:tc>
          <w:tcPr>
            <w:tcW w:w="2499" w:type="pct"/>
            <w:gridSpan w:val="4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 w:rsidRPr="007447A3">
              <w:rPr>
                <w:noProof/>
                <w:sz w:val="14"/>
                <w:szCs w:val="14"/>
              </w:rPr>
              <w:pict>
                <v:shape id="_x0000_i1077" type="#_x0000_t75" style="width:237.9pt;height:186.55pt;visibility:visible;mso-wrap-style:square">
                  <v:imagedata r:id="rId12" o:title=""/>
                </v:shape>
              </w:pict>
            </w:r>
          </w:p>
        </w:tc>
        <w:tc>
          <w:tcPr>
            <w:tcW w:w="2501" w:type="pct"/>
            <w:gridSpan w:val="3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78" type="#_x0000_t75" style="width:237.9pt;height:186.55pt;visibility:visible;mso-wrap-style:square">
                  <v:imagedata r:id="rId13" o:title=""/>
                </v:shape>
              </w:pict>
            </w:r>
          </w:p>
        </w:tc>
      </w:tr>
      <w:tr w:rsidR="005E116A" w:rsidRPr="0057417F" w:rsidTr="005E116A">
        <w:tc>
          <w:tcPr>
            <w:tcW w:w="2933" w:type="pct"/>
            <w:gridSpan w:val="5"/>
          </w:tcPr>
          <w:p w:rsidR="005E116A" w:rsidRPr="005E116A" w:rsidRDefault="005E116A" w:rsidP="007A0BF4">
            <w:pPr>
              <w:pStyle w:val="Textpoznpodarou"/>
              <w:rPr>
                <w:sz w:val="18"/>
                <w:szCs w:val="18"/>
                <w:lang w:eastAsia="en-US"/>
              </w:rPr>
            </w:pPr>
            <w:r w:rsidRPr="005E116A">
              <w:rPr>
                <w:sz w:val="18"/>
                <w:szCs w:val="18"/>
                <w:lang w:eastAsia="en-US"/>
              </w:rPr>
              <w:t>*Pozn.: Energie = Elektrická a tepelná energie, plyn a ostatní paliva.</w:t>
            </w:r>
          </w:p>
        </w:tc>
        <w:tc>
          <w:tcPr>
            <w:tcW w:w="2067" w:type="pct"/>
            <w:gridSpan w:val="2"/>
          </w:tcPr>
          <w:p w:rsidR="005E116A" w:rsidRPr="005E116A" w:rsidRDefault="005E116A" w:rsidP="005E116A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E116A">
              <w:rPr>
                <w:sz w:val="18"/>
                <w:szCs w:val="18"/>
                <w:lang w:eastAsia="en-US"/>
              </w:rPr>
              <w:t>Zdroj: ČSÚ</w:t>
            </w:r>
          </w:p>
        </w:tc>
      </w:tr>
      <w:tr w:rsidR="005E116A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lastRenderedPageBreak/>
              <w:t>Ceny pro spotřebitele narostly za posledních deset let skoro o čtvrtinu, …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 xml:space="preserve">Za posledních deset let (2006–2015) narostly ceny pro spotřebitele v ČR o 23,6 %. </w:t>
            </w:r>
            <w:r>
              <w:t>V</w:t>
            </w:r>
            <w:r w:rsidRPr="00A927BA">
              <w:t xml:space="preserve"> tomto ohledu byly klíčovými roky 2006–2008, kdy se ceny zvýšily celkově o 12,1 %, a také rok 2012 (+3,3 %). Nejméně se na tomto </w:t>
            </w:r>
            <w:r w:rsidR="008A7D9F">
              <w:t>celkovém</w:t>
            </w:r>
            <w:r w:rsidRPr="00A927BA">
              <w:t xml:space="preserve"> nárůstu naopak podílely roky 2014 a 2015 (v úhrnu +0,7 %).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5E116A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… svoji roli v tom sehrály i daňové úpravy. Sazby DPH vzrostly hned čtyřikrát – v letech 2008, 2010, 2012 a 2013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Jistou roli v dlouhodobém nárůstu</w:t>
            </w:r>
            <w:r>
              <w:t xml:space="preserve"> spotřebitelských</w:t>
            </w:r>
            <w:r w:rsidRPr="00A927BA">
              <w:t xml:space="preserve"> cen, nikoliv však rozhodující, sehrály úpravy nepřímých daní. Jen samotné sazby DPH se během posledních deseti let změnily </w:t>
            </w:r>
            <w:r>
              <w:t>pětkrát, z toho ve čtyřech případech byly změny sazeb implementovány tak, že působily ve směru růstu cen pro spotřebitele.</w:t>
            </w:r>
            <w:r w:rsidRPr="00A927BA">
              <w:t xml:space="preserve"> V letech 2008 a 2012 byla navýšena snížená sazba DPH, v letech 2010 a 2013 došlo k nárůstu snížené i základní sazby DPH. K jediné úpravě sazeb, která mohla vést k poklesu spotřebitelských cen, došlo v loňském roce. Byla zavedena druhá snížená sazba DPH ve výši 10 %. Její efekty v cenové dynamice v roce 2015, a</w:t>
            </w:r>
            <w:r>
              <w:t> </w:t>
            </w:r>
            <w:r w:rsidRPr="00A927BA">
              <w:t>logicky tedy i v celém období 2006 až 2015, byly nicméně malé. Dotýkala se totiž pouze úzkého segmentu trhu, konkrétně šlo o léky, knihy, dětskou výživu a</w:t>
            </w:r>
            <w:r>
              <w:t> </w:t>
            </w:r>
            <w:r w:rsidRPr="00A927BA">
              <w:t xml:space="preserve">některé suroviny pro výrobu speciálních potravin. Lze rovněž předpokládat, že prodejci </w:t>
            </w:r>
            <w:r>
              <w:t>pokles sazby</w:t>
            </w:r>
            <w:r w:rsidRPr="00A927BA">
              <w:t xml:space="preserve"> DPH v cenách </w:t>
            </w:r>
            <w:r>
              <w:t>zohlednili pouze částečně, a nikoliv v plném rozsahu</w:t>
            </w:r>
            <w:r w:rsidRPr="00A927BA">
              <w:t>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5E116A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 xml:space="preserve">Ceny alkoholických nápojů narostly za desetiletí o 25,9 %, avšak ceny tabáku se zdvojnásobily (+97,4 %) 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Default="005E116A" w:rsidP="007A0BF4">
            <w:pPr>
              <w:pStyle w:val="Textpoznpodarou"/>
              <w:jc w:val="both"/>
            </w:pPr>
            <w:r w:rsidRPr="00A927BA">
              <w:t>Z jednotlivých oddílů spotřebního koše narostly nejrychleji mezi rokem 2005 a 2015 ceny alkoholických nápojů a tabáku (o 60,9 %). Souviselo to primárně s růstem spotřebních daní uvalených na tabák. Obecně je totiž tématem posílit prostřednictvím jeho zdanění příjmy státního rozpočtu</w:t>
            </w:r>
            <w:r>
              <w:t xml:space="preserve">. </w:t>
            </w:r>
            <w:r w:rsidRPr="00A927BA">
              <w:t>Zároveň je ale</w:t>
            </w:r>
            <w:r>
              <w:t xml:space="preserve"> </w:t>
            </w:r>
            <w:r w:rsidRPr="00A927BA">
              <w:t>snahou odrazovat společnost od spotřeby tabáku, ať už cigaret nebo podobných výrobků, neboť ohrožuje zdraví.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5E116A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8A7D9F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 xml:space="preserve">Více než dvojnásobný </w:t>
            </w:r>
            <w:r w:rsidR="008A7D9F">
              <w:rPr>
                <w:sz w:val="16"/>
                <w:szCs w:val="16"/>
              </w:rPr>
              <w:t>celkový</w:t>
            </w:r>
            <w:r w:rsidRPr="00A927BA">
              <w:rPr>
                <w:sz w:val="16"/>
                <w:szCs w:val="16"/>
              </w:rPr>
              <w:t xml:space="preserve"> růst cen výdajů na zdraví v porovnání s úhrnným růstem spotřebitelských cen v</w:t>
            </w:r>
            <w:r w:rsidR="008A7D9F">
              <w:rPr>
                <w:sz w:val="16"/>
                <w:szCs w:val="16"/>
              </w:rPr>
              <w:t> </w:t>
            </w:r>
            <w:r w:rsidRPr="00A927BA">
              <w:rPr>
                <w:sz w:val="16"/>
                <w:szCs w:val="16"/>
              </w:rPr>
              <w:t>posledních deseti letech souvisel zřejmě s tržním uspořádáním odvětví farmacie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A927BA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  <w:r w:rsidRPr="00A927BA">
              <w:t>Velmi výrazně stouply v poslední dekádě i ceny výdajů na zdraví (o 52,9 %). Pohled na data naznačuje, že příčinou bylo zavedení regulačních poplatků ve zdravotnictví v roce 2008, kdy ceny výdajů na zdraví narostly meziročně o 31,4 %. Jenomže tomu tak být nemohlo, protože v roce 2015 již byly všechny regulační poplatky zrušeny. Výjimkou byl pouze poplatek za využití pohotovostní služby ve výši 90 korun, ten zůstal v platnosti i nadále. Intenzivní nárůst cen výdajů na zdraví, ke kterému v letech 2006–2015 docházelo, je tak třeba přisuzovat jiným vlivům. Jedním z hlavních byla patrně síla farmaceutických společností, kterou měly při prosazování cen.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5E116A" w:rsidTr="007A0BF4">
        <w:tblPrEx>
          <w:tblLook w:val="00A0"/>
        </w:tblPrEx>
        <w:trPr>
          <w:trHeight w:val="764"/>
        </w:trPr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Výrazně vyšší růst cen nájemného z bytu (</w:t>
            </w:r>
            <w:r>
              <w:rPr>
                <w:sz w:val="16"/>
                <w:szCs w:val="16"/>
              </w:rPr>
              <w:t>+72</w:t>
            </w:r>
            <w:r w:rsidRPr="00A927BA">
              <w:rPr>
                <w:sz w:val="16"/>
                <w:szCs w:val="16"/>
              </w:rPr>
              <w:t>,6 %) v porovnání s imputovaným nájemným (</w:t>
            </w:r>
            <w:r>
              <w:rPr>
                <w:sz w:val="16"/>
                <w:szCs w:val="16"/>
              </w:rPr>
              <w:t>+</w:t>
            </w:r>
            <w:r w:rsidRPr="00A927B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,0</w:t>
            </w:r>
            <w:r w:rsidRPr="00A927BA">
              <w:rPr>
                <w:sz w:val="16"/>
                <w:szCs w:val="16"/>
              </w:rPr>
              <w:t xml:space="preserve"> %) naznačuje, že ve „svém“ lidé bydlí spíše v méně lukrativních lokalitách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05428A" w:rsidRDefault="005E116A" w:rsidP="007A0BF4">
            <w:pPr>
              <w:pStyle w:val="Textpoznpodarou"/>
              <w:jc w:val="both"/>
            </w:pPr>
            <w:r w:rsidRPr="0005428A">
              <w:t>Třetím nejrychleji rostoucím oddílem spotřebního koše, co se týče cenové úrovně, byly výdaje na bydlení, vodu, energie a paliva (</w:t>
            </w:r>
            <w:r>
              <w:t>+</w:t>
            </w:r>
            <w:r w:rsidRPr="0005428A">
              <w:t>44,6 %). Z Grafu č. 7 je patrné, že příčinou byl vysoký růst cen nájemného z bytu (</w:t>
            </w:r>
            <w:r>
              <w:t>+</w:t>
            </w:r>
            <w:r w:rsidRPr="0005428A">
              <w:t>72,6 %), ostatních služeb souvisejících s bydlením (</w:t>
            </w:r>
            <w:r>
              <w:t>+</w:t>
            </w:r>
            <w:r w:rsidRPr="0005428A">
              <w:t>59,6 %), zejména vodného a stočného, a také už zmiňovaných energií (</w:t>
            </w:r>
            <w:r>
              <w:t>+</w:t>
            </w:r>
            <w:r w:rsidRPr="0005428A">
              <w:t>59,2 %). Ceny váhově významného imputovaného nájemného, tj. nájmu, který by spotřebitelé bydlící ve vlastním domě či bytě platili, když by si ho pronajímali, stouply mnohem méně (o 23,0 %).</w:t>
            </w:r>
          </w:p>
        </w:tc>
      </w:tr>
    </w:tbl>
    <w:p w:rsidR="0036572A" w:rsidRPr="0016605E" w:rsidRDefault="0036572A" w:rsidP="005E116A">
      <w:pPr>
        <w:rPr>
          <w:sz w:val="16"/>
          <w:szCs w:val="16"/>
        </w:rPr>
      </w:pPr>
    </w:p>
    <w:p w:rsidR="005E116A" w:rsidRPr="00A927BA" w:rsidRDefault="005E116A" w:rsidP="005E116A">
      <w:pPr>
        <w:rPr>
          <w:vertAlign w:val="superscript"/>
        </w:rPr>
      </w:pPr>
      <w:r w:rsidRPr="00A927BA">
        <w:t xml:space="preserve">Graf č. 7: </w:t>
      </w:r>
      <w:r w:rsidR="002C2BAF">
        <w:rPr>
          <w:b/>
        </w:rPr>
        <w:t>Celková</w:t>
      </w:r>
      <w:r w:rsidRPr="00A927BA">
        <w:rPr>
          <w:b/>
        </w:rPr>
        <w:t xml:space="preserve"> změna spotřebitelských cen v letech 2006–2015</w:t>
      </w:r>
      <w:r w:rsidRPr="00A927BA">
        <w:t xml:space="preserve"> (v %)</w:t>
      </w:r>
    </w:p>
    <w:p w:rsidR="005E116A" w:rsidRDefault="00315A8C" w:rsidP="005E116A">
      <w:r w:rsidRPr="007447A3">
        <w:rPr>
          <w:noProof/>
          <w:sz w:val="16"/>
          <w:szCs w:val="16"/>
        </w:rPr>
        <w:pict>
          <v:shape id="_x0000_i1079" type="#_x0000_t75" style="width:481.45pt;height:186.55pt;visibility:visible;mso-wrap-style:square">
            <v:imagedata r:id="rId14" o:title=""/>
          </v:shape>
        </w:pict>
      </w:r>
    </w:p>
    <w:p w:rsidR="005E116A" w:rsidRPr="00A927BA" w:rsidRDefault="005E116A" w:rsidP="005E116A">
      <w:pPr>
        <w:jc w:val="right"/>
        <w:rPr>
          <w:sz w:val="18"/>
          <w:szCs w:val="18"/>
        </w:rPr>
      </w:pPr>
      <w:r w:rsidRPr="00A927BA">
        <w:rPr>
          <w:sz w:val="18"/>
          <w:szCs w:val="18"/>
        </w:rPr>
        <w:t>*Pozn.: Energie = Elektrická a tepelná energie, plyn a ostatní paliva.                                                                  Zdroj: ČSÚ</w:t>
      </w:r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5E116A" w:rsidRPr="007F4072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lastRenderedPageBreak/>
              <w:t>Tři oddíly spotřebního koše mezi rokem 2005 a 2015 zlevnily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Cenový vývoj v jednotlivých oddílech spotřebního koše byl v letech 2006–2015 diametrálně odlišný. V některých byl výrazně rychlejší, než odpovídalo průměrnému nárůstu spotřebitelských cen, v jiných naopak podprůměrný. V případě tří oddílů cenová úroveň v tomto období dokonce poklesla.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5E116A" w:rsidRPr="007F4072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A927BA">
              <w:rPr>
                <w:spacing w:val="-4"/>
                <w:sz w:val="16"/>
                <w:szCs w:val="16"/>
              </w:rPr>
              <w:t xml:space="preserve">Navzdory dramatickému </w:t>
            </w:r>
            <w:r w:rsidRPr="00A927BA">
              <w:rPr>
                <w:sz w:val="16"/>
                <w:szCs w:val="16"/>
              </w:rPr>
              <w:t>zdražení poštovních</w:t>
            </w:r>
            <w:r w:rsidRPr="00A927BA">
              <w:rPr>
                <w:spacing w:val="-4"/>
                <w:sz w:val="16"/>
                <w:szCs w:val="16"/>
              </w:rPr>
              <w:t xml:space="preserve"> </w:t>
            </w:r>
            <w:r w:rsidRPr="00A927BA">
              <w:rPr>
                <w:sz w:val="16"/>
                <w:szCs w:val="16"/>
              </w:rPr>
              <w:t>služeb klesly ceny výdajů na pošty a telekomunikace v poslední dekádě o pětinu</w:t>
            </w:r>
            <w:r w:rsidRPr="00A927BA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Nejrazantněji se mezi roky 2005 a 2015 snížily ceny výdajů na pošt</w:t>
            </w:r>
            <w:r>
              <w:t>y</w:t>
            </w:r>
            <w:r w:rsidRPr="00A927BA">
              <w:t xml:space="preserve"> a telekomunikace (o 20,1 %). Způsobil to zejména pokles cen telefonických</w:t>
            </w:r>
            <w:r>
              <w:t xml:space="preserve"> a telefaxových služeb (o </w:t>
            </w:r>
            <w:r w:rsidRPr="00A927BA">
              <w:t>16,4 %), jehož základem byla sílící konkurence mezi poskytovateli mobilního a internetového připojení, částečně to ale souviselo i s propadem cen telefonních a telefaxových zaříz</w:t>
            </w:r>
            <w:r>
              <w:t xml:space="preserve">ení (o </w:t>
            </w:r>
            <w:r w:rsidRPr="00A927BA">
              <w:t>86,1 %). Poštovní služby tento vývoj tlumily. Jejich váha je sice malá, na druhou stranu jejich ceny za roky 2006–2015 vzrostly markantně (</w:t>
            </w:r>
            <w:r>
              <w:t>+</w:t>
            </w:r>
            <w:r w:rsidRPr="00A927BA">
              <w:t>88,4 %).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5E116A" w:rsidRPr="007F4072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Levné dovozy z Asie stlačovaly ceny odívání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V roce 2015 jsme v porovnání s rokem 2005 kupovali levněji také odívání a obuv (o 12,4 %). Jak ukazuje podrobnější struktura, příčinou byl pokles cen odívání (o</w:t>
            </w:r>
            <w:r>
              <w:t> </w:t>
            </w:r>
            <w:r w:rsidRPr="00A927BA">
              <w:t>18,7 %), protože ceny obuvi (vč. oprav) mírně narostly (</w:t>
            </w:r>
            <w:r>
              <w:t>+</w:t>
            </w:r>
            <w:r w:rsidRPr="00A927BA">
              <w:t xml:space="preserve">8,1 %). </w:t>
            </w:r>
            <w:r w:rsidRPr="00F1547C">
              <w:rPr>
                <w:spacing w:val="-2"/>
              </w:rPr>
              <w:t>Vyplýval z levných dovozů oděvů ze zahraničí, především z Asie (jejich</w:t>
            </w:r>
            <w:r w:rsidRPr="00A927BA">
              <w:t xml:space="preserve"> negativním dopadem </w:t>
            </w:r>
            <w:r>
              <w:t>ale</w:t>
            </w:r>
            <w:r w:rsidRPr="00A927BA">
              <w:t xml:space="preserve"> bylo vytěsňování tuzemských producentů</w:t>
            </w:r>
            <w:r>
              <w:t>)</w:t>
            </w:r>
            <w:r w:rsidRPr="00A927BA">
              <w:t>. Třetím a posledním oddílem spotřebního koše, jehož ceny během poslední dekády klesly, bylo bytové vybavení,</w:t>
            </w:r>
            <w:r>
              <w:t xml:space="preserve"> zařízení domácnosti, opravy (o </w:t>
            </w:r>
            <w:r w:rsidRPr="00A927BA">
              <w:t>6,1 %).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5E116A" w:rsidRPr="007F4072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Míra inflace v ČR v roce 2015 patřila</w:t>
            </w:r>
            <w:r>
              <w:rPr>
                <w:sz w:val="16"/>
                <w:szCs w:val="16"/>
              </w:rPr>
              <w:t xml:space="preserve"> v rámci zemí Evropské unie</w:t>
            </w:r>
            <w:r w:rsidRPr="00A927BA">
              <w:rPr>
                <w:sz w:val="16"/>
                <w:szCs w:val="16"/>
              </w:rPr>
              <w:t xml:space="preserve"> k nadprůměrným, …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 xml:space="preserve">Podle harmonizovaného indexu spotřebitelských cen (HICP) byla míra inflace v České republice v roce 2015 rovna </w:t>
            </w:r>
            <w:r>
              <w:t>+</w:t>
            </w:r>
            <w:r w:rsidRPr="00A927BA">
              <w:t xml:space="preserve">0,3 %, stejně jako podle národního indexu. </w:t>
            </w:r>
            <w:r w:rsidRPr="00382392">
              <w:rPr>
                <w:spacing w:val="-2"/>
              </w:rPr>
              <w:t>Přestože se jednalo o malý cenový přírůstek, umístila se ekonomika ČR</w:t>
            </w:r>
            <w:r>
              <w:t xml:space="preserve"> v žebříčku </w:t>
            </w:r>
            <w:r w:rsidRPr="00A927BA">
              <w:t>zemí EU z hlediska dynamiky spotřebitelských cen na šestém místě.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5E116A" w:rsidRPr="007F4072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 xml:space="preserve">…v deflaci bylo jedenáct zemí </w:t>
            </w:r>
            <w:r>
              <w:rPr>
                <w:sz w:val="16"/>
                <w:szCs w:val="16"/>
              </w:rPr>
              <w:t>tohoto celku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Cenový vývoj v Evropské unii v roce 2015 byl velmi slabý. Meziroční přírůstek spotřebitelských cen vyšší než 1 % si připsala pouze Malta (</w:t>
            </w:r>
            <w:r>
              <w:t>+</w:t>
            </w:r>
            <w:r w:rsidRPr="00A927BA">
              <w:t>1,2 %) a vyšší než 0,5 % další tři země (Rakousko, Švédsko, Belgie). Jedenáct zemí Unie bylo v deflaci, přitom ve třech z nich – v Bulharsku, Řecku a na Kypru – byla již poměrně hluboká (v těchto zemích ceny klesly o více než 1 %). Cenová hladina v </w:t>
            </w:r>
            <w:proofErr w:type="spellStart"/>
            <w:r w:rsidRPr="00A927BA">
              <w:t>eurozóně</w:t>
            </w:r>
            <w:proofErr w:type="spellEnd"/>
            <w:r w:rsidRPr="00A927BA">
              <w:t xml:space="preserve"> v loňském roce „zamrzla“ a stejně tak i v celé EU.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5E116A" w:rsidRPr="007F4072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I přes mohutné nákupy cenných papírů ze strany</w:t>
            </w:r>
            <w:r>
              <w:rPr>
                <w:sz w:val="16"/>
                <w:szCs w:val="16"/>
              </w:rPr>
              <w:t> </w:t>
            </w:r>
            <w:r w:rsidRPr="00A927BA">
              <w:rPr>
                <w:sz w:val="16"/>
                <w:szCs w:val="16"/>
              </w:rPr>
              <w:t>ECB zamířila míra inflace v </w:t>
            </w:r>
            <w:proofErr w:type="spellStart"/>
            <w:r w:rsidRPr="00A927BA">
              <w:rPr>
                <w:sz w:val="16"/>
                <w:szCs w:val="16"/>
              </w:rPr>
              <w:t>eurozóně</w:t>
            </w:r>
            <w:proofErr w:type="spellEnd"/>
            <w:r w:rsidRPr="00A927BA">
              <w:rPr>
                <w:sz w:val="16"/>
                <w:szCs w:val="16"/>
              </w:rPr>
              <w:t xml:space="preserve"> v roce 2015 k nule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382392" w:rsidRDefault="005E116A" w:rsidP="007A0BF4">
            <w:pPr>
              <w:pStyle w:val="Textpoznpodarou"/>
              <w:jc w:val="both"/>
            </w:pPr>
            <w:r w:rsidRPr="00382392">
              <w:t>Cenová stagnace v </w:t>
            </w:r>
            <w:proofErr w:type="spellStart"/>
            <w:r w:rsidRPr="00382392">
              <w:t>eurozóně</w:t>
            </w:r>
            <w:proofErr w:type="spellEnd"/>
            <w:r w:rsidRPr="00382392">
              <w:t xml:space="preserve"> v roce 2015 byla vyústěním dlouhodobé dezinflace. Zatímco v roce 2011 stouply ceny v tomto hospodářském prostoru o 2,7 %, v dalších letech se cenové přírůstky snižovaly přes </w:t>
            </w:r>
            <w:r>
              <w:t>+2,5</w:t>
            </w:r>
            <w:r w:rsidRPr="00382392">
              <w:t xml:space="preserve">, </w:t>
            </w:r>
            <w:r>
              <w:t>+</w:t>
            </w:r>
            <w:r w:rsidRPr="00382392">
              <w:t>1</w:t>
            </w:r>
            <w:r>
              <w:t>,3</w:t>
            </w:r>
            <w:r w:rsidRPr="00382392">
              <w:t xml:space="preserve"> a </w:t>
            </w:r>
            <w:r>
              <w:t>+</w:t>
            </w:r>
            <w:r w:rsidRPr="00382392">
              <w:t xml:space="preserve">0,4 % až k nule v roce 2015. Uvolněná měnová politika Evropské centrální banky (ECB) tento proces zvrátit nedokázala, nezabránily mu ani netradiční nástroje typu kvantitativního uvolňování (nákup vládních dluhopisů na sekundárním trhu), které bylo zahájeno v březnu 2015. ECB v rámci všech svých programů </w:t>
            </w:r>
            <w:proofErr w:type="gramStart"/>
            <w:r w:rsidRPr="00382392">
              <w:t>kupovala</w:t>
            </w:r>
            <w:proofErr w:type="gramEnd"/>
            <w:r w:rsidRPr="00382392">
              <w:t> každý měsíc cenné papíry v hodnotě 60 mld. euro (od dubna 2016 je to již za 80 mld.). Navíc se vyjádřila, že v tomto režimu setrvá až do března 2017 a zároveň do té doby, dokud se inflace na horizontu měnové politiky nebude blížit 2 %.</w:t>
            </w:r>
          </w:p>
        </w:tc>
      </w:tr>
    </w:tbl>
    <w:p w:rsidR="005E116A" w:rsidRPr="003C6415" w:rsidRDefault="005E116A" w:rsidP="005E116A">
      <w:pPr>
        <w:rPr>
          <w:sz w:val="18"/>
          <w:szCs w:val="18"/>
        </w:rPr>
      </w:pPr>
    </w:p>
    <w:p w:rsidR="005E116A" w:rsidRPr="00A927BA" w:rsidRDefault="005E116A" w:rsidP="005E116A">
      <w:pPr>
        <w:rPr>
          <w:vertAlign w:val="superscript"/>
        </w:rPr>
      </w:pPr>
      <w:r w:rsidRPr="00A927BA">
        <w:t xml:space="preserve">Graf č. 8: </w:t>
      </w:r>
      <w:r w:rsidRPr="00A927BA">
        <w:rPr>
          <w:b/>
        </w:rPr>
        <w:t xml:space="preserve">Harmonizovaný index spotřebitelských cen </w:t>
      </w:r>
      <w:r w:rsidRPr="00A927BA">
        <w:t>(HICP)</w:t>
      </w:r>
      <w:r w:rsidRPr="00A927BA">
        <w:rPr>
          <w:b/>
        </w:rPr>
        <w:t xml:space="preserve"> v zemích EU v roce 2015</w:t>
      </w:r>
      <w:r w:rsidRPr="00A927BA">
        <w:t xml:space="preserve"> (y/y v %)</w:t>
      </w:r>
    </w:p>
    <w:p w:rsidR="005E116A" w:rsidRPr="00A927BA" w:rsidRDefault="00315A8C" w:rsidP="005E116A">
      <w:pPr>
        <w:rPr>
          <w:sz w:val="18"/>
          <w:szCs w:val="18"/>
        </w:rPr>
      </w:pPr>
      <w:r w:rsidRPr="007447A3">
        <w:rPr>
          <w:noProof/>
          <w:sz w:val="18"/>
          <w:szCs w:val="18"/>
        </w:rPr>
        <w:pict>
          <v:shape id="_x0000_i1080" type="#_x0000_t75" style="width:481.45pt;height:186.55pt;visibility:visible;mso-wrap-style:square">
            <v:imagedata r:id="rId15" o:title=""/>
          </v:shape>
        </w:pict>
      </w:r>
    </w:p>
    <w:p w:rsidR="005E116A" w:rsidRPr="007E0AB5" w:rsidRDefault="005E116A" w:rsidP="005E116A">
      <w:pPr>
        <w:jc w:val="right"/>
        <w:rPr>
          <w:color w:val="FF0000"/>
          <w:sz w:val="18"/>
          <w:szCs w:val="18"/>
        </w:rPr>
      </w:pPr>
      <w:r w:rsidRPr="00A927BA">
        <w:rPr>
          <w:sz w:val="18"/>
          <w:szCs w:val="18"/>
        </w:rPr>
        <w:t xml:space="preserve">Zdroj: </w:t>
      </w:r>
      <w:proofErr w:type="spellStart"/>
      <w:r w:rsidRPr="00A927BA">
        <w:rPr>
          <w:sz w:val="18"/>
          <w:szCs w:val="18"/>
        </w:rPr>
        <w:t>Eurostat</w:t>
      </w:r>
      <w:proofErr w:type="spellEnd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5E116A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lastRenderedPageBreak/>
              <w:t>Cenová dynamika v roc</w:t>
            </w:r>
            <w:r>
              <w:rPr>
                <w:sz w:val="16"/>
                <w:szCs w:val="16"/>
              </w:rPr>
              <w:t>e 2015 horší ve většině zemí EU</w:t>
            </w:r>
            <w:r w:rsidRPr="00A927BA">
              <w:rPr>
                <w:sz w:val="16"/>
                <w:szCs w:val="16"/>
              </w:rPr>
              <w:t>…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Meziroční dynamika spotřebitelských cen oslabila v loňském roce ve většině zemí Unie. Výjimkou bylo jen Bulharsko a Řecko, kde</w:t>
            </w:r>
            <w:r>
              <w:t xml:space="preserve"> se</w:t>
            </w:r>
            <w:r w:rsidRPr="00A927BA">
              <w:t xml:space="preserve"> zmírnila deflace, dále Portugalsko, které se z ní vymanilo. Mírně inflace narostla ve Švédsku, na Maltě, v Maďarsku a v Belgii. Ostatní země na tom byly v cenové dynamice hůře než v roce 2014, jednu z hlavních rolí sehrály v tomto ohledu nízké ceny ropy.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5E116A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…i vlivem poklesu ceny ropy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4859B2">
              <w:rPr>
                <w:spacing w:val="-4"/>
              </w:rPr>
              <w:t>Ceny pohonných hmot (vč. olejů a podobn</w:t>
            </w:r>
            <w:r w:rsidR="004859B2" w:rsidRPr="004859B2">
              <w:rPr>
                <w:spacing w:val="-4"/>
              </w:rPr>
              <w:t>ých</w:t>
            </w:r>
            <w:r w:rsidRPr="004859B2">
              <w:rPr>
                <w:spacing w:val="-4"/>
              </w:rPr>
              <w:t xml:space="preserve"> přípravků) klesly v roce 2015 ve</w:t>
            </w:r>
            <w:r w:rsidRPr="00A927BA">
              <w:t xml:space="preserve"> všech zemích Unie. Nejrychleji se snížily v Bulharsku (</w:t>
            </w:r>
            <w:r>
              <w:t>-</w:t>
            </w:r>
            <w:r w:rsidRPr="00A927BA">
              <w:t>14,5 %) a v pobaltských zemích, následovaly je Polsko (</w:t>
            </w:r>
            <w:r>
              <w:t>-</w:t>
            </w:r>
            <w:r w:rsidRPr="00A927BA">
              <w:t>13,4 %), Česko (</w:t>
            </w:r>
            <w:r>
              <w:t>-</w:t>
            </w:r>
            <w:r w:rsidRPr="00A927BA">
              <w:t>13,3 %) a Velká Británie (</w:t>
            </w:r>
            <w:r>
              <w:t>-</w:t>
            </w:r>
            <w:r w:rsidRPr="00A927BA">
              <w:t xml:space="preserve">13,2 %). V EU jako celku klesly o 11,1 %. Vzhledem k tomu, že cena ropy se na světovém trhu začala snižovat už v polovině roku 2014, je vhodné provést totéž srovnání i v úhrnu za poslední dva roky. V nich se ceny pohonných hmot snížily nejrychleji </w:t>
            </w:r>
            <w:r w:rsidRPr="00714A42">
              <w:rPr>
                <w:spacing w:val="4"/>
              </w:rPr>
              <w:t xml:space="preserve">opět v Bulharsku (-18,2 %), dále ve Velké Británii (-17,5 %), </w:t>
            </w:r>
            <w:proofErr w:type="spellStart"/>
            <w:r w:rsidRPr="00714A42">
              <w:rPr>
                <w:spacing w:val="4"/>
              </w:rPr>
              <w:t>pobaltí</w:t>
            </w:r>
            <w:proofErr w:type="spellEnd"/>
            <w:r w:rsidRPr="00714A42">
              <w:rPr>
                <w:spacing w:val="4"/>
              </w:rPr>
              <w:t xml:space="preserve"> a v Polsku</w:t>
            </w:r>
            <w:r w:rsidRPr="00714A42">
              <w:t xml:space="preserve"> (-</w:t>
            </w:r>
            <w:r w:rsidRPr="00714A42">
              <w:rPr>
                <w:spacing w:val="-6"/>
              </w:rPr>
              <w:t>16</w:t>
            </w:r>
            <w:r w:rsidRPr="00A927BA">
              <w:t>,3</w:t>
            </w:r>
            <w:r>
              <w:t> </w:t>
            </w:r>
            <w:r w:rsidRPr="00A927BA">
              <w:t xml:space="preserve">%). Hloubka poklesu cen pohonných hmot v ČR za poslední dva roky činila </w:t>
            </w:r>
            <w:r>
              <w:t>-</w:t>
            </w:r>
            <w:r w:rsidRPr="00A927BA">
              <w:t>13,2 % a její pozice byla až sedmnáctá. Tyto relace naznačují, že ceny pohonných hmot v ČR reagovaly na nižší ceny ropy pomaleji než v EU. Otázka ovšem je, zda to bylo způsobeno vyčkáváním zpracovatelů a prodejců, kdy se při poklesu cen ropy snaž</w:t>
            </w:r>
            <w:r>
              <w:t>ili</w:t>
            </w:r>
            <w:r w:rsidRPr="00A927BA">
              <w:t xml:space="preserve"> zvýšit své marže ve větší míře, než bylo obvyklé v Unii, anebo dlouhodobějšími kontrakty na dovoz této komodity do tuzemska.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5E116A" w:rsidTr="007A0BF4">
        <w:tc>
          <w:tcPr>
            <w:tcW w:w="1054" w:type="pct"/>
          </w:tcPr>
          <w:p w:rsidR="005E116A" w:rsidRPr="00AC4D73" w:rsidRDefault="005E116A" w:rsidP="007A0BF4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CC3988">
              <w:rPr>
                <w:sz w:val="16"/>
                <w:szCs w:val="16"/>
              </w:rPr>
              <w:t>Ceny v ČR jsou stále výrazně nižší než v Evropské unii. V roce 2015 se komparativní cenová hladina skutečné individuální spotřeby rovnala</w:t>
            </w:r>
            <w:r>
              <w:rPr>
                <w:sz w:val="16"/>
                <w:szCs w:val="16"/>
              </w:rPr>
              <w:t xml:space="preserve"> 59,0</w:t>
            </w:r>
            <w:r w:rsidRPr="00CC3988">
              <w:rPr>
                <w:sz w:val="16"/>
                <w:szCs w:val="16"/>
              </w:rPr>
              <w:t> % …</w:t>
            </w:r>
          </w:p>
        </w:tc>
        <w:tc>
          <w:tcPr>
            <w:tcW w:w="143" w:type="pct"/>
          </w:tcPr>
          <w:p w:rsidR="005E116A" w:rsidRPr="00AC4D73" w:rsidRDefault="005E116A" w:rsidP="007A0BF4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3" w:type="pct"/>
          </w:tcPr>
          <w:p w:rsidR="005E116A" w:rsidRPr="00CC3988" w:rsidRDefault="005E116A" w:rsidP="007A0BF4">
            <w:pPr>
              <w:pStyle w:val="Textpoznpodarou"/>
              <w:jc w:val="both"/>
            </w:pPr>
            <w:r w:rsidRPr="00CC3988">
              <w:t xml:space="preserve">S dlouhodobou reálnou konvergencí je spjata i konvergence nominální. Zatímco v prvním případě jde o přibližování ekonomické </w:t>
            </w:r>
            <w:r w:rsidR="00001A7D">
              <w:t>výkonnosti</w:t>
            </w:r>
            <w:r w:rsidRPr="00CC3988">
              <w:t xml:space="preserve"> méně rozvinutých zemí těm </w:t>
            </w:r>
            <w:r w:rsidR="00001A7D">
              <w:t>výkonnějším</w:t>
            </w:r>
            <w:r w:rsidRPr="00CC3988">
              <w:t>, ve druhém o přibližování cenových hladin. K němu může docházet buď rychlejším růstem cen v dohánějící ekonomice, anebo zhodnocením měny této ekonomiky. V roce 2015 byla cenová hladina v Česku na </w:t>
            </w:r>
            <w:r>
              <w:t>59,0</w:t>
            </w:r>
            <w:r w:rsidRPr="00CC3988">
              <w:t xml:space="preserve"> % průměrné úrovně zemí evropské osmadvacítky a 54,9 % průměru EU15, vyjádřeno ukazatelem komparativní cenové hladiny skutečné individuální spotřeby. Život v ČR tak byl stále výrazně levnější než v Unii a především v porovnání s její vyspělejší částí. Je však třeba zdůraznit, že toto srovnání bere </w:t>
            </w:r>
            <w:r w:rsidRPr="00CC3988">
              <w:rPr>
                <w:spacing w:val="-2"/>
              </w:rPr>
              <w:t>v potaz pouze ceny a nikoliv příjmy domácností. Nic tedy neříká o jejich kupní síle.</w:t>
            </w:r>
          </w:p>
          <w:p w:rsidR="005E116A" w:rsidRPr="00AC4D73" w:rsidRDefault="005E116A" w:rsidP="007A0BF4">
            <w:pPr>
              <w:pStyle w:val="Textpoznpodarou"/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5E116A" w:rsidTr="007A0BF4">
        <w:tc>
          <w:tcPr>
            <w:tcW w:w="1054" w:type="pct"/>
          </w:tcPr>
          <w:p w:rsidR="005E116A" w:rsidRPr="00AC4D73" w:rsidRDefault="005E116A" w:rsidP="007A0BF4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CC3988">
              <w:rPr>
                <w:sz w:val="16"/>
                <w:szCs w:val="16"/>
              </w:rPr>
              <w:t>… a v porovnání s rokem 2005 stoupla</w:t>
            </w:r>
            <w:r>
              <w:rPr>
                <w:sz w:val="16"/>
                <w:szCs w:val="16"/>
              </w:rPr>
              <w:t xml:space="preserve"> jen o 5,0</w:t>
            </w:r>
            <w:r w:rsidRPr="00CC3988">
              <w:rPr>
                <w:sz w:val="16"/>
                <w:szCs w:val="16"/>
              </w:rPr>
              <w:t> </w:t>
            </w:r>
            <w:proofErr w:type="spellStart"/>
            <w:proofErr w:type="gramStart"/>
            <w:r w:rsidRPr="00CC3988">
              <w:rPr>
                <w:sz w:val="16"/>
                <w:szCs w:val="16"/>
              </w:rPr>
              <w:t>p.b</w:t>
            </w:r>
            <w:proofErr w:type="spellEnd"/>
            <w:r w:rsidRPr="00CC3988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3" w:type="pct"/>
          </w:tcPr>
          <w:p w:rsidR="005E116A" w:rsidRPr="00AC4D73" w:rsidRDefault="005E116A" w:rsidP="007A0BF4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3" w:type="pct"/>
          </w:tcPr>
          <w:p w:rsidR="005E116A" w:rsidRPr="00AC4D73" w:rsidRDefault="005E116A" w:rsidP="007A0BF4">
            <w:pPr>
              <w:pStyle w:val="Textpoznpodarou"/>
              <w:jc w:val="both"/>
              <w:rPr>
                <w:color w:val="FF0000"/>
              </w:rPr>
            </w:pPr>
            <w:r w:rsidRPr="00CC3988">
              <w:t>Mezi rokem 2005 a 2015 se cenová hladina v ČR přiblížila cenám běžným v Unii pouze mírně</w:t>
            </w:r>
            <w:r>
              <w:t xml:space="preserve"> (o 5,0</w:t>
            </w:r>
            <w:r w:rsidRPr="00CC3988">
              <w:t xml:space="preserve"> </w:t>
            </w:r>
            <w:proofErr w:type="spellStart"/>
            <w:proofErr w:type="gramStart"/>
            <w:r w:rsidRPr="00CC3988">
              <w:t>p.b</w:t>
            </w:r>
            <w:proofErr w:type="spellEnd"/>
            <w:r w:rsidRPr="00CC3988">
              <w:t>.) a cenám</w:t>
            </w:r>
            <w:proofErr w:type="gramEnd"/>
            <w:r w:rsidRPr="00CC3988">
              <w:t xml:space="preserve"> v EU15 ještě pomaleji (o 3,9 </w:t>
            </w:r>
            <w:proofErr w:type="spellStart"/>
            <w:r w:rsidRPr="00CC3988">
              <w:t>p.b</w:t>
            </w:r>
            <w:proofErr w:type="spellEnd"/>
            <w:r w:rsidRPr="00CC3988">
              <w:t>.). Důležitou roli v tom sehrál vývoj v posledních pěti letech</w:t>
            </w:r>
            <w:r>
              <w:t xml:space="preserve"> (2011–2015</w:t>
            </w:r>
            <w:r w:rsidRPr="00CC3988">
              <w:t>), kdy se cenová hladina v Česku průměru zemí EU i EU15 kontinuálně vzdalovala.</w:t>
            </w:r>
          </w:p>
          <w:p w:rsidR="005E116A" w:rsidRPr="00AC4D73" w:rsidRDefault="005E116A" w:rsidP="007A0BF4">
            <w:pPr>
              <w:pStyle w:val="Textpoznpodarou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E116A" w:rsidTr="007A0BF4">
        <w:tc>
          <w:tcPr>
            <w:tcW w:w="1054" w:type="pct"/>
          </w:tcPr>
          <w:p w:rsidR="005E116A" w:rsidRPr="00AC4D73" w:rsidRDefault="005E116A" w:rsidP="007A0BF4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A262D4">
              <w:rPr>
                <w:sz w:val="16"/>
                <w:szCs w:val="16"/>
              </w:rPr>
              <w:t>V ČR jsou levnější hlavně vzdělávání a výdaje na zdraví. Nejblíže cenám běžným v EU jsou ceny pošt a telekomunikací</w:t>
            </w:r>
          </w:p>
        </w:tc>
        <w:tc>
          <w:tcPr>
            <w:tcW w:w="143" w:type="pct"/>
          </w:tcPr>
          <w:p w:rsidR="005E116A" w:rsidRPr="00AC4D73" w:rsidRDefault="005E116A" w:rsidP="007A0BF4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803" w:type="pct"/>
          </w:tcPr>
          <w:p w:rsidR="005E116A" w:rsidRPr="00AC4D73" w:rsidRDefault="005E116A" w:rsidP="007A0BF4">
            <w:pPr>
              <w:pStyle w:val="Textpoznpodarou"/>
              <w:jc w:val="both"/>
              <w:rPr>
                <w:color w:val="FF0000"/>
              </w:rPr>
            </w:pPr>
            <w:r w:rsidRPr="00CC3988">
              <w:t xml:space="preserve">Podle údajů z roku 2015 jsou v ČR proti průměru EU levnější zejména služby. </w:t>
            </w:r>
            <w:r w:rsidRPr="0076424A">
              <w:rPr>
                <w:spacing w:val="-2"/>
              </w:rPr>
              <w:t>Jejich ceny se totiž vyrovnávají obtížně. Ceny výdajů na vzdělávání byly</w:t>
            </w:r>
            <w:r w:rsidRPr="00CE0BFA">
              <w:t xml:space="preserve"> na 43</w:t>
            </w:r>
            <w:r>
              <w:t>,0</w:t>
            </w:r>
            <w:r w:rsidRPr="00CE0BFA">
              <w:t> % průměru Unie, na zdraví na 47,4 %. Za stravování a ubytování jsme platili 53,1 % a za bydlení, vodu, energie, paliva 56,5 %. Blízká cenová úroveň byla naopak typická pro snadno obchodovatelné zboží, jednalo se především o odívání a obuv (88,3 %) a potraviny a nealkoholické nápoje</w:t>
            </w:r>
            <w:r>
              <w:t xml:space="preserve"> (79,0</w:t>
            </w:r>
            <w:r w:rsidRPr="00CE0BFA">
              <w:t xml:space="preserve"> %). Je nicméně zajímavé, že vůbec nejblíže průměru EU byly ceny pošt a telekomunikací (88,7 %).</w:t>
            </w:r>
          </w:p>
        </w:tc>
      </w:tr>
    </w:tbl>
    <w:p w:rsidR="005E116A" w:rsidRDefault="005E116A" w:rsidP="005E116A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124"/>
        <w:gridCol w:w="3803"/>
        <w:gridCol w:w="861"/>
        <w:gridCol w:w="285"/>
        <w:gridCol w:w="3781"/>
      </w:tblGrid>
      <w:tr w:rsidR="005E116A" w:rsidRPr="003B58BA" w:rsidTr="005E116A">
        <w:tc>
          <w:tcPr>
            <w:tcW w:w="569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9</w:t>
            </w:r>
          </w:p>
        </w:tc>
        <w:tc>
          <w:tcPr>
            <w:tcW w:w="1928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5E116A">
              <w:rPr>
                <w:b/>
                <w:lang w:eastAsia="en-US"/>
              </w:rPr>
              <w:t xml:space="preserve">Harmonizovaný index spotřebitelských cen </w:t>
            </w:r>
            <w:r w:rsidRPr="00A927BA">
              <w:rPr>
                <w:lang w:eastAsia="en-US"/>
              </w:rPr>
              <w:t>(y/y v %)</w:t>
            </w:r>
          </w:p>
        </w:tc>
        <w:tc>
          <w:tcPr>
            <w:tcW w:w="581" w:type="pct"/>
            <w:gridSpan w:val="2"/>
          </w:tcPr>
          <w:p w:rsidR="005E116A" w:rsidRPr="007A2DA8" w:rsidRDefault="005E116A" w:rsidP="007A0BF4">
            <w:pPr>
              <w:pStyle w:val="Textpoznpodarou"/>
              <w:rPr>
                <w:lang w:eastAsia="en-US"/>
              </w:rPr>
            </w:pPr>
            <w:r w:rsidRPr="007A2DA8">
              <w:rPr>
                <w:lang w:eastAsia="en-US"/>
              </w:rPr>
              <w:t>Graf č. 10</w:t>
            </w:r>
          </w:p>
        </w:tc>
        <w:tc>
          <w:tcPr>
            <w:tcW w:w="1922" w:type="pct"/>
          </w:tcPr>
          <w:p w:rsidR="005E116A" w:rsidRPr="005E116A" w:rsidRDefault="005E116A" w:rsidP="007A0BF4">
            <w:pPr>
              <w:pStyle w:val="Textpoznpodarou"/>
              <w:rPr>
                <w:highlight w:val="yellow"/>
                <w:lang w:eastAsia="en-US"/>
              </w:rPr>
            </w:pPr>
            <w:r w:rsidRPr="005E116A">
              <w:rPr>
                <w:b/>
                <w:lang w:eastAsia="en-US"/>
              </w:rPr>
              <w:t>Komparativní cenová hladina skutečné individuální spotřeby v ČR</w:t>
            </w:r>
          </w:p>
        </w:tc>
      </w:tr>
      <w:tr w:rsidR="005E116A" w:rsidRPr="0057417F" w:rsidTr="005E116A">
        <w:tc>
          <w:tcPr>
            <w:tcW w:w="2497" w:type="pct"/>
            <w:gridSpan w:val="2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81" type="#_x0000_t75" style="width:237.9pt;height:186.55pt;visibility:visible;mso-wrap-style:square">
                  <v:imagedata r:id="rId16" o:title=""/>
                </v:shape>
              </w:pict>
            </w:r>
          </w:p>
        </w:tc>
        <w:tc>
          <w:tcPr>
            <w:tcW w:w="2503" w:type="pct"/>
            <w:gridSpan w:val="3"/>
          </w:tcPr>
          <w:p w:rsidR="005E116A" w:rsidRPr="005E116A" w:rsidRDefault="00315A8C" w:rsidP="005E116A">
            <w:pPr>
              <w:pStyle w:val="Textpoznpodarou"/>
              <w:jc w:val="both"/>
              <w:rPr>
                <w:color w:val="FF0000"/>
                <w:lang w:eastAsia="en-US"/>
              </w:rPr>
            </w:pPr>
            <w:r w:rsidRPr="007447A3">
              <w:rPr>
                <w:noProof/>
                <w:color w:val="FF0000"/>
              </w:rPr>
              <w:pict>
                <v:shape id="_x0000_i1082" type="#_x0000_t75" style="width:237.9pt;height:186.55pt;visibility:visible;mso-wrap-style:square">
                  <v:imagedata r:id="rId17" o:title=""/>
                </v:shape>
              </w:pict>
            </w:r>
          </w:p>
        </w:tc>
      </w:tr>
      <w:tr w:rsidR="005E116A" w:rsidRPr="003B58BA" w:rsidTr="005E116A">
        <w:tc>
          <w:tcPr>
            <w:tcW w:w="2934" w:type="pct"/>
            <w:gridSpan w:val="3"/>
          </w:tcPr>
          <w:p w:rsidR="005E116A" w:rsidRPr="005E116A" w:rsidRDefault="005E116A" w:rsidP="007A0BF4">
            <w:pPr>
              <w:pStyle w:val="Textpoznpodarou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066" w:type="pct"/>
            <w:gridSpan w:val="2"/>
          </w:tcPr>
          <w:p w:rsidR="005E116A" w:rsidRPr="005E116A" w:rsidRDefault="005E116A" w:rsidP="005E116A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E116A">
              <w:rPr>
                <w:sz w:val="18"/>
                <w:szCs w:val="18"/>
                <w:lang w:eastAsia="en-US"/>
              </w:rPr>
              <w:t xml:space="preserve">Zdroj: </w:t>
            </w:r>
            <w:proofErr w:type="spellStart"/>
            <w:r w:rsidRPr="005E116A">
              <w:rPr>
                <w:sz w:val="18"/>
                <w:szCs w:val="18"/>
                <w:lang w:eastAsia="en-US"/>
              </w:rPr>
              <w:t>Eurostat</w:t>
            </w:r>
            <w:proofErr w:type="spellEnd"/>
          </w:p>
        </w:tc>
      </w:tr>
    </w:tbl>
    <w:p w:rsidR="005E116A" w:rsidRPr="006262DB" w:rsidRDefault="00647313" w:rsidP="005E116A">
      <w:pPr>
        <w:pStyle w:val="Nadpis2"/>
      </w:pPr>
      <w:bookmarkStart w:id="3" w:name="_Toc457389324"/>
      <w:r>
        <w:lastRenderedPageBreak/>
        <w:t>4</w:t>
      </w:r>
      <w:r w:rsidR="005E116A">
        <w:t>.3. Ceny výrobců</w:t>
      </w:r>
      <w:bookmarkEnd w:id="3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5E116A" w:rsidRPr="00604C99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Ceny zemědělských výrobců (vč. ryb) klesly v roce 2015 o 6</w:t>
            </w:r>
            <w:r>
              <w:rPr>
                <w:sz w:val="16"/>
                <w:szCs w:val="16"/>
              </w:rPr>
              <w:t>,0</w:t>
            </w:r>
            <w:r w:rsidRPr="00A927BA">
              <w:rPr>
                <w:sz w:val="16"/>
                <w:szCs w:val="16"/>
              </w:rPr>
              <w:t xml:space="preserve"> %, …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Ceny zemědělských výrobců (vč. ryb) v roce 2015 dále klesly a skrze výrobní řetězec působily ve směru poklesu dynamiky spotřebitelských cen. Snížily se o 6</w:t>
            </w:r>
            <w:r>
              <w:t>,0</w:t>
            </w:r>
            <w:r w:rsidRPr="00A927BA">
              <w:t xml:space="preserve"> % a v úhrnu za poslední dva roky již </w:t>
            </w:r>
            <w:r w:rsidRPr="000831D6">
              <w:t xml:space="preserve">téměř o desetinu (o 9,5 %). Zatímco v roce 2014 poklesly pouze ceny rostlinné výroby (o 10,3 %) a cenový vývoj živočišné výroby působil </w:t>
            </w:r>
            <w:proofErr w:type="spellStart"/>
            <w:r w:rsidRPr="000831D6">
              <w:t>proinflačně</w:t>
            </w:r>
            <w:proofErr w:type="spellEnd"/>
            <w:r w:rsidRPr="000831D6">
              <w:t>, neboť její ceny stouply</w:t>
            </w:r>
            <w:r w:rsidRPr="00A927BA">
              <w:t xml:space="preserve"> o 4,9 %, loni klesly ceny v obou segmentech. Rostlinná výroba se v porovnání s rokem 2014 vykupovala za ceny nižší o 2,2 %, ceny živočišné výroby </w:t>
            </w:r>
            <w:r>
              <w:t xml:space="preserve">se </w:t>
            </w:r>
            <w:r w:rsidRPr="00A927BA">
              <w:t>propadly o 10,5 %.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5E116A" w:rsidRPr="00604C99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…podílela se na tom jak</w:t>
            </w:r>
            <w:r>
              <w:rPr>
                <w:sz w:val="16"/>
                <w:szCs w:val="16"/>
              </w:rPr>
              <w:t> </w:t>
            </w:r>
            <w:r w:rsidRPr="00A927BA">
              <w:rPr>
                <w:sz w:val="16"/>
                <w:szCs w:val="16"/>
              </w:rPr>
              <w:t>dobrá sklizeň v letech 2014 a 2015 (snižující ceny rostlinné výroby), …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Pokles cen rostlinné výroby v posledních dvou letech vyplýval především z dobré sklizně. V roce 2014 byla dobrá obecně, loni (i přes výrazná sucha v průběhu léta) hlavně v případě obilovin. Pokud se zprůměruje sklizeň zemědělských plodin za poslední dva roky a ta se srovná s průměrnou sklizní v letech 2011–2015, pak je zjevné, že sklizeň obilovin byla v posledních dvou letech vyšší o 7,8 %. Pšenice a ječmene – dvou nejrozšířenějších obilovin v ČR (na celkových osevních plochách obilovin se společně podílí více než 80 %) – se v těchto letech sklidilo dokonce o 12,3 %, respektive o 10,2 % více. Oproti průměru za posledních pět let bylo k dispozici také více řepky (o 9,3 %) a mírně i technické cukrovky (o 1,3 %).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5E116A" w:rsidRPr="00604C99" w:rsidTr="007A0BF4">
        <w:trPr>
          <w:trHeight w:val="1603"/>
        </w:trPr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… tak vnější vlivy (promítající se do poklesu cen živočišné výroby)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Propad cen živočišné výroby v roce 2015, ke kterému došlo poprvé od roku 2009, způsobily zejména vnější vlivy. Vyvolalo ho jednak zrušení tzv. mléčných kvót, jež vstoupilo v platnost na počátku dubna 2015, jednak restrikce uvalené na dovoz zemědělských produktů a potravin do Ruské federace. Oba tyto faktory vedly k nárůstu nabídky produktů na evropském trhu a tlačily na pokles jejich cen. Ceny mléka v České republice klesly o 17,2 % (z průměrné ceny 9,50 korun za litr v roce 2014 na 7,86 korun loni), jatečných prasat o 12</w:t>
            </w:r>
            <w:r>
              <w:t>,0</w:t>
            </w:r>
            <w:r w:rsidRPr="00A927BA">
              <w:t xml:space="preserve"> %. 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5E116A" w:rsidRPr="00604C99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Výroba mléka se loni zvýšila</w:t>
            </w:r>
            <w:r>
              <w:rPr>
                <w:sz w:val="16"/>
                <w:szCs w:val="16"/>
              </w:rPr>
              <w:t xml:space="preserve"> o 3,2 %, nízkým cenám navzdory. V</w:t>
            </w:r>
            <w:r w:rsidRPr="00A927BA">
              <w:rPr>
                <w:sz w:val="16"/>
                <w:szCs w:val="16"/>
              </w:rPr>
              <w:t>ýroba jatečných prasat byla nižší než před rokem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  <w:rPr>
                <w:spacing w:val="-4"/>
              </w:rPr>
            </w:pPr>
            <w:r w:rsidRPr="00A927BA">
              <w:rPr>
                <w:spacing w:val="-4"/>
              </w:rPr>
              <w:t>V kontextu nižších cen mléka v loňském roce je zajímavé, že jeho výroba stoupla meziročně o 3,2 %, nejrychleji za posledních deset let.</w:t>
            </w:r>
            <w:r>
              <w:rPr>
                <w:spacing w:val="-4"/>
              </w:rPr>
              <w:t xml:space="preserve"> Souviselo to s vyšší dojivostí.</w:t>
            </w:r>
            <w:r w:rsidRPr="00A927BA">
              <w:rPr>
                <w:spacing w:val="-4"/>
              </w:rPr>
              <w:t xml:space="preserve"> </w:t>
            </w:r>
            <w:r>
              <w:rPr>
                <w:spacing w:val="-4"/>
              </w:rPr>
              <w:t>Mléčná</w:t>
            </w:r>
            <w:r w:rsidRPr="00A927BA">
              <w:rPr>
                <w:spacing w:val="-4"/>
              </w:rPr>
              <w:t xml:space="preserve"> produkce byla dokonce  nejvyšší od roku 1996. Na pokles cen jatečných prasat zemědělci reagovali omezením produkce, </w:t>
            </w:r>
            <w:r>
              <w:rPr>
                <w:spacing w:val="-4"/>
              </w:rPr>
              <w:t>jejich výroba</w:t>
            </w:r>
            <w:r w:rsidRPr="00A927BA">
              <w:rPr>
                <w:spacing w:val="-4"/>
              </w:rPr>
              <w:t xml:space="preserve"> se meziročně snížila </w:t>
            </w:r>
            <w:r w:rsidRPr="002B11A2">
              <w:rPr>
                <w:spacing w:val="-6"/>
              </w:rPr>
              <w:t>o 1,4 % (poprvé po dvou letech) a spolu s roky 2012 a 2013 byla nejnižší v historii</w:t>
            </w:r>
            <w:r w:rsidRPr="00A927BA">
              <w:rPr>
                <w:spacing w:val="-4"/>
              </w:rPr>
              <w:t xml:space="preserve"> ČR.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5E116A" w:rsidRPr="00604C99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 xml:space="preserve">Vývoj cen zemědělských výrobců v poslední dekádě byl </w:t>
            </w:r>
            <w:r>
              <w:rPr>
                <w:sz w:val="16"/>
                <w:szCs w:val="16"/>
              </w:rPr>
              <w:t>ve struktuře výrazně</w:t>
            </w:r>
            <w:r w:rsidRPr="00A927BA">
              <w:rPr>
                <w:sz w:val="16"/>
                <w:szCs w:val="16"/>
              </w:rPr>
              <w:t xml:space="preserve"> diferencovaný. Zatímco ceny rostlinné výroby stouply celkově o 53,6 %, živočišné pouze o 1,1 %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>
              <w:t>Pomyslné n</w:t>
            </w:r>
            <w:r w:rsidRPr="00A927BA">
              <w:t xml:space="preserve">ůžky mezi cenami rostlinné a živočišné výroby se v posledních deseti letech výrazně rozevřely. </w:t>
            </w:r>
            <w:r w:rsidRPr="000831D6">
              <w:t>Zatímco ceny rostlinné výroby byly v loňském roce o</w:t>
            </w:r>
            <w:r>
              <w:t> </w:t>
            </w:r>
            <w:r w:rsidRPr="000831D6">
              <w:t>více než polovinu vyšší (</w:t>
            </w:r>
            <w:r>
              <w:t>+</w:t>
            </w:r>
            <w:r w:rsidRPr="000831D6">
              <w:t>53,6 %), ceny živočišné výroby se prakticky nezměnily a zůstaly na úrovni roku 2005 (stouply o 1,1 %). Vývoj výkupních cen favorizoval rostlinnou výrobu před živočišnou produkcí</w:t>
            </w:r>
            <w:r w:rsidRPr="00A927BA">
              <w:t xml:space="preserve"> a deformoval tak strukturu tuzemského agrárního sektoru. Docházelo k upřednostňování rostlinné výroby před živočišnou. Zároveň se však měnila i struktura rostlinné výroby jako takové, a to ve prospěch rentabilnějších rostlin (například řepky) na úkor plodin</w:t>
            </w:r>
            <w:r>
              <w:t xml:space="preserve">, jež jsou </w:t>
            </w:r>
            <w:r w:rsidRPr="00900B39">
              <w:t xml:space="preserve">určeny primárně </w:t>
            </w:r>
            <w:r w:rsidRPr="00900B39">
              <w:rPr>
                <w:spacing w:val="-2"/>
              </w:rPr>
              <w:t>ke zpracování</w:t>
            </w:r>
            <w:r w:rsidRPr="00900B39">
              <w:t xml:space="preserve"> v potravinářském průmyslu nebo k přímé spotřebě</w:t>
            </w:r>
            <w:r w:rsidRPr="00A927BA">
              <w:t>.</w:t>
            </w:r>
          </w:p>
        </w:tc>
      </w:tr>
    </w:tbl>
    <w:p w:rsidR="007D4AA5" w:rsidRPr="004D4EAC" w:rsidRDefault="007D4AA5" w:rsidP="005E116A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122"/>
        <w:gridCol w:w="957"/>
        <w:gridCol w:w="284"/>
        <w:gridCol w:w="2565"/>
        <w:gridCol w:w="860"/>
        <w:gridCol w:w="283"/>
        <w:gridCol w:w="3783"/>
      </w:tblGrid>
      <w:tr w:rsidR="005E116A" w:rsidRPr="00A927BA" w:rsidTr="005E116A">
        <w:tc>
          <w:tcPr>
            <w:tcW w:w="569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11</w:t>
            </w:r>
          </w:p>
        </w:tc>
        <w:tc>
          <w:tcPr>
            <w:tcW w:w="1930" w:type="pct"/>
            <w:gridSpan w:val="3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5E116A">
              <w:rPr>
                <w:b/>
                <w:lang w:eastAsia="en-US"/>
              </w:rPr>
              <w:t xml:space="preserve">Ceny zemědělských výrobců (vč. ryb) v roce 2015 </w:t>
            </w:r>
            <w:r w:rsidRPr="00A927BA">
              <w:rPr>
                <w:lang w:eastAsia="en-US"/>
              </w:rPr>
              <w:t>(y/y v %)</w:t>
            </w:r>
          </w:p>
        </w:tc>
        <w:tc>
          <w:tcPr>
            <w:tcW w:w="579" w:type="pct"/>
            <w:gridSpan w:val="2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12</w:t>
            </w:r>
          </w:p>
        </w:tc>
        <w:tc>
          <w:tcPr>
            <w:tcW w:w="1922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5E116A">
              <w:rPr>
                <w:b/>
                <w:lang w:eastAsia="en-US"/>
              </w:rPr>
              <w:t xml:space="preserve">Ceny zemědělských výrobců vč. ryb </w:t>
            </w:r>
            <w:r w:rsidRPr="00A927BA">
              <w:rPr>
                <w:lang w:eastAsia="en-US"/>
              </w:rPr>
              <w:t>(2005=100)</w:t>
            </w:r>
          </w:p>
        </w:tc>
      </w:tr>
      <w:tr w:rsidR="005E116A" w:rsidRPr="00A927BA" w:rsidTr="005E116A">
        <w:tc>
          <w:tcPr>
            <w:tcW w:w="2499" w:type="pct"/>
            <w:gridSpan w:val="4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 w:rsidRPr="007447A3">
              <w:rPr>
                <w:noProof/>
                <w:sz w:val="16"/>
                <w:szCs w:val="16"/>
              </w:rPr>
              <w:pict>
                <v:shape id="_x0000_i1083" type="#_x0000_t75" style="width:237.9pt;height:186.55pt;visibility:visible;mso-wrap-style:square">
                  <v:imagedata r:id="rId18" o:title=""/>
                </v:shape>
              </w:pict>
            </w:r>
          </w:p>
        </w:tc>
        <w:tc>
          <w:tcPr>
            <w:tcW w:w="2501" w:type="pct"/>
            <w:gridSpan w:val="3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 w:rsidRPr="007447A3">
              <w:rPr>
                <w:noProof/>
                <w:sz w:val="16"/>
                <w:szCs w:val="16"/>
              </w:rPr>
              <w:pict>
                <v:shape id="_x0000_i1084" type="#_x0000_t75" style="width:237.9pt;height:186.55pt;visibility:visible;mso-wrap-style:square">
                  <v:imagedata r:id="rId19" o:title=""/>
                </v:shape>
              </w:pict>
            </w:r>
          </w:p>
        </w:tc>
      </w:tr>
      <w:tr w:rsidR="005E116A" w:rsidRPr="00A927BA" w:rsidTr="005E116A">
        <w:tc>
          <w:tcPr>
            <w:tcW w:w="2935" w:type="pct"/>
            <w:gridSpan w:val="5"/>
          </w:tcPr>
          <w:p w:rsidR="005E116A" w:rsidRPr="005E116A" w:rsidRDefault="005E116A" w:rsidP="007A0BF4">
            <w:pPr>
              <w:pStyle w:val="Textpoznpodarou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5" w:type="pct"/>
            <w:gridSpan w:val="2"/>
          </w:tcPr>
          <w:p w:rsidR="005E116A" w:rsidRPr="005E116A" w:rsidRDefault="005E116A" w:rsidP="005E116A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E116A">
              <w:rPr>
                <w:sz w:val="18"/>
                <w:szCs w:val="18"/>
                <w:lang w:eastAsia="en-US"/>
              </w:rPr>
              <w:t>Zdroj: ČSÚ, vlastní výpočty</w:t>
            </w:r>
          </w:p>
        </w:tc>
      </w:tr>
      <w:tr w:rsidR="005E116A" w:rsidRPr="002C11CE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lastRenderedPageBreak/>
              <w:t>Pokles cen průmyslových výrobců v roce 2015 (o 3,2 %) byl nejvýraznější v historii České republiky, …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Ceny průmyslových výrobců klesly v roce 2015 o 3,2 % a navázaly tak na vývoj v roce předchozím, kdy se snížily o 0,8 %. Pokračující pokles cen byl výsledkem propadu ceny ropy na světovém trhu a nižších cen zpracovatelů v </w:t>
            </w:r>
            <w:proofErr w:type="spellStart"/>
            <w:r w:rsidRPr="00A927BA">
              <w:t>eurozóně</w:t>
            </w:r>
            <w:proofErr w:type="spellEnd"/>
            <w:r w:rsidRPr="00A927BA">
              <w:t>, jež do nadprůměrně otevřené tuzemské ekonomiky pronikaly spolu s dovozem zboží určeným k dalšímu zpracování. Přestože se ceny průmyslových výrobců v ČR za dobu její existence snížily již popáté, právě loňský pokles byl nejhlubší.</w:t>
            </w:r>
          </w:p>
          <w:p w:rsidR="005E116A" w:rsidRPr="00A927BA" w:rsidRDefault="005E116A" w:rsidP="007A0BF4">
            <w:pPr>
              <w:pStyle w:val="Textpoznpodarou"/>
              <w:jc w:val="both"/>
            </w:pPr>
          </w:p>
        </w:tc>
      </w:tr>
      <w:tr w:rsidR="005E116A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… způsobily ho především nižší ceny ve zpracovatelském průmyslu (o 3,9 %)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Z členění podle klasifikace produkce (CZ-CPA) vyplývá, že ke snížení cen průmyslových výrobců přispěl v největší míře zpracovatelský průmysl (-3,9 %). Nepatrně se na něm podílel i dlouhodobě nepříznivý vývoj cen v těžbě a dobývání (</w:t>
            </w:r>
            <w:r w:rsidRPr="008F226E">
              <w:rPr>
                <w:spacing w:val="-2"/>
              </w:rPr>
              <w:t>loni -0,6 %) a také snížení cen v energetice (o 0,8 %), konkrétně dodávek</w:t>
            </w:r>
            <w:r w:rsidRPr="00A927BA">
              <w:rPr>
                <w:spacing w:val="-2"/>
              </w:rPr>
              <w:t xml:space="preserve"> elektřiny. </w:t>
            </w:r>
            <w:r w:rsidRPr="008F226E">
              <w:rPr>
                <w:spacing w:val="-2"/>
              </w:rPr>
              <w:t xml:space="preserve">Ve </w:t>
            </w:r>
            <w:proofErr w:type="spellStart"/>
            <w:r w:rsidRPr="008F226E">
              <w:rPr>
                <w:spacing w:val="-2"/>
              </w:rPr>
              <w:t>zprac</w:t>
            </w:r>
            <w:proofErr w:type="spellEnd"/>
            <w:r w:rsidR="002A7E0A">
              <w:rPr>
                <w:spacing w:val="-2"/>
              </w:rPr>
              <w:t>.</w:t>
            </w:r>
            <w:r w:rsidRPr="008F226E">
              <w:rPr>
                <w:spacing w:val="-2"/>
              </w:rPr>
              <w:t xml:space="preserve"> průmyslu došlo k poklesu cen ve většině segmentů</w:t>
            </w:r>
            <w:r w:rsidRPr="00A927BA">
              <w:t>, nejsilnější byl však u</w:t>
            </w:r>
            <w:r w:rsidR="002A7E0A">
              <w:t> </w:t>
            </w:r>
            <w:r w:rsidRPr="002A7E0A">
              <w:rPr>
                <w:spacing w:val="-4"/>
              </w:rPr>
              <w:t>výrobců, kteří se přímo zabývají zpracováním ropy</w:t>
            </w:r>
            <w:r w:rsidR="002A7E0A" w:rsidRPr="002A7E0A">
              <w:rPr>
                <w:spacing w:val="-4"/>
              </w:rPr>
              <w:t xml:space="preserve"> a ropných výrobků </w:t>
            </w:r>
            <w:r w:rsidRPr="002A7E0A">
              <w:rPr>
                <w:spacing w:val="-4"/>
              </w:rPr>
              <w:t>–</w:t>
            </w:r>
            <w:r w:rsidRPr="00A927BA">
              <w:t xml:space="preserve"> producentů koksu a rafinovaných ropných produktů a</w:t>
            </w:r>
            <w:r>
              <w:t> </w:t>
            </w:r>
            <w:r w:rsidRPr="00A927BA">
              <w:t>výrobců chemických látek a výrobků.</w:t>
            </w:r>
          </w:p>
          <w:p w:rsidR="005E116A" w:rsidRPr="00A927BA" w:rsidRDefault="005E116A" w:rsidP="007A0BF4">
            <w:pPr>
              <w:pStyle w:val="Textpoznpodarou"/>
              <w:jc w:val="both"/>
            </w:pPr>
          </w:p>
        </w:tc>
      </w:tr>
      <w:tr w:rsidR="005E116A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Někteří zpracovatelé v loňském roce zdražili, ve všech případech ale pouze mírně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V roce 2015 se ceny snížily ve většině oborů zpracovatelského průmyslu vč. </w:t>
            </w:r>
            <w:r w:rsidRPr="00184A20">
              <w:rPr>
                <w:spacing w:val="6"/>
              </w:rPr>
              <w:t>váhově významných producentů potravinářs</w:t>
            </w:r>
            <w:r w:rsidR="00184A20" w:rsidRPr="00184A20">
              <w:rPr>
                <w:spacing w:val="6"/>
              </w:rPr>
              <w:t>kých výrobků, nápojů, tabáku</w:t>
            </w:r>
            <w:r w:rsidR="00184A20">
              <w:rPr>
                <w:spacing w:val="-2"/>
              </w:rPr>
              <w:t xml:space="preserve"> (-</w:t>
            </w:r>
            <w:r w:rsidRPr="00A927BA">
              <w:rPr>
                <w:spacing w:val="-2"/>
              </w:rPr>
              <w:t>2,5 </w:t>
            </w:r>
            <w:r w:rsidRPr="00A927BA">
              <w:t>%), obecných kovů, kovodělných výrobků (</w:t>
            </w:r>
            <w:r>
              <w:t>-</w:t>
            </w:r>
            <w:r w:rsidRPr="00A927BA">
              <w:t>1,5 %) či dopravních prostředků (</w:t>
            </w:r>
            <w:r>
              <w:t>-</w:t>
            </w:r>
            <w:r w:rsidRPr="00A927BA">
              <w:t xml:space="preserve">0,5 %). Někteří producenti své ceny – i přes pozitivní nákladový šok v podobě nízkých cen ropy – nicméně </w:t>
            </w:r>
            <w:r>
              <w:t>zvýšili</w:t>
            </w:r>
            <w:r w:rsidRPr="00A927BA">
              <w:t xml:space="preserve">. Ve všech případech se ale jednalo o malé přírůstky, v rozmezí od </w:t>
            </w:r>
            <w:r>
              <w:t>+</w:t>
            </w:r>
            <w:r w:rsidRPr="00A927BA">
              <w:t xml:space="preserve">0,1 % do </w:t>
            </w:r>
            <w:r>
              <w:t>+</w:t>
            </w:r>
            <w:r w:rsidRPr="00A927BA">
              <w:t>1,6 %. Šlo o producenty PC, elektronických a optických přístrojů</w:t>
            </w:r>
            <w:r w:rsidRPr="00A927BA">
              <w:rPr>
                <w:lang w:val="en-US"/>
              </w:rPr>
              <w:t>;</w:t>
            </w:r>
            <w:r w:rsidRPr="00A927BA">
              <w:t xml:space="preserve"> textilu, </w:t>
            </w:r>
            <w:r w:rsidRPr="00A927BA">
              <w:rPr>
                <w:spacing w:val="-2"/>
              </w:rPr>
              <w:t>oděvů, usní</w:t>
            </w:r>
            <w:r w:rsidRPr="00A927BA">
              <w:rPr>
                <w:spacing w:val="-2"/>
                <w:lang w:val="en-US"/>
              </w:rPr>
              <w:t>;</w:t>
            </w:r>
            <w:r w:rsidRPr="00A927BA">
              <w:rPr>
                <w:spacing w:val="-2"/>
              </w:rPr>
              <w:t xml:space="preserve"> základních farmaceutických výrobků a rovněž o</w:t>
            </w:r>
            <w:r w:rsidRPr="00A927BA">
              <w:t xml:space="preserve"> producenty nábytku a ostatních výrobků zpracovatelského průmyslu</w:t>
            </w:r>
            <w:r w:rsidR="00FD4763">
              <w:t xml:space="preserve"> (</w:t>
            </w:r>
            <w:r w:rsidR="00FD4763" w:rsidRPr="00FD4763">
              <w:rPr>
                <w:spacing w:val="-2"/>
              </w:rPr>
              <w:t xml:space="preserve">kde se zvýšily ceny zejména v případě </w:t>
            </w:r>
            <w:r w:rsidR="00FD4763">
              <w:rPr>
                <w:spacing w:val="-2"/>
              </w:rPr>
              <w:t>oprav</w:t>
            </w:r>
            <w:r w:rsidR="00FD4763" w:rsidRPr="00FD4763">
              <w:rPr>
                <w:spacing w:val="-2"/>
              </w:rPr>
              <w:t>, údržby a instalace strojů a zařízení</w:t>
            </w:r>
            <w:r w:rsidR="00FD4763">
              <w:t>)</w:t>
            </w:r>
            <w:r w:rsidRPr="00A927BA">
              <w:t>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5E116A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Zatímco ceny zpracovatelů vzrostly za posledních deset let o 8,4 %, zásobování vodou</w:t>
            </w:r>
            <w:r>
              <w:rPr>
                <w:sz w:val="16"/>
                <w:szCs w:val="16"/>
              </w:rPr>
              <w:t xml:space="preserve"> (a služby související s odpadními vodami)</w:t>
            </w:r>
            <w:r w:rsidRPr="00A927BA">
              <w:rPr>
                <w:sz w:val="16"/>
                <w:szCs w:val="16"/>
              </w:rPr>
              <w:t xml:space="preserve"> zdražilo o 65,5 %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A927BA" w:rsidRDefault="005E116A" w:rsidP="007A0BF4">
            <w:pPr>
              <w:pStyle w:val="Textpoznpodarou"/>
              <w:jc w:val="both"/>
              <w:rPr>
                <w:spacing w:val="-4"/>
              </w:rPr>
            </w:pPr>
            <w:r w:rsidRPr="00A927BA">
              <w:rPr>
                <w:spacing w:val="-4"/>
              </w:rPr>
              <w:t>ČR je nejprůmyslovější zemí EU a cenový vývoj v průmyslu je pro ni proto důležitější než pro ostatní země Unie. Ovlivňuje částečně zisky firem, je rovněž jedním z faktorů, od kterého se odvíjí úroveň mezd zaměstnanců. V </w:t>
            </w:r>
            <w:r w:rsidR="00BB6FED">
              <w:rPr>
                <w:spacing w:val="-4"/>
              </w:rPr>
              <w:t>úhrnu</w:t>
            </w:r>
            <w:r w:rsidRPr="00A927BA">
              <w:rPr>
                <w:spacing w:val="-4"/>
              </w:rPr>
              <w:t xml:space="preserve"> za posledních deset let (2006 až 2015) stouply ceny průmyslových výrobců o 13,1 %. Vývoj cen </w:t>
            </w:r>
            <w:r w:rsidRPr="0076424A">
              <w:rPr>
                <w:spacing w:val="-6"/>
              </w:rPr>
              <w:t>v konkrétních segmentech byl ale velmi odlišný. Ceny ve zpracovatelském</w:t>
            </w:r>
            <w:r w:rsidRPr="00A927BA">
              <w:rPr>
                <w:spacing w:val="-4"/>
              </w:rPr>
              <w:t xml:space="preserve"> průmyslu, které musí obstát v mezinárodní konkurenci, vzrostly v tomto období pouze o 8,4 % (</w:t>
            </w:r>
            <w:r>
              <w:rPr>
                <w:spacing w:val="-4"/>
              </w:rPr>
              <w:t xml:space="preserve">výrazný </w:t>
            </w:r>
            <w:r w:rsidRPr="00A927BA">
              <w:rPr>
                <w:spacing w:val="-4"/>
              </w:rPr>
              <w:t>růst</w:t>
            </w:r>
            <w:r>
              <w:rPr>
                <w:spacing w:val="-4"/>
              </w:rPr>
              <w:t> </w:t>
            </w:r>
            <w:r w:rsidRPr="00A927BA">
              <w:rPr>
                <w:spacing w:val="-4"/>
              </w:rPr>
              <w:t>mezd zaměstnanců v tomto odvětví byl tažen zvyšující se produktivitou práce). Ceny v těžbě a dobývání stouply (i přes aktuálně nízké ceny uhlí) o 23,6 %, v energetice o 38,6 % a v</w:t>
            </w:r>
            <w:r>
              <w:rPr>
                <w:spacing w:val="-4"/>
              </w:rPr>
              <w:t> </w:t>
            </w:r>
            <w:r w:rsidRPr="00A927BA">
              <w:rPr>
                <w:spacing w:val="-4"/>
              </w:rPr>
              <w:t>oligopolním</w:t>
            </w:r>
            <w:r>
              <w:rPr>
                <w:spacing w:val="-4"/>
              </w:rPr>
              <w:t xml:space="preserve"> odvětví</w:t>
            </w:r>
            <w:r w:rsidRPr="00A927BA">
              <w:rPr>
                <w:spacing w:val="-4"/>
              </w:rPr>
              <w:t xml:space="preserve"> zásobování vodou dokonce o 65,5 %.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5E116A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A927BA">
              <w:rPr>
                <w:sz w:val="16"/>
                <w:szCs w:val="16"/>
              </w:rPr>
              <w:t>ůst cen stavebních prací, který započal v roce 2014, byl v loňském roce potvrzen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 xml:space="preserve">Ceny stavebních prací se loni zvýšily o 1,2 % a rostly druhým rokem (v roce 2014 stouply o 0,5 %). Rychlejší cenový růst v porovnání s dynamikou z roku 2014 lze zčásti přisuzovat setrvalému snižování cen stavebních prací v letech 2010–2013 a tedy stále nízké cenové úrovni, zčásti dočerpávání peněz z fondů EU, jehož doprovodným jevem byla </w:t>
            </w:r>
            <w:r w:rsidRPr="000831D6">
              <w:t>zvýšená poptávka po stavebních činnostech ze strany veřejných institucí. V porovnání s rokem 2009, kdy ceny stavebních prací dosáhly svého</w:t>
            </w:r>
            <w:r w:rsidR="00FD4763">
              <w:t xml:space="preserve"> maxima, zůstávaly nicméně o 0,8</w:t>
            </w:r>
            <w:r w:rsidRPr="000831D6">
              <w:t xml:space="preserve"> % nižší.</w:t>
            </w:r>
          </w:p>
        </w:tc>
      </w:tr>
    </w:tbl>
    <w:p w:rsidR="00D52C37" w:rsidRPr="001E0B6C" w:rsidRDefault="00D52C37" w:rsidP="005E116A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1122"/>
        <w:gridCol w:w="957"/>
        <w:gridCol w:w="284"/>
        <w:gridCol w:w="2565"/>
        <w:gridCol w:w="860"/>
        <w:gridCol w:w="283"/>
        <w:gridCol w:w="3783"/>
      </w:tblGrid>
      <w:tr w:rsidR="005E116A" w:rsidRPr="00A927BA" w:rsidTr="005E116A">
        <w:tc>
          <w:tcPr>
            <w:tcW w:w="569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13</w:t>
            </w:r>
          </w:p>
        </w:tc>
        <w:tc>
          <w:tcPr>
            <w:tcW w:w="1930" w:type="pct"/>
            <w:gridSpan w:val="3"/>
          </w:tcPr>
          <w:p w:rsidR="005E116A" w:rsidRPr="005E116A" w:rsidRDefault="005E116A" w:rsidP="007A0BF4">
            <w:pPr>
              <w:pStyle w:val="Textpoznpodarou"/>
              <w:rPr>
                <w:b/>
                <w:lang w:eastAsia="en-US"/>
              </w:rPr>
            </w:pPr>
            <w:r w:rsidRPr="005E116A">
              <w:rPr>
                <w:b/>
                <w:lang w:eastAsia="en-US"/>
              </w:rPr>
              <w:t>Ceny průmyslových výrobců</w:t>
            </w:r>
          </w:p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(y/y v %)</w:t>
            </w:r>
          </w:p>
        </w:tc>
        <w:tc>
          <w:tcPr>
            <w:tcW w:w="579" w:type="pct"/>
            <w:gridSpan w:val="2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14</w:t>
            </w:r>
          </w:p>
        </w:tc>
        <w:tc>
          <w:tcPr>
            <w:tcW w:w="1922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5E116A">
              <w:rPr>
                <w:b/>
                <w:lang w:eastAsia="en-US"/>
              </w:rPr>
              <w:t xml:space="preserve">Ceny stavebních prací v roce 2015 </w:t>
            </w:r>
            <w:r w:rsidRPr="00A927BA">
              <w:rPr>
                <w:lang w:eastAsia="en-US"/>
              </w:rPr>
              <w:t>(y/y v %)</w:t>
            </w:r>
          </w:p>
        </w:tc>
      </w:tr>
      <w:tr w:rsidR="005E116A" w:rsidRPr="00A927BA" w:rsidTr="005E116A">
        <w:tc>
          <w:tcPr>
            <w:tcW w:w="2499" w:type="pct"/>
            <w:gridSpan w:val="4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 w:rsidRPr="007447A3">
              <w:rPr>
                <w:noProof/>
                <w:sz w:val="18"/>
                <w:szCs w:val="18"/>
              </w:rPr>
              <w:pict>
                <v:shape id="_x0000_i1085" type="#_x0000_t75" style="width:237.9pt;height:186.55pt;visibility:visible;mso-wrap-style:square">
                  <v:imagedata r:id="rId20" o:title=""/>
                </v:shape>
              </w:pict>
            </w:r>
          </w:p>
        </w:tc>
        <w:tc>
          <w:tcPr>
            <w:tcW w:w="2501" w:type="pct"/>
            <w:gridSpan w:val="3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 w:rsidRPr="007447A3">
              <w:rPr>
                <w:noProof/>
                <w:sz w:val="18"/>
                <w:szCs w:val="18"/>
              </w:rPr>
              <w:pict>
                <v:shape id="_x0000_i1086" type="#_x0000_t75" style="width:237.9pt;height:186.55pt;visibility:visible;mso-wrap-style:square">
                  <v:imagedata r:id="rId21" o:title=""/>
                </v:shape>
              </w:pict>
            </w:r>
          </w:p>
        </w:tc>
      </w:tr>
      <w:tr w:rsidR="005E116A" w:rsidRPr="00A927BA" w:rsidTr="005E116A">
        <w:tc>
          <w:tcPr>
            <w:tcW w:w="2935" w:type="pct"/>
            <w:gridSpan w:val="5"/>
          </w:tcPr>
          <w:p w:rsidR="005E116A" w:rsidRPr="005E116A" w:rsidRDefault="005E116A" w:rsidP="007A0BF4">
            <w:pPr>
              <w:pStyle w:val="Textpoznpodarou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5" w:type="pct"/>
            <w:gridSpan w:val="2"/>
          </w:tcPr>
          <w:p w:rsidR="005E116A" w:rsidRPr="005E116A" w:rsidRDefault="005E116A" w:rsidP="005E116A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E116A">
              <w:rPr>
                <w:sz w:val="18"/>
                <w:szCs w:val="18"/>
                <w:lang w:eastAsia="en-US"/>
              </w:rPr>
              <w:t>Zdroj: ČSÚ</w:t>
            </w:r>
          </w:p>
        </w:tc>
      </w:tr>
      <w:tr w:rsidR="005E116A" w:rsidRPr="005A042C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lastRenderedPageBreak/>
              <w:t>Růst cen stavebních prací, doprovázený poklesem nákladů stavební výroby, se objevil poprvé od roku 2009. Působil pozitivně na zisky stavebních firem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900B39" w:rsidRDefault="005E116A" w:rsidP="007A0BF4">
            <w:pPr>
              <w:pStyle w:val="Textpoznpodarou"/>
              <w:jc w:val="both"/>
            </w:pPr>
            <w:r w:rsidRPr="00900B39">
              <w:t xml:space="preserve">Z členění stavebních děl podle typu vyplývá, že v roce 2015 rostly nepatrně </w:t>
            </w:r>
            <w:r w:rsidRPr="00714A42">
              <w:rPr>
                <w:spacing w:val="-2"/>
              </w:rPr>
              <w:t>rychleji ceny inženýrských děl (+1,4 %) než bytových a nebytových budov</w:t>
            </w:r>
            <w:r w:rsidRPr="00900B39">
              <w:t xml:space="preserve"> (shodně o 1,1 %). Pomyslným jazýčkem na vahách byla zřejmě zmíněná vyšší poptávka po stavebních činnostech ze strany veřejných zadavatelů a blížící se termín, do kterého mohly být peníze z fondů EU alokovaných ČR v rámci programového období 2007 až 2013 čerpány. Velké a specializované firmy, které jsou schopné stavět infrastrukturní díla, a šlo hlavně o kolejové dráhy, tak požadovaly vyšší ceny. Z pohledu celého stavebnictví bylo pozitivem, že při růstu cen stavebních prací docházelo (poprvé od roku 2009) k poklesu nákladů stavební výroby (o</w:t>
            </w:r>
            <w:r>
              <w:t> </w:t>
            </w:r>
            <w:r w:rsidRPr="00900B39">
              <w:t>0,6</w:t>
            </w:r>
            <w:r>
              <w:t> </w:t>
            </w:r>
            <w:r w:rsidRPr="00900B39">
              <w:t>%). Tento vývoj působil ve směru růstu zisků stavebních firem.</w:t>
            </w:r>
          </w:p>
          <w:p w:rsidR="005E116A" w:rsidRPr="00A927BA" w:rsidRDefault="005E116A" w:rsidP="007A0BF4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5E116A" w:rsidRPr="005A042C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Cenový vývoj tržních služeb je dlouhodobě utlumený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597A5D" w:rsidRDefault="005E116A" w:rsidP="007A0BF4">
            <w:pPr>
              <w:pStyle w:val="Textpoznpodarou"/>
              <w:jc w:val="both"/>
            </w:pPr>
            <w:r w:rsidRPr="00597A5D">
              <w:t xml:space="preserve">Vývoj cen tržních služeb je dlouhodobě utlumený a nic na tom nezměnil ani rok 2015. Loni ceny tržních služeb pouze stagnovaly, </w:t>
            </w:r>
            <w:r w:rsidRPr="000831D6">
              <w:t>po mírném růstu v roce 2014 (</w:t>
            </w:r>
            <w:r>
              <w:t>+</w:t>
            </w:r>
            <w:r w:rsidRPr="000831D6">
              <w:rPr>
                <w:spacing w:val="-4"/>
              </w:rPr>
              <w:t>0,3 %). V porovnání s jejich vrcholem v roce 2009 byly nižší o 2,1 %. Jejich</w:t>
            </w:r>
            <w:r w:rsidRPr="000831D6">
              <w:t xml:space="preserve"> dopad do vývoje spotřebitelských cen, přestože nepřímý, neboť jde o ceny sjednávané mezi podnikatelskými subjekty, byl tak z dlouhodobějšího pohledu</w:t>
            </w:r>
            <w:r w:rsidRPr="00597A5D">
              <w:t xml:space="preserve"> negativní.</w:t>
            </w:r>
          </w:p>
          <w:p w:rsidR="005E116A" w:rsidRPr="00597A5D" w:rsidRDefault="005E116A" w:rsidP="007A0BF4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5E116A" w:rsidRPr="005A042C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Navzdory růstu výkonu zpracovatelského průmyslu a s ním spojeného obratu zahraničního obchodu se ceny železniční a silniční nákladní dopravy snížily. Dopravcům klesly náklady na pohonné hmoty a mohli zlevnit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597A5D" w:rsidRDefault="005E116A" w:rsidP="007A0BF4">
            <w:pPr>
              <w:pStyle w:val="Textpoznpodarou"/>
              <w:jc w:val="both"/>
            </w:pPr>
            <w:r w:rsidRPr="00597A5D">
              <w:t>Široké spektrum producentů tržních služeb své ceny v roce 2015 zvyšovalo a někteří z nich přitom výrazně. Například ceny poštovních a kurýrních služeb stouply v loňském roce o 6,4 % a finanční služby podražily o 3</w:t>
            </w:r>
            <w:r>
              <w:t>,0</w:t>
            </w:r>
            <w:r w:rsidRPr="00597A5D">
              <w:t xml:space="preserve"> %. Pokles cen v dalších segmentech jejich pozitivní příspěvky ale plně eliminoval. Tím hlavním by</w:t>
            </w:r>
            <w:r>
              <w:t>la pozemní a potrubní doprava (-</w:t>
            </w:r>
            <w:r w:rsidRPr="00597A5D">
              <w:t>1,4 %), kde se snížily jak ceny železniční nákladní dopravy</w:t>
            </w:r>
            <w:r>
              <w:t xml:space="preserve"> (-</w:t>
            </w:r>
            <w:r w:rsidRPr="00597A5D">
              <w:t>5,4 %), tak váhově významnější silniční nák</w:t>
            </w:r>
            <w:r>
              <w:t>ladní dopravy (-</w:t>
            </w:r>
            <w:r w:rsidRPr="00597A5D">
              <w:t>0,8 %). Mohlo by být překvapivé, že v období silného růstu výkonu zpracovatelského průmyslu a s ním spojeného</w:t>
            </w:r>
            <w:r>
              <w:t xml:space="preserve"> nárůstu</w:t>
            </w:r>
            <w:r w:rsidRPr="00597A5D">
              <w:t xml:space="preserve"> obratu v zahraničním obchodě se ceny poskytovatelů dopravních služeb snižovaly. Muselo by však jít o standardní období. Pokles cen železniční a silniční nákladní dopravy vyplynul z propadu ceny ropy. Dopravcům klesly náklady na pořizování pohonných hmot a ti byli i přes rostoucí poptávku schopni zlevnit.</w:t>
            </w:r>
          </w:p>
          <w:p w:rsidR="005E116A" w:rsidRPr="00597A5D" w:rsidRDefault="005E116A" w:rsidP="007A0BF4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5E116A" w:rsidRPr="005A042C" w:rsidTr="007A0BF4">
        <w:tblPrEx>
          <w:tblLook w:val="00A0"/>
        </w:tblPrEx>
        <w:tc>
          <w:tcPr>
            <w:tcW w:w="1054" w:type="pct"/>
            <w:gridSpan w:val="2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 xml:space="preserve">Ceny služeb v oblasti zaměstnání klesly v loňském roce o 7,5 %. I tak ale byly nominální tržby pracovních agentur </w:t>
            </w:r>
            <w:r>
              <w:rPr>
                <w:sz w:val="16"/>
                <w:szCs w:val="16"/>
              </w:rPr>
              <w:t>meziročně o 13,3</w:t>
            </w:r>
            <w:r w:rsidRPr="00A927BA">
              <w:rPr>
                <w:sz w:val="16"/>
                <w:szCs w:val="16"/>
              </w:rPr>
              <w:t xml:space="preserve"> % vyšší. Tržby z roku 2008 převyšovaly dokonce o 4</w:t>
            </w:r>
            <w:r>
              <w:rPr>
                <w:sz w:val="16"/>
                <w:szCs w:val="16"/>
              </w:rPr>
              <w:t>4,1</w:t>
            </w:r>
            <w:r w:rsidRPr="00A927BA">
              <w:rPr>
                <w:sz w:val="16"/>
                <w:szCs w:val="16"/>
              </w:rPr>
              <w:t xml:space="preserve"> % 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  <w:gridSpan w:val="4"/>
          </w:tcPr>
          <w:p w:rsidR="005E116A" w:rsidRPr="00597A5D" w:rsidRDefault="005E116A" w:rsidP="007A0BF4">
            <w:pPr>
              <w:pStyle w:val="Textpoznpodarou"/>
              <w:jc w:val="both"/>
            </w:pPr>
            <w:r w:rsidRPr="00597A5D">
              <w:t xml:space="preserve">Loňský rok přinesl obrat ve vývoji cen služeb v oblasti zaměstnání, </w:t>
            </w:r>
            <w:r w:rsidRPr="000831D6">
              <w:t xml:space="preserve">tedy služeb pracovních agentur. Zatímco v úhrnu za roky 2013 a 2014 narostly o 7,5 %, v roce 2015 stejným tempem klesly. Tento pokles šel na vrub silného poklesu cen </w:t>
            </w:r>
            <w:r w:rsidRPr="000831D6">
              <w:rPr>
                <w:spacing w:val="-2"/>
              </w:rPr>
              <w:t>služeb agentur zprostředkujících pracovníky na přechodnou dobu o 9,1 %,</w:t>
            </w:r>
            <w:r w:rsidRPr="000831D6">
              <w:t xml:space="preserve"> protože ceny služeb agentur zprostředkujících zaměstnání se snížily jen</w:t>
            </w:r>
            <w:r>
              <w:t xml:space="preserve"> mírně (-</w:t>
            </w:r>
            <w:r w:rsidRPr="00597A5D">
              <w:t>0,5 %). Pracovní agentury si mohly zlevnění dovolit, neboť jejich tržby rostly vskutku impozantně. I přes sníže</w:t>
            </w:r>
            <w:r>
              <w:t>ní cen byly meziročně vyšší o 13,3</w:t>
            </w:r>
            <w:r w:rsidRPr="00597A5D">
              <w:t xml:space="preserve"> % nominálně</w:t>
            </w:r>
            <w:r>
              <w:t xml:space="preserve"> a proti roku 2008 dokonce o 44,1</w:t>
            </w:r>
            <w:r w:rsidRPr="00597A5D">
              <w:t xml:space="preserve"> %. Vyplývaly z růstu zpracovatelského průmyslu, kdy se podniky se zvyšujícím objemem zakázek obávaly přijímat zaměstnance do kmenových stavů a raději si připlácely za „komfort“ služeb pracovních agentur. Měly totiž špatnou zkušenost s rokem 2009, kdy na pokles poptávky nemohly reagovat flexibilně redukcí počtu zaměstnanců. Alternativní přístup, přes zaměstnávání agenturních pracovníků, měl případným problémům předcházet.</w:t>
            </w:r>
          </w:p>
        </w:tc>
      </w:tr>
    </w:tbl>
    <w:p w:rsidR="00D52C37" w:rsidRDefault="00D52C37" w:rsidP="005E116A">
      <w:pPr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1127"/>
        <w:gridCol w:w="3799"/>
        <w:gridCol w:w="714"/>
        <w:gridCol w:w="158"/>
        <w:gridCol w:w="4056"/>
      </w:tblGrid>
      <w:tr w:rsidR="005E116A" w:rsidRPr="00A927BA" w:rsidTr="005E116A">
        <w:tc>
          <w:tcPr>
            <w:tcW w:w="571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15</w:t>
            </w:r>
          </w:p>
        </w:tc>
        <w:tc>
          <w:tcPr>
            <w:tcW w:w="1926" w:type="pct"/>
          </w:tcPr>
          <w:p w:rsidR="005E116A" w:rsidRPr="005E116A" w:rsidRDefault="005E116A" w:rsidP="007A0BF4">
            <w:pPr>
              <w:pStyle w:val="Textpoznpodarou"/>
              <w:rPr>
                <w:b/>
                <w:lang w:eastAsia="en-US"/>
              </w:rPr>
            </w:pPr>
            <w:r w:rsidRPr="005E116A">
              <w:rPr>
                <w:b/>
                <w:lang w:eastAsia="en-US"/>
              </w:rPr>
              <w:t>Ceny tržních služeb</w:t>
            </w:r>
          </w:p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>
              <w:rPr>
                <w:lang w:eastAsia="en-US"/>
              </w:rPr>
              <w:t>(2009</w:t>
            </w:r>
            <w:r w:rsidRPr="00A927BA">
              <w:rPr>
                <w:lang w:eastAsia="en-US"/>
              </w:rPr>
              <w:t>=100)</w:t>
            </w:r>
          </w:p>
        </w:tc>
        <w:tc>
          <w:tcPr>
            <w:tcW w:w="362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16</w:t>
            </w:r>
          </w:p>
        </w:tc>
        <w:tc>
          <w:tcPr>
            <w:tcW w:w="2141" w:type="pct"/>
            <w:gridSpan w:val="2"/>
          </w:tcPr>
          <w:p w:rsidR="005E116A" w:rsidRPr="005E116A" w:rsidRDefault="005E116A" w:rsidP="007A0BF4">
            <w:pPr>
              <w:pStyle w:val="Textpoznpodarou"/>
              <w:rPr>
                <w:b/>
                <w:lang w:eastAsia="en-US"/>
              </w:rPr>
            </w:pPr>
            <w:r w:rsidRPr="005E116A">
              <w:rPr>
                <w:b/>
                <w:lang w:eastAsia="en-US"/>
              </w:rPr>
              <w:t xml:space="preserve">Ceny služeb v oblasti zaměstnání a tržby pracovních agentur </w:t>
            </w:r>
            <w:r>
              <w:rPr>
                <w:lang w:eastAsia="en-US"/>
              </w:rPr>
              <w:t>(2008</w:t>
            </w:r>
            <w:r w:rsidRPr="00A927BA">
              <w:rPr>
                <w:lang w:eastAsia="en-US"/>
              </w:rPr>
              <w:t>=100)</w:t>
            </w:r>
          </w:p>
        </w:tc>
      </w:tr>
      <w:tr w:rsidR="005E116A" w:rsidRPr="00A927BA" w:rsidTr="005E116A">
        <w:tc>
          <w:tcPr>
            <w:tcW w:w="2497" w:type="pct"/>
            <w:gridSpan w:val="2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 w:rsidRPr="007447A3">
              <w:rPr>
                <w:noProof/>
                <w:sz w:val="12"/>
                <w:szCs w:val="12"/>
              </w:rPr>
              <w:pict>
                <v:shape id="_x0000_i1087" type="#_x0000_t75" style="width:237.9pt;height:186.55pt;visibility:visible;mso-wrap-style:square">
                  <v:imagedata r:id="rId22" o:title=""/>
                </v:shape>
              </w:pict>
            </w:r>
          </w:p>
        </w:tc>
        <w:tc>
          <w:tcPr>
            <w:tcW w:w="2503" w:type="pct"/>
            <w:gridSpan w:val="3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88" type="#_x0000_t75" style="width:237.9pt;height:186.55pt;visibility:visible;mso-wrap-style:square">
                  <v:imagedata r:id="rId23" o:title=""/>
                </v:shape>
              </w:pict>
            </w:r>
          </w:p>
        </w:tc>
      </w:tr>
      <w:tr w:rsidR="005E116A" w:rsidRPr="00A927BA" w:rsidTr="005E116A">
        <w:tc>
          <w:tcPr>
            <w:tcW w:w="2938" w:type="pct"/>
            <w:gridSpan w:val="4"/>
          </w:tcPr>
          <w:p w:rsidR="005E116A" w:rsidRPr="005E116A" w:rsidRDefault="005E116A" w:rsidP="007A0BF4">
            <w:pPr>
              <w:pStyle w:val="Textpoznpodarou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62" w:type="pct"/>
          </w:tcPr>
          <w:p w:rsidR="005E116A" w:rsidRPr="005E116A" w:rsidRDefault="005E116A" w:rsidP="005E116A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E116A">
              <w:rPr>
                <w:sz w:val="18"/>
                <w:szCs w:val="18"/>
                <w:lang w:eastAsia="en-US"/>
              </w:rPr>
              <w:t>Zdroj: ČSÚ, vlastní výpočty</w:t>
            </w:r>
          </w:p>
        </w:tc>
      </w:tr>
    </w:tbl>
    <w:p w:rsidR="005E116A" w:rsidRPr="006262DB" w:rsidRDefault="00647313" w:rsidP="005E116A">
      <w:pPr>
        <w:pStyle w:val="Nadpis2"/>
      </w:pPr>
      <w:bookmarkStart w:id="4" w:name="_Toc457389325"/>
      <w:r>
        <w:lastRenderedPageBreak/>
        <w:t>4</w:t>
      </w:r>
      <w:r w:rsidR="005E116A">
        <w:t>.4. Ceny v zahraničním obchodě se zbožím</w:t>
      </w:r>
      <w:bookmarkEnd w:id="4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5E116A" w:rsidTr="007A0BF4">
        <w:trPr>
          <w:trHeight w:val="1331"/>
        </w:trPr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Zatímco k euru česká koruna v roce 2015 mírně posílila, k americkému dolaru oslabila nejrychleji v historii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>Zatímco v roce 2014 byl průměrný kurz koruny k euru 27,53, v loňském roce 27,28. Koruna posílila o 0,9 %. K americkému dolaru však ztratila, oslabila z 20,75 korun za dolar v roc</w:t>
            </w:r>
            <w:r w:rsidR="00603A7F">
              <w:t>e 2014 na 24,60. Oslabila o 18,6</w:t>
            </w:r>
            <w:r w:rsidRPr="00A927BA">
              <w:t xml:space="preserve"> %, nejrychleji v historii ČR. Příčinu tohoto vývoje lze spatřovat zejména v silné </w:t>
            </w:r>
            <w:proofErr w:type="spellStart"/>
            <w:r w:rsidRPr="00A927BA">
              <w:t>apreciaci</w:t>
            </w:r>
            <w:proofErr w:type="spellEnd"/>
            <w:r w:rsidRPr="00A927BA">
              <w:t xml:space="preserve"> ameri</w:t>
            </w:r>
            <w:r>
              <w:t>ckého dolaru k euru ve spojení s</w:t>
            </w:r>
            <w:r w:rsidRPr="00A927BA">
              <w:t xml:space="preserve"> aktivitou ČNB na devizovém trhu, kdy ČNB ve snaze dále stimulovat hospodářský růst a podpořit inflační vývoj v Česku nedovolila posílit koruně pod hranici 27 korun za euro. </w:t>
            </w:r>
            <w:proofErr w:type="spellStart"/>
            <w:r w:rsidRPr="00A927BA">
              <w:t>Apreciace</w:t>
            </w:r>
            <w:proofErr w:type="spellEnd"/>
            <w:r w:rsidRPr="00A927BA">
              <w:t xml:space="preserve"> amerického dolaru k euru tak automaticky znamenala i </w:t>
            </w:r>
            <w:proofErr w:type="spellStart"/>
            <w:r w:rsidRPr="00A927BA">
              <w:t>apreciaci</w:t>
            </w:r>
            <w:proofErr w:type="spellEnd"/>
            <w:r w:rsidRPr="00A927BA">
              <w:t xml:space="preserve"> dolaru k české koruně.</w:t>
            </w:r>
          </w:p>
          <w:p w:rsidR="005E116A" w:rsidRPr="00A927BA" w:rsidRDefault="005E116A" w:rsidP="007A0BF4">
            <w:pPr>
              <w:pStyle w:val="Textpoznpodarou"/>
              <w:jc w:val="both"/>
            </w:pPr>
          </w:p>
        </w:tc>
      </w:tr>
      <w:tr w:rsidR="005E116A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Ceny vývozu zboží klesly v loňském roce o 1,7 %, podílely se na tom přitom všechny třídy SITC s výjimkou nápojů a tabáku, …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</w:pPr>
            <w:r w:rsidRPr="00A927BA">
              <w:t xml:space="preserve">V dynamice cen vývozu zboží v roce 2015 nehrál kurzový vývoj prakticky žádnou roli. Ve vývozech totiž výrazně převažují obchody denominované v eurech nad obchody dolarovými a mírná </w:t>
            </w:r>
            <w:proofErr w:type="spellStart"/>
            <w:r w:rsidRPr="00A927BA">
              <w:t>apreciace</w:t>
            </w:r>
            <w:proofErr w:type="spellEnd"/>
            <w:r w:rsidRPr="00A927BA">
              <w:t xml:space="preserve"> koruny k euru se tak kompenzovala s mohutným oslabením k dolaru. Ceny vývozu klesly o 1,7 %, z jednotlivých tříd SITC se pokles cen přitom dotýkal všech, výjimkou byly pouze objemově málo významné nápoje a tabák (růst o 3,1 %). Dlouhodobě nejvýznamnější komodita českého vývozu, tvořící více než polovinu celkového vývozu zboží, tj. stroje a dopravní prostředky, se do zahraničí vyvážela za ceny nižší o 0,4 %. Ceny polotovarů poklesly o 1,6 % a průmyslového spotřebního zboží o 0,3 %.</w:t>
            </w:r>
          </w:p>
          <w:p w:rsidR="005E116A" w:rsidRPr="00A927BA" w:rsidRDefault="005E116A" w:rsidP="007A0BF4">
            <w:pPr>
              <w:pStyle w:val="Textpoznpodarou"/>
              <w:jc w:val="both"/>
            </w:pPr>
          </w:p>
        </w:tc>
      </w:tr>
      <w:tr w:rsidR="005E116A" w:rsidTr="007A0BF4">
        <w:tc>
          <w:tcPr>
            <w:tcW w:w="1054" w:type="pct"/>
          </w:tcPr>
          <w:p w:rsidR="005E116A" w:rsidRPr="00597A5D" w:rsidRDefault="005E116A" w:rsidP="0085049D">
            <w:pPr>
              <w:spacing w:line="240" w:lineRule="auto"/>
              <w:rPr>
                <w:sz w:val="16"/>
                <w:szCs w:val="16"/>
              </w:rPr>
            </w:pPr>
            <w:r w:rsidRPr="00597A5D">
              <w:rPr>
                <w:sz w:val="16"/>
                <w:szCs w:val="16"/>
              </w:rPr>
              <w:t>… ceny dovozu byly nižší o 1,9 %. Dovozní ceny minerálních paliv se snížily o 23</w:t>
            </w:r>
            <w:r w:rsidRPr="000831D6">
              <w:rPr>
                <w:sz w:val="16"/>
                <w:szCs w:val="16"/>
              </w:rPr>
              <w:t>,8 % a v </w:t>
            </w:r>
            <w:r w:rsidR="0085049D">
              <w:rPr>
                <w:sz w:val="16"/>
                <w:szCs w:val="16"/>
              </w:rPr>
              <w:t>úhrnu</w:t>
            </w:r>
            <w:r w:rsidRPr="000831D6">
              <w:rPr>
                <w:sz w:val="16"/>
                <w:szCs w:val="16"/>
              </w:rPr>
              <w:t xml:space="preserve"> za poslední tři roky dokonce o 32,3 %</w:t>
            </w:r>
          </w:p>
        </w:tc>
        <w:tc>
          <w:tcPr>
            <w:tcW w:w="143" w:type="pct"/>
          </w:tcPr>
          <w:p w:rsidR="005E116A" w:rsidRPr="00597A5D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597A5D" w:rsidRDefault="005E116A" w:rsidP="007A0BF4">
            <w:pPr>
              <w:pStyle w:val="Textpoznpodarou"/>
              <w:jc w:val="both"/>
            </w:pPr>
            <w:r w:rsidRPr="00597A5D">
              <w:t>Taktéž dovoz zboží do České republiky je denominován ve větší míře v eurech než v amerických dolarech, dominance eurových obchodů nad dolarovými ale není na straně dovozu tak výrazná jako v případě vývozu. Kurzový vývoj v loňském roce tak působil ve směru růstu dovozních cen. Ty se však snížily (o 1,9 %, tedy dokonce více než na vývozu) a ze zahraničí se do ČR dovážela deflace. Způsobil to zejména propad ceny ropy na světovém trhu, i další suroviny a meziprodukty využívané v tuzemském zpracovatelském průmyslu se nicméně do Česka dovážely za ceny nižší než před rokem. Ceny minerálních paliv klesly o </w:t>
            </w:r>
            <w:r w:rsidRPr="0076424A">
              <w:rPr>
                <w:spacing w:val="-2"/>
              </w:rPr>
              <w:t>23,8 %, nejvýrazněji od roku 2009 (pokles o 26,0 %). Ceny ostatních surovin</w:t>
            </w:r>
            <w:r w:rsidRPr="000831D6">
              <w:t xml:space="preserve"> byly nižší o 9,2 %, chemikálií o 3,1 % a polotovarů o 0,4 %. S ohledem na minerální paliva je zajímavé, že jejich dovozní ceny klesaly již třetím rokem – v </w:t>
            </w:r>
            <w:r w:rsidR="0085049D">
              <w:t>úhrnu</w:t>
            </w:r>
            <w:r w:rsidRPr="000831D6">
              <w:t xml:space="preserve"> za</w:t>
            </w:r>
            <w:r>
              <w:t> </w:t>
            </w:r>
            <w:r w:rsidRPr="000831D6">
              <w:t>roky 2013, 2014 a 2015 poklesly téměř o třetinu (</w:t>
            </w:r>
            <w:r>
              <w:t>-</w:t>
            </w:r>
            <w:r w:rsidRPr="000831D6">
              <w:t>32,3 %).</w:t>
            </w:r>
          </w:p>
          <w:p w:rsidR="005E116A" w:rsidRPr="00597A5D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5E116A" w:rsidTr="007A0BF4">
        <w:tc>
          <w:tcPr>
            <w:tcW w:w="1054" w:type="pct"/>
          </w:tcPr>
          <w:p w:rsidR="005E116A" w:rsidRPr="00A927BA" w:rsidRDefault="005E116A" w:rsidP="007A0BF4">
            <w:pPr>
              <w:spacing w:line="240" w:lineRule="auto"/>
              <w:rPr>
                <w:sz w:val="16"/>
                <w:szCs w:val="16"/>
              </w:rPr>
            </w:pPr>
            <w:r w:rsidRPr="00A927BA">
              <w:rPr>
                <w:sz w:val="16"/>
                <w:szCs w:val="16"/>
              </w:rPr>
              <w:t>Směnné relace v zahraničním obchodě se zbožím setrvaly pozitivní již třetí rok za sebou, jejich hodnota se ale snížila na 100,2 %</w:t>
            </w:r>
          </w:p>
        </w:tc>
        <w:tc>
          <w:tcPr>
            <w:tcW w:w="143" w:type="pct"/>
          </w:tcPr>
          <w:p w:rsidR="005E116A" w:rsidRPr="00A927BA" w:rsidRDefault="005E116A" w:rsidP="007A0BF4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5E116A" w:rsidRPr="00A927BA" w:rsidRDefault="005E116A" w:rsidP="007A0BF4">
            <w:pPr>
              <w:pStyle w:val="Textpoznpodarou"/>
              <w:jc w:val="both"/>
              <w:rPr>
                <w:sz w:val="18"/>
                <w:szCs w:val="18"/>
              </w:rPr>
            </w:pPr>
            <w:r w:rsidRPr="00A927BA">
              <w:t xml:space="preserve">Směnné relace v zahraničním obchodě se zbožím, vlivem nepatrně silnějšího poklesu cen dovozu oproti vývozu, dosáhly hodnoty 100,2 %. Šlo o horší výsledek než v předchozích dvou letech (v roce 2013 činily 101,4 %, v roce 2014 101,6 %) </w:t>
            </w:r>
            <w:r w:rsidRPr="00A927BA">
              <w:rPr>
                <w:spacing w:val="-4"/>
              </w:rPr>
              <w:t>a zisky ekonomiky ČR z příznivého vývoje cen v obchodě se zbožím se tak podstatně</w:t>
            </w:r>
            <w:r w:rsidRPr="00A927BA">
              <w:t xml:space="preserve"> snížily. Z tříd SITC byly směnné relace vysoce pozitivní v případě minerálních paliv (114,7 %), což souviselo s hlubokým poklesem ceny ropy a větší váhou této suroviny na dovozu v porovnání s vývozem. Z ostatních komodit byly kladné už jen v případě nápojů a tabáku (103,8 %) a ostatních surovin (101,5 %).</w:t>
            </w:r>
          </w:p>
        </w:tc>
      </w:tr>
    </w:tbl>
    <w:p w:rsidR="005E116A" w:rsidRPr="00F2561A" w:rsidRDefault="005E116A" w:rsidP="005E116A">
      <w:pPr>
        <w:rPr>
          <w:szCs w:val="20"/>
        </w:rPr>
      </w:pPr>
    </w:p>
    <w:tbl>
      <w:tblPr>
        <w:tblW w:w="5000" w:type="pct"/>
        <w:tblLook w:val="04A0"/>
      </w:tblPr>
      <w:tblGrid>
        <w:gridCol w:w="828"/>
        <w:gridCol w:w="4100"/>
        <w:gridCol w:w="1139"/>
        <w:gridCol w:w="3787"/>
      </w:tblGrid>
      <w:tr w:rsidR="005E116A" w:rsidRPr="00A927BA" w:rsidTr="005E116A">
        <w:tc>
          <w:tcPr>
            <w:tcW w:w="419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17</w:t>
            </w:r>
          </w:p>
        </w:tc>
        <w:tc>
          <w:tcPr>
            <w:tcW w:w="2079" w:type="pct"/>
          </w:tcPr>
          <w:p w:rsidR="005E116A" w:rsidRPr="005E116A" w:rsidRDefault="005E116A" w:rsidP="007A0BF4">
            <w:pPr>
              <w:pStyle w:val="Textpoznpodarou"/>
              <w:rPr>
                <w:b/>
                <w:lang w:eastAsia="en-US"/>
              </w:rPr>
            </w:pPr>
            <w:r w:rsidRPr="005E116A">
              <w:rPr>
                <w:b/>
                <w:lang w:eastAsia="en-US"/>
              </w:rPr>
              <w:t xml:space="preserve">Ceny v zahraničním obchodě se zbožím </w:t>
            </w:r>
            <w:r w:rsidRPr="00A927BA">
              <w:rPr>
                <w:lang w:eastAsia="en-US"/>
              </w:rPr>
              <w:t>(y/y v %)</w:t>
            </w:r>
            <w:r w:rsidRPr="005E116A">
              <w:rPr>
                <w:b/>
                <w:lang w:eastAsia="en-US"/>
              </w:rPr>
              <w:t xml:space="preserve"> a směnné relace</w:t>
            </w:r>
            <w:r w:rsidRPr="00A927BA">
              <w:rPr>
                <w:lang w:eastAsia="en-US"/>
              </w:rPr>
              <w:t xml:space="preserve"> (v %)</w:t>
            </w:r>
          </w:p>
        </w:tc>
        <w:tc>
          <w:tcPr>
            <w:tcW w:w="578" w:type="pct"/>
          </w:tcPr>
          <w:p w:rsidR="005E116A" w:rsidRPr="00A927BA" w:rsidRDefault="005E116A" w:rsidP="007A0BF4">
            <w:pPr>
              <w:pStyle w:val="Textpoznpodarou"/>
              <w:rPr>
                <w:lang w:eastAsia="en-US"/>
              </w:rPr>
            </w:pPr>
            <w:r w:rsidRPr="00A927BA">
              <w:rPr>
                <w:lang w:eastAsia="en-US"/>
              </w:rPr>
              <w:t>Graf č. 18</w:t>
            </w:r>
          </w:p>
        </w:tc>
        <w:tc>
          <w:tcPr>
            <w:tcW w:w="1924" w:type="pct"/>
          </w:tcPr>
          <w:p w:rsidR="005E116A" w:rsidRPr="005E116A" w:rsidRDefault="005E116A" w:rsidP="007A0BF4">
            <w:pPr>
              <w:pStyle w:val="Textpoznpodarou"/>
              <w:rPr>
                <w:b/>
                <w:lang w:eastAsia="en-US"/>
              </w:rPr>
            </w:pPr>
            <w:r w:rsidRPr="005E116A">
              <w:rPr>
                <w:b/>
                <w:lang w:eastAsia="en-US"/>
              </w:rPr>
              <w:t xml:space="preserve">Směnné relace v zahraničním obchodě se zbožím v roce 2015 </w:t>
            </w:r>
            <w:r w:rsidRPr="00A927BA">
              <w:rPr>
                <w:lang w:eastAsia="en-US"/>
              </w:rPr>
              <w:t>(v %)</w:t>
            </w:r>
          </w:p>
        </w:tc>
      </w:tr>
      <w:tr w:rsidR="005E116A" w:rsidRPr="00A927BA" w:rsidTr="005E116A">
        <w:tc>
          <w:tcPr>
            <w:tcW w:w="2498" w:type="pct"/>
            <w:gridSpan w:val="2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89" type="#_x0000_t75" style="width:237.9pt;height:186.55pt;visibility:visible;mso-wrap-style:square">
                  <v:imagedata r:id="rId24" o:title=""/>
                </v:shape>
              </w:pict>
            </w:r>
          </w:p>
        </w:tc>
        <w:tc>
          <w:tcPr>
            <w:tcW w:w="2502" w:type="pct"/>
            <w:gridSpan w:val="2"/>
          </w:tcPr>
          <w:p w:rsidR="005E116A" w:rsidRPr="00A927BA" w:rsidRDefault="00315A8C" w:rsidP="005E116A">
            <w:pPr>
              <w:pStyle w:val="Textpoznpodarou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shape id="_x0000_i1090" type="#_x0000_t75" style="width:237.9pt;height:186.55pt;visibility:visible;mso-wrap-style:square">
                  <v:imagedata r:id="rId25" o:title=""/>
                </v:shape>
              </w:pict>
            </w:r>
          </w:p>
        </w:tc>
      </w:tr>
      <w:tr w:rsidR="005E116A" w:rsidRPr="00A927BA" w:rsidTr="005E116A">
        <w:tc>
          <w:tcPr>
            <w:tcW w:w="3076" w:type="pct"/>
            <w:gridSpan w:val="3"/>
          </w:tcPr>
          <w:p w:rsidR="005E116A" w:rsidRPr="005E116A" w:rsidRDefault="005E116A" w:rsidP="007A0BF4">
            <w:pPr>
              <w:pStyle w:val="Textpoznpodarou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4" w:type="pct"/>
          </w:tcPr>
          <w:p w:rsidR="005E116A" w:rsidRPr="005E116A" w:rsidRDefault="005E116A" w:rsidP="005E116A">
            <w:pPr>
              <w:pStyle w:val="Textpoznpodarou"/>
              <w:jc w:val="right"/>
              <w:rPr>
                <w:sz w:val="18"/>
                <w:szCs w:val="18"/>
                <w:lang w:eastAsia="en-US"/>
              </w:rPr>
            </w:pPr>
            <w:r w:rsidRPr="005E116A">
              <w:rPr>
                <w:sz w:val="18"/>
                <w:szCs w:val="18"/>
                <w:lang w:eastAsia="en-US"/>
              </w:rPr>
              <w:t>Zdroj: ČSÚ, vlastní výpočty</w:t>
            </w:r>
          </w:p>
        </w:tc>
      </w:tr>
    </w:tbl>
    <w:p w:rsidR="00D871DA" w:rsidRPr="00315A8C" w:rsidRDefault="00D871DA" w:rsidP="00315A8C">
      <w:pPr>
        <w:pStyle w:val="Nadpis1"/>
        <w:rPr>
          <w:sz w:val="2"/>
          <w:szCs w:val="2"/>
          <w:lang w:eastAsia="ar-SA"/>
        </w:rPr>
      </w:pPr>
    </w:p>
    <w:sectPr w:rsidR="00D871DA" w:rsidRPr="00315A8C" w:rsidSect="00315A8C">
      <w:headerReference w:type="even" r:id="rId26"/>
      <w:headerReference w:type="default" r:id="rId27"/>
      <w:footerReference w:type="even" r:id="rId28"/>
      <w:footerReference w:type="default" r:id="rId29"/>
      <w:type w:val="continuous"/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B0" w:rsidRDefault="00AB76B0" w:rsidP="00E71A58">
      <w:r>
        <w:separator/>
      </w:r>
    </w:p>
  </w:endnote>
  <w:endnote w:type="continuationSeparator" w:id="0">
    <w:p w:rsidR="00AB76B0" w:rsidRDefault="00AB76B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Default="007447A3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AB76B0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315A8C">
      <w:rPr>
        <w:rFonts w:ascii="Arial" w:hAnsi="Arial" w:cs="Arial"/>
        <w:noProof/>
        <w:sz w:val="16"/>
        <w:szCs w:val="16"/>
      </w:rPr>
      <w:t>38</w:t>
    </w:r>
    <w:r w:rsidRPr="005A21E0">
      <w:rPr>
        <w:rFonts w:ascii="Arial" w:hAnsi="Arial" w:cs="Arial"/>
        <w:sz w:val="16"/>
        <w:szCs w:val="16"/>
      </w:rPr>
      <w:fldChar w:fldCharType="end"/>
    </w:r>
    <w:r w:rsidR="00AB76B0">
      <w:rPr>
        <w:rFonts w:ascii="Arial" w:hAnsi="Arial" w:cs="Arial"/>
        <w:sz w:val="16"/>
        <w:szCs w:val="16"/>
      </w:rPr>
      <w:tab/>
      <w:t>2015</w:t>
    </w:r>
    <w:r w:rsidR="00AB76B0">
      <w:tab/>
    </w:r>
    <w:r w:rsidR="00AB76B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Default="007447A3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AB76B0">
      <w:tab/>
    </w:r>
    <w:r w:rsidR="00AB76B0">
      <w:tab/>
    </w:r>
    <w:r w:rsidR="00AB76B0" w:rsidRPr="00DC5B3B">
      <w:t xml:space="preserve">                              </w:t>
    </w:r>
  </w:p>
  <w:p w:rsidR="00AB76B0" w:rsidRPr="00223E00" w:rsidRDefault="00AB76B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7447A3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7447A3" w:rsidRPr="00223E00">
      <w:rPr>
        <w:rFonts w:ascii="Arial" w:hAnsi="Arial" w:cs="Arial"/>
        <w:sz w:val="16"/>
        <w:szCs w:val="16"/>
      </w:rPr>
      <w:fldChar w:fldCharType="separate"/>
    </w:r>
    <w:r w:rsidR="00315A8C">
      <w:rPr>
        <w:rFonts w:ascii="Arial" w:hAnsi="Arial" w:cs="Arial"/>
        <w:noProof/>
        <w:sz w:val="16"/>
        <w:szCs w:val="16"/>
      </w:rPr>
      <w:t>39</w:t>
    </w:r>
    <w:r w:rsidR="007447A3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B0" w:rsidRDefault="00AB76B0" w:rsidP="00E71A58">
      <w:r>
        <w:separator/>
      </w:r>
    </w:p>
  </w:footnote>
  <w:footnote w:type="continuationSeparator" w:id="0">
    <w:p w:rsidR="00AB76B0" w:rsidRDefault="00AB76B0" w:rsidP="00E71A58">
      <w:r>
        <w:continuationSeparator/>
      </w:r>
    </w:p>
  </w:footnote>
  <w:footnote w:id="1">
    <w:p w:rsidR="00AB76B0" w:rsidRPr="00A927BA" w:rsidRDefault="00AB76B0" w:rsidP="005E116A">
      <w:pPr>
        <w:pStyle w:val="Textpoznpodarou"/>
        <w:rPr>
          <w:sz w:val="16"/>
          <w:szCs w:val="16"/>
        </w:rPr>
      </w:pPr>
      <w:r w:rsidRPr="00A927BA">
        <w:rPr>
          <w:rStyle w:val="Znakapoznpodarou"/>
          <w:sz w:val="16"/>
          <w:szCs w:val="16"/>
        </w:rPr>
        <w:footnoteRef/>
      </w:r>
      <w:r w:rsidRPr="00A927BA">
        <w:rPr>
          <w:sz w:val="16"/>
          <w:szCs w:val="16"/>
        </w:rPr>
        <w:t xml:space="preserve"> Elektrická a tepelná energie, plyn a ostatní paliva.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Pr="00DC5B3B" w:rsidRDefault="00AB76B0" w:rsidP="003A28D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B0" w:rsidRPr="003A28DB" w:rsidRDefault="00AB76B0" w:rsidP="003A28D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45pt;height:16.9pt;visibility:visible;mso-wrap-style:square" o:bullet="t">
        <v:imagedata r:id="rId1" o:title=""/>
      </v:shape>
    </w:pict>
  </w:numPicBullet>
  <w:numPicBullet w:numPicBulletId="1">
    <w:pict>
      <v:shape id="_x0000_i1027" type="#_x0000_t75" style="width:35.05pt;height:18.15pt;visibility:visible;mso-wrap-style:square" o:bullet="t">
        <v:imagedata r:id="rId2" o:title=""/>
      </v:shape>
    </w:pict>
  </w:numPicBullet>
  <w:abstractNum w:abstractNumId="0">
    <w:nsid w:val="05BB0A88"/>
    <w:multiLevelType w:val="hybridMultilevel"/>
    <w:tmpl w:val="5C64F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E9F"/>
    <w:multiLevelType w:val="hybridMultilevel"/>
    <w:tmpl w:val="7D9C602C"/>
    <w:lvl w:ilvl="0" w:tplc="FE5CA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68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E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4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22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6E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6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B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5223D"/>
    <w:multiLevelType w:val="hybridMultilevel"/>
    <w:tmpl w:val="99FA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37A1"/>
    <w:multiLevelType w:val="multilevel"/>
    <w:tmpl w:val="698C7F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ADC7537"/>
    <w:multiLevelType w:val="hybridMultilevel"/>
    <w:tmpl w:val="2BB2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3F12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6">
    <w:nsid w:val="3AB14BFE"/>
    <w:multiLevelType w:val="hybridMultilevel"/>
    <w:tmpl w:val="118A4438"/>
    <w:lvl w:ilvl="0" w:tplc="82DE1B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ED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4A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6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EC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E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8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0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2984"/>
    <w:multiLevelType w:val="hybridMultilevel"/>
    <w:tmpl w:val="366AF43E"/>
    <w:lvl w:ilvl="0" w:tplc="FC1C587E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761419E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3E1652"/>
    <w:multiLevelType w:val="hybridMultilevel"/>
    <w:tmpl w:val="DA2A3836"/>
    <w:lvl w:ilvl="0" w:tplc="B790A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F6FB9"/>
    <w:multiLevelType w:val="hybridMultilevel"/>
    <w:tmpl w:val="490CA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FEE15A2"/>
    <w:multiLevelType w:val="hybridMultilevel"/>
    <w:tmpl w:val="B4BE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16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23E"/>
    <w:rsid w:val="00000FA7"/>
    <w:rsid w:val="00001A7D"/>
    <w:rsid w:val="00001EFF"/>
    <w:rsid w:val="00003687"/>
    <w:rsid w:val="00003C43"/>
    <w:rsid w:val="00006ECF"/>
    <w:rsid w:val="00007498"/>
    <w:rsid w:val="0000767A"/>
    <w:rsid w:val="00010151"/>
    <w:rsid w:val="000101F5"/>
    <w:rsid w:val="000104B9"/>
    <w:rsid w:val="00010702"/>
    <w:rsid w:val="00011191"/>
    <w:rsid w:val="0001159B"/>
    <w:rsid w:val="00011778"/>
    <w:rsid w:val="000128C7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CAD"/>
    <w:rsid w:val="00030F14"/>
    <w:rsid w:val="000311C5"/>
    <w:rsid w:val="00031328"/>
    <w:rsid w:val="00032838"/>
    <w:rsid w:val="00032C12"/>
    <w:rsid w:val="00032E0C"/>
    <w:rsid w:val="000350FB"/>
    <w:rsid w:val="00035CCF"/>
    <w:rsid w:val="00035FC6"/>
    <w:rsid w:val="00037667"/>
    <w:rsid w:val="0004075D"/>
    <w:rsid w:val="000411E1"/>
    <w:rsid w:val="000417FB"/>
    <w:rsid w:val="0004229A"/>
    <w:rsid w:val="00043E05"/>
    <w:rsid w:val="0004694F"/>
    <w:rsid w:val="000500DC"/>
    <w:rsid w:val="00052052"/>
    <w:rsid w:val="00052172"/>
    <w:rsid w:val="000531D0"/>
    <w:rsid w:val="00053CBA"/>
    <w:rsid w:val="00054382"/>
    <w:rsid w:val="00054E43"/>
    <w:rsid w:val="00055059"/>
    <w:rsid w:val="000553E4"/>
    <w:rsid w:val="000567FA"/>
    <w:rsid w:val="00056B26"/>
    <w:rsid w:val="00057C16"/>
    <w:rsid w:val="00060F26"/>
    <w:rsid w:val="00061733"/>
    <w:rsid w:val="00062D43"/>
    <w:rsid w:val="00062E81"/>
    <w:rsid w:val="00062EC5"/>
    <w:rsid w:val="00064256"/>
    <w:rsid w:val="000650C5"/>
    <w:rsid w:val="0007013D"/>
    <w:rsid w:val="000706A4"/>
    <w:rsid w:val="00070A0C"/>
    <w:rsid w:val="00071F80"/>
    <w:rsid w:val="00072118"/>
    <w:rsid w:val="00073173"/>
    <w:rsid w:val="000759A5"/>
    <w:rsid w:val="00075BA7"/>
    <w:rsid w:val="000779AC"/>
    <w:rsid w:val="0008046C"/>
    <w:rsid w:val="00083803"/>
    <w:rsid w:val="00084393"/>
    <w:rsid w:val="0008716A"/>
    <w:rsid w:val="00087634"/>
    <w:rsid w:val="000907D0"/>
    <w:rsid w:val="00091237"/>
    <w:rsid w:val="0009191B"/>
    <w:rsid w:val="000920EC"/>
    <w:rsid w:val="00092208"/>
    <w:rsid w:val="00092505"/>
    <w:rsid w:val="00092C9A"/>
    <w:rsid w:val="00095CD8"/>
    <w:rsid w:val="00097D02"/>
    <w:rsid w:val="000A1183"/>
    <w:rsid w:val="000A2121"/>
    <w:rsid w:val="000A2484"/>
    <w:rsid w:val="000A2493"/>
    <w:rsid w:val="000A36CE"/>
    <w:rsid w:val="000A5415"/>
    <w:rsid w:val="000A59BF"/>
    <w:rsid w:val="000A5B73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5230"/>
    <w:rsid w:val="000B5262"/>
    <w:rsid w:val="000B5782"/>
    <w:rsid w:val="000B7663"/>
    <w:rsid w:val="000C11D3"/>
    <w:rsid w:val="000C12F5"/>
    <w:rsid w:val="000C2FAB"/>
    <w:rsid w:val="000C3408"/>
    <w:rsid w:val="000C5C0F"/>
    <w:rsid w:val="000C5D56"/>
    <w:rsid w:val="000C6498"/>
    <w:rsid w:val="000C6C84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D6B09"/>
    <w:rsid w:val="000E025B"/>
    <w:rsid w:val="000E0ECB"/>
    <w:rsid w:val="000E153A"/>
    <w:rsid w:val="000E19A8"/>
    <w:rsid w:val="000E1EEA"/>
    <w:rsid w:val="000E3E34"/>
    <w:rsid w:val="000E4A42"/>
    <w:rsid w:val="000E6476"/>
    <w:rsid w:val="000E78D2"/>
    <w:rsid w:val="000F3332"/>
    <w:rsid w:val="000F33EE"/>
    <w:rsid w:val="000F401E"/>
    <w:rsid w:val="000F5445"/>
    <w:rsid w:val="000F559E"/>
    <w:rsid w:val="000F5673"/>
    <w:rsid w:val="000F67B2"/>
    <w:rsid w:val="000F67E3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5F6B"/>
    <w:rsid w:val="001070EA"/>
    <w:rsid w:val="0011002A"/>
    <w:rsid w:val="001107CE"/>
    <w:rsid w:val="0011110A"/>
    <w:rsid w:val="001118AF"/>
    <w:rsid w:val="00111CA5"/>
    <w:rsid w:val="0011256E"/>
    <w:rsid w:val="0011352E"/>
    <w:rsid w:val="00113AE4"/>
    <w:rsid w:val="00114FC0"/>
    <w:rsid w:val="00115496"/>
    <w:rsid w:val="00116DB9"/>
    <w:rsid w:val="00116F28"/>
    <w:rsid w:val="001205E9"/>
    <w:rsid w:val="00121C39"/>
    <w:rsid w:val="001225F2"/>
    <w:rsid w:val="00123255"/>
    <w:rsid w:val="00124D2D"/>
    <w:rsid w:val="00124DA1"/>
    <w:rsid w:val="0012511D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46"/>
    <w:rsid w:val="001413B3"/>
    <w:rsid w:val="001425C3"/>
    <w:rsid w:val="00142F16"/>
    <w:rsid w:val="00143E03"/>
    <w:rsid w:val="00143E93"/>
    <w:rsid w:val="001441F1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6CF"/>
    <w:rsid w:val="0016081D"/>
    <w:rsid w:val="00160CC3"/>
    <w:rsid w:val="00160CF3"/>
    <w:rsid w:val="00160E61"/>
    <w:rsid w:val="00160F90"/>
    <w:rsid w:val="00161DD7"/>
    <w:rsid w:val="001620FA"/>
    <w:rsid w:val="00162853"/>
    <w:rsid w:val="00163793"/>
    <w:rsid w:val="00167FB2"/>
    <w:rsid w:val="001707DE"/>
    <w:rsid w:val="00170B04"/>
    <w:rsid w:val="00170F47"/>
    <w:rsid w:val="001714F2"/>
    <w:rsid w:val="00172BC8"/>
    <w:rsid w:val="00173642"/>
    <w:rsid w:val="00173AF4"/>
    <w:rsid w:val="00173CB0"/>
    <w:rsid w:val="00174CE8"/>
    <w:rsid w:val="00175351"/>
    <w:rsid w:val="0017598A"/>
    <w:rsid w:val="00175F60"/>
    <w:rsid w:val="00176050"/>
    <w:rsid w:val="001764D8"/>
    <w:rsid w:val="00176A8F"/>
    <w:rsid w:val="001809EB"/>
    <w:rsid w:val="00180D58"/>
    <w:rsid w:val="00181362"/>
    <w:rsid w:val="00182981"/>
    <w:rsid w:val="00184A20"/>
    <w:rsid w:val="00184CF9"/>
    <w:rsid w:val="00185010"/>
    <w:rsid w:val="001852EC"/>
    <w:rsid w:val="00186447"/>
    <w:rsid w:val="001874CF"/>
    <w:rsid w:val="0018770F"/>
    <w:rsid w:val="00190214"/>
    <w:rsid w:val="00190D9B"/>
    <w:rsid w:val="00191BAE"/>
    <w:rsid w:val="00193432"/>
    <w:rsid w:val="0019346C"/>
    <w:rsid w:val="00195444"/>
    <w:rsid w:val="001A199D"/>
    <w:rsid w:val="001A2A44"/>
    <w:rsid w:val="001A2BDB"/>
    <w:rsid w:val="001A30F4"/>
    <w:rsid w:val="001A4C0D"/>
    <w:rsid w:val="001A4F20"/>
    <w:rsid w:val="001A552F"/>
    <w:rsid w:val="001A56F3"/>
    <w:rsid w:val="001A737B"/>
    <w:rsid w:val="001A750C"/>
    <w:rsid w:val="001A7F49"/>
    <w:rsid w:val="001B10C0"/>
    <w:rsid w:val="001B1B54"/>
    <w:rsid w:val="001B1D89"/>
    <w:rsid w:val="001B2512"/>
    <w:rsid w:val="001B3110"/>
    <w:rsid w:val="001B4198"/>
    <w:rsid w:val="001B44BC"/>
    <w:rsid w:val="001B4CCF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68C"/>
    <w:rsid w:val="001C3A37"/>
    <w:rsid w:val="001C4384"/>
    <w:rsid w:val="001C4C8D"/>
    <w:rsid w:val="001C4E7D"/>
    <w:rsid w:val="001C65FF"/>
    <w:rsid w:val="001C7FB7"/>
    <w:rsid w:val="001D1155"/>
    <w:rsid w:val="001D222C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555"/>
    <w:rsid w:val="001E5830"/>
    <w:rsid w:val="001E684C"/>
    <w:rsid w:val="001E701C"/>
    <w:rsid w:val="001E7C03"/>
    <w:rsid w:val="001F01CF"/>
    <w:rsid w:val="001F02AF"/>
    <w:rsid w:val="001F0649"/>
    <w:rsid w:val="001F0A76"/>
    <w:rsid w:val="001F28F4"/>
    <w:rsid w:val="001F2CC6"/>
    <w:rsid w:val="001F3055"/>
    <w:rsid w:val="001F31BC"/>
    <w:rsid w:val="001F31F5"/>
    <w:rsid w:val="001F378E"/>
    <w:rsid w:val="001F3C79"/>
    <w:rsid w:val="001F3E68"/>
    <w:rsid w:val="001F4597"/>
    <w:rsid w:val="001F4599"/>
    <w:rsid w:val="001F56A9"/>
    <w:rsid w:val="001F5C6A"/>
    <w:rsid w:val="001F5D00"/>
    <w:rsid w:val="001F670A"/>
    <w:rsid w:val="001F6CAA"/>
    <w:rsid w:val="00200D15"/>
    <w:rsid w:val="00201F3C"/>
    <w:rsid w:val="0020223B"/>
    <w:rsid w:val="0020297F"/>
    <w:rsid w:val="00203074"/>
    <w:rsid w:val="00203B46"/>
    <w:rsid w:val="002048E1"/>
    <w:rsid w:val="00205DF4"/>
    <w:rsid w:val="0020609C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65"/>
    <w:rsid w:val="002179F9"/>
    <w:rsid w:val="002205F2"/>
    <w:rsid w:val="0022080E"/>
    <w:rsid w:val="0022139E"/>
    <w:rsid w:val="0022221B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2FB4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3924"/>
    <w:rsid w:val="0024442C"/>
    <w:rsid w:val="002444ED"/>
    <w:rsid w:val="00244A15"/>
    <w:rsid w:val="00244D40"/>
    <w:rsid w:val="00246AE9"/>
    <w:rsid w:val="0024799E"/>
    <w:rsid w:val="00250521"/>
    <w:rsid w:val="00250C59"/>
    <w:rsid w:val="00250E0D"/>
    <w:rsid w:val="00251D59"/>
    <w:rsid w:val="00252602"/>
    <w:rsid w:val="00252FDC"/>
    <w:rsid w:val="00257613"/>
    <w:rsid w:val="00261E5B"/>
    <w:rsid w:val="00262F34"/>
    <w:rsid w:val="0026319D"/>
    <w:rsid w:val="00263470"/>
    <w:rsid w:val="00263733"/>
    <w:rsid w:val="00264676"/>
    <w:rsid w:val="00265536"/>
    <w:rsid w:val="00265E54"/>
    <w:rsid w:val="00266F3E"/>
    <w:rsid w:val="002702CC"/>
    <w:rsid w:val="00270785"/>
    <w:rsid w:val="002714E2"/>
    <w:rsid w:val="00272464"/>
    <w:rsid w:val="00272823"/>
    <w:rsid w:val="00273DCD"/>
    <w:rsid w:val="00274291"/>
    <w:rsid w:val="00276CFE"/>
    <w:rsid w:val="00277071"/>
    <w:rsid w:val="0027786C"/>
    <w:rsid w:val="00277BF7"/>
    <w:rsid w:val="002813A2"/>
    <w:rsid w:val="00281416"/>
    <w:rsid w:val="00281688"/>
    <w:rsid w:val="00285CD3"/>
    <w:rsid w:val="00286220"/>
    <w:rsid w:val="0028686A"/>
    <w:rsid w:val="00286E66"/>
    <w:rsid w:val="002870B7"/>
    <w:rsid w:val="002919B5"/>
    <w:rsid w:val="00293441"/>
    <w:rsid w:val="00294238"/>
    <w:rsid w:val="0029493E"/>
    <w:rsid w:val="002962E0"/>
    <w:rsid w:val="00296B2C"/>
    <w:rsid w:val="00296BB2"/>
    <w:rsid w:val="00296C2E"/>
    <w:rsid w:val="002A1B05"/>
    <w:rsid w:val="002A267F"/>
    <w:rsid w:val="002A2CAF"/>
    <w:rsid w:val="002A3354"/>
    <w:rsid w:val="002A35EA"/>
    <w:rsid w:val="002A37B6"/>
    <w:rsid w:val="002A3BD5"/>
    <w:rsid w:val="002A43A2"/>
    <w:rsid w:val="002A44ED"/>
    <w:rsid w:val="002A4612"/>
    <w:rsid w:val="002A4F70"/>
    <w:rsid w:val="002A5170"/>
    <w:rsid w:val="002A5263"/>
    <w:rsid w:val="002A6821"/>
    <w:rsid w:val="002A74D2"/>
    <w:rsid w:val="002A7CDA"/>
    <w:rsid w:val="002A7E0A"/>
    <w:rsid w:val="002A7F47"/>
    <w:rsid w:val="002B1544"/>
    <w:rsid w:val="002B22BD"/>
    <w:rsid w:val="002B2593"/>
    <w:rsid w:val="002B36C8"/>
    <w:rsid w:val="002B71B4"/>
    <w:rsid w:val="002B7240"/>
    <w:rsid w:val="002B7590"/>
    <w:rsid w:val="002C0FF4"/>
    <w:rsid w:val="002C125A"/>
    <w:rsid w:val="002C2668"/>
    <w:rsid w:val="002C2BAF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2D0"/>
    <w:rsid w:val="002D54BF"/>
    <w:rsid w:val="002D5579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38B5"/>
    <w:rsid w:val="002F4825"/>
    <w:rsid w:val="002F663A"/>
    <w:rsid w:val="002F68A4"/>
    <w:rsid w:val="002F7594"/>
    <w:rsid w:val="00300D6F"/>
    <w:rsid w:val="00301357"/>
    <w:rsid w:val="00301D04"/>
    <w:rsid w:val="00302429"/>
    <w:rsid w:val="00302CC5"/>
    <w:rsid w:val="003035D4"/>
    <w:rsid w:val="00303DCB"/>
    <w:rsid w:val="00304771"/>
    <w:rsid w:val="00305736"/>
    <w:rsid w:val="00306C5B"/>
    <w:rsid w:val="00306E3B"/>
    <w:rsid w:val="00307277"/>
    <w:rsid w:val="003119B6"/>
    <w:rsid w:val="00311A14"/>
    <w:rsid w:val="00312237"/>
    <w:rsid w:val="00312C3D"/>
    <w:rsid w:val="00314331"/>
    <w:rsid w:val="00315A8C"/>
    <w:rsid w:val="00317E31"/>
    <w:rsid w:val="00320214"/>
    <w:rsid w:val="003209D6"/>
    <w:rsid w:val="0032109A"/>
    <w:rsid w:val="0032214F"/>
    <w:rsid w:val="00322164"/>
    <w:rsid w:val="00322A2F"/>
    <w:rsid w:val="00322CED"/>
    <w:rsid w:val="00323CF7"/>
    <w:rsid w:val="00323E61"/>
    <w:rsid w:val="0032513D"/>
    <w:rsid w:val="00325B20"/>
    <w:rsid w:val="00326251"/>
    <w:rsid w:val="0032739C"/>
    <w:rsid w:val="00327DEE"/>
    <w:rsid w:val="003302DA"/>
    <w:rsid w:val="00330EB0"/>
    <w:rsid w:val="00331544"/>
    <w:rsid w:val="00331785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1F7E"/>
    <w:rsid w:val="00352E57"/>
    <w:rsid w:val="003541B0"/>
    <w:rsid w:val="0035457E"/>
    <w:rsid w:val="00355885"/>
    <w:rsid w:val="0035605E"/>
    <w:rsid w:val="00356106"/>
    <w:rsid w:val="0035612B"/>
    <w:rsid w:val="00357449"/>
    <w:rsid w:val="0036238B"/>
    <w:rsid w:val="003651A4"/>
    <w:rsid w:val="00365680"/>
    <w:rsid w:val="0036572A"/>
    <w:rsid w:val="003657F3"/>
    <w:rsid w:val="00366D4D"/>
    <w:rsid w:val="00367038"/>
    <w:rsid w:val="00370963"/>
    <w:rsid w:val="0037144E"/>
    <w:rsid w:val="003736B5"/>
    <w:rsid w:val="00373809"/>
    <w:rsid w:val="00374F1E"/>
    <w:rsid w:val="00376CBB"/>
    <w:rsid w:val="00376DEC"/>
    <w:rsid w:val="00377200"/>
    <w:rsid w:val="0038034A"/>
    <w:rsid w:val="00380E04"/>
    <w:rsid w:val="00380E6C"/>
    <w:rsid w:val="00383227"/>
    <w:rsid w:val="00384D8F"/>
    <w:rsid w:val="00385D98"/>
    <w:rsid w:val="00385EC5"/>
    <w:rsid w:val="0038658E"/>
    <w:rsid w:val="00390561"/>
    <w:rsid w:val="0039066E"/>
    <w:rsid w:val="00391C95"/>
    <w:rsid w:val="0039462F"/>
    <w:rsid w:val="00394D49"/>
    <w:rsid w:val="00396DAC"/>
    <w:rsid w:val="003A0214"/>
    <w:rsid w:val="003A027D"/>
    <w:rsid w:val="003A09DB"/>
    <w:rsid w:val="003A1D74"/>
    <w:rsid w:val="003A28DB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7D4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9F2"/>
    <w:rsid w:val="003C5BC7"/>
    <w:rsid w:val="003C601E"/>
    <w:rsid w:val="003C66C4"/>
    <w:rsid w:val="003D0765"/>
    <w:rsid w:val="003D2C4E"/>
    <w:rsid w:val="003D3600"/>
    <w:rsid w:val="003D3825"/>
    <w:rsid w:val="003D3EC4"/>
    <w:rsid w:val="003D3FB7"/>
    <w:rsid w:val="003D4760"/>
    <w:rsid w:val="003D49DC"/>
    <w:rsid w:val="003D4DD9"/>
    <w:rsid w:val="003D5D7A"/>
    <w:rsid w:val="003E0663"/>
    <w:rsid w:val="003E133F"/>
    <w:rsid w:val="003E49F6"/>
    <w:rsid w:val="003E4F5C"/>
    <w:rsid w:val="003E699C"/>
    <w:rsid w:val="003E69F3"/>
    <w:rsid w:val="003E6CAF"/>
    <w:rsid w:val="003E782E"/>
    <w:rsid w:val="003E7A0B"/>
    <w:rsid w:val="003E7B2B"/>
    <w:rsid w:val="003F0297"/>
    <w:rsid w:val="003F0CE4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5507"/>
    <w:rsid w:val="00405FC7"/>
    <w:rsid w:val="004078BD"/>
    <w:rsid w:val="00410132"/>
    <w:rsid w:val="00410BCD"/>
    <w:rsid w:val="00410DE5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041"/>
    <w:rsid w:val="004329BE"/>
    <w:rsid w:val="00432C38"/>
    <w:rsid w:val="004342EC"/>
    <w:rsid w:val="0043509C"/>
    <w:rsid w:val="00437C76"/>
    <w:rsid w:val="0044105C"/>
    <w:rsid w:val="004422DD"/>
    <w:rsid w:val="00443E95"/>
    <w:rsid w:val="004441A0"/>
    <w:rsid w:val="00444268"/>
    <w:rsid w:val="00444326"/>
    <w:rsid w:val="004443BF"/>
    <w:rsid w:val="00444C19"/>
    <w:rsid w:val="00445218"/>
    <w:rsid w:val="00445CDD"/>
    <w:rsid w:val="004464D5"/>
    <w:rsid w:val="00446892"/>
    <w:rsid w:val="00447E36"/>
    <w:rsid w:val="00450326"/>
    <w:rsid w:val="00450700"/>
    <w:rsid w:val="00450C30"/>
    <w:rsid w:val="00452819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0FB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D39"/>
    <w:rsid w:val="00477EAF"/>
    <w:rsid w:val="00477EE0"/>
    <w:rsid w:val="00480AB8"/>
    <w:rsid w:val="00480B92"/>
    <w:rsid w:val="0048139F"/>
    <w:rsid w:val="00481C00"/>
    <w:rsid w:val="00483053"/>
    <w:rsid w:val="00484874"/>
    <w:rsid w:val="00485230"/>
    <w:rsid w:val="004859B2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400"/>
    <w:rsid w:val="004B0803"/>
    <w:rsid w:val="004B10A8"/>
    <w:rsid w:val="004B22DA"/>
    <w:rsid w:val="004B3CB7"/>
    <w:rsid w:val="004B3D55"/>
    <w:rsid w:val="004B55B7"/>
    <w:rsid w:val="004B5836"/>
    <w:rsid w:val="004B6A7F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5D6E"/>
    <w:rsid w:val="004D74FF"/>
    <w:rsid w:val="004D76CC"/>
    <w:rsid w:val="004E1803"/>
    <w:rsid w:val="004E1839"/>
    <w:rsid w:val="004E4A75"/>
    <w:rsid w:val="004E541A"/>
    <w:rsid w:val="004E5A5C"/>
    <w:rsid w:val="004E7007"/>
    <w:rsid w:val="004E76D6"/>
    <w:rsid w:val="004E7F57"/>
    <w:rsid w:val="004F06F5"/>
    <w:rsid w:val="004F0C84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4F67DF"/>
    <w:rsid w:val="00502230"/>
    <w:rsid w:val="005028E1"/>
    <w:rsid w:val="0050692E"/>
    <w:rsid w:val="00507040"/>
    <w:rsid w:val="005079F8"/>
    <w:rsid w:val="00510189"/>
    <w:rsid w:val="005106F1"/>
    <w:rsid w:val="005108C0"/>
    <w:rsid w:val="00511873"/>
    <w:rsid w:val="0051367B"/>
    <w:rsid w:val="00513B7E"/>
    <w:rsid w:val="005140DE"/>
    <w:rsid w:val="00514474"/>
    <w:rsid w:val="005147E9"/>
    <w:rsid w:val="0051778E"/>
    <w:rsid w:val="005205A2"/>
    <w:rsid w:val="0052142D"/>
    <w:rsid w:val="005215EF"/>
    <w:rsid w:val="005230D0"/>
    <w:rsid w:val="00524637"/>
    <w:rsid w:val="00524FDD"/>
    <w:rsid w:val="00525137"/>
    <w:rsid w:val="005251DD"/>
    <w:rsid w:val="005263D4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1606"/>
    <w:rsid w:val="00542FA4"/>
    <w:rsid w:val="0054458F"/>
    <w:rsid w:val="0054495C"/>
    <w:rsid w:val="00544C1E"/>
    <w:rsid w:val="0054516B"/>
    <w:rsid w:val="0054559E"/>
    <w:rsid w:val="005513D5"/>
    <w:rsid w:val="005523B9"/>
    <w:rsid w:val="00552806"/>
    <w:rsid w:val="005545E0"/>
    <w:rsid w:val="00554865"/>
    <w:rsid w:val="00554E57"/>
    <w:rsid w:val="00561B39"/>
    <w:rsid w:val="00562749"/>
    <w:rsid w:val="00562DE9"/>
    <w:rsid w:val="005638A5"/>
    <w:rsid w:val="00565109"/>
    <w:rsid w:val="00566381"/>
    <w:rsid w:val="00566A03"/>
    <w:rsid w:val="005703D7"/>
    <w:rsid w:val="00571932"/>
    <w:rsid w:val="00573C97"/>
    <w:rsid w:val="00574240"/>
    <w:rsid w:val="00575CDC"/>
    <w:rsid w:val="005765D5"/>
    <w:rsid w:val="00576A3E"/>
    <w:rsid w:val="0057703D"/>
    <w:rsid w:val="00583384"/>
    <w:rsid w:val="0058366F"/>
    <w:rsid w:val="00583D5B"/>
    <w:rsid w:val="00583FFD"/>
    <w:rsid w:val="00587CCD"/>
    <w:rsid w:val="00590502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A7A7A"/>
    <w:rsid w:val="005B0DE8"/>
    <w:rsid w:val="005B1BDB"/>
    <w:rsid w:val="005B2BAA"/>
    <w:rsid w:val="005B2D53"/>
    <w:rsid w:val="005B3247"/>
    <w:rsid w:val="005B3409"/>
    <w:rsid w:val="005B3BB7"/>
    <w:rsid w:val="005B498A"/>
    <w:rsid w:val="005B4E00"/>
    <w:rsid w:val="005B60B5"/>
    <w:rsid w:val="005B7B12"/>
    <w:rsid w:val="005C16CB"/>
    <w:rsid w:val="005C21D6"/>
    <w:rsid w:val="005C3871"/>
    <w:rsid w:val="005C3F9F"/>
    <w:rsid w:val="005C406F"/>
    <w:rsid w:val="005C4A23"/>
    <w:rsid w:val="005C562C"/>
    <w:rsid w:val="005C5812"/>
    <w:rsid w:val="005C6400"/>
    <w:rsid w:val="005C7F1E"/>
    <w:rsid w:val="005D2B4D"/>
    <w:rsid w:val="005D374F"/>
    <w:rsid w:val="005D4336"/>
    <w:rsid w:val="005D5802"/>
    <w:rsid w:val="005D6CFC"/>
    <w:rsid w:val="005D73E2"/>
    <w:rsid w:val="005D757A"/>
    <w:rsid w:val="005D7C4B"/>
    <w:rsid w:val="005E116A"/>
    <w:rsid w:val="005E1E4B"/>
    <w:rsid w:val="005E214F"/>
    <w:rsid w:val="005E362D"/>
    <w:rsid w:val="005E3A0C"/>
    <w:rsid w:val="005E3CC9"/>
    <w:rsid w:val="005E3FAC"/>
    <w:rsid w:val="005E4177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E7CE4"/>
    <w:rsid w:val="005F0976"/>
    <w:rsid w:val="005F16C3"/>
    <w:rsid w:val="005F26CE"/>
    <w:rsid w:val="005F4057"/>
    <w:rsid w:val="005F4088"/>
    <w:rsid w:val="005F601D"/>
    <w:rsid w:val="005F6119"/>
    <w:rsid w:val="005F77CA"/>
    <w:rsid w:val="005F7940"/>
    <w:rsid w:val="00600E81"/>
    <w:rsid w:val="0060107A"/>
    <w:rsid w:val="00601AFF"/>
    <w:rsid w:val="00602D1D"/>
    <w:rsid w:val="00603A7F"/>
    <w:rsid w:val="00604307"/>
    <w:rsid w:val="0060487F"/>
    <w:rsid w:val="00605814"/>
    <w:rsid w:val="00606B93"/>
    <w:rsid w:val="006076A7"/>
    <w:rsid w:val="00607727"/>
    <w:rsid w:val="00610BD5"/>
    <w:rsid w:val="00611531"/>
    <w:rsid w:val="006118AA"/>
    <w:rsid w:val="006132A2"/>
    <w:rsid w:val="006139C7"/>
    <w:rsid w:val="006153E3"/>
    <w:rsid w:val="006167AB"/>
    <w:rsid w:val="00617D13"/>
    <w:rsid w:val="00617D2D"/>
    <w:rsid w:val="00617D83"/>
    <w:rsid w:val="00620430"/>
    <w:rsid w:val="00620AC5"/>
    <w:rsid w:val="00621575"/>
    <w:rsid w:val="006215FC"/>
    <w:rsid w:val="006228BE"/>
    <w:rsid w:val="00623B77"/>
    <w:rsid w:val="00624093"/>
    <w:rsid w:val="00624EC8"/>
    <w:rsid w:val="00625E54"/>
    <w:rsid w:val="00627678"/>
    <w:rsid w:val="00630F66"/>
    <w:rsid w:val="00631562"/>
    <w:rsid w:val="00631FC2"/>
    <w:rsid w:val="00632171"/>
    <w:rsid w:val="0063332A"/>
    <w:rsid w:val="00633FBD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54E"/>
    <w:rsid w:val="00643A80"/>
    <w:rsid w:val="006446CA"/>
    <w:rsid w:val="00644DFC"/>
    <w:rsid w:val="006451E4"/>
    <w:rsid w:val="006454B4"/>
    <w:rsid w:val="00645A9C"/>
    <w:rsid w:val="006460B8"/>
    <w:rsid w:val="00647313"/>
    <w:rsid w:val="006502D1"/>
    <w:rsid w:val="006504A0"/>
    <w:rsid w:val="00650B18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4C15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32A0"/>
    <w:rsid w:val="00673940"/>
    <w:rsid w:val="00675E37"/>
    <w:rsid w:val="00676AFC"/>
    <w:rsid w:val="00676F11"/>
    <w:rsid w:val="00680079"/>
    <w:rsid w:val="00680F68"/>
    <w:rsid w:val="006812E6"/>
    <w:rsid w:val="0068173A"/>
    <w:rsid w:val="0068260E"/>
    <w:rsid w:val="00682BD7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14E4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0256"/>
    <w:rsid w:val="006A109C"/>
    <w:rsid w:val="006A18AE"/>
    <w:rsid w:val="006A2EE8"/>
    <w:rsid w:val="006A3CF3"/>
    <w:rsid w:val="006A568F"/>
    <w:rsid w:val="006A65EF"/>
    <w:rsid w:val="006A672B"/>
    <w:rsid w:val="006A7E01"/>
    <w:rsid w:val="006B23A9"/>
    <w:rsid w:val="006B262C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440"/>
    <w:rsid w:val="006C5577"/>
    <w:rsid w:val="006C559A"/>
    <w:rsid w:val="006C58FA"/>
    <w:rsid w:val="006D042D"/>
    <w:rsid w:val="006D06EF"/>
    <w:rsid w:val="006D142E"/>
    <w:rsid w:val="006D3290"/>
    <w:rsid w:val="006D4497"/>
    <w:rsid w:val="006D4E6F"/>
    <w:rsid w:val="006D61F6"/>
    <w:rsid w:val="006D6D7D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89F"/>
    <w:rsid w:val="006F4A59"/>
    <w:rsid w:val="006F59A3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CB9"/>
    <w:rsid w:val="00711EF1"/>
    <w:rsid w:val="0071229A"/>
    <w:rsid w:val="00712572"/>
    <w:rsid w:val="00713495"/>
    <w:rsid w:val="00713EEB"/>
    <w:rsid w:val="007159D2"/>
    <w:rsid w:val="007200D6"/>
    <w:rsid w:val="0072050E"/>
    <w:rsid w:val="00720FA2"/>
    <w:rsid w:val="007211F5"/>
    <w:rsid w:val="00724666"/>
    <w:rsid w:val="00725492"/>
    <w:rsid w:val="00726043"/>
    <w:rsid w:val="0072704A"/>
    <w:rsid w:val="007303DF"/>
    <w:rsid w:val="00730AE8"/>
    <w:rsid w:val="007315DA"/>
    <w:rsid w:val="00731963"/>
    <w:rsid w:val="00734321"/>
    <w:rsid w:val="0073532E"/>
    <w:rsid w:val="007377A7"/>
    <w:rsid w:val="00740310"/>
    <w:rsid w:val="00740652"/>
    <w:rsid w:val="00740F02"/>
    <w:rsid w:val="00740FEC"/>
    <w:rsid w:val="0074103A"/>
    <w:rsid w:val="0074132E"/>
    <w:rsid w:val="00741493"/>
    <w:rsid w:val="00741C92"/>
    <w:rsid w:val="007426B3"/>
    <w:rsid w:val="007426FD"/>
    <w:rsid w:val="0074329D"/>
    <w:rsid w:val="00743861"/>
    <w:rsid w:val="00744376"/>
    <w:rsid w:val="007447A3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75A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47"/>
    <w:rsid w:val="0076359D"/>
    <w:rsid w:val="007639E7"/>
    <w:rsid w:val="0077058D"/>
    <w:rsid w:val="007708DF"/>
    <w:rsid w:val="00772536"/>
    <w:rsid w:val="00773613"/>
    <w:rsid w:val="00774782"/>
    <w:rsid w:val="00776476"/>
    <w:rsid w:val="00776527"/>
    <w:rsid w:val="0077744C"/>
    <w:rsid w:val="007805E1"/>
    <w:rsid w:val="0078113E"/>
    <w:rsid w:val="00781834"/>
    <w:rsid w:val="007821DB"/>
    <w:rsid w:val="00782818"/>
    <w:rsid w:val="007838F1"/>
    <w:rsid w:val="00784712"/>
    <w:rsid w:val="00784C4A"/>
    <w:rsid w:val="00785FCA"/>
    <w:rsid w:val="00787432"/>
    <w:rsid w:val="00787507"/>
    <w:rsid w:val="0078777B"/>
    <w:rsid w:val="00787959"/>
    <w:rsid w:val="007879F2"/>
    <w:rsid w:val="00791CF8"/>
    <w:rsid w:val="00791EF9"/>
    <w:rsid w:val="00792262"/>
    <w:rsid w:val="00793387"/>
    <w:rsid w:val="00793BAE"/>
    <w:rsid w:val="00794E0A"/>
    <w:rsid w:val="007952D6"/>
    <w:rsid w:val="00796642"/>
    <w:rsid w:val="007A0BF4"/>
    <w:rsid w:val="007A11D9"/>
    <w:rsid w:val="007A327B"/>
    <w:rsid w:val="007A4048"/>
    <w:rsid w:val="007A45B1"/>
    <w:rsid w:val="007A4606"/>
    <w:rsid w:val="007A5AC8"/>
    <w:rsid w:val="007B010B"/>
    <w:rsid w:val="007B089E"/>
    <w:rsid w:val="007B0D67"/>
    <w:rsid w:val="007B1966"/>
    <w:rsid w:val="007B19FC"/>
    <w:rsid w:val="007B2779"/>
    <w:rsid w:val="007B3DCC"/>
    <w:rsid w:val="007B4518"/>
    <w:rsid w:val="007B5031"/>
    <w:rsid w:val="007B573F"/>
    <w:rsid w:val="007B75A9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4AA5"/>
    <w:rsid w:val="007D5947"/>
    <w:rsid w:val="007D65C1"/>
    <w:rsid w:val="007E030F"/>
    <w:rsid w:val="007E0E59"/>
    <w:rsid w:val="007E0F4B"/>
    <w:rsid w:val="007E1D89"/>
    <w:rsid w:val="007E292E"/>
    <w:rsid w:val="007E3715"/>
    <w:rsid w:val="007E527B"/>
    <w:rsid w:val="007E54E8"/>
    <w:rsid w:val="007E6A56"/>
    <w:rsid w:val="007E7E61"/>
    <w:rsid w:val="007F0037"/>
    <w:rsid w:val="007F0845"/>
    <w:rsid w:val="007F123D"/>
    <w:rsid w:val="007F16F9"/>
    <w:rsid w:val="007F2732"/>
    <w:rsid w:val="007F3E3E"/>
    <w:rsid w:val="007F42E0"/>
    <w:rsid w:val="007F43A1"/>
    <w:rsid w:val="007F500D"/>
    <w:rsid w:val="007F5F14"/>
    <w:rsid w:val="007F7B54"/>
    <w:rsid w:val="00800073"/>
    <w:rsid w:val="008005D7"/>
    <w:rsid w:val="00801FDD"/>
    <w:rsid w:val="008020C2"/>
    <w:rsid w:val="0080255C"/>
    <w:rsid w:val="00803BD2"/>
    <w:rsid w:val="00806625"/>
    <w:rsid w:val="00806D07"/>
    <w:rsid w:val="00807B2D"/>
    <w:rsid w:val="00811859"/>
    <w:rsid w:val="0081187C"/>
    <w:rsid w:val="00811E24"/>
    <w:rsid w:val="00812386"/>
    <w:rsid w:val="00812E2B"/>
    <w:rsid w:val="008137CD"/>
    <w:rsid w:val="00813A70"/>
    <w:rsid w:val="00813FE6"/>
    <w:rsid w:val="00815C6E"/>
    <w:rsid w:val="0081645F"/>
    <w:rsid w:val="00816608"/>
    <w:rsid w:val="00816E02"/>
    <w:rsid w:val="00817755"/>
    <w:rsid w:val="008178C2"/>
    <w:rsid w:val="008178CF"/>
    <w:rsid w:val="00817C98"/>
    <w:rsid w:val="00820773"/>
    <w:rsid w:val="00820C9F"/>
    <w:rsid w:val="0082132B"/>
    <w:rsid w:val="00821FF6"/>
    <w:rsid w:val="00823AAF"/>
    <w:rsid w:val="0082401E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1EF3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049D"/>
    <w:rsid w:val="008507C8"/>
    <w:rsid w:val="0085281A"/>
    <w:rsid w:val="008559FE"/>
    <w:rsid w:val="00855F63"/>
    <w:rsid w:val="00857339"/>
    <w:rsid w:val="00860706"/>
    <w:rsid w:val="0086158A"/>
    <w:rsid w:val="00861DCB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1F03"/>
    <w:rsid w:val="008724FE"/>
    <w:rsid w:val="008746E6"/>
    <w:rsid w:val="00875174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26F7"/>
    <w:rsid w:val="0088369C"/>
    <w:rsid w:val="00883A67"/>
    <w:rsid w:val="00883D45"/>
    <w:rsid w:val="00884D69"/>
    <w:rsid w:val="00884DD6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4E39"/>
    <w:rsid w:val="008A615E"/>
    <w:rsid w:val="008A632B"/>
    <w:rsid w:val="008A6BFE"/>
    <w:rsid w:val="008A7D9F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C62"/>
    <w:rsid w:val="008B7D13"/>
    <w:rsid w:val="008B7F9E"/>
    <w:rsid w:val="008C034E"/>
    <w:rsid w:val="008C0E88"/>
    <w:rsid w:val="008C1399"/>
    <w:rsid w:val="008C1AA8"/>
    <w:rsid w:val="008C22A8"/>
    <w:rsid w:val="008C4EBC"/>
    <w:rsid w:val="008C5B43"/>
    <w:rsid w:val="008C5E68"/>
    <w:rsid w:val="008C63FD"/>
    <w:rsid w:val="008C6CB8"/>
    <w:rsid w:val="008C7815"/>
    <w:rsid w:val="008C7A07"/>
    <w:rsid w:val="008D0171"/>
    <w:rsid w:val="008D1037"/>
    <w:rsid w:val="008D13EA"/>
    <w:rsid w:val="008D1C7C"/>
    <w:rsid w:val="008D2671"/>
    <w:rsid w:val="008D2A16"/>
    <w:rsid w:val="008D2ECF"/>
    <w:rsid w:val="008D347D"/>
    <w:rsid w:val="008D3F3D"/>
    <w:rsid w:val="008D4A87"/>
    <w:rsid w:val="008D59DD"/>
    <w:rsid w:val="008E0367"/>
    <w:rsid w:val="008E308D"/>
    <w:rsid w:val="008E31FF"/>
    <w:rsid w:val="008E46A3"/>
    <w:rsid w:val="008E5B85"/>
    <w:rsid w:val="008E5DE6"/>
    <w:rsid w:val="008E6113"/>
    <w:rsid w:val="008E6AB3"/>
    <w:rsid w:val="008E6AD3"/>
    <w:rsid w:val="008E71A6"/>
    <w:rsid w:val="008E77B6"/>
    <w:rsid w:val="008E7902"/>
    <w:rsid w:val="008E7C55"/>
    <w:rsid w:val="008F032E"/>
    <w:rsid w:val="008F0F14"/>
    <w:rsid w:val="008F226E"/>
    <w:rsid w:val="008F4FCE"/>
    <w:rsid w:val="008F5301"/>
    <w:rsid w:val="008F6967"/>
    <w:rsid w:val="008F6A0C"/>
    <w:rsid w:val="008F6F38"/>
    <w:rsid w:val="008F7019"/>
    <w:rsid w:val="008F7721"/>
    <w:rsid w:val="008F7D28"/>
    <w:rsid w:val="009003A8"/>
    <w:rsid w:val="009010A7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1AE9"/>
    <w:rsid w:val="0091255A"/>
    <w:rsid w:val="00914426"/>
    <w:rsid w:val="0091675F"/>
    <w:rsid w:val="00917709"/>
    <w:rsid w:val="00917918"/>
    <w:rsid w:val="00920874"/>
    <w:rsid w:val="00921DAB"/>
    <w:rsid w:val="00921F14"/>
    <w:rsid w:val="00923750"/>
    <w:rsid w:val="009243A5"/>
    <w:rsid w:val="0092500F"/>
    <w:rsid w:val="009250D2"/>
    <w:rsid w:val="0092540B"/>
    <w:rsid w:val="009256C5"/>
    <w:rsid w:val="00926283"/>
    <w:rsid w:val="009271BA"/>
    <w:rsid w:val="009306BE"/>
    <w:rsid w:val="00930C07"/>
    <w:rsid w:val="00932E61"/>
    <w:rsid w:val="00937B11"/>
    <w:rsid w:val="00940F1F"/>
    <w:rsid w:val="00941250"/>
    <w:rsid w:val="00941C48"/>
    <w:rsid w:val="00942546"/>
    <w:rsid w:val="00943373"/>
    <w:rsid w:val="0094427A"/>
    <w:rsid w:val="00944380"/>
    <w:rsid w:val="009459C5"/>
    <w:rsid w:val="0094626C"/>
    <w:rsid w:val="0095013A"/>
    <w:rsid w:val="00950754"/>
    <w:rsid w:val="00953AEF"/>
    <w:rsid w:val="00954AAA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3BC7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95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75F89"/>
    <w:rsid w:val="00980373"/>
    <w:rsid w:val="00980621"/>
    <w:rsid w:val="0098095B"/>
    <w:rsid w:val="00980BE0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96686"/>
    <w:rsid w:val="009A1229"/>
    <w:rsid w:val="009A2014"/>
    <w:rsid w:val="009A3A87"/>
    <w:rsid w:val="009A3BB2"/>
    <w:rsid w:val="009A4E12"/>
    <w:rsid w:val="009A5C68"/>
    <w:rsid w:val="009A6EF7"/>
    <w:rsid w:val="009B04D0"/>
    <w:rsid w:val="009B052C"/>
    <w:rsid w:val="009B0EF2"/>
    <w:rsid w:val="009B1158"/>
    <w:rsid w:val="009B23A3"/>
    <w:rsid w:val="009B4925"/>
    <w:rsid w:val="009B4B4B"/>
    <w:rsid w:val="009B56EC"/>
    <w:rsid w:val="009B6FD3"/>
    <w:rsid w:val="009B70BD"/>
    <w:rsid w:val="009C07A5"/>
    <w:rsid w:val="009C24A8"/>
    <w:rsid w:val="009C3705"/>
    <w:rsid w:val="009C7388"/>
    <w:rsid w:val="009D0CFF"/>
    <w:rsid w:val="009D1551"/>
    <w:rsid w:val="009D2859"/>
    <w:rsid w:val="009D2DE9"/>
    <w:rsid w:val="009D36EC"/>
    <w:rsid w:val="009D4173"/>
    <w:rsid w:val="009D4612"/>
    <w:rsid w:val="009D6095"/>
    <w:rsid w:val="009D6306"/>
    <w:rsid w:val="009E048A"/>
    <w:rsid w:val="009E1FBA"/>
    <w:rsid w:val="009E2C54"/>
    <w:rsid w:val="009E3710"/>
    <w:rsid w:val="009E55E3"/>
    <w:rsid w:val="009E6F65"/>
    <w:rsid w:val="009E7340"/>
    <w:rsid w:val="009E7B1F"/>
    <w:rsid w:val="009F1790"/>
    <w:rsid w:val="009F2470"/>
    <w:rsid w:val="009F3FC3"/>
    <w:rsid w:val="009F41C4"/>
    <w:rsid w:val="009F5846"/>
    <w:rsid w:val="009F7B52"/>
    <w:rsid w:val="009F7D77"/>
    <w:rsid w:val="00A004D2"/>
    <w:rsid w:val="00A015EA"/>
    <w:rsid w:val="00A10D66"/>
    <w:rsid w:val="00A1155A"/>
    <w:rsid w:val="00A12BA8"/>
    <w:rsid w:val="00A1420C"/>
    <w:rsid w:val="00A1456C"/>
    <w:rsid w:val="00A14821"/>
    <w:rsid w:val="00A170B3"/>
    <w:rsid w:val="00A17754"/>
    <w:rsid w:val="00A2055B"/>
    <w:rsid w:val="00A2253C"/>
    <w:rsid w:val="00A23545"/>
    <w:rsid w:val="00A23A55"/>
    <w:rsid w:val="00A23E43"/>
    <w:rsid w:val="00A24F8C"/>
    <w:rsid w:val="00A262BF"/>
    <w:rsid w:val="00A2683D"/>
    <w:rsid w:val="00A271AD"/>
    <w:rsid w:val="00A276D5"/>
    <w:rsid w:val="00A30336"/>
    <w:rsid w:val="00A304FE"/>
    <w:rsid w:val="00A305E3"/>
    <w:rsid w:val="00A30BB5"/>
    <w:rsid w:val="00A3128F"/>
    <w:rsid w:val="00A31C8B"/>
    <w:rsid w:val="00A326D0"/>
    <w:rsid w:val="00A35287"/>
    <w:rsid w:val="00A36B1A"/>
    <w:rsid w:val="00A37483"/>
    <w:rsid w:val="00A378F8"/>
    <w:rsid w:val="00A37EE9"/>
    <w:rsid w:val="00A40B19"/>
    <w:rsid w:val="00A40C3F"/>
    <w:rsid w:val="00A41D07"/>
    <w:rsid w:val="00A424F8"/>
    <w:rsid w:val="00A42883"/>
    <w:rsid w:val="00A437B7"/>
    <w:rsid w:val="00A465B4"/>
    <w:rsid w:val="00A46D48"/>
    <w:rsid w:val="00A46DE0"/>
    <w:rsid w:val="00A4778A"/>
    <w:rsid w:val="00A47C94"/>
    <w:rsid w:val="00A504C0"/>
    <w:rsid w:val="00A5067F"/>
    <w:rsid w:val="00A50E27"/>
    <w:rsid w:val="00A517C1"/>
    <w:rsid w:val="00A53058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015E"/>
    <w:rsid w:val="00A711B0"/>
    <w:rsid w:val="00A716EC"/>
    <w:rsid w:val="00A721FB"/>
    <w:rsid w:val="00A727BA"/>
    <w:rsid w:val="00A72D4B"/>
    <w:rsid w:val="00A732AE"/>
    <w:rsid w:val="00A73CF4"/>
    <w:rsid w:val="00A75E40"/>
    <w:rsid w:val="00A77EB2"/>
    <w:rsid w:val="00A81094"/>
    <w:rsid w:val="00A81441"/>
    <w:rsid w:val="00A82B66"/>
    <w:rsid w:val="00A83B58"/>
    <w:rsid w:val="00A84FAF"/>
    <w:rsid w:val="00A851B6"/>
    <w:rsid w:val="00A85729"/>
    <w:rsid w:val="00A8574B"/>
    <w:rsid w:val="00A857C0"/>
    <w:rsid w:val="00A859BA"/>
    <w:rsid w:val="00A85C47"/>
    <w:rsid w:val="00A87C44"/>
    <w:rsid w:val="00A90343"/>
    <w:rsid w:val="00A91336"/>
    <w:rsid w:val="00A9221C"/>
    <w:rsid w:val="00A94628"/>
    <w:rsid w:val="00A94954"/>
    <w:rsid w:val="00A95BD0"/>
    <w:rsid w:val="00A96463"/>
    <w:rsid w:val="00A96A24"/>
    <w:rsid w:val="00A97E3F"/>
    <w:rsid w:val="00AA09D3"/>
    <w:rsid w:val="00AA1F5D"/>
    <w:rsid w:val="00AA23FB"/>
    <w:rsid w:val="00AA42AB"/>
    <w:rsid w:val="00AA4B93"/>
    <w:rsid w:val="00AA559A"/>
    <w:rsid w:val="00AA5F10"/>
    <w:rsid w:val="00AA7FDC"/>
    <w:rsid w:val="00AB104D"/>
    <w:rsid w:val="00AB1441"/>
    <w:rsid w:val="00AB2AF1"/>
    <w:rsid w:val="00AB2FD6"/>
    <w:rsid w:val="00AB35BA"/>
    <w:rsid w:val="00AB440B"/>
    <w:rsid w:val="00AB47E3"/>
    <w:rsid w:val="00AB74C5"/>
    <w:rsid w:val="00AB76B0"/>
    <w:rsid w:val="00AB7BEE"/>
    <w:rsid w:val="00AB7DF2"/>
    <w:rsid w:val="00AC1E3F"/>
    <w:rsid w:val="00AC219A"/>
    <w:rsid w:val="00AC4F18"/>
    <w:rsid w:val="00AC744A"/>
    <w:rsid w:val="00AD089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2D2"/>
    <w:rsid w:val="00AE63EF"/>
    <w:rsid w:val="00AE6537"/>
    <w:rsid w:val="00AE65B8"/>
    <w:rsid w:val="00AE7968"/>
    <w:rsid w:val="00AE7DFF"/>
    <w:rsid w:val="00AF1032"/>
    <w:rsid w:val="00AF128B"/>
    <w:rsid w:val="00AF1AEA"/>
    <w:rsid w:val="00AF2491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3E79"/>
    <w:rsid w:val="00B07C2A"/>
    <w:rsid w:val="00B13681"/>
    <w:rsid w:val="00B15DCD"/>
    <w:rsid w:val="00B17E71"/>
    <w:rsid w:val="00B17FDE"/>
    <w:rsid w:val="00B208FC"/>
    <w:rsid w:val="00B20C65"/>
    <w:rsid w:val="00B20F7B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6D8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02F7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5A53"/>
    <w:rsid w:val="00B86748"/>
    <w:rsid w:val="00B87853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A759F"/>
    <w:rsid w:val="00BB0274"/>
    <w:rsid w:val="00BB1CFD"/>
    <w:rsid w:val="00BB2C53"/>
    <w:rsid w:val="00BB32DA"/>
    <w:rsid w:val="00BB3A54"/>
    <w:rsid w:val="00BB4D26"/>
    <w:rsid w:val="00BB4E21"/>
    <w:rsid w:val="00BB6FED"/>
    <w:rsid w:val="00BB7746"/>
    <w:rsid w:val="00BC22EB"/>
    <w:rsid w:val="00BC682B"/>
    <w:rsid w:val="00BC6B04"/>
    <w:rsid w:val="00BC6D27"/>
    <w:rsid w:val="00BD186B"/>
    <w:rsid w:val="00BD1995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20CF"/>
    <w:rsid w:val="00BE3381"/>
    <w:rsid w:val="00BE3F09"/>
    <w:rsid w:val="00BE627A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C4D"/>
    <w:rsid w:val="00C21D46"/>
    <w:rsid w:val="00C21F94"/>
    <w:rsid w:val="00C222A1"/>
    <w:rsid w:val="00C22BDA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3634E"/>
    <w:rsid w:val="00C407B9"/>
    <w:rsid w:val="00C40F81"/>
    <w:rsid w:val="00C41463"/>
    <w:rsid w:val="00C41A72"/>
    <w:rsid w:val="00C42D45"/>
    <w:rsid w:val="00C4422D"/>
    <w:rsid w:val="00C46766"/>
    <w:rsid w:val="00C476C5"/>
    <w:rsid w:val="00C503B0"/>
    <w:rsid w:val="00C511C2"/>
    <w:rsid w:val="00C526C8"/>
    <w:rsid w:val="00C53CDB"/>
    <w:rsid w:val="00C53D82"/>
    <w:rsid w:val="00C54748"/>
    <w:rsid w:val="00C5476D"/>
    <w:rsid w:val="00C575FB"/>
    <w:rsid w:val="00C60696"/>
    <w:rsid w:val="00C60943"/>
    <w:rsid w:val="00C60EEF"/>
    <w:rsid w:val="00C60FC9"/>
    <w:rsid w:val="00C6121D"/>
    <w:rsid w:val="00C615F1"/>
    <w:rsid w:val="00C61627"/>
    <w:rsid w:val="00C6331A"/>
    <w:rsid w:val="00C64E60"/>
    <w:rsid w:val="00C657A4"/>
    <w:rsid w:val="00C6736C"/>
    <w:rsid w:val="00C71A1D"/>
    <w:rsid w:val="00C71EC4"/>
    <w:rsid w:val="00C73B18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024"/>
    <w:rsid w:val="00C90CF4"/>
    <w:rsid w:val="00C91C19"/>
    <w:rsid w:val="00C929A0"/>
    <w:rsid w:val="00C9333F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1A5"/>
    <w:rsid w:val="00CA37BB"/>
    <w:rsid w:val="00CA37CA"/>
    <w:rsid w:val="00CA5268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4D09"/>
    <w:rsid w:val="00CD6954"/>
    <w:rsid w:val="00CD6DA3"/>
    <w:rsid w:val="00CD6EF1"/>
    <w:rsid w:val="00CD7E35"/>
    <w:rsid w:val="00CE0420"/>
    <w:rsid w:val="00CE21C7"/>
    <w:rsid w:val="00CE2682"/>
    <w:rsid w:val="00CE2756"/>
    <w:rsid w:val="00CE442A"/>
    <w:rsid w:val="00CE505D"/>
    <w:rsid w:val="00CE57D8"/>
    <w:rsid w:val="00CE617A"/>
    <w:rsid w:val="00CE6E3C"/>
    <w:rsid w:val="00CE76FC"/>
    <w:rsid w:val="00CF25D2"/>
    <w:rsid w:val="00CF28C2"/>
    <w:rsid w:val="00CF42BD"/>
    <w:rsid w:val="00CF4FCF"/>
    <w:rsid w:val="00CF51EC"/>
    <w:rsid w:val="00CF6A9D"/>
    <w:rsid w:val="00CF6CD7"/>
    <w:rsid w:val="00CF7031"/>
    <w:rsid w:val="00CF75EC"/>
    <w:rsid w:val="00CF7BDA"/>
    <w:rsid w:val="00D0037A"/>
    <w:rsid w:val="00D0061E"/>
    <w:rsid w:val="00D00DAF"/>
    <w:rsid w:val="00D017EC"/>
    <w:rsid w:val="00D01CDA"/>
    <w:rsid w:val="00D040DD"/>
    <w:rsid w:val="00D04E1B"/>
    <w:rsid w:val="00D0547B"/>
    <w:rsid w:val="00D076DB"/>
    <w:rsid w:val="00D07EFF"/>
    <w:rsid w:val="00D1067C"/>
    <w:rsid w:val="00D12E78"/>
    <w:rsid w:val="00D136D4"/>
    <w:rsid w:val="00D13830"/>
    <w:rsid w:val="00D13ECF"/>
    <w:rsid w:val="00D142E5"/>
    <w:rsid w:val="00D148CD"/>
    <w:rsid w:val="00D1611E"/>
    <w:rsid w:val="00D16E69"/>
    <w:rsid w:val="00D17A94"/>
    <w:rsid w:val="00D17F4A"/>
    <w:rsid w:val="00D205A9"/>
    <w:rsid w:val="00D217EE"/>
    <w:rsid w:val="00D245BA"/>
    <w:rsid w:val="00D26923"/>
    <w:rsid w:val="00D27315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3B78"/>
    <w:rsid w:val="00D34686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5E6"/>
    <w:rsid w:val="00D478E2"/>
    <w:rsid w:val="00D508CF"/>
    <w:rsid w:val="00D5264C"/>
    <w:rsid w:val="00D52C37"/>
    <w:rsid w:val="00D547BA"/>
    <w:rsid w:val="00D55626"/>
    <w:rsid w:val="00D556BC"/>
    <w:rsid w:val="00D5626D"/>
    <w:rsid w:val="00D56631"/>
    <w:rsid w:val="00D60277"/>
    <w:rsid w:val="00D60336"/>
    <w:rsid w:val="00D609D3"/>
    <w:rsid w:val="00D6145B"/>
    <w:rsid w:val="00D61F88"/>
    <w:rsid w:val="00D6210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5DC2"/>
    <w:rsid w:val="00D766EF"/>
    <w:rsid w:val="00D76BE7"/>
    <w:rsid w:val="00D76C03"/>
    <w:rsid w:val="00D77F8D"/>
    <w:rsid w:val="00D8119B"/>
    <w:rsid w:val="00D82462"/>
    <w:rsid w:val="00D868CE"/>
    <w:rsid w:val="00D86DAE"/>
    <w:rsid w:val="00D871DA"/>
    <w:rsid w:val="00D90116"/>
    <w:rsid w:val="00D90C1E"/>
    <w:rsid w:val="00D91BDF"/>
    <w:rsid w:val="00D91F2C"/>
    <w:rsid w:val="00D937AF"/>
    <w:rsid w:val="00D93F09"/>
    <w:rsid w:val="00D94C62"/>
    <w:rsid w:val="00D95378"/>
    <w:rsid w:val="00D954C2"/>
    <w:rsid w:val="00D97BB8"/>
    <w:rsid w:val="00DA1318"/>
    <w:rsid w:val="00DA1382"/>
    <w:rsid w:val="00DA1F92"/>
    <w:rsid w:val="00DA28B7"/>
    <w:rsid w:val="00DA2FE8"/>
    <w:rsid w:val="00DA424A"/>
    <w:rsid w:val="00DA49E6"/>
    <w:rsid w:val="00DA4AF6"/>
    <w:rsid w:val="00DB016E"/>
    <w:rsid w:val="00DB06E9"/>
    <w:rsid w:val="00DB19BD"/>
    <w:rsid w:val="00DB1D55"/>
    <w:rsid w:val="00DB378E"/>
    <w:rsid w:val="00DB3B36"/>
    <w:rsid w:val="00DB3E9D"/>
    <w:rsid w:val="00DB47B9"/>
    <w:rsid w:val="00DB4FB8"/>
    <w:rsid w:val="00DB53CE"/>
    <w:rsid w:val="00DB549D"/>
    <w:rsid w:val="00DB5792"/>
    <w:rsid w:val="00DB6A88"/>
    <w:rsid w:val="00DB6ABF"/>
    <w:rsid w:val="00DB7BA4"/>
    <w:rsid w:val="00DC226A"/>
    <w:rsid w:val="00DC257F"/>
    <w:rsid w:val="00DC350B"/>
    <w:rsid w:val="00DC3790"/>
    <w:rsid w:val="00DC3AFD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4DAA"/>
    <w:rsid w:val="00DD57AD"/>
    <w:rsid w:val="00DD5AB6"/>
    <w:rsid w:val="00DE009B"/>
    <w:rsid w:val="00DE0C31"/>
    <w:rsid w:val="00DE2ED9"/>
    <w:rsid w:val="00DE319A"/>
    <w:rsid w:val="00DE5291"/>
    <w:rsid w:val="00DF0615"/>
    <w:rsid w:val="00DF0DC3"/>
    <w:rsid w:val="00DF21FD"/>
    <w:rsid w:val="00DF2873"/>
    <w:rsid w:val="00DF293C"/>
    <w:rsid w:val="00DF4413"/>
    <w:rsid w:val="00DF4C74"/>
    <w:rsid w:val="00DF5578"/>
    <w:rsid w:val="00DF55AB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0DD"/>
    <w:rsid w:val="00E06A2A"/>
    <w:rsid w:val="00E07F05"/>
    <w:rsid w:val="00E1136D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63A8"/>
    <w:rsid w:val="00E30BEA"/>
    <w:rsid w:val="00E31764"/>
    <w:rsid w:val="00E32BC2"/>
    <w:rsid w:val="00E340A1"/>
    <w:rsid w:val="00E34985"/>
    <w:rsid w:val="00E34E4A"/>
    <w:rsid w:val="00E365B3"/>
    <w:rsid w:val="00E366BB"/>
    <w:rsid w:val="00E37C45"/>
    <w:rsid w:val="00E40AAA"/>
    <w:rsid w:val="00E42444"/>
    <w:rsid w:val="00E4255E"/>
    <w:rsid w:val="00E42785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0ACF"/>
    <w:rsid w:val="00E522BB"/>
    <w:rsid w:val="00E539E4"/>
    <w:rsid w:val="00E569C7"/>
    <w:rsid w:val="00E571F2"/>
    <w:rsid w:val="00E57429"/>
    <w:rsid w:val="00E61EA8"/>
    <w:rsid w:val="00E6374E"/>
    <w:rsid w:val="00E63C99"/>
    <w:rsid w:val="00E64EA1"/>
    <w:rsid w:val="00E669C7"/>
    <w:rsid w:val="00E70510"/>
    <w:rsid w:val="00E71262"/>
    <w:rsid w:val="00E71A58"/>
    <w:rsid w:val="00E7330E"/>
    <w:rsid w:val="00E737F6"/>
    <w:rsid w:val="00E7568F"/>
    <w:rsid w:val="00E75D69"/>
    <w:rsid w:val="00E7628E"/>
    <w:rsid w:val="00E764AE"/>
    <w:rsid w:val="00E7724B"/>
    <w:rsid w:val="00E77EAA"/>
    <w:rsid w:val="00E84F21"/>
    <w:rsid w:val="00E8618A"/>
    <w:rsid w:val="00E90A4B"/>
    <w:rsid w:val="00E90F73"/>
    <w:rsid w:val="00E910A7"/>
    <w:rsid w:val="00E914B7"/>
    <w:rsid w:val="00E91607"/>
    <w:rsid w:val="00E921C7"/>
    <w:rsid w:val="00E92995"/>
    <w:rsid w:val="00E93DB8"/>
    <w:rsid w:val="00E9402B"/>
    <w:rsid w:val="00E94612"/>
    <w:rsid w:val="00E952A1"/>
    <w:rsid w:val="00E95797"/>
    <w:rsid w:val="00E9682F"/>
    <w:rsid w:val="00E96A8D"/>
    <w:rsid w:val="00E972BA"/>
    <w:rsid w:val="00E975BC"/>
    <w:rsid w:val="00E978C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17F4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2FF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E7034"/>
    <w:rsid w:val="00EF0E75"/>
    <w:rsid w:val="00EF1F5A"/>
    <w:rsid w:val="00EF4685"/>
    <w:rsid w:val="00EF5397"/>
    <w:rsid w:val="00EF5420"/>
    <w:rsid w:val="00EF6217"/>
    <w:rsid w:val="00EF6BE3"/>
    <w:rsid w:val="00EF7D0F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637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5721"/>
    <w:rsid w:val="00F26197"/>
    <w:rsid w:val="00F2646A"/>
    <w:rsid w:val="00F273D4"/>
    <w:rsid w:val="00F307DD"/>
    <w:rsid w:val="00F318FC"/>
    <w:rsid w:val="00F31F76"/>
    <w:rsid w:val="00F325A3"/>
    <w:rsid w:val="00F3364D"/>
    <w:rsid w:val="00F359A1"/>
    <w:rsid w:val="00F35ACD"/>
    <w:rsid w:val="00F365BF"/>
    <w:rsid w:val="00F36BF8"/>
    <w:rsid w:val="00F375BA"/>
    <w:rsid w:val="00F37760"/>
    <w:rsid w:val="00F403D1"/>
    <w:rsid w:val="00F41CC8"/>
    <w:rsid w:val="00F43921"/>
    <w:rsid w:val="00F44E1B"/>
    <w:rsid w:val="00F4524F"/>
    <w:rsid w:val="00F45530"/>
    <w:rsid w:val="00F457CE"/>
    <w:rsid w:val="00F4591F"/>
    <w:rsid w:val="00F47321"/>
    <w:rsid w:val="00F4736B"/>
    <w:rsid w:val="00F47870"/>
    <w:rsid w:val="00F47997"/>
    <w:rsid w:val="00F47D05"/>
    <w:rsid w:val="00F50030"/>
    <w:rsid w:val="00F502F5"/>
    <w:rsid w:val="00F50B9D"/>
    <w:rsid w:val="00F51FC9"/>
    <w:rsid w:val="00F52B42"/>
    <w:rsid w:val="00F53243"/>
    <w:rsid w:val="00F541ED"/>
    <w:rsid w:val="00F54B31"/>
    <w:rsid w:val="00F54FD3"/>
    <w:rsid w:val="00F5508B"/>
    <w:rsid w:val="00F55605"/>
    <w:rsid w:val="00F57CD7"/>
    <w:rsid w:val="00F62F02"/>
    <w:rsid w:val="00F6339F"/>
    <w:rsid w:val="00F63DDE"/>
    <w:rsid w:val="00F63FB7"/>
    <w:rsid w:val="00F64726"/>
    <w:rsid w:val="00F6561A"/>
    <w:rsid w:val="00F673CA"/>
    <w:rsid w:val="00F6758C"/>
    <w:rsid w:val="00F70309"/>
    <w:rsid w:val="00F7078A"/>
    <w:rsid w:val="00F70E45"/>
    <w:rsid w:val="00F71372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862CF"/>
    <w:rsid w:val="00F929E7"/>
    <w:rsid w:val="00F9310A"/>
    <w:rsid w:val="00F937C0"/>
    <w:rsid w:val="00F95117"/>
    <w:rsid w:val="00F95796"/>
    <w:rsid w:val="00F97DBC"/>
    <w:rsid w:val="00F97ED2"/>
    <w:rsid w:val="00FA05D7"/>
    <w:rsid w:val="00FA15BD"/>
    <w:rsid w:val="00FA1C6C"/>
    <w:rsid w:val="00FA2447"/>
    <w:rsid w:val="00FA2C2A"/>
    <w:rsid w:val="00FA309A"/>
    <w:rsid w:val="00FA5B57"/>
    <w:rsid w:val="00FA7644"/>
    <w:rsid w:val="00FB039E"/>
    <w:rsid w:val="00FB0A9A"/>
    <w:rsid w:val="00FB16AD"/>
    <w:rsid w:val="00FB2EAA"/>
    <w:rsid w:val="00FB483B"/>
    <w:rsid w:val="00FB56F1"/>
    <w:rsid w:val="00FB590B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4763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760"/>
    <w:rsid w:val="00FE3D8B"/>
    <w:rsid w:val="00FE440E"/>
    <w:rsid w:val="00FE4FCB"/>
    <w:rsid w:val="00FE688F"/>
    <w:rsid w:val="00FE705E"/>
    <w:rsid w:val="00FF02EB"/>
    <w:rsid w:val="00FF079B"/>
    <w:rsid w:val="00FF2436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02CC5"/>
    <w:p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02CC5"/>
    <w:rPr>
      <w:rFonts w:ascii="Arial" w:eastAsia="MS Gothic" w:hAnsi="Arial"/>
      <w:b/>
      <w:bCs/>
      <w:color w:val="71818C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  <w:style w:type="paragraph" w:styleId="Normlnweb">
    <w:name w:val="Normal (Web)"/>
    <w:basedOn w:val="Normln"/>
    <w:uiPriority w:val="99"/>
    <w:semiHidden/>
    <w:locked/>
    <w:rsid w:val="005D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locked/>
    <w:rsid w:val="00943373"/>
    <w:pPr>
      <w:autoSpaceDE w:val="0"/>
      <w:autoSpaceDN w:val="0"/>
      <w:adjustRightInd w:val="0"/>
      <w:spacing w:line="240" w:lineRule="auto"/>
      <w:ind w:left="720" w:hanging="720"/>
    </w:pPr>
    <w:rPr>
      <w:rFonts w:eastAsia="Times New Roman" w:cs="Arial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3373"/>
    <w:rPr>
      <w:rFonts w:ascii="Arial" w:eastAsia="Times New Roman" w:hAnsi="Arial" w:cs="Arial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E8535-37B1-4092-8575-24490E8E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2275</TotalTime>
  <Pages>10</Pages>
  <Words>5778</Words>
  <Characters>29890</Characters>
  <Application>Microsoft Office Word</Application>
  <DocSecurity>0</DocSecurity>
  <Lines>249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719</cp:revision>
  <cp:lastPrinted>2015-06-19T06:21:00Z</cp:lastPrinted>
  <dcterms:created xsi:type="dcterms:W3CDTF">2015-12-16T13:30:00Z</dcterms:created>
  <dcterms:modified xsi:type="dcterms:W3CDTF">2016-07-28T11:02:00Z</dcterms:modified>
</cp:coreProperties>
</file>