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A3E" w:rsidRDefault="00647313" w:rsidP="00331785">
      <w:pPr>
        <w:pStyle w:val="Nadpis1"/>
      </w:pPr>
      <w:bookmarkStart w:id="0" w:name="_Toc457389320"/>
      <w:r>
        <w:t>3</w:t>
      </w:r>
      <w:r w:rsidR="00331785">
        <w:t xml:space="preserve">. </w:t>
      </w:r>
      <w:r w:rsidR="00D871DA">
        <w:t>Trh práce</w:t>
      </w:r>
      <w:bookmarkEnd w:id="0"/>
    </w:p>
    <w:tbl>
      <w:tblPr>
        <w:tblW w:w="5018" w:type="pct"/>
        <w:tblLayout w:type="fixed"/>
        <w:tblCellMar>
          <w:left w:w="28" w:type="dxa"/>
          <w:right w:w="28" w:type="dxa"/>
        </w:tblCellMar>
        <w:tblLook w:val="04A0"/>
      </w:tblPr>
      <w:tblGrid>
        <w:gridCol w:w="596"/>
        <w:gridCol w:w="1448"/>
        <w:gridCol w:w="274"/>
        <w:gridCol w:w="2531"/>
        <w:gridCol w:w="566"/>
        <w:gridCol w:w="4277"/>
        <w:gridCol w:w="37"/>
      </w:tblGrid>
      <w:tr w:rsidR="007E527B" w:rsidRPr="00B52729" w:rsidTr="004D74FF">
        <w:trPr>
          <w:gridAfter w:val="1"/>
          <w:wAfter w:w="19" w:type="pct"/>
        </w:trPr>
        <w:tc>
          <w:tcPr>
            <w:tcW w:w="1050" w:type="pct"/>
            <w:gridSpan w:val="2"/>
          </w:tcPr>
          <w:p w:rsidR="007E527B" w:rsidRPr="004C6FF8" w:rsidRDefault="007E527B" w:rsidP="007E527B">
            <w:pPr>
              <w:spacing w:line="240" w:lineRule="auto"/>
              <w:rPr>
                <w:color w:val="000000" w:themeColor="text1"/>
                <w:spacing w:val="-2"/>
                <w:sz w:val="16"/>
                <w:szCs w:val="16"/>
              </w:rPr>
            </w:pPr>
            <w:r w:rsidRPr="004C6FF8">
              <w:rPr>
                <w:color w:val="000000" w:themeColor="text1"/>
                <w:spacing w:val="-2"/>
                <w:sz w:val="16"/>
                <w:szCs w:val="16"/>
              </w:rPr>
              <w:t>Trh práce byl v roce 2015 ve</w:t>
            </w:r>
            <w:r>
              <w:rPr>
                <w:color w:val="000000" w:themeColor="text1"/>
                <w:spacing w:val="-2"/>
                <w:sz w:val="16"/>
                <w:szCs w:val="16"/>
              </w:rPr>
              <w:t> </w:t>
            </w:r>
            <w:r w:rsidRPr="004C6FF8">
              <w:rPr>
                <w:color w:val="000000" w:themeColor="text1"/>
                <w:spacing w:val="-2"/>
                <w:sz w:val="16"/>
                <w:szCs w:val="16"/>
              </w:rPr>
              <w:t>znamení několika rekordů,</w:t>
            </w:r>
            <w:r>
              <w:rPr>
                <w:color w:val="000000" w:themeColor="text1"/>
                <w:spacing w:val="-2"/>
                <w:sz w:val="16"/>
                <w:szCs w:val="16"/>
              </w:rPr>
              <w:t xml:space="preserve"> </w:t>
            </w:r>
            <w:r w:rsidRPr="004C6FF8">
              <w:rPr>
                <w:color w:val="000000" w:themeColor="text1"/>
                <w:spacing w:val="-2"/>
                <w:sz w:val="16"/>
                <w:szCs w:val="16"/>
              </w:rPr>
              <w:t>ale i přetrvávání některých strukturá</w:t>
            </w:r>
            <w:r>
              <w:rPr>
                <w:color w:val="000000" w:themeColor="text1"/>
                <w:spacing w:val="-2"/>
                <w:sz w:val="16"/>
                <w:szCs w:val="16"/>
              </w:rPr>
              <w:t>lních problémů (např. dlouhodobé</w:t>
            </w:r>
            <w:r w:rsidRPr="004C6FF8">
              <w:rPr>
                <w:color w:val="000000" w:themeColor="text1"/>
                <w:spacing w:val="-2"/>
                <w:sz w:val="16"/>
                <w:szCs w:val="16"/>
              </w:rPr>
              <w:t xml:space="preserve"> nezaměstnanost</w:t>
            </w:r>
            <w:r>
              <w:rPr>
                <w:color w:val="000000" w:themeColor="text1"/>
                <w:spacing w:val="-2"/>
                <w:sz w:val="16"/>
                <w:szCs w:val="16"/>
              </w:rPr>
              <w:t>i</w:t>
            </w:r>
            <w:r w:rsidRPr="004C6FF8">
              <w:rPr>
                <w:color w:val="000000" w:themeColor="text1"/>
                <w:spacing w:val="-2"/>
                <w:sz w:val="16"/>
                <w:szCs w:val="16"/>
              </w:rPr>
              <w:t>)</w:t>
            </w:r>
          </w:p>
        </w:tc>
        <w:tc>
          <w:tcPr>
            <w:tcW w:w="141" w:type="pct"/>
          </w:tcPr>
          <w:p w:rsidR="007E527B" w:rsidRPr="00B52729" w:rsidRDefault="007E527B" w:rsidP="00F937C0">
            <w:pPr>
              <w:pStyle w:val="Textpoznpodarou"/>
              <w:jc w:val="both"/>
              <w:rPr>
                <w:color w:val="FF0000"/>
              </w:rPr>
            </w:pPr>
          </w:p>
        </w:tc>
        <w:tc>
          <w:tcPr>
            <w:tcW w:w="3790" w:type="pct"/>
            <w:gridSpan w:val="3"/>
          </w:tcPr>
          <w:p w:rsidR="007E527B" w:rsidRPr="007E527B" w:rsidRDefault="007E527B" w:rsidP="00F937C0">
            <w:pPr>
              <w:pStyle w:val="Textpoznpodarou"/>
              <w:jc w:val="both"/>
              <w:rPr>
                <w:color w:val="000000" w:themeColor="text1"/>
              </w:rPr>
            </w:pPr>
            <w:r w:rsidRPr="007E527B">
              <w:rPr>
                <w:color w:val="000000" w:themeColor="text1"/>
              </w:rPr>
              <w:t xml:space="preserve">Rok 2015 zastihl trh práce v Česku ve velmi dobré kondici. Silný růst ekonomiky vytvářel nová pracovní místa a postupně srazil míru nezaměstnanosti </w:t>
            </w:r>
            <w:r w:rsidRPr="007E527B">
              <w:rPr>
                <w:rFonts w:cs="Arial"/>
                <w:color w:val="0D0D0D" w:themeColor="text1" w:themeTint="F2"/>
              </w:rPr>
              <w:t xml:space="preserve">výrazně pod 5% hranici. Ta na sklonku roku </w:t>
            </w:r>
            <w:r w:rsidR="000907D0">
              <w:rPr>
                <w:rFonts w:cs="Arial"/>
                <w:color w:val="0D0D0D" w:themeColor="text1" w:themeTint="F2"/>
              </w:rPr>
              <w:t>skončila na nejnižší úrovni (4,5</w:t>
            </w:r>
            <w:r w:rsidRPr="007E527B">
              <w:rPr>
                <w:rFonts w:cs="Arial"/>
                <w:color w:val="0D0D0D" w:themeColor="text1" w:themeTint="F2"/>
              </w:rPr>
              <w:t xml:space="preserve"> %) od listopadu 2008 a ČR poprvé v historii svého členství v EU atakovala pozici země s nejnižší mírou nezaměstnanosti. Práci mělo nejvíce lidí v historii samostatné ČR. Tendence přechodu </w:t>
            </w:r>
            <w:proofErr w:type="spellStart"/>
            <w:r w:rsidRPr="007E527B">
              <w:rPr>
                <w:rFonts w:cs="Arial"/>
                <w:color w:val="0D0D0D" w:themeColor="text1" w:themeTint="F2"/>
              </w:rPr>
              <w:t>sebezaměstnaných</w:t>
            </w:r>
            <w:proofErr w:type="spellEnd"/>
            <w:r w:rsidRPr="007E527B">
              <w:rPr>
                <w:rFonts w:cs="Arial"/>
                <w:color w:val="0D0D0D" w:themeColor="text1" w:themeTint="F2"/>
              </w:rPr>
              <w:t xml:space="preserve"> do zaměstnaneckých pozic pokračovala. Především v průmyslu začaly podniky pociťovat problém nedostatku kvalifikované pracovní síly. Na druhou stranu přetrvávala vysoká míra nezaměstnanosti osob se základním vzděláním, 28,5 % uchazečů o zaměstnání bylo na úřadech práce evidováno déle než dva roky. Tempo </w:t>
            </w:r>
            <w:r w:rsidRPr="007E527B">
              <w:rPr>
                <w:rFonts w:cs="Arial"/>
                <w:color w:val="000000" w:themeColor="text1"/>
              </w:rPr>
              <w:t>růstu průměrných mezd</w:t>
            </w:r>
            <w:r w:rsidRPr="007E527B">
              <w:t xml:space="preserve"> </w:t>
            </w:r>
            <w:r w:rsidRPr="007E527B">
              <w:rPr>
                <w:rFonts w:cs="Arial"/>
                <w:color w:val="0D0D0D" w:themeColor="text1" w:themeTint="F2"/>
              </w:rPr>
              <w:t xml:space="preserve">bylo spolu s rokem 2014 nejvyšší za posledních šest let, </w:t>
            </w:r>
            <w:proofErr w:type="spellStart"/>
            <w:r w:rsidRPr="007E527B">
              <w:rPr>
                <w:rFonts w:cs="Arial"/>
                <w:color w:val="0D0D0D" w:themeColor="text1" w:themeTint="F2"/>
              </w:rPr>
              <w:t>nízkoinflační</w:t>
            </w:r>
            <w:proofErr w:type="spellEnd"/>
            <w:r w:rsidRPr="007E527B">
              <w:rPr>
                <w:rFonts w:cs="Arial"/>
                <w:color w:val="0D0D0D" w:themeColor="text1" w:themeTint="F2"/>
              </w:rPr>
              <w:t xml:space="preserve"> prostředí přispělo k silnému růstu kupní síly výdělků. Navýšení minimální mzdy vedlo k snížení meziodvětvové i meziregionální diferenciace mezd.</w:t>
            </w:r>
          </w:p>
          <w:p w:rsidR="007E527B" w:rsidRPr="007E527B" w:rsidRDefault="007E527B" w:rsidP="00F937C0">
            <w:pPr>
              <w:pStyle w:val="Textpoznpodarou"/>
              <w:jc w:val="both"/>
              <w:rPr>
                <w:color w:val="FF0000"/>
                <w:sz w:val="16"/>
                <w:szCs w:val="16"/>
              </w:rPr>
            </w:pPr>
          </w:p>
        </w:tc>
      </w:tr>
      <w:tr w:rsidR="007E527B" w:rsidRPr="00083910" w:rsidTr="004D74FF">
        <w:trPr>
          <w:gridAfter w:val="1"/>
          <w:wAfter w:w="19" w:type="pct"/>
        </w:trPr>
        <w:tc>
          <w:tcPr>
            <w:tcW w:w="1050" w:type="pct"/>
            <w:gridSpan w:val="2"/>
          </w:tcPr>
          <w:p w:rsidR="007E527B" w:rsidRPr="004B70CB" w:rsidRDefault="007E527B" w:rsidP="00F937C0">
            <w:pPr>
              <w:spacing w:line="240" w:lineRule="auto"/>
              <w:rPr>
                <w:color w:val="000000" w:themeColor="text1"/>
                <w:sz w:val="16"/>
                <w:szCs w:val="16"/>
              </w:rPr>
            </w:pPr>
            <w:r w:rsidRPr="004B70CB">
              <w:rPr>
                <w:color w:val="000000" w:themeColor="text1"/>
                <w:sz w:val="16"/>
                <w:szCs w:val="16"/>
              </w:rPr>
              <w:t>Obnovení důvěry v ekonomiku i nepolevující příliv zakázek v klíčových odvětvích vedly během roku 2015 k nejrychlejšímu meziročnímu růstu počtu pracovníků v celé ekonomice po roce 2008</w:t>
            </w:r>
          </w:p>
        </w:tc>
        <w:tc>
          <w:tcPr>
            <w:tcW w:w="141" w:type="pct"/>
          </w:tcPr>
          <w:p w:rsidR="007E527B" w:rsidRPr="00886A8F" w:rsidRDefault="007E527B" w:rsidP="00F937C0">
            <w:pPr>
              <w:pStyle w:val="Textpoznpodarou"/>
              <w:jc w:val="both"/>
            </w:pPr>
          </w:p>
        </w:tc>
        <w:tc>
          <w:tcPr>
            <w:tcW w:w="3790" w:type="pct"/>
            <w:gridSpan w:val="3"/>
          </w:tcPr>
          <w:p w:rsidR="007E527B" w:rsidRPr="00A36B1A" w:rsidRDefault="007E527B" w:rsidP="00F937C0">
            <w:pPr>
              <w:pStyle w:val="Textpoznpodarou"/>
              <w:jc w:val="both"/>
              <w:rPr>
                <w:spacing w:val="-2"/>
              </w:rPr>
            </w:pPr>
            <w:r w:rsidRPr="00A36B1A">
              <w:rPr>
                <w:spacing w:val="-2"/>
              </w:rPr>
              <w:t>Sílící ekonomický růst se v roce 2015 pozitivně projevil také v celkové zaměstnanosti</w:t>
            </w:r>
            <w:r w:rsidR="00A36B1A" w:rsidRPr="00A36B1A">
              <w:rPr>
                <w:spacing w:val="-2"/>
              </w:rPr>
              <w:t xml:space="preserve"> vyjádřené celkovým počtem pracujících osob</w:t>
            </w:r>
            <w:r w:rsidRPr="00A36B1A">
              <w:rPr>
                <w:rStyle w:val="Znakapoznpodarou"/>
                <w:spacing w:val="-2"/>
              </w:rPr>
              <w:footnoteReference w:id="1"/>
            </w:r>
            <w:r w:rsidRPr="00A36B1A">
              <w:rPr>
                <w:spacing w:val="-2"/>
              </w:rPr>
              <w:t xml:space="preserve">, která byla meziročně </w:t>
            </w:r>
            <w:r w:rsidRPr="00A36B1A">
              <w:rPr>
                <w:spacing w:val="-4"/>
              </w:rPr>
              <w:t>o 1,4 % vyšší. Jednalo se přitom o nejlepší výsledek po roce 2008</w:t>
            </w:r>
            <w:r w:rsidRPr="00A36B1A">
              <w:rPr>
                <w:spacing w:val="-2"/>
              </w:rPr>
              <w:t>. V</w:t>
            </w:r>
            <w:r w:rsidR="00A36B1A">
              <w:rPr>
                <w:spacing w:val="-2"/>
              </w:rPr>
              <w:t> </w:t>
            </w:r>
            <w:proofErr w:type="spellStart"/>
            <w:r w:rsidRPr="00A36B1A">
              <w:rPr>
                <w:spacing w:val="-2"/>
              </w:rPr>
              <w:t>mezi</w:t>
            </w:r>
            <w:r w:rsidR="00A36B1A">
              <w:rPr>
                <w:spacing w:val="-2"/>
              </w:rPr>
              <w:t>kvartálním</w:t>
            </w:r>
            <w:proofErr w:type="spellEnd"/>
            <w:r w:rsidR="00A36B1A">
              <w:rPr>
                <w:spacing w:val="-2"/>
              </w:rPr>
              <w:t xml:space="preserve"> </w:t>
            </w:r>
            <w:r w:rsidRPr="00A36B1A">
              <w:rPr>
                <w:spacing w:val="-2"/>
              </w:rPr>
              <w:t>vyjádření se zaměstnanost zvyšovala (vyjma stagnace ve 3. </w:t>
            </w:r>
            <w:r w:rsidR="00A36B1A">
              <w:rPr>
                <w:spacing w:val="-2"/>
              </w:rPr>
              <w:t xml:space="preserve">čtvrtletí) </w:t>
            </w:r>
            <w:r w:rsidRPr="00A36B1A">
              <w:rPr>
                <w:spacing w:val="-2"/>
              </w:rPr>
              <w:t xml:space="preserve">po celý rok. Práci mělo 5,18 mil. osob, což bylo společně s rokem 2008 nejvíce v historii samostatné ČR. Rekordní výše zaměstnanosti byla ovlivněna také dlouhodoběji </w:t>
            </w:r>
            <w:r w:rsidRPr="00A36B1A">
              <w:rPr>
                <w:spacing w:val="-4"/>
              </w:rPr>
              <w:t>působícími demografickými vlivy, když četnost toků mezi neaktivitou</w:t>
            </w:r>
            <w:r w:rsidRPr="00A36B1A">
              <w:rPr>
                <w:spacing w:val="-2"/>
              </w:rPr>
              <w:t xml:space="preserve"> a zaměstnaností odrážela i zvyšující se věk odchodu</w:t>
            </w:r>
            <w:r w:rsidR="00307277">
              <w:rPr>
                <w:spacing w:val="-2"/>
              </w:rPr>
              <w:t xml:space="preserve"> do</w:t>
            </w:r>
            <w:r w:rsidRPr="00A36B1A">
              <w:rPr>
                <w:spacing w:val="-2"/>
              </w:rPr>
              <w:t xml:space="preserve"> důchodu.</w:t>
            </w:r>
          </w:p>
          <w:p w:rsidR="007E527B" w:rsidRPr="00083910" w:rsidRDefault="007E527B" w:rsidP="00F937C0">
            <w:pPr>
              <w:pStyle w:val="Textpoznpodarou"/>
              <w:jc w:val="both"/>
              <w:rPr>
                <w:sz w:val="18"/>
                <w:szCs w:val="18"/>
              </w:rPr>
            </w:pPr>
          </w:p>
        </w:tc>
      </w:tr>
      <w:tr w:rsidR="007E527B" w:rsidRPr="00083910" w:rsidTr="004D74FF">
        <w:trPr>
          <w:gridAfter w:val="1"/>
          <w:wAfter w:w="19" w:type="pct"/>
        </w:trPr>
        <w:tc>
          <w:tcPr>
            <w:tcW w:w="1050" w:type="pct"/>
            <w:gridSpan w:val="2"/>
          </w:tcPr>
          <w:p w:rsidR="007E527B" w:rsidRPr="00E80065" w:rsidRDefault="007E527B" w:rsidP="00F937C0">
            <w:pPr>
              <w:pStyle w:val="Textpoznpodarou"/>
              <w:rPr>
                <w:color w:val="000000" w:themeColor="text1"/>
                <w:spacing w:val="-4"/>
                <w:sz w:val="16"/>
                <w:szCs w:val="16"/>
              </w:rPr>
            </w:pPr>
            <w:r>
              <w:rPr>
                <w:color w:val="000000" w:themeColor="text1"/>
                <w:spacing w:val="-4"/>
                <w:sz w:val="16"/>
                <w:szCs w:val="16"/>
              </w:rPr>
              <w:t>Ke zrychlenému růstu zaměstnanosti přispěl rozhodující měrou zpracovatelský průmysl</w:t>
            </w:r>
          </w:p>
          <w:p w:rsidR="007E527B" w:rsidRDefault="007E527B" w:rsidP="00F937C0">
            <w:pPr>
              <w:spacing w:line="240" w:lineRule="auto"/>
              <w:rPr>
                <w:color w:val="0D0D0D" w:themeColor="text1" w:themeTint="F2"/>
                <w:sz w:val="16"/>
                <w:szCs w:val="16"/>
              </w:rPr>
            </w:pPr>
          </w:p>
          <w:p w:rsidR="007E527B" w:rsidRDefault="007E527B" w:rsidP="00F937C0">
            <w:pPr>
              <w:spacing w:line="240" w:lineRule="auto"/>
              <w:rPr>
                <w:color w:val="0D0D0D" w:themeColor="text1" w:themeTint="F2"/>
                <w:sz w:val="16"/>
                <w:szCs w:val="16"/>
              </w:rPr>
            </w:pPr>
          </w:p>
          <w:p w:rsidR="007E527B" w:rsidRDefault="007E527B" w:rsidP="00F937C0">
            <w:pPr>
              <w:spacing w:line="240" w:lineRule="auto"/>
              <w:rPr>
                <w:color w:val="0D0D0D" w:themeColor="text1" w:themeTint="F2"/>
                <w:sz w:val="16"/>
                <w:szCs w:val="16"/>
              </w:rPr>
            </w:pPr>
          </w:p>
          <w:p w:rsidR="007E527B" w:rsidRPr="009720D9" w:rsidRDefault="007E527B" w:rsidP="00F937C0">
            <w:pPr>
              <w:spacing w:line="240" w:lineRule="auto"/>
              <w:rPr>
                <w:rFonts w:cs="Arial"/>
                <w:bCs/>
                <w:iCs/>
                <w:color w:val="0D0D0D" w:themeColor="text1" w:themeTint="F2"/>
                <w:szCs w:val="20"/>
              </w:rPr>
            </w:pPr>
          </w:p>
        </w:tc>
        <w:tc>
          <w:tcPr>
            <w:tcW w:w="141" w:type="pct"/>
          </w:tcPr>
          <w:p w:rsidR="007E527B" w:rsidRPr="009720D9" w:rsidRDefault="007E527B" w:rsidP="00F937C0">
            <w:pPr>
              <w:pStyle w:val="Textpoznpodarou"/>
              <w:jc w:val="both"/>
              <w:rPr>
                <w:color w:val="0D0D0D" w:themeColor="text1" w:themeTint="F2"/>
              </w:rPr>
            </w:pPr>
          </w:p>
        </w:tc>
        <w:tc>
          <w:tcPr>
            <w:tcW w:w="3790" w:type="pct"/>
            <w:gridSpan w:val="3"/>
          </w:tcPr>
          <w:p w:rsidR="007E527B" w:rsidRPr="007E527B" w:rsidRDefault="007E527B" w:rsidP="00F937C0">
            <w:pPr>
              <w:pStyle w:val="Textpoznpodarou"/>
              <w:jc w:val="both"/>
            </w:pPr>
            <w:r w:rsidRPr="007E527B">
              <w:t>Ke zrychlení růstu zaměstnanosti v roce 2015 zásadně přispěl zpracovatelský průmysl, ve kterém se</w:t>
            </w:r>
            <w:r>
              <w:t xml:space="preserve"> počet pracovníků navýšil o 42,6</w:t>
            </w:r>
            <w:r w:rsidRPr="007E527B">
              <w:t xml:space="preserve"> tis. Dařilo se především výrobcům dopravních prostředků a s nimi provázaným oborům, vyšší zaměstnanost však byla</w:t>
            </w:r>
            <w:r>
              <w:t xml:space="preserve"> patrná</w:t>
            </w:r>
            <w:r w:rsidRPr="007E527B">
              <w:t xml:space="preserve"> napříč téměř všemi obory (počet míst se citelněji snížil jen v petrochemickém a tabákovém průmyslu). Ze služeb k celkovému růstu zaměstnanosti přispěly nejvíce váhově významné skupiny odvětví obchod, doprava, ubytování a pohostinství (+14 tis.), v podobné</w:t>
            </w:r>
            <w:r>
              <w:t>m</w:t>
            </w:r>
            <w:r w:rsidRPr="007E527B">
              <w:t xml:space="preserve"> rozsahu pak také služby soustřeďující obory převážně v</w:t>
            </w:r>
            <w:r>
              <w:t>eřejného sektoru a rovněž i</w:t>
            </w:r>
            <w:r w:rsidRPr="007E527B">
              <w:t xml:space="preserve"> profesní, vědecké, technické a administrativní činnosti, které zaznamenaly nejvyšší meziroční růst (o 2,6 %)</w:t>
            </w:r>
            <w:r w:rsidR="00E952A1">
              <w:rPr>
                <w:color w:val="0D0D0D" w:themeColor="text1" w:themeTint="F2"/>
              </w:rPr>
              <w:t xml:space="preserve"> za posledních osm</w:t>
            </w:r>
            <w:r>
              <w:rPr>
                <w:color w:val="0D0D0D" w:themeColor="text1" w:themeTint="F2"/>
              </w:rPr>
              <w:t xml:space="preserve"> let.</w:t>
            </w:r>
          </w:p>
          <w:p w:rsidR="007E527B" w:rsidRPr="007E527B" w:rsidRDefault="007E527B" w:rsidP="00F937C0">
            <w:pPr>
              <w:pStyle w:val="Textpoznpodarou"/>
              <w:jc w:val="both"/>
              <w:rPr>
                <w:rFonts w:cs="Arial"/>
                <w:color w:val="0D0D0D" w:themeColor="text1" w:themeTint="F2"/>
                <w:spacing w:val="-4"/>
                <w:sz w:val="16"/>
                <w:szCs w:val="16"/>
              </w:rPr>
            </w:pPr>
          </w:p>
        </w:tc>
      </w:tr>
      <w:tr w:rsidR="007E527B" w:rsidRPr="00083910" w:rsidTr="004D74FF">
        <w:trPr>
          <w:gridAfter w:val="1"/>
          <w:wAfter w:w="19" w:type="pct"/>
        </w:trPr>
        <w:tc>
          <w:tcPr>
            <w:tcW w:w="1050" w:type="pct"/>
            <w:gridSpan w:val="2"/>
          </w:tcPr>
          <w:p w:rsidR="007E527B" w:rsidRDefault="007E527B" w:rsidP="00F937C0">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Dlouhodobý</w:t>
            </w:r>
            <w:r w:rsidRPr="003A34E8">
              <w:rPr>
                <w:rFonts w:cs="Arial"/>
                <w:bCs/>
                <w:iCs/>
                <w:color w:val="0D0D0D" w:themeColor="text1" w:themeTint="F2"/>
                <w:spacing w:val="-2"/>
                <w:sz w:val="16"/>
                <w:szCs w:val="16"/>
              </w:rPr>
              <w:t xml:space="preserve"> pokles </w:t>
            </w:r>
            <w:r>
              <w:rPr>
                <w:rFonts w:cs="Arial"/>
                <w:bCs/>
                <w:iCs/>
                <w:color w:val="0D0D0D" w:themeColor="text1" w:themeTint="F2"/>
                <w:spacing w:val="-2"/>
                <w:sz w:val="16"/>
                <w:szCs w:val="16"/>
              </w:rPr>
              <w:t xml:space="preserve">celkové </w:t>
            </w:r>
            <w:r w:rsidRPr="003A34E8">
              <w:rPr>
                <w:rFonts w:cs="Arial"/>
                <w:bCs/>
                <w:iCs/>
                <w:color w:val="0D0D0D" w:themeColor="text1" w:themeTint="F2"/>
                <w:spacing w:val="-2"/>
                <w:sz w:val="16"/>
                <w:szCs w:val="16"/>
              </w:rPr>
              <w:t>zaměstnan</w:t>
            </w:r>
            <w:r>
              <w:rPr>
                <w:rFonts w:cs="Arial"/>
                <w:bCs/>
                <w:iCs/>
                <w:color w:val="0D0D0D" w:themeColor="text1" w:themeTint="F2"/>
                <w:spacing w:val="-2"/>
                <w:sz w:val="16"/>
                <w:szCs w:val="16"/>
              </w:rPr>
              <w:t xml:space="preserve">osti v </w:t>
            </w:r>
            <w:r w:rsidRPr="003A34E8">
              <w:rPr>
                <w:rFonts w:cs="Arial"/>
                <w:bCs/>
                <w:iCs/>
                <w:color w:val="0D0D0D" w:themeColor="text1" w:themeTint="F2"/>
                <w:spacing w:val="-2"/>
                <w:sz w:val="16"/>
                <w:szCs w:val="16"/>
              </w:rPr>
              <w:t>těžebním průmyslu</w:t>
            </w:r>
            <w:r>
              <w:rPr>
                <w:rFonts w:cs="Arial"/>
                <w:bCs/>
                <w:iCs/>
                <w:color w:val="0D0D0D" w:themeColor="text1" w:themeTint="F2"/>
                <w:spacing w:val="-2"/>
                <w:sz w:val="16"/>
                <w:szCs w:val="16"/>
              </w:rPr>
              <w:t xml:space="preserve"> pokračoval, ve stavebnictví se výrazně </w:t>
            </w:r>
            <w:r w:rsidR="00F41CC8">
              <w:rPr>
                <w:rFonts w:cs="Arial"/>
                <w:bCs/>
                <w:iCs/>
                <w:color w:val="0D0D0D" w:themeColor="text1" w:themeTint="F2"/>
                <w:spacing w:val="-2"/>
                <w:sz w:val="16"/>
                <w:szCs w:val="16"/>
              </w:rPr>
              <w:t>z</w:t>
            </w:r>
            <w:r>
              <w:rPr>
                <w:rFonts w:cs="Arial"/>
                <w:bCs/>
                <w:iCs/>
                <w:color w:val="0D0D0D" w:themeColor="text1" w:themeTint="F2"/>
                <w:spacing w:val="-2"/>
                <w:sz w:val="16"/>
                <w:szCs w:val="16"/>
              </w:rPr>
              <w:t>mírnil…</w:t>
            </w:r>
          </w:p>
          <w:p w:rsidR="007E527B" w:rsidRDefault="007E527B" w:rsidP="00F937C0">
            <w:pPr>
              <w:spacing w:line="240" w:lineRule="auto"/>
              <w:rPr>
                <w:rFonts w:cs="Arial"/>
                <w:bCs/>
                <w:iCs/>
                <w:color w:val="0D0D0D" w:themeColor="text1" w:themeTint="F2"/>
                <w:spacing w:val="-2"/>
                <w:sz w:val="16"/>
                <w:szCs w:val="16"/>
              </w:rPr>
            </w:pPr>
          </w:p>
          <w:p w:rsidR="007E527B" w:rsidRDefault="007E527B" w:rsidP="00F937C0">
            <w:pPr>
              <w:spacing w:line="240" w:lineRule="auto"/>
              <w:rPr>
                <w:rFonts w:cs="Arial"/>
                <w:bCs/>
                <w:iCs/>
                <w:color w:val="0D0D0D" w:themeColor="text1" w:themeTint="F2"/>
                <w:spacing w:val="-2"/>
                <w:sz w:val="16"/>
                <w:szCs w:val="16"/>
              </w:rPr>
            </w:pPr>
          </w:p>
          <w:p w:rsidR="007E527B" w:rsidRDefault="007E527B" w:rsidP="00F937C0">
            <w:pPr>
              <w:spacing w:line="240" w:lineRule="auto"/>
              <w:rPr>
                <w:rFonts w:cs="Arial"/>
                <w:bCs/>
                <w:iCs/>
                <w:color w:val="0D0D0D" w:themeColor="text1" w:themeTint="F2"/>
                <w:spacing w:val="-2"/>
                <w:sz w:val="16"/>
                <w:szCs w:val="16"/>
              </w:rPr>
            </w:pPr>
          </w:p>
          <w:p w:rsidR="007E527B" w:rsidRDefault="007E527B" w:rsidP="00F937C0">
            <w:pPr>
              <w:spacing w:line="240" w:lineRule="auto"/>
              <w:rPr>
                <w:rFonts w:cs="Arial"/>
                <w:bCs/>
                <w:iCs/>
                <w:color w:val="0D0D0D" w:themeColor="text1" w:themeTint="F2"/>
                <w:spacing w:val="-2"/>
                <w:sz w:val="16"/>
                <w:szCs w:val="16"/>
              </w:rPr>
            </w:pPr>
          </w:p>
          <w:p w:rsidR="007E527B" w:rsidRPr="003A34E8" w:rsidRDefault="007E527B" w:rsidP="007E527B">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…z menších oborů dlouhodobě ztrácí místa telekomunikační činnosti a recesí silně zasažená letecká doprava</w:t>
            </w:r>
          </w:p>
        </w:tc>
        <w:tc>
          <w:tcPr>
            <w:tcW w:w="141" w:type="pct"/>
          </w:tcPr>
          <w:p w:rsidR="007E527B" w:rsidRPr="009720D9" w:rsidRDefault="007E527B" w:rsidP="00F937C0">
            <w:pPr>
              <w:pStyle w:val="Textpoznpodarou"/>
              <w:jc w:val="both"/>
              <w:rPr>
                <w:color w:val="0D0D0D" w:themeColor="text1" w:themeTint="F2"/>
              </w:rPr>
            </w:pPr>
          </w:p>
        </w:tc>
        <w:tc>
          <w:tcPr>
            <w:tcW w:w="3790" w:type="pct"/>
            <w:gridSpan w:val="3"/>
          </w:tcPr>
          <w:p w:rsidR="007E527B" w:rsidRPr="007E527B" w:rsidRDefault="007E527B" w:rsidP="00F937C0">
            <w:pPr>
              <w:pStyle w:val="Textpoznpodarou"/>
              <w:jc w:val="both"/>
              <w:rPr>
                <w:rFonts w:cs="Arial"/>
                <w:color w:val="0D0D0D" w:themeColor="text1" w:themeTint="F2"/>
              </w:rPr>
            </w:pPr>
            <w:r w:rsidRPr="007E527B">
              <w:rPr>
                <w:rFonts w:cs="Arial"/>
                <w:color w:val="0D0D0D" w:themeColor="text1" w:themeTint="F2"/>
              </w:rPr>
              <w:t>I nadále však šlo nalézt některá spíše menší odvětví, která zůstávala ve stínu celkově příznivé situace na trhu práce. Platilo to o nezpracovatelských průmyslových odvětvích, kde pokračoval pokles v dlouhodobě útlumové těžbě a</w:t>
            </w:r>
            <w:r>
              <w:rPr>
                <w:rFonts w:cs="Arial"/>
                <w:color w:val="0D0D0D" w:themeColor="text1" w:themeTint="F2"/>
              </w:rPr>
              <w:t> </w:t>
            </w:r>
            <w:r w:rsidRPr="007E527B">
              <w:rPr>
                <w:rFonts w:cs="Arial"/>
                <w:color w:val="0D0D0D" w:themeColor="text1" w:themeTint="F2"/>
              </w:rPr>
              <w:t>dobývání (za posledních 10 let ztratila téměř čtvrtinu pracovníků), ve velikostně srovnatelném odvětví – energetice</w:t>
            </w:r>
            <w:r>
              <w:rPr>
                <w:rFonts w:cs="Arial"/>
                <w:color w:val="0D0D0D" w:themeColor="text1" w:themeTint="F2"/>
              </w:rPr>
              <w:t xml:space="preserve"> –</w:t>
            </w:r>
            <w:r w:rsidRPr="007E527B">
              <w:rPr>
                <w:rFonts w:cs="Arial"/>
                <w:color w:val="0D0D0D" w:themeColor="text1" w:themeTint="F2"/>
              </w:rPr>
              <w:t xml:space="preserve"> pouze stagnovala. S redukcí pracovních míst se potýkalo již pátý rok v řadě i stavebnictví, byť v roce 2015 ve výrazně slabším měřítku. </w:t>
            </w:r>
            <w:r>
              <w:rPr>
                <w:rFonts w:cs="Arial"/>
                <w:color w:val="0D0D0D" w:themeColor="text1" w:themeTint="F2"/>
              </w:rPr>
              <w:t>Výrazně</w:t>
            </w:r>
            <w:r w:rsidRPr="007E527B">
              <w:rPr>
                <w:rFonts w:cs="Arial"/>
                <w:color w:val="0D0D0D" w:themeColor="text1" w:themeTint="F2"/>
              </w:rPr>
              <w:t xml:space="preserve"> naopak </w:t>
            </w:r>
            <w:r>
              <w:rPr>
                <w:rFonts w:cs="Arial"/>
                <w:color w:val="0D0D0D" w:themeColor="text1" w:themeTint="F2"/>
              </w:rPr>
              <w:t>meziročně oslabila zaměstnanost</w:t>
            </w:r>
            <w:r w:rsidRPr="007E527B">
              <w:rPr>
                <w:rFonts w:cs="Arial"/>
                <w:color w:val="0D0D0D" w:themeColor="text1" w:themeTint="F2"/>
              </w:rPr>
              <w:t xml:space="preserve"> v peněžnictví a</w:t>
            </w:r>
            <w:r w:rsidRPr="007E527B">
              <w:rPr>
                <w:color w:val="0D0D0D" w:themeColor="text1" w:themeTint="F2"/>
              </w:rPr>
              <w:t> </w:t>
            </w:r>
            <w:r w:rsidRPr="007E527B">
              <w:rPr>
                <w:rFonts w:cs="Arial"/>
                <w:color w:val="0D0D0D" w:themeColor="text1" w:themeTint="F2"/>
              </w:rPr>
              <w:t>pojišťovnictví (v roce 2015 doprovázená i střídmým navýšením průměrných mezd – o 1,4 %). Úsporná opatření zřejmě odráží snahu o udržení vysoké ziskovosti finančních institucí ve vysoce konkurenčním prostředí. Zaměstnanost v odvětví zemědělství, lesnictví a rybářství</w:t>
            </w:r>
            <w:r>
              <w:rPr>
                <w:rFonts w:cs="Arial"/>
                <w:color w:val="0D0D0D" w:themeColor="text1" w:themeTint="F2"/>
              </w:rPr>
              <w:t xml:space="preserve"> se </w:t>
            </w:r>
            <w:r w:rsidRPr="007E527B">
              <w:rPr>
                <w:rFonts w:cs="Arial"/>
                <w:color w:val="0D0D0D" w:themeColor="text1" w:themeTint="F2"/>
              </w:rPr>
              <w:t>snížila druhý rok v řadě (o 4 %) a</w:t>
            </w:r>
            <w:r>
              <w:rPr>
                <w:rFonts w:cs="Arial"/>
                <w:color w:val="0D0D0D" w:themeColor="text1" w:themeTint="F2"/>
              </w:rPr>
              <w:t> </w:t>
            </w:r>
            <w:r w:rsidRPr="007E527B">
              <w:rPr>
                <w:rFonts w:cs="Arial"/>
                <w:color w:val="0D0D0D" w:themeColor="text1" w:themeTint="F2"/>
              </w:rPr>
              <w:t xml:space="preserve">nacházela se na úrovni roku 2010. Z menších oborů pokračovala dlouhodobá redukce pracovních míst v telekomunikačních činnostech a v letecké dopravě.  </w:t>
            </w:r>
          </w:p>
          <w:p w:rsidR="007E527B" w:rsidRPr="007E527B" w:rsidRDefault="007E527B" w:rsidP="00F937C0">
            <w:pPr>
              <w:pStyle w:val="Textpoznpodarou"/>
              <w:jc w:val="both"/>
              <w:rPr>
                <w:rFonts w:cs="Arial"/>
                <w:color w:val="0D0D0D" w:themeColor="text1" w:themeTint="F2"/>
                <w:spacing w:val="-4"/>
                <w:sz w:val="16"/>
                <w:szCs w:val="16"/>
              </w:rPr>
            </w:pPr>
          </w:p>
        </w:tc>
      </w:tr>
      <w:tr w:rsidR="007E527B" w:rsidRPr="000335EA" w:rsidTr="004D74FF">
        <w:trPr>
          <w:gridAfter w:val="1"/>
          <w:wAfter w:w="19" w:type="pct"/>
        </w:trPr>
        <w:tc>
          <w:tcPr>
            <w:tcW w:w="1050" w:type="pct"/>
            <w:gridSpan w:val="2"/>
          </w:tcPr>
          <w:p w:rsidR="007E527B" w:rsidRDefault="007E527B" w:rsidP="00F937C0">
            <w:pPr>
              <w:spacing w:line="240" w:lineRule="auto"/>
              <w:rPr>
                <w:color w:val="000000" w:themeColor="text1"/>
                <w:spacing w:val="-2"/>
                <w:sz w:val="16"/>
                <w:szCs w:val="16"/>
              </w:rPr>
            </w:pPr>
            <w:r w:rsidRPr="00904F6E">
              <w:rPr>
                <w:color w:val="000000" w:themeColor="text1"/>
                <w:spacing w:val="-2"/>
                <w:sz w:val="16"/>
                <w:szCs w:val="16"/>
              </w:rPr>
              <w:t xml:space="preserve">Snižování počtu </w:t>
            </w:r>
            <w:proofErr w:type="spellStart"/>
            <w:r w:rsidRPr="00904F6E">
              <w:rPr>
                <w:color w:val="000000" w:themeColor="text1"/>
                <w:spacing w:val="-2"/>
                <w:sz w:val="16"/>
                <w:szCs w:val="16"/>
              </w:rPr>
              <w:t>sebezaměstnaných</w:t>
            </w:r>
            <w:proofErr w:type="spellEnd"/>
            <w:r w:rsidRPr="00904F6E">
              <w:rPr>
                <w:color w:val="000000" w:themeColor="text1"/>
                <w:spacing w:val="-2"/>
                <w:sz w:val="16"/>
                <w:szCs w:val="16"/>
              </w:rPr>
              <w:t xml:space="preserve"> při</w:t>
            </w:r>
            <w:r>
              <w:rPr>
                <w:color w:val="000000" w:themeColor="text1"/>
                <w:spacing w:val="-2"/>
                <w:sz w:val="16"/>
                <w:szCs w:val="16"/>
              </w:rPr>
              <w:t> </w:t>
            </w:r>
            <w:r w:rsidRPr="00904F6E">
              <w:rPr>
                <w:color w:val="000000" w:themeColor="text1"/>
                <w:spacing w:val="-2"/>
                <w:sz w:val="16"/>
                <w:szCs w:val="16"/>
              </w:rPr>
              <w:t>souběžném meziročním růstu</w:t>
            </w:r>
            <w:r>
              <w:rPr>
                <w:color w:val="000000" w:themeColor="text1"/>
                <w:spacing w:val="-2"/>
                <w:sz w:val="16"/>
                <w:szCs w:val="16"/>
              </w:rPr>
              <w:t xml:space="preserve"> zaměstnanců trvalo s menšími výkyvy již</w:t>
            </w:r>
            <w:r w:rsidRPr="00904F6E">
              <w:rPr>
                <w:color w:val="000000" w:themeColor="text1"/>
                <w:spacing w:val="-2"/>
                <w:sz w:val="16"/>
                <w:szCs w:val="16"/>
              </w:rPr>
              <w:t xml:space="preserve"> </w:t>
            </w:r>
            <w:r>
              <w:rPr>
                <w:color w:val="000000" w:themeColor="text1"/>
                <w:spacing w:val="-2"/>
                <w:sz w:val="16"/>
                <w:szCs w:val="16"/>
              </w:rPr>
              <w:t>od poloviny roku 2012…</w:t>
            </w:r>
          </w:p>
          <w:p w:rsidR="007E527B" w:rsidRDefault="007E527B" w:rsidP="00F937C0">
            <w:pPr>
              <w:spacing w:line="240" w:lineRule="auto"/>
              <w:rPr>
                <w:color w:val="000000" w:themeColor="text1"/>
                <w:spacing w:val="-2"/>
                <w:sz w:val="16"/>
                <w:szCs w:val="16"/>
              </w:rPr>
            </w:pPr>
          </w:p>
          <w:p w:rsidR="007E527B" w:rsidRDefault="007E527B" w:rsidP="00F937C0">
            <w:pPr>
              <w:spacing w:line="240" w:lineRule="auto"/>
              <w:rPr>
                <w:color w:val="000000" w:themeColor="text1"/>
                <w:spacing w:val="-2"/>
                <w:sz w:val="16"/>
                <w:szCs w:val="16"/>
              </w:rPr>
            </w:pPr>
          </w:p>
          <w:p w:rsidR="007E527B" w:rsidRPr="007E527B" w:rsidRDefault="007E527B" w:rsidP="00F937C0">
            <w:pPr>
              <w:spacing w:line="240" w:lineRule="auto"/>
              <w:rPr>
                <w:color w:val="000000" w:themeColor="text1"/>
                <w:spacing w:val="-2"/>
                <w:sz w:val="16"/>
                <w:szCs w:val="16"/>
              </w:rPr>
            </w:pPr>
          </w:p>
          <w:p w:rsidR="007E527B" w:rsidRPr="00806DF0" w:rsidRDefault="007E527B" w:rsidP="007E527B">
            <w:pPr>
              <w:spacing w:line="240" w:lineRule="auto"/>
              <w:rPr>
                <w:color w:val="000000" w:themeColor="text1"/>
                <w:spacing w:val="-2"/>
                <w:sz w:val="16"/>
                <w:szCs w:val="16"/>
              </w:rPr>
            </w:pPr>
            <w:r>
              <w:rPr>
                <w:color w:val="000000" w:themeColor="text1"/>
                <w:spacing w:val="-2"/>
                <w:sz w:val="16"/>
                <w:szCs w:val="16"/>
              </w:rPr>
              <w:t xml:space="preserve">…v roce 2015 bylo nejvíce </w:t>
            </w:r>
            <w:r w:rsidR="001B2512">
              <w:rPr>
                <w:color w:val="000000" w:themeColor="text1"/>
                <w:spacing w:val="-2"/>
                <w:sz w:val="16"/>
                <w:szCs w:val="16"/>
              </w:rPr>
              <w:t xml:space="preserve">patrné </w:t>
            </w:r>
            <w:r>
              <w:rPr>
                <w:color w:val="000000" w:themeColor="text1"/>
                <w:spacing w:val="-2"/>
                <w:sz w:val="16"/>
                <w:szCs w:val="16"/>
              </w:rPr>
              <w:t>ve zpracovatelském průmyslu</w:t>
            </w:r>
          </w:p>
        </w:tc>
        <w:tc>
          <w:tcPr>
            <w:tcW w:w="141" w:type="pct"/>
          </w:tcPr>
          <w:p w:rsidR="007E527B" w:rsidRPr="009720D9" w:rsidRDefault="007E527B" w:rsidP="00F937C0">
            <w:pPr>
              <w:pStyle w:val="Textpoznpodarou"/>
              <w:jc w:val="both"/>
              <w:rPr>
                <w:color w:val="0D0D0D" w:themeColor="text1" w:themeTint="F2"/>
              </w:rPr>
            </w:pPr>
          </w:p>
        </w:tc>
        <w:tc>
          <w:tcPr>
            <w:tcW w:w="3790" w:type="pct"/>
            <w:gridSpan w:val="3"/>
          </w:tcPr>
          <w:p w:rsidR="007E527B" w:rsidRPr="007E527B" w:rsidRDefault="007E527B" w:rsidP="007E527B">
            <w:pPr>
              <w:pStyle w:val="Textpoznpodarou"/>
              <w:jc w:val="both"/>
              <w:rPr>
                <w:color w:val="0D0D0D" w:themeColor="text1" w:themeTint="F2"/>
              </w:rPr>
            </w:pPr>
            <w:r w:rsidRPr="007E527B">
              <w:t xml:space="preserve">Pokračovala disproporce mezi vývojem počtu zaměstnanců a </w:t>
            </w:r>
            <w:proofErr w:type="spellStart"/>
            <w:r w:rsidRPr="007E527B">
              <w:t>sebezaměstnaných</w:t>
            </w:r>
            <w:proofErr w:type="spellEnd"/>
            <w:r w:rsidRPr="007E527B">
              <w:t xml:space="preserve">. Zatímco počet osob v zaměstnaneckých pozicích posílil (o 2,0 % meziročně), </w:t>
            </w:r>
            <w:proofErr w:type="spellStart"/>
            <w:r w:rsidRPr="007E527B">
              <w:t>sebezaměstnaných</w:t>
            </w:r>
            <w:proofErr w:type="spellEnd"/>
            <w:r w:rsidRPr="007E527B">
              <w:t xml:space="preserve"> bylo o 1,9 % méně než před rokem. Na úrovni odvětví byly tyto tendence nejvíce patrné ve zpracovatelském průmyslu, ale také v některých službách (velkoobchod a maloobchod</w:t>
            </w:r>
            <w:r w:rsidRPr="007E527B">
              <w:rPr>
                <w:lang w:val="en-US"/>
              </w:rPr>
              <w:t>;</w:t>
            </w:r>
            <w:r w:rsidRPr="007E527B">
              <w:t xml:space="preserve"> ubytování, stravování a pohostinství</w:t>
            </w:r>
            <w:r w:rsidRPr="007E527B">
              <w:rPr>
                <w:lang w:val="en-US"/>
              </w:rPr>
              <w:t>;</w:t>
            </w:r>
            <w:r w:rsidRPr="007E527B">
              <w:t xml:space="preserve"> doprava a skladování</w:t>
            </w:r>
            <w:r w:rsidRPr="007E527B">
              <w:rPr>
                <w:color w:val="0D0D0D" w:themeColor="text1" w:themeTint="F2"/>
              </w:rPr>
              <w:t xml:space="preserve">). Může to být způsobeno skutečností, že firmy do svých kmenových stavů stahují pracovníky, které na podobnou práci v „horších časech“ využívaly v rámci </w:t>
            </w:r>
            <w:proofErr w:type="spellStart"/>
            <w:r w:rsidRPr="007E527B">
              <w:rPr>
                <w:color w:val="0D0D0D" w:themeColor="text1" w:themeTint="F2"/>
              </w:rPr>
              <w:t>švarc</w:t>
            </w:r>
            <w:proofErr w:type="spellEnd"/>
            <w:r w:rsidRPr="007E527B">
              <w:rPr>
                <w:color w:val="0D0D0D" w:themeColor="text1" w:themeTint="F2"/>
              </w:rPr>
              <w:t xml:space="preserve"> systému. Část </w:t>
            </w:r>
            <w:proofErr w:type="spellStart"/>
            <w:r w:rsidRPr="007E527B">
              <w:rPr>
                <w:color w:val="0D0D0D" w:themeColor="text1" w:themeTint="F2"/>
              </w:rPr>
              <w:t>sebezaměstnaných</w:t>
            </w:r>
            <w:proofErr w:type="spellEnd"/>
            <w:r w:rsidRPr="007E527B">
              <w:rPr>
                <w:color w:val="0D0D0D" w:themeColor="text1" w:themeTint="F2"/>
              </w:rPr>
              <w:t xml:space="preserve"> však patrně využila zlepšené situace na pracovním trhu v podobě</w:t>
            </w:r>
            <w:r w:rsidRPr="007E527B">
              <w:t xml:space="preserve"> rozšiřující se nabídky relativně stabilnějších a často i lépe placených zaměstnaneckých míst. </w:t>
            </w:r>
          </w:p>
        </w:tc>
      </w:tr>
      <w:tr w:rsidR="005D4336" w:rsidTr="004D74FF">
        <w:tc>
          <w:tcPr>
            <w:tcW w:w="306" w:type="pct"/>
          </w:tcPr>
          <w:p w:rsidR="005D4336" w:rsidRPr="007E77FB" w:rsidRDefault="005D4336" w:rsidP="007A0BF4">
            <w:pPr>
              <w:pStyle w:val="Textpoznpodarou"/>
              <w:rPr>
                <w:lang w:eastAsia="en-US"/>
              </w:rPr>
            </w:pPr>
            <w:r w:rsidRPr="007E77FB">
              <w:rPr>
                <w:lang w:eastAsia="en-US"/>
              </w:rPr>
              <w:lastRenderedPageBreak/>
              <w:t>Graf č.</w:t>
            </w:r>
            <w:r>
              <w:rPr>
                <w:lang w:eastAsia="en-US"/>
              </w:rPr>
              <w:t> 1</w:t>
            </w:r>
          </w:p>
        </w:tc>
        <w:tc>
          <w:tcPr>
            <w:tcW w:w="2185" w:type="pct"/>
            <w:gridSpan w:val="3"/>
          </w:tcPr>
          <w:p w:rsidR="005D4336" w:rsidRPr="007E77FB" w:rsidRDefault="005D4336" w:rsidP="007A0BF4">
            <w:pPr>
              <w:pStyle w:val="Textpoznpodarou"/>
              <w:rPr>
                <w:lang w:eastAsia="en-US"/>
              </w:rPr>
            </w:pPr>
            <w:r w:rsidRPr="00886A8F">
              <w:rPr>
                <w:b/>
                <w:lang w:eastAsia="en-US"/>
              </w:rPr>
              <w:t xml:space="preserve">Počty zaměstnaných osob a zaměstnanců </w:t>
            </w:r>
            <w:r w:rsidRPr="00582DA0">
              <w:rPr>
                <w:spacing w:val="-4"/>
                <w:lang w:eastAsia="en-US"/>
              </w:rPr>
              <w:t>(</w:t>
            </w:r>
            <w:r>
              <w:rPr>
                <w:spacing w:val="-4"/>
                <w:lang w:eastAsia="en-US"/>
              </w:rPr>
              <w:t xml:space="preserve">v pojetí národních účtů, </w:t>
            </w:r>
            <w:r w:rsidRPr="00582DA0">
              <w:rPr>
                <w:spacing w:val="-4"/>
                <w:lang w:eastAsia="en-US"/>
              </w:rPr>
              <w:t>y/y v %)</w:t>
            </w:r>
          </w:p>
        </w:tc>
        <w:tc>
          <w:tcPr>
            <w:tcW w:w="291" w:type="pct"/>
          </w:tcPr>
          <w:p w:rsidR="005D4336" w:rsidRPr="007E77FB" w:rsidRDefault="005D4336" w:rsidP="007A0BF4">
            <w:pPr>
              <w:pStyle w:val="Textpoznpodarou"/>
              <w:rPr>
                <w:lang w:eastAsia="en-US"/>
              </w:rPr>
            </w:pPr>
            <w:r w:rsidRPr="007E77FB">
              <w:rPr>
                <w:lang w:eastAsia="en-US"/>
              </w:rPr>
              <w:t>Graf č.</w:t>
            </w:r>
            <w:r>
              <w:rPr>
                <w:lang w:eastAsia="en-US"/>
              </w:rPr>
              <w:t> 2</w:t>
            </w:r>
          </w:p>
        </w:tc>
        <w:tc>
          <w:tcPr>
            <w:tcW w:w="2217" w:type="pct"/>
            <w:gridSpan w:val="2"/>
          </w:tcPr>
          <w:p w:rsidR="005D4336" w:rsidRPr="007011BF" w:rsidRDefault="005D4336" w:rsidP="007A0BF4">
            <w:pPr>
              <w:pStyle w:val="Textpoznpodarou"/>
              <w:rPr>
                <w:spacing w:val="-4"/>
                <w:lang w:eastAsia="en-US"/>
              </w:rPr>
            </w:pPr>
            <w:r w:rsidRPr="007011BF">
              <w:rPr>
                <w:b/>
                <w:spacing w:val="-4"/>
                <w:lang w:eastAsia="en-US"/>
              </w:rPr>
              <w:t xml:space="preserve">Produktivita práce </w:t>
            </w:r>
            <w:r w:rsidRPr="00640019">
              <w:rPr>
                <w:spacing w:val="-4"/>
                <w:lang w:eastAsia="en-US"/>
              </w:rPr>
              <w:t xml:space="preserve">(HPH </w:t>
            </w:r>
            <w:r>
              <w:rPr>
                <w:spacing w:val="-4"/>
                <w:lang w:eastAsia="en-US"/>
              </w:rPr>
              <w:t xml:space="preserve">na </w:t>
            </w:r>
            <w:proofErr w:type="spellStart"/>
            <w:r>
              <w:rPr>
                <w:spacing w:val="-4"/>
                <w:lang w:eastAsia="en-US"/>
              </w:rPr>
              <w:t>odprac</w:t>
            </w:r>
            <w:proofErr w:type="spellEnd"/>
            <w:r>
              <w:rPr>
                <w:spacing w:val="-4"/>
                <w:lang w:eastAsia="en-US"/>
              </w:rPr>
              <w:t>.</w:t>
            </w:r>
            <w:r w:rsidRPr="00640019">
              <w:rPr>
                <w:spacing w:val="-4"/>
                <w:lang w:eastAsia="en-US"/>
              </w:rPr>
              <w:t xml:space="preserve"> hodinu)</w:t>
            </w:r>
            <w:r>
              <w:rPr>
                <w:b/>
                <w:spacing w:val="-4"/>
                <w:lang w:eastAsia="en-US"/>
              </w:rPr>
              <w:t xml:space="preserve"> v NH a vybraných</w:t>
            </w:r>
            <w:r w:rsidRPr="007011BF">
              <w:rPr>
                <w:b/>
                <w:spacing w:val="-4"/>
                <w:lang w:eastAsia="en-US"/>
              </w:rPr>
              <w:t xml:space="preserve"> odvětvích</w:t>
            </w:r>
            <w:r w:rsidRPr="007011BF">
              <w:rPr>
                <w:spacing w:val="-4"/>
                <w:lang w:eastAsia="en-US"/>
              </w:rPr>
              <w:t xml:space="preserve"> </w:t>
            </w:r>
            <w:r w:rsidRPr="00640019">
              <w:rPr>
                <w:spacing w:val="-6"/>
                <w:lang w:eastAsia="en-US"/>
              </w:rPr>
              <w:t>(</w:t>
            </w:r>
            <w:r>
              <w:rPr>
                <w:spacing w:val="-6"/>
                <w:lang w:eastAsia="en-US"/>
              </w:rPr>
              <w:t>rok 2008=100)</w:t>
            </w:r>
          </w:p>
        </w:tc>
      </w:tr>
      <w:tr w:rsidR="005D4336" w:rsidTr="004D74FF">
        <w:tc>
          <w:tcPr>
            <w:tcW w:w="2492" w:type="pct"/>
            <w:gridSpan w:val="4"/>
          </w:tcPr>
          <w:p w:rsidR="005D4336" w:rsidRDefault="00C20031" w:rsidP="007A0BF4">
            <w:pPr>
              <w:pStyle w:val="Textpoznpodarou"/>
              <w:jc w:val="both"/>
            </w:pPr>
            <w:r>
              <w:rPr>
                <w:noProof/>
              </w:rPr>
              <w:pict>
                <v:shape id="_x0000_i1050" type="#_x0000_t75" style="width:239.8pt;height:188.45pt;visibility:visible;mso-wrap-style:square">
                  <v:imagedata r:id="rId8" o:title=""/>
                </v:shape>
              </w:pict>
            </w:r>
          </w:p>
        </w:tc>
        <w:tc>
          <w:tcPr>
            <w:tcW w:w="2508" w:type="pct"/>
            <w:gridSpan w:val="3"/>
          </w:tcPr>
          <w:p w:rsidR="005D4336" w:rsidRDefault="00C20031" w:rsidP="007A0BF4">
            <w:pPr>
              <w:pStyle w:val="Textpoznpodarou"/>
              <w:jc w:val="both"/>
            </w:pPr>
            <w:r>
              <w:rPr>
                <w:noProof/>
              </w:rPr>
              <w:pict>
                <v:shape id="_x0000_i1051" type="#_x0000_t75" style="width:241.65pt;height:188.45pt;visibility:visible;mso-wrap-style:square">
                  <v:imagedata r:id="rId9" o:title=""/>
                </v:shape>
              </w:pict>
            </w:r>
          </w:p>
        </w:tc>
      </w:tr>
      <w:tr w:rsidR="005D4336" w:rsidTr="004D74FF">
        <w:tc>
          <w:tcPr>
            <w:tcW w:w="5000" w:type="pct"/>
            <w:gridSpan w:val="7"/>
          </w:tcPr>
          <w:p w:rsidR="005D4336" w:rsidRPr="004C5813" w:rsidRDefault="005D4336" w:rsidP="007A0BF4">
            <w:pPr>
              <w:autoSpaceDE w:val="0"/>
              <w:autoSpaceDN w:val="0"/>
              <w:adjustRightInd w:val="0"/>
              <w:spacing w:line="240" w:lineRule="auto"/>
              <w:jc w:val="right"/>
              <w:rPr>
                <w:rFonts w:cs="Arial"/>
                <w:color w:val="000000" w:themeColor="text1"/>
                <w:spacing w:val="-2"/>
                <w:sz w:val="18"/>
                <w:szCs w:val="18"/>
              </w:rPr>
            </w:pPr>
            <w:r w:rsidRPr="00886A8F">
              <w:rPr>
                <w:sz w:val="18"/>
                <w:szCs w:val="18"/>
                <w:lang w:eastAsia="en-US"/>
              </w:rPr>
              <w:t>Zdroj: ČSÚ</w:t>
            </w:r>
            <w:r>
              <w:rPr>
                <w:sz w:val="18"/>
                <w:szCs w:val="18"/>
                <w:lang w:eastAsia="en-US"/>
              </w:rPr>
              <w:t>, vlastní výpočty</w:t>
            </w:r>
          </w:p>
        </w:tc>
      </w:tr>
    </w:tbl>
    <w:p w:rsidR="005D4336" w:rsidRPr="004A22BD" w:rsidRDefault="005D4336" w:rsidP="005D4336">
      <w:pPr>
        <w:rPr>
          <w:sz w:val="2"/>
          <w:szCs w:val="2"/>
          <w:lang w:eastAsia="ar-SA"/>
        </w:rPr>
      </w:pPr>
    </w:p>
    <w:p w:rsidR="005D4336" w:rsidRPr="00202C91" w:rsidRDefault="005D4336" w:rsidP="005D4336">
      <w:pPr>
        <w:pStyle w:val="Textpoznpodarou"/>
        <w:jc w:val="both"/>
        <w:rPr>
          <w:rFonts w:cs="Arial"/>
          <w:color w:val="000000" w:themeColor="text1"/>
          <w:spacing w:val="-2"/>
          <w:sz w:val="18"/>
          <w:szCs w:val="18"/>
        </w:rPr>
      </w:pPr>
    </w:p>
    <w:tbl>
      <w:tblPr>
        <w:tblW w:w="5000" w:type="pct"/>
        <w:tblCellMar>
          <w:left w:w="28" w:type="dxa"/>
          <w:right w:w="28" w:type="dxa"/>
        </w:tblCellMar>
        <w:tblLook w:val="04A0"/>
      </w:tblPr>
      <w:tblGrid>
        <w:gridCol w:w="2044"/>
        <w:gridCol w:w="275"/>
        <w:gridCol w:w="7375"/>
      </w:tblGrid>
      <w:tr w:rsidR="005D4336" w:rsidTr="00C22BDA">
        <w:tc>
          <w:tcPr>
            <w:tcW w:w="1054" w:type="pct"/>
          </w:tcPr>
          <w:p w:rsidR="005D4336" w:rsidRDefault="005D4336" w:rsidP="007A0BF4">
            <w:pPr>
              <w:spacing w:line="240" w:lineRule="auto"/>
              <w:rPr>
                <w:rFonts w:cs="Arial"/>
                <w:bCs/>
                <w:iCs/>
                <w:color w:val="0D0D0D" w:themeColor="text1" w:themeTint="F2"/>
                <w:sz w:val="16"/>
                <w:szCs w:val="16"/>
              </w:rPr>
            </w:pPr>
            <w:r>
              <w:rPr>
                <w:rFonts w:cs="Arial"/>
                <w:bCs/>
                <w:iCs/>
                <w:color w:val="0D0D0D" w:themeColor="text1" w:themeTint="F2"/>
                <w:sz w:val="16"/>
                <w:szCs w:val="16"/>
              </w:rPr>
              <w:t>Produktivita práce rostla již druhý rok po sobě a v roce 2015 dosáhla nejvyššího tempa za posledních osm let…</w:t>
            </w: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…k</w:t>
            </w:r>
            <w:r w:rsidRPr="00372465">
              <w:rPr>
                <w:rFonts w:cs="Arial"/>
                <w:bCs/>
                <w:iCs/>
                <w:color w:val="0D0D0D" w:themeColor="text1" w:themeTint="F2"/>
                <w:spacing w:val="-2"/>
                <w:sz w:val="16"/>
                <w:szCs w:val="16"/>
              </w:rPr>
              <w:t xml:space="preserve">lesala jen </w:t>
            </w:r>
            <w:r>
              <w:rPr>
                <w:rFonts w:cs="Arial"/>
                <w:bCs/>
                <w:iCs/>
                <w:color w:val="0D0D0D" w:themeColor="text1" w:themeTint="F2"/>
                <w:spacing w:val="-2"/>
                <w:sz w:val="16"/>
                <w:szCs w:val="16"/>
              </w:rPr>
              <w:t xml:space="preserve">dopravě </w:t>
            </w:r>
          </w:p>
          <w:p w:rsidR="005D4336" w:rsidRPr="00372465" w:rsidRDefault="005D4336" w:rsidP="00286220">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a skladování a zejména v energetice postižené výpadkem výrobních kapacit v jaderných elektrárnách</w:t>
            </w: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Pr="00202C91" w:rsidRDefault="005D4336" w:rsidP="00006ECF">
            <w:pPr>
              <w:pStyle w:val="Textpoznpodarou"/>
              <w:jc w:val="both"/>
            </w:pPr>
            <w:r w:rsidRPr="00202C91">
              <w:t xml:space="preserve">Dalším z příznivých rysů vývoje trhu práce byl v posledních dvou letech růst </w:t>
            </w:r>
            <w:r w:rsidRPr="00202C91">
              <w:rPr>
                <w:color w:val="000000" w:themeColor="text1"/>
              </w:rPr>
              <w:t>produktivity práce. Ta stoupla v roce 2015 o 3,8 %, když 3,9% růst hrubé přidané hodnoty byl současně realizován</w:t>
            </w:r>
            <w:r w:rsidR="00C6331A">
              <w:t xml:space="preserve"> při pouze minimálním navýšení</w:t>
            </w:r>
            <w:r w:rsidRPr="00202C91">
              <w:t xml:space="preserve"> odpracovaných hodin (o 0,2 %). Snižovala se pouze v energetice (-23 %) a </w:t>
            </w:r>
            <w:r w:rsidR="008D59DD">
              <w:t xml:space="preserve">v menší míře </w:t>
            </w:r>
            <w:r w:rsidRPr="00202C91">
              <w:t>také v dopravě a</w:t>
            </w:r>
            <w:r w:rsidR="00006ECF">
              <w:t> </w:t>
            </w:r>
            <w:r w:rsidRPr="00202C91">
              <w:t>skladování. Téměř 10% růstu produktivity naopak dosáhly v roce 2015 informační a komunikační činnosti, profesní, vědecké, technické a administrativní činnost</w:t>
            </w:r>
            <w:r w:rsidR="00A95BD0">
              <w:t>i, dařilo se ale i zemědělství,</w:t>
            </w:r>
            <w:r w:rsidRPr="00202C91">
              <w:t xml:space="preserve"> lesnictví</w:t>
            </w:r>
            <w:r w:rsidR="00A95BD0">
              <w:t xml:space="preserve"> a rybářství</w:t>
            </w:r>
            <w:r w:rsidRPr="00202C91">
              <w:t>. Poměrně silný růst produktivity ve</w:t>
            </w:r>
            <w:r w:rsidR="00006ECF">
              <w:t> </w:t>
            </w:r>
            <w:r w:rsidRPr="00202C91">
              <w:t>stavebnictví (o 6,7 %) odrážel skutečnost, ž</w:t>
            </w:r>
            <w:r w:rsidR="0064354E">
              <w:t>e stavební firmy zvládly větší</w:t>
            </w:r>
            <w:r w:rsidRPr="00202C91">
              <w:t xml:space="preserve"> objem zakázek s nižším počtem pracovníků (-0,1 %) a</w:t>
            </w:r>
            <w:r w:rsidRPr="00202C91">
              <w:rPr>
                <w:rFonts w:cs="Arial"/>
                <w:color w:val="0D0D0D" w:themeColor="text1" w:themeTint="F2"/>
              </w:rPr>
              <w:t> </w:t>
            </w:r>
            <w:r w:rsidRPr="00202C91">
              <w:t>dokonce i odpracovaných hodin (-1,3 %). Proti konjunkturnímu roku 2008 byla hodinová produktivita v celé ekonomice vyšší o 7,7 % (resp. o 5,7 % při vyjádření produktivity na pracovníka). O pětinu nad touto úrovní se nacházelo peněžnictví a</w:t>
            </w:r>
            <w:r>
              <w:t> </w:t>
            </w:r>
            <w:r w:rsidRPr="00202C91">
              <w:t>pojišťovnictví, podobně jako činnosti</w:t>
            </w:r>
            <w:r w:rsidR="007B010B">
              <w:t xml:space="preserve"> v</w:t>
            </w:r>
            <w:r w:rsidRPr="00202C91">
              <w:t xml:space="preserve"> oblasti nemovitostí a zpracovatelský průmysl. Předkrizovou úroveň produktivity naopak zatím stále nedosáhly energetika a vodní hospodářství, některé váhově menší obory zpracovatelského průmyslu (tabákový, textilní, oděvní, kožedělný a dřevozpracující průmysl), ale i</w:t>
            </w:r>
            <w:r>
              <w:t> </w:t>
            </w:r>
            <w:r w:rsidRPr="00202C91">
              <w:t xml:space="preserve">část odvětví služeb </w:t>
            </w:r>
            <w:r>
              <w:t>–</w:t>
            </w:r>
            <w:r w:rsidRPr="00202C91">
              <w:t xml:space="preserve"> doprava a skladování,</w:t>
            </w:r>
            <w:r w:rsidR="00181362">
              <w:t xml:space="preserve"> ubytování,</w:t>
            </w:r>
            <w:r w:rsidRPr="00202C91">
              <w:t xml:space="preserve"> stravování a pohostinství</w:t>
            </w:r>
            <w:r w:rsidR="00181362">
              <w:t>.</w:t>
            </w:r>
          </w:p>
        </w:tc>
      </w:tr>
    </w:tbl>
    <w:p w:rsidR="005D4336" w:rsidRPr="00202C91" w:rsidRDefault="005D4336" w:rsidP="005D4336">
      <w:pPr>
        <w:pStyle w:val="Textpoznpodarou"/>
        <w:jc w:val="both"/>
        <w:rPr>
          <w:rFonts w:cs="Arial"/>
          <w:color w:val="000000" w:themeColor="text1"/>
          <w:spacing w:val="-2"/>
          <w:sz w:val="18"/>
          <w:szCs w:val="18"/>
        </w:rPr>
      </w:pPr>
    </w:p>
    <w:tbl>
      <w:tblPr>
        <w:tblW w:w="5001" w:type="pct"/>
        <w:tblLayout w:type="fixed"/>
        <w:tblCellMar>
          <w:left w:w="28" w:type="dxa"/>
          <w:right w:w="28" w:type="dxa"/>
        </w:tblCellMar>
        <w:tblLook w:val="04A0"/>
      </w:tblPr>
      <w:tblGrid>
        <w:gridCol w:w="593"/>
        <w:gridCol w:w="1437"/>
        <w:gridCol w:w="270"/>
        <w:gridCol w:w="2548"/>
        <w:gridCol w:w="566"/>
        <w:gridCol w:w="4282"/>
      </w:tblGrid>
      <w:tr w:rsidR="005D4336" w:rsidTr="004D74FF">
        <w:tc>
          <w:tcPr>
            <w:tcW w:w="306" w:type="pct"/>
          </w:tcPr>
          <w:p w:rsidR="005D4336" w:rsidRPr="007E77FB" w:rsidRDefault="005D4336" w:rsidP="007A0BF4">
            <w:pPr>
              <w:pStyle w:val="Textpoznpodarou"/>
              <w:rPr>
                <w:lang w:eastAsia="en-US"/>
              </w:rPr>
            </w:pPr>
            <w:r w:rsidRPr="007E77FB">
              <w:rPr>
                <w:lang w:eastAsia="en-US"/>
              </w:rPr>
              <w:t>Graf č.</w:t>
            </w:r>
            <w:r>
              <w:rPr>
                <w:lang w:eastAsia="en-US"/>
              </w:rPr>
              <w:t> 3</w:t>
            </w:r>
          </w:p>
        </w:tc>
        <w:tc>
          <w:tcPr>
            <w:tcW w:w="2194" w:type="pct"/>
            <w:gridSpan w:val="3"/>
          </w:tcPr>
          <w:p w:rsidR="005D4336" w:rsidRPr="000F67E3" w:rsidRDefault="005D4336" w:rsidP="007A0BF4">
            <w:pPr>
              <w:pStyle w:val="Textpoznpodarou"/>
              <w:rPr>
                <w:b/>
                <w:spacing w:val="-2"/>
                <w:lang w:eastAsia="en-US"/>
              </w:rPr>
            </w:pPr>
            <w:r w:rsidRPr="000F67E3">
              <w:rPr>
                <w:b/>
                <w:spacing w:val="-2"/>
                <w:lang w:eastAsia="en-US"/>
              </w:rPr>
              <w:t xml:space="preserve">Meziroční změny produktivity práce </w:t>
            </w:r>
          </w:p>
          <w:p w:rsidR="005D4336" w:rsidRPr="00C53AA5" w:rsidRDefault="005D4336" w:rsidP="007A0BF4">
            <w:pPr>
              <w:pStyle w:val="Textpoznpodarou"/>
              <w:rPr>
                <w:spacing w:val="-4"/>
                <w:lang w:eastAsia="en-US"/>
              </w:rPr>
            </w:pPr>
            <w:r w:rsidRPr="000F67E3">
              <w:rPr>
                <w:spacing w:val="-2"/>
                <w:lang w:eastAsia="en-US"/>
              </w:rPr>
              <w:t xml:space="preserve">(HDP na </w:t>
            </w:r>
            <w:proofErr w:type="spellStart"/>
            <w:r w:rsidRPr="000F67E3">
              <w:rPr>
                <w:spacing w:val="-2"/>
                <w:lang w:eastAsia="en-US"/>
              </w:rPr>
              <w:t>odprac</w:t>
            </w:r>
            <w:proofErr w:type="spellEnd"/>
            <w:r w:rsidRPr="000F67E3">
              <w:rPr>
                <w:spacing w:val="-2"/>
                <w:lang w:eastAsia="en-US"/>
              </w:rPr>
              <w:t xml:space="preserve">. hodinu) </w:t>
            </w:r>
            <w:r w:rsidRPr="000F67E3">
              <w:rPr>
                <w:b/>
                <w:spacing w:val="-2"/>
                <w:lang w:eastAsia="en-US"/>
              </w:rPr>
              <w:t>v zemích EU</w:t>
            </w:r>
            <w:r w:rsidRPr="000F67E3">
              <w:rPr>
                <w:spacing w:val="-2"/>
                <w:lang w:eastAsia="en-US"/>
              </w:rPr>
              <w:t xml:space="preserve"> (v %)</w:t>
            </w:r>
          </w:p>
        </w:tc>
        <w:tc>
          <w:tcPr>
            <w:tcW w:w="292" w:type="pct"/>
          </w:tcPr>
          <w:p w:rsidR="005D4336" w:rsidRPr="007E77FB" w:rsidRDefault="005D4336" w:rsidP="007A0BF4">
            <w:pPr>
              <w:pStyle w:val="Textpoznpodarou"/>
              <w:rPr>
                <w:lang w:eastAsia="en-US"/>
              </w:rPr>
            </w:pPr>
            <w:r w:rsidRPr="007E77FB">
              <w:rPr>
                <w:lang w:eastAsia="en-US"/>
              </w:rPr>
              <w:t>Graf č.</w:t>
            </w:r>
            <w:r>
              <w:rPr>
                <w:lang w:eastAsia="en-US"/>
              </w:rPr>
              <w:t> 4</w:t>
            </w:r>
          </w:p>
        </w:tc>
        <w:tc>
          <w:tcPr>
            <w:tcW w:w="2208" w:type="pct"/>
          </w:tcPr>
          <w:p w:rsidR="005D4336" w:rsidRPr="000F67E3" w:rsidRDefault="00C22BDA" w:rsidP="00C22BDA">
            <w:pPr>
              <w:pStyle w:val="Textpoznpodarou"/>
              <w:rPr>
                <w:spacing w:val="-2"/>
                <w:lang w:eastAsia="en-US"/>
              </w:rPr>
            </w:pPr>
            <w:r w:rsidRPr="000F67E3">
              <w:rPr>
                <w:b/>
                <w:spacing w:val="-2"/>
                <w:lang w:eastAsia="en-US"/>
              </w:rPr>
              <w:t>Nominální úroveň produktivity</w:t>
            </w:r>
            <w:r w:rsidR="005D4336" w:rsidRPr="000F67E3">
              <w:rPr>
                <w:b/>
                <w:spacing w:val="-2"/>
                <w:lang w:eastAsia="en-US"/>
              </w:rPr>
              <w:t xml:space="preserve"> práce </w:t>
            </w:r>
            <w:r w:rsidR="005D4336" w:rsidRPr="000F67E3">
              <w:rPr>
                <w:spacing w:val="-2"/>
                <w:lang w:eastAsia="en-US"/>
              </w:rPr>
              <w:t>(v PPS, na</w:t>
            </w:r>
            <w:r w:rsidRPr="000F67E3">
              <w:rPr>
                <w:spacing w:val="-2"/>
                <w:lang w:eastAsia="en-US"/>
              </w:rPr>
              <w:t> </w:t>
            </w:r>
            <w:r w:rsidR="005D4336" w:rsidRPr="000F67E3">
              <w:rPr>
                <w:spacing w:val="-2"/>
                <w:lang w:eastAsia="en-US"/>
              </w:rPr>
              <w:t xml:space="preserve">pracovníka, resp. odpracovanou hodinu) </w:t>
            </w:r>
            <w:r w:rsidR="005D4336" w:rsidRPr="000F67E3">
              <w:rPr>
                <w:b/>
                <w:spacing w:val="-2"/>
                <w:lang w:eastAsia="en-US"/>
              </w:rPr>
              <w:t>v zemích EU</w:t>
            </w:r>
            <w:r w:rsidR="005D4336" w:rsidRPr="000F67E3">
              <w:rPr>
                <w:spacing w:val="-2"/>
                <w:lang w:eastAsia="en-US"/>
              </w:rPr>
              <w:t xml:space="preserve"> </w:t>
            </w:r>
            <w:r w:rsidR="005D4336" w:rsidRPr="000F67E3">
              <w:rPr>
                <w:b/>
                <w:spacing w:val="-2"/>
                <w:lang w:eastAsia="en-US"/>
              </w:rPr>
              <w:t>v roce 2015</w:t>
            </w:r>
            <w:r w:rsidR="005D4336" w:rsidRPr="000F67E3">
              <w:rPr>
                <w:spacing w:val="-2"/>
                <w:lang w:eastAsia="en-US"/>
              </w:rPr>
              <w:t xml:space="preserve"> (EU28=100)</w:t>
            </w:r>
          </w:p>
        </w:tc>
      </w:tr>
      <w:tr w:rsidR="005D4336" w:rsidTr="004D74FF">
        <w:tc>
          <w:tcPr>
            <w:tcW w:w="2500" w:type="pct"/>
            <w:gridSpan w:val="4"/>
          </w:tcPr>
          <w:p w:rsidR="005D4336" w:rsidRDefault="00C20031" w:rsidP="007A0BF4">
            <w:pPr>
              <w:pStyle w:val="Textpoznpodarou"/>
              <w:jc w:val="both"/>
            </w:pPr>
            <w:r>
              <w:rPr>
                <w:noProof/>
              </w:rPr>
              <w:pict>
                <v:shape id="_x0000_i1052" type="#_x0000_t75" style="width:239.8pt;height:226.65pt;visibility:visible;mso-wrap-style:square">
                  <v:imagedata r:id="rId10" o:title=""/>
                </v:shape>
              </w:pict>
            </w:r>
          </w:p>
        </w:tc>
        <w:tc>
          <w:tcPr>
            <w:tcW w:w="2500" w:type="pct"/>
            <w:gridSpan w:val="2"/>
          </w:tcPr>
          <w:p w:rsidR="005D4336" w:rsidRDefault="00C20031" w:rsidP="007A0BF4">
            <w:pPr>
              <w:pStyle w:val="Textpoznpodarou"/>
              <w:jc w:val="both"/>
            </w:pPr>
            <w:r>
              <w:pict>
                <v:shape id="_x0000_i1053" type="#_x0000_t75" style="width:239.8pt;height:226.65pt">
                  <v:imagedata r:id="rId11" o:title=""/>
                </v:shape>
              </w:pict>
            </w:r>
          </w:p>
        </w:tc>
      </w:tr>
      <w:tr w:rsidR="005D4336" w:rsidTr="004D74FF">
        <w:tc>
          <w:tcPr>
            <w:tcW w:w="5000" w:type="pct"/>
            <w:gridSpan w:val="6"/>
          </w:tcPr>
          <w:p w:rsidR="005D4336" w:rsidRPr="004C5813" w:rsidRDefault="005D4336" w:rsidP="007A0BF4">
            <w:pPr>
              <w:autoSpaceDE w:val="0"/>
              <w:autoSpaceDN w:val="0"/>
              <w:adjustRightInd w:val="0"/>
              <w:spacing w:line="240" w:lineRule="auto"/>
              <w:jc w:val="right"/>
              <w:rPr>
                <w:rFonts w:cs="Arial"/>
                <w:color w:val="000000" w:themeColor="text1"/>
                <w:spacing w:val="-2"/>
                <w:sz w:val="18"/>
                <w:szCs w:val="18"/>
              </w:rPr>
            </w:pPr>
            <w:r>
              <w:rPr>
                <w:sz w:val="18"/>
                <w:szCs w:val="18"/>
                <w:lang w:eastAsia="en-US"/>
              </w:rPr>
              <w:t xml:space="preserve">Pozn.: Za Belgii pouze údaje z roku 2014.                                      </w:t>
            </w:r>
            <w:r w:rsidR="00C22BDA">
              <w:rPr>
                <w:sz w:val="18"/>
                <w:szCs w:val="18"/>
                <w:lang w:eastAsia="en-US"/>
              </w:rPr>
              <w:t xml:space="preserve">                             </w:t>
            </w:r>
            <w:r w:rsidRPr="00886A8F">
              <w:rPr>
                <w:sz w:val="18"/>
                <w:szCs w:val="18"/>
                <w:lang w:eastAsia="en-US"/>
              </w:rPr>
              <w:t>Zdroj: ČSÚ</w:t>
            </w:r>
            <w:r>
              <w:rPr>
                <w:sz w:val="18"/>
                <w:szCs w:val="18"/>
                <w:lang w:eastAsia="en-US"/>
              </w:rPr>
              <w:t xml:space="preserve">, </w:t>
            </w:r>
            <w:proofErr w:type="spellStart"/>
            <w:r>
              <w:rPr>
                <w:sz w:val="18"/>
                <w:szCs w:val="18"/>
                <w:lang w:eastAsia="en-US"/>
              </w:rPr>
              <w:t>Eurostat</w:t>
            </w:r>
            <w:proofErr w:type="spellEnd"/>
            <w:r>
              <w:rPr>
                <w:sz w:val="18"/>
                <w:szCs w:val="18"/>
                <w:lang w:eastAsia="en-US"/>
              </w:rPr>
              <w:t>, vlastní výpočty</w:t>
            </w:r>
          </w:p>
        </w:tc>
      </w:tr>
      <w:tr w:rsidR="005D4336" w:rsidTr="004D74FF">
        <w:tc>
          <w:tcPr>
            <w:tcW w:w="1047" w:type="pct"/>
            <w:gridSpan w:val="2"/>
          </w:tcPr>
          <w:p w:rsidR="005D4336"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lastRenderedPageBreak/>
              <w:t>Hodinová produktivita práce rostla v ČR za poslední dva roky čtvrtým nejvyšším tempem z celé EU a</w:t>
            </w:r>
            <w:r w:rsidR="009271BA">
              <w:rPr>
                <w:rFonts w:cs="Arial"/>
                <w:bCs/>
                <w:iCs/>
                <w:color w:val="0D0D0D" w:themeColor="text1" w:themeTint="F2"/>
                <w:spacing w:val="-2"/>
                <w:sz w:val="16"/>
                <w:szCs w:val="16"/>
              </w:rPr>
              <w:t> </w:t>
            </w:r>
            <w:r>
              <w:rPr>
                <w:rFonts w:cs="Arial"/>
                <w:bCs/>
                <w:iCs/>
                <w:color w:val="0D0D0D" w:themeColor="text1" w:themeTint="F2"/>
                <w:spacing w:val="-2"/>
                <w:sz w:val="16"/>
                <w:szCs w:val="16"/>
              </w:rPr>
              <w:t>zároveň nejvíce ze zemí středoevropského regionu</w:t>
            </w:r>
          </w:p>
          <w:p w:rsidR="005D4336" w:rsidRPr="00372465" w:rsidRDefault="005D4336" w:rsidP="007A0BF4">
            <w:pPr>
              <w:spacing w:line="240" w:lineRule="auto"/>
              <w:rPr>
                <w:rFonts w:cs="Arial"/>
                <w:bCs/>
                <w:iCs/>
                <w:color w:val="0D0D0D" w:themeColor="text1" w:themeTint="F2"/>
                <w:spacing w:val="-2"/>
                <w:sz w:val="16"/>
                <w:szCs w:val="16"/>
              </w:rPr>
            </w:pPr>
          </w:p>
        </w:tc>
        <w:tc>
          <w:tcPr>
            <w:tcW w:w="139" w:type="pct"/>
          </w:tcPr>
          <w:p w:rsidR="005D4336" w:rsidRPr="009720D9" w:rsidRDefault="005D4336" w:rsidP="007A0BF4">
            <w:pPr>
              <w:pStyle w:val="Textpoznpodarou"/>
              <w:jc w:val="both"/>
              <w:rPr>
                <w:color w:val="0D0D0D" w:themeColor="text1" w:themeTint="F2"/>
              </w:rPr>
            </w:pPr>
          </w:p>
        </w:tc>
        <w:tc>
          <w:tcPr>
            <w:tcW w:w="3813" w:type="pct"/>
            <w:gridSpan w:val="3"/>
          </w:tcPr>
          <w:p w:rsidR="005D4336" w:rsidRPr="00380D82" w:rsidRDefault="005D4336" w:rsidP="007A0BF4">
            <w:pPr>
              <w:pStyle w:val="Textpoznpodarou"/>
              <w:jc w:val="both"/>
              <w:rPr>
                <w:spacing w:val="-2"/>
              </w:rPr>
            </w:pPr>
            <w:r w:rsidRPr="00380D82">
              <w:rPr>
                <w:spacing w:val="-2"/>
              </w:rPr>
              <w:t xml:space="preserve">Meziroční růst </w:t>
            </w:r>
            <w:r w:rsidRPr="00380D82">
              <w:rPr>
                <w:color w:val="000000" w:themeColor="text1"/>
                <w:spacing w:val="-2"/>
              </w:rPr>
              <w:t>hodinové produktivity práce v ČR patřil v letech oživení ekonomiky (2014 a 2015) v rámci celé EU k nejvyšším (</w:t>
            </w:r>
            <w:r w:rsidRPr="00380D82">
              <w:rPr>
                <w:spacing w:val="-2"/>
              </w:rPr>
              <w:t xml:space="preserve">rychleji se zvyšovala v </w:t>
            </w:r>
            <w:r w:rsidRPr="00380D82">
              <w:rPr>
                <w:color w:val="000000" w:themeColor="text1"/>
                <w:spacing w:val="-2"/>
              </w:rPr>
              <w:t>šest</w:t>
            </w:r>
            <w:r w:rsidRPr="00380D82">
              <w:rPr>
                <w:spacing w:val="-2"/>
              </w:rPr>
              <w:t>i, resp. jen dvou zemích). A to navzdory skutečnosti, že dynamika produktivity byla v tomto období v Česku ve srovnání se silnými konjunkturními roky (2005–2007) zhruba jen poloviční. Produktivita práce rostla v ČR v průměru za poslední dva roky nejvíce ze</w:t>
            </w:r>
            <w:r>
              <w:rPr>
                <w:spacing w:val="-2"/>
              </w:rPr>
              <w:t> </w:t>
            </w:r>
            <w:r w:rsidRPr="00380D82">
              <w:rPr>
                <w:spacing w:val="-2"/>
              </w:rPr>
              <w:t>zemí středoevropského regionu. Unijním členům výrazně dominovalo Irsko, dynamika produktivity v roce 2015 citelně zrychlovala také v Rumunsku (na 4,3 %, z 2,0 % v předchozím roce). Naopak v Řecku, Estonsku a Litvě se produktivita po</w:t>
            </w:r>
            <w:r>
              <w:rPr>
                <w:spacing w:val="-2"/>
              </w:rPr>
              <w:t> </w:t>
            </w:r>
            <w:r w:rsidRPr="00380D82">
              <w:rPr>
                <w:spacing w:val="-2"/>
              </w:rPr>
              <w:t>náznacích oživení již v roce 2015 opět vrátila k meziročním poklesům.</w:t>
            </w:r>
          </w:p>
          <w:p w:rsidR="005D4336" w:rsidRPr="00202C91" w:rsidRDefault="005D4336" w:rsidP="007A0BF4">
            <w:pPr>
              <w:pStyle w:val="Textpoznpodarou"/>
              <w:jc w:val="both"/>
              <w:rPr>
                <w:rFonts w:cs="Arial"/>
                <w:color w:val="0D0D0D" w:themeColor="text1" w:themeTint="F2"/>
                <w:spacing w:val="-2"/>
              </w:rPr>
            </w:pPr>
          </w:p>
        </w:tc>
      </w:tr>
      <w:tr w:rsidR="005D4336" w:rsidTr="004D74FF">
        <w:tc>
          <w:tcPr>
            <w:tcW w:w="1047" w:type="pct"/>
            <w:gridSpan w:val="2"/>
          </w:tcPr>
          <w:p w:rsidR="005D4336"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V rámci EU přetrvávají výrazné</w:t>
            </w:r>
            <w:r w:rsidRPr="00E5251C">
              <w:rPr>
                <w:rFonts w:cs="Arial"/>
                <w:bCs/>
                <w:iCs/>
                <w:color w:val="0D0D0D" w:themeColor="text1" w:themeTint="F2"/>
                <w:spacing w:val="-2"/>
                <w:sz w:val="16"/>
                <w:szCs w:val="16"/>
              </w:rPr>
              <w:t xml:space="preserve"> rozdíly v</w:t>
            </w:r>
            <w:r>
              <w:rPr>
                <w:rFonts w:cs="Arial"/>
                <w:bCs/>
                <w:iCs/>
                <w:color w:val="0D0D0D" w:themeColor="text1" w:themeTint="F2"/>
                <w:spacing w:val="-2"/>
                <w:sz w:val="16"/>
                <w:szCs w:val="16"/>
              </w:rPr>
              <w:t xml:space="preserve"> úrovni hodinové </w:t>
            </w:r>
            <w:r w:rsidR="007F123D">
              <w:rPr>
                <w:rFonts w:cs="Arial"/>
                <w:bCs/>
                <w:iCs/>
                <w:color w:val="0D0D0D" w:themeColor="text1" w:themeTint="F2"/>
                <w:spacing w:val="-2"/>
                <w:sz w:val="16"/>
                <w:szCs w:val="16"/>
              </w:rPr>
              <w:t>produktivity</w:t>
            </w:r>
            <w:r w:rsidRPr="00E5251C">
              <w:rPr>
                <w:rFonts w:cs="Arial"/>
                <w:bCs/>
                <w:iCs/>
                <w:color w:val="0D0D0D" w:themeColor="text1" w:themeTint="F2"/>
                <w:spacing w:val="-2"/>
                <w:sz w:val="16"/>
                <w:szCs w:val="16"/>
              </w:rPr>
              <w:t xml:space="preserve"> práce</w:t>
            </w:r>
            <w:r>
              <w:rPr>
                <w:rFonts w:cs="Arial"/>
                <w:bCs/>
                <w:iCs/>
                <w:color w:val="0D0D0D" w:themeColor="text1" w:themeTint="F2"/>
                <w:spacing w:val="-2"/>
                <w:sz w:val="16"/>
                <w:szCs w:val="16"/>
              </w:rPr>
              <w:t xml:space="preserve">, </w:t>
            </w:r>
          </w:p>
          <w:p w:rsidR="005D4336" w:rsidRPr="009720D9" w:rsidRDefault="005D4336" w:rsidP="009271BA">
            <w:pPr>
              <w:spacing w:line="240" w:lineRule="auto"/>
              <w:rPr>
                <w:rFonts w:cs="Arial"/>
                <w:bCs/>
                <w:iCs/>
                <w:color w:val="0D0D0D" w:themeColor="text1" w:themeTint="F2"/>
                <w:szCs w:val="20"/>
              </w:rPr>
            </w:pPr>
            <w:r>
              <w:rPr>
                <w:rFonts w:cs="Arial"/>
                <w:bCs/>
                <w:iCs/>
                <w:color w:val="0D0D0D" w:themeColor="text1" w:themeTint="F2"/>
                <w:spacing w:val="-2"/>
                <w:sz w:val="16"/>
                <w:szCs w:val="16"/>
              </w:rPr>
              <w:t>Česku patřilo v roce 2015 mezi novějšími členy EU až</w:t>
            </w:r>
            <w:r w:rsidR="009271BA">
              <w:rPr>
                <w:rFonts w:cs="Arial"/>
                <w:bCs/>
                <w:iCs/>
                <w:color w:val="0D0D0D" w:themeColor="text1" w:themeTint="F2"/>
                <w:spacing w:val="-2"/>
                <w:sz w:val="16"/>
                <w:szCs w:val="16"/>
              </w:rPr>
              <w:t> </w:t>
            </w:r>
            <w:r>
              <w:rPr>
                <w:rFonts w:cs="Arial"/>
                <w:bCs/>
                <w:iCs/>
                <w:color w:val="0D0D0D" w:themeColor="text1" w:themeTint="F2"/>
                <w:spacing w:val="-2"/>
                <w:sz w:val="16"/>
                <w:szCs w:val="16"/>
              </w:rPr>
              <w:t>čtvrté místo</w:t>
            </w:r>
          </w:p>
        </w:tc>
        <w:tc>
          <w:tcPr>
            <w:tcW w:w="139" w:type="pct"/>
          </w:tcPr>
          <w:p w:rsidR="005D4336" w:rsidRPr="009720D9" w:rsidRDefault="005D4336" w:rsidP="007A0BF4">
            <w:pPr>
              <w:pStyle w:val="Textpoznpodarou"/>
              <w:jc w:val="both"/>
              <w:rPr>
                <w:color w:val="0D0D0D" w:themeColor="text1" w:themeTint="F2"/>
              </w:rPr>
            </w:pPr>
          </w:p>
        </w:tc>
        <w:tc>
          <w:tcPr>
            <w:tcW w:w="3813" w:type="pct"/>
            <w:gridSpan w:val="3"/>
          </w:tcPr>
          <w:p w:rsidR="005D4336" w:rsidRPr="00380D82" w:rsidRDefault="005D4336" w:rsidP="007B010B">
            <w:pPr>
              <w:pStyle w:val="Textpoznpodarou"/>
              <w:jc w:val="both"/>
              <w:rPr>
                <w:spacing w:val="-2"/>
              </w:rPr>
            </w:pPr>
            <w:r w:rsidRPr="00380D82">
              <w:rPr>
                <w:spacing w:val="-2"/>
              </w:rPr>
              <w:t xml:space="preserve">Navzdory </w:t>
            </w:r>
            <w:r w:rsidR="007B010B">
              <w:rPr>
                <w:spacing w:val="-2"/>
              </w:rPr>
              <w:t>současnému</w:t>
            </w:r>
            <w:r w:rsidRPr="00380D82">
              <w:rPr>
                <w:spacing w:val="-2"/>
              </w:rPr>
              <w:t xml:space="preserve"> příznivému vývoji patřilo ČR v roce 2015 podle úrovně hodinové produktivity práce (přepočtené dle parity kupní síly) v rámci EU až sedmnácté místo. V relaci k EU28 dosáhlo Česko 74 % nominální úrovně hodinové produktivity. Při vyjádření na jednoho pracovníka, tj. bez zohlednění délky úvazků, činil tento poměr 79,7 %, v pořadí zemí si přesto Česko mírně pohoršilo, když jej předskočily Řecko a Malta. Z novějších členů (vstoupivších do EU až po roce 2000) přestihly svou hodinou produktivitou v roce 2015 úroveň Česka nejen malé ekonomiky (Kypr), ale i Slovinsko (79,1 %) a Slovensko (76,7 %). Přestože produktivita v </w:t>
            </w:r>
            <w:r>
              <w:rPr>
                <w:spacing w:val="-2"/>
              </w:rPr>
              <w:t>ČR v posledních třech letech</w:t>
            </w:r>
            <w:r w:rsidRPr="00380D82">
              <w:rPr>
                <w:spacing w:val="-2"/>
              </w:rPr>
              <w:t xml:space="preserve"> k EU28 mírně konvergovala, v dlouhodo</w:t>
            </w:r>
            <w:r>
              <w:rPr>
                <w:spacing w:val="-2"/>
              </w:rPr>
              <w:t>bějším pohledu byl pozitivní posun méně viditelný</w:t>
            </w:r>
            <w:r w:rsidRPr="00380D82">
              <w:rPr>
                <w:spacing w:val="-2"/>
              </w:rPr>
              <w:t>, neboť ve srovnání s konjunkturním rokem 2007 spíše stagnovala</w:t>
            </w:r>
            <w:r>
              <w:rPr>
                <w:spacing w:val="-2"/>
              </w:rPr>
              <w:t>.</w:t>
            </w:r>
          </w:p>
        </w:tc>
      </w:tr>
    </w:tbl>
    <w:p w:rsidR="005D4336" w:rsidRPr="005D4336" w:rsidRDefault="005D4336" w:rsidP="005D4336">
      <w:pPr>
        <w:pStyle w:val="Textpoznpodarou"/>
        <w:jc w:val="both"/>
        <w:rPr>
          <w:rFonts w:cs="Arial"/>
          <w:color w:val="000000" w:themeColor="text1"/>
          <w:spacing w:val="-2"/>
          <w:sz w:val="18"/>
          <w:szCs w:val="18"/>
        </w:rPr>
      </w:pPr>
    </w:p>
    <w:tbl>
      <w:tblPr>
        <w:tblW w:w="5000" w:type="pct"/>
        <w:tblLayout w:type="fixed"/>
        <w:tblCellMar>
          <w:left w:w="28" w:type="dxa"/>
          <w:right w:w="28" w:type="dxa"/>
        </w:tblCellMar>
        <w:tblLook w:val="04A0"/>
      </w:tblPr>
      <w:tblGrid>
        <w:gridCol w:w="754"/>
        <w:gridCol w:w="4095"/>
        <w:gridCol w:w="810"/>
        <w:gridCol w:w="4035"/>
      </w:tblGrid>
      <w:tr w:rsidR="005D4336" w:rsidTr="004D74FF">
        <w:tc>
          <w:tcPr>
            <w:tcW w:w="389" w:type="pct"/>
          </w:tcPr>
          <w:p w:rsidR="005D4336" w:rsidRPr="007E77FB" w:rsidRDefault="005D4336" w:rsidP="007A0BF4">
            <w:pPr>
              <w:pStyle w:val="Textpoznpodarou"/>
              <w:rPr>
                <w:lang w:eastAsia="en-US"/>
              </w:rPr>
            </w:pPr>
            <w:r w:rsidRPr="007E77FB">
              <w:rPr>
                <w:lang w:eastAsia="en-US"/>
              </w:rPr>
              <w:t>Graf č.</w:t>
            </w:r>
            <w:r>
              <w:rPr>
                <w:lang w:eastAsia="en-US"/>
              </w:rPr>
              <w:t> 5</w:t>
            </w:r>
          </w:p>
        </w:tc>
        <w:tc>
          <w:tcPr>
            <w:tcW w:w="2112" w:type="pct"/>
          </w:tcPr>
          <w:p w:rsidR="005D4336" w:rsidRDefault="005D4336" w:rsidP="007A0BF4">
            <w:pPr>
              <w:pStyle w:val="Textpoznpodarou"/>
              <w:rPr>
                <w:b/>
                <w:lang w:eastAsia="en-US"/>
              </w:rPr>
            </w:pPr>
            <w:r>
              <w:rPr>
                <w:b/>
                <w:lang w:eastAsia="en-US"/>
              </w:rPr>
              <w:t xml:space="preserve">Míra ekonomické aktivity mladých </w:t>
            </w:r>
          </w:p>
          <w:p w:rsidR="005D4336" w:rsidRPr="007E77FB" w:rsidRDefault="005D4336" w:rsidP="007A0BF4">
            <w:pPr>
              <w:pStyle w:val="Textpoznpodarou"/>
              <w:rPr>
                <w:lang w:eastAsia="en-US"/>
              </w:rPr>
            </w:pPr>
            <w:r>
              <w:rPr>
                <w:b/>
                <w:lang w:eastAsia="en-US"/>
              </w:rPr>
              <w:t xml:space="preserve">a starších pracovníků a podíl zaměstnaných na částečné úvazky v roce 2015 </w:t>
            </w:r>
            <w:r w:rsidRPr="00B66798">
              <w:rPr>
                <w:lang w:eastAsia="en-US"/>
              </w:rPr>
              <w:t>(v %)</w:t>
            </w:r>
          </w:p>
        </w:tc>
        <w:tc>
          <w:tcPr>
            <w:tcW w:w="418" w:type="pct"/>
          </w:tcPr>
          <w:p w:rsidR="005D4336" w:rsidRPr="007E77FB" w:rsidRDefault="005D4336" w:rsidP="007A0BF4">
            <w:pPr>
              <w:pStyle w:val="Textpoznpodarou"/>
              <w:rPr>
                <w:lang w:eastAsia="en-US"/>
              </w:rPr>
            </w:pPr>
            <w:r w:rsidRPr="007E77FB">
              <w:rPr>
                <w:lang w:eastAsia="en-US"/>
              </w:rPr>
              <w:t>Graf č.</w:t>
            </w:r>
            <w:r>
              <w:rPr>
                <w:lang w:eastAsia="en-US"/>
              </w:rPr>
              <w:t> 6</w:t>
            </w:r>
          </w:p>
        </w:tc>
        <w:tc>
          <w:tcPr>
            <w:tcW w:w="2081" w:type="pct"/>
          </w:tcPr>
          <w:p w:rsidR="005D4336" w:rsidRPr="00B66798" w:rsidRDefault="005D4336" w:rsidP="00105F6B">
            <w:pPr>
              <w:pStyle w:val="Textpoznpodarou"/>
              <w:rPr>
                <w:spacing w:val="-2"/>
                <w:lang w:eastAsia="en-US"/>
              </w:rPr>
            </w:pPr>
            <w:r w:rsidRPr="00B66798">
              <w:rPr>
                <w:b/>
                <w:spacing w:val="-2"/>
                <w:lang w:eastAsia="en-US"/>
              </w:rPr>
              <w:t xml:space="preserve">Ženy* s věkem nejmladšího dítěte do 6 let </w:t>
            </w:r>
            <w:r w:rsidRPr="00B66798">
              <w:rPr>
                <w:spacing w:val="-2"/>
                <w:lang w:eastAsia="en-US"/>
              </w:rPr>
              <w:t>–</w:t>
            </w:r>
            <w:r w:rsidR="00105F6B">
              <w:rPr>
                <w:b/>
                <w:spacing w:val="-2"/>
                <w:lang w:eastAsia="en-US"/>
              </w:rPr>
              <w:t xml:space="preserve"> míra ekonomické</w:t>
            </w:r>
            <w:r w:rsidRPr="00B66798">
              <w:rPr>
                <w:b/>
                <w:spacing w:val="-2"/>
                <w:lang w:eastAsia="en-US"/>
              </w:rPr>
              <w:t xml:space="preserve"> aktivity</w:t>
            </w:r>
            <w:r>
              <w:rPr>
                <w:b/>
                <w:spacing w:val="-2"/>
                <w:lang w:eastAsia="en-US"/>
              </w:rPr>
              <w:t>,</w:t>
            </w:r>
            <w:r w:rsidRPr="00B66798">
              <w:rPr>
                <w:spacing w:val="-2"/>
                <w:lang w:eastAsia="en-US"/>
              </w:rPr>
              <w:t xml:space="preserve"> </w:t>
            </w:r>
            <w:r w:rsidR="00105F6B">
              <w:rPr>
                <w:b/>
                <w:spacing w:val="-2"/>
                <w:lang w:eastAsia="en-US"/>
              </w:rPr>
              <w:t>podíl pracujících</w:t>
            </w:r>
            <w:r>
              <w:rPr>
                <w:b/>
                <w:spacing w:val="-2"/>
                <w:lang w:eastAsia="en-US"/>
              </w:rPr>
              <w:t xml:space="preserve"> ve </w:t>
            </w:r>
            <w:r w:rsidRPr="00B66798">
              <w:rPr>
                <w:b/>
                <w:spacing w:val="-2"/>
                <w:lang w:eastAsia="en-US"/>
              </w:rPr>
              <w:t>flexibilní</w:t>
            </w:r>
            <w:r>
              <w:rPr>
                <w:b/>
                <w:spacing w:val="-2"/>
                <w:lang w:eastAsia="en-US"/>
              </w:rPr>
              <w:t>ch formách</w:t>
            </w:r>
            <w:r w:rsidRPr="00B66798">
              <w:rPr>
                <w:b/>
                <w:spacing w:val="-2"/>
                <w:lang w:eastAsia="en-US"/>
              </w:rPr>
              <w:t xml:space="preserve"> úvazků v roce 2014</w:t>
            </w:r>
            <w:r>
              <w:rPr>
                <w:b/>
                <w:spacing w:val="-2"/>
                <w:lang w:eastAsia="en-US"/>
              </w:rPr>
              <w:t xml:space="preserve"> </w:t>
            </w:r>
            <w:r>
              <w:rPr>
                <w:spacing w:val="-2"/>
                <w:lang w:eastAsia="en-US"/>
              </w:rPr>
              <w:t>(v</w:t>
            </w:r>
            <w:r w:rsidR="00105F6B">
              <w:rPr>
                <w:spacing w:val="-2"/>
                <w:lang w:eastAsia="en-US"/>
              </w:rPr>
              <w:t> </w:t>
            </w:r>
            <w:r w:rsidRPr="00B66798">
              <w:rPr>
                <w:spacing w:val="-2"/>
                <w:lang w:eastAsia="en-US"/>
              </w:rPr>
              <w:t>%)</w:t>
            </w:r>
          </w:p>
        </w:tc>
      </w:tr>
      <w:tr w:rsidR="005D4336" w:rsidTr="004D74FF">
        <w:tc>
          <w:tcPr>
            <w:tcW w:w="2501" w:type="pct"/>
            <w:gridSpan w:val="2"/>
          </w:tcPr>
          <w:p w:rsidR="005D4336" w:rsidRDefault="00C20031" w:rsidP="007A0BF4">
            <w:pPr>
              <w:pStyle w:val="Textpoznpodarou"/>
              <w:jc w:val="both"/>
            </w:pPr>
            <w:r>
              <w:rPr>
                <w:noProof/>
              </w:rPr>
              <w:pict>
                <v:shape id="_x0000_i1054" type="#_x0000_t75" style="width:240.4pt;height:203.5pt;visibility:visible;mso-wrap-style:square">
                  <v:imagedata r:id="rId12" o:title=""/>
                </v:shape>
              </w:pict>
            </w:r>
          </w:p>
        </w:tc>
        <w:tc>
          <w:tcPr>
            <w:tcW w:w="2499" w:type="pct"/>
            <w:gridSpan w:val="2"/>
          </w:tcPr>
          <w:p w:rsidR="005D4336" w:rsidRDefault="00C20031" w:rsidP="007A0BF4">
            <w:pPr>
              <w:pStyle w:val="Textpoznpodarou"/>
              <w:jc w:val="both"/>
            </w:pPr>
            <w:r>
              <w:rPr>
                <w:noProof/>
              </w:rPr>
              <w:pict>
                <v:shape id="_x0000_i1055" type="#_x0000_t75" style="width:239.8pt;height:203.5pt;visibility:visible;mso-wrap-style:square">
                  <v:imagedata r:id="rId13" o:title=""/>
                </v:shape>
              </w:pict>
            </w:r>
          </w:p>
        </w:tc>
      </w:tr>
      <w:tr w:rsidR="005D4336" w:rsidTr="004D74FF">
        <w:tc>
          <w:tcPr>
            <w:tcW w:w="5000" w:type="pct"/>
            <w:gridSpan w:val="4"/>
          </w:tcPr>
          <w:p w:rsidR="005D4336" w:rsidRPr="004C5813" w:rsidRDefault="005D4336" w:rsidP="007A0BF4">
            <w:pPr>
              <w:autoSpaceDE w:val="0"/>
              <w:autoSpaceDN w:val="0"/>
              <w:adjustRightInd w:val="0"/>
              <w:spacing w:line="240" w:lineRule="auto"/>
              <w:jc w:val="right"/>
              <w:rPr>
                <w:rFonts w:cs="Arial"/>
                <w:color w:val="000000" w:themeColor="text1"/>
                <w:spacing w:val="-2"/>
                <w:sz w:val="18"/>
                <w:szCs w:val="18"/>
              </w:rPr>
            </w:pPr>
            <w:r>
              <w:rPr>
                <w:sz w:val="18"/>
                <w:szCs w:val="18"/>
                <w:lang w:eastAsia="en-US"/>
              </w:rPr>
              <w:t xml:space="preserve">*ve věku 15-64 </w:t>
            </w:r>
            <w:proofErr w:type="gramStart"/>
            <w:r>
              <w:rPr>
                <w:sz w:val="18"/>
                <w:szCs w:val="18"/>
                <w:lang w:eastAsia="en-US"/>
              </w:rPr>
              <w:t xml:space="preserve">let               </w:t>
            </w:r>
            <w:r w:rsidRPr="00886A8F">
              <w:rPr>
                <w:sz w:val="18"/>
                <w:szCs w:val="18"/>
                <w:lang w:eastAsia="en-US"/>
              </w:rPr>
              <w:t>Zdroj</w:t>
            </w:r>
            <w:proofErr w:type="gramEnd"/>
            <w:r w:rsidRPr="00886A8F">
              <w:rPr>
                <w:sz w:val="18"/>
                <w:szCs w:val="18"/>
                <w:lang w:eastAsia="en-US"/>
              </w:rPr>
              <w:t xml:space="preserve">: </w:t>
            </w:r>
            <w:proofErr w:type="spellStart"/>
            <w:r>
              <w:rPr>
                <w:sz w:val="18"/>
                <w:szCs w:val="18"/>
                <w:lang w:eastAsia="en-US"/>
              </w:rPr>
              <w:t>Eurostat</w:t>
            </w:r>
            <w:proofErr w:type="spellEnd"/>
            <w:r>
              <w:rPr>
                <w:sz w:val="18"/>
                <w:szCs w:val="18"/>
                <w:lang w:eastAsia="en-US"/>
              </w:rPr>
              <w:t>, vlastní výpočty</w:t>
            </w:r>
          </w:p>
        </w:tc>
      </w:tr>
    </w:tbl>
    <w:p w:rsidR="005D4336" w:rsidRPr="00491224" w:rsidRDefault="005D4336" w:rsidP="005D4336">
      <w:pPr>
        <w:pStyle w:val="Textpoznpodarou"/>
        <w:jc w:val="both"/>
        <w:rPr>
          <w:rFonts w:cs="Arial"/>
          <w:color w:val="000000" w:themeColor="text1"/>
          <w:spacing w:val="-2"/>
          <w:sz w:val="16"/>
          <w:szCs w:val="16"/>
        </w:rPr>
      </w:pPr>
    </w:p>
    <w:tbl>
      <w:tblPr>
        <w:tblW w:w="5000" w:type="pct"/>
        <w:tblCellMar>
          <w:left w:w="28" w:type="dxa"/>
          <w:right w:w="28" w:type="dxa"/>
        </w:tblCellMar>
        <w:tblLook w:val="04A0"/>
      </w:tblPr>
      <w:tblGrid>
        <w:gridCol w:w="2044"/>
        <w:gridCol w:w="275"/>
        <w:gridCol w:w="7375"/>
      </w:tblGrid>
      <w:tr w:rsidR="005D4336" w:rsidTr="007A0BF4">
        <w:tc>
          <w:tcPr>
            <w:tcW w:w="1054" w:type="pct"/>
          </w:tcPr>
          <w:p w:rsidR="005D4336" w:rsidRPr="00372465"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Česko patří v EU k zemím s nejvyšším rozdílem míry zaměstnanosti mezi muži (83,7 %) a ženami (66,9 %) u osob ve věku 20-64 let</w:t>
            </w: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Default="005D4336" w:rsidP="007A0BF4">
            <w:pPr>
              <w:pStyle w:val="Textpoznpodarou"/>
              <w:jc w:val="both"/>
            </w:pPr>
            <w:r w:rsidRPr="00E5251C">
              <w:t xml:space="preserve">Česko </w:t>
            </w:r>
            <w:r>
              <w:t xml:space="preserve">dlouhodobě </w:t>
            </w:r>
            <w:r w:rsidRPr="00E5251C">
              <w:t>p</w:t>
            </w:r>
            <w:r>
              <w:t>atří v kontextu EU k zemím s nadprůměrnou mírou zapojení práceschopného obyvatelstva na trhu práce</w:t>
            </w:r>
            <w:r w:rsidRPr="008047F7">
              <w:rPr>
                <w:color w:val="000000" w:themeColor="text1"/>
              </w:rPr>
              <w:t xml:space="preserve">. Např. v samotném 4. čtvrtletí 2015 dosahovala míra zaměstnanosti osob </w:t>
            </w:r>
            <w:r>
              <w:rPr>
                <w:color w:val="000000" w:themeColor="text1"/>
              </w:rPr>
              <w:t xml:space="preserve">(dle výběrového šetření pracovních sil) </w:t>
            </w:r>
            <w:r w:rsidRPr="008047F7">
              <w:rPr>
                <w:color w:val="000000" w:themeColor="text1"/>
              </w:rPr>
              <w:t>ve</w:t>
            </w:r>
            <w:r>
              <w:rPr>
                <w:color w:val="000000" w:themeColor="text1"/>
              </w:rPr>
              <w:t> </w:t>
            </w:r>
            <w:r w:rsidRPr="008047F7">
              <w:rPr>
                <w:color w:val="000000" w:themeColor="text1"/>
              </w:rPr>
              <w:t>věku 20-64 let 75,4 %. Pouze šest unijních</w:t>
            </w:r>
            <w:r>
              <w:t xml:space="preserve"> členů zaznamenalo vyšší intenzitu. Příznivé postavení Česka souvisí s nízkou úrovní nezaměstnanosti a také specifickou odvětvovou strukturou ekonomiky charakterizovanou vysokým podílem pracovních míst v průmyslu. To je patrné zejména u mužů, u kterých dosáhla míra zaměstnanosti 83,7 %, což byla nejvyšší hodnota v EU (úrovni ČR se těsně blížily Velká Británie a Německo). </w:t>
            </w:r>
          </w:p>
          <w:p w:rsidR="005D4336" w:rsidRPr="008D59DD" w:rsidRDefault="005D4336" w:rsidP="007A0BF4">
            <w:pPr>
              <w:pStyle w:val="Textpoznpodarou"/>
              <w:jc w:val="both"/>
              <w:rPr>
                <w:rFonts w:cs="Arial"/>
                <w:color w:val="0D0D0D" w:themeColor="text1" w:themeTint="F2"/>
                <w:spacing w:val="-2"/>
                <w:sz w:val="16"/>
                <w:szCs w:val="16"/>
              </w:rPr>
            </w:pPr>
          </w:p>
        </w:tc>
      </w:tr>
      <w:tr w:rsidR="005D4336" w:rsidTr="007A0BF4">
        <w:tc>
          <w:tcPr>
            <w:tcW w:w="1054" w:type="pct"/>
          </w:tcPr>
          <w:p w:rsidR="005D4336" w:rsidRDefault="005D4336" w:rsidP="007A0BF4">
            <w:pPr>
              <w:spacing w:line="240" w:lineRule="auto"/>
              <w:rPr>
                <w:rFonts w:cs="Arial"/>
                <w:bCs/>
                <w:iCs/>
                <w:color w:val="0D0D0D" w:themeColor="text1" w:themeTint="F2"/>
                <w:sz w:val="16"/>
                <w:szCs w:val="16"/>
              </w:rPr>
            </w:pPr>
            <w:r>
              <w:rPr>
                <w:rFonts w:cs="Arial"/>
                <w:bCs/>
                <w:iCs/>
                <w:color w:val="0D0D0D" w:themeColor="text1" w:themeTint="F2"/>
                <w:sz w:val="16"/>
                <w:szCs w:val="16"/>
              </w:rPr>
              <w:t>Potenciál z</w:t>
            </w:r>
            <w:r w:rsidRPr="001C26C8">
              <w:rPr>
                <w:rFonts w:cs="Arial"/>
                <w:bCs/>
                <w:iCs/>
                <w:color w:val="0D0D0D" w:themeColor="text1" w:themeTint="F2"/>
                <w:sz w:val="16"/>
                <w:szCs w:val="16"/>
              </w:rPr>
              <w:t xml:space="preserve">výšení </w:t>
            </w:r>
            <w:r>
              <w:rPr>
                <w:rFonts w:cs="Arial"/>
                <w:bCs/>
                <w:iCs/>
                <w:color w:val="0D0D0D" w:themeColor="text1" w:themeTint="F2"/>
                <w:sz w:val="16"/>
                <w:szCs w:val="16"/>
              </w:rPr>
              <w:t xml:space="preserve">zaměstnanosti osob v obou krajních věkových skupinách tkví ve větším rozšíření flexibilních forem pracovních úvazků </w:t>
            </w: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Pr="009271BA" w:rsidRDefault="005D4336" w:rsidP="009271BA">
            <w:pPr>
              <w:spacing w:line="240" w:lineRule="auto"/>
              <w:rPr>
                <w:rFonts w:cs="Arial"/>
                <w:bCs/>
                <w:iCs/>
                <w:color w:val="0D0D0D" w:themeColor="text1" w:themeTint="F2"/>
                <w:sz w:val="16"/>
                <w:szCs w:val="16"/>
              </w:rPr>
            </w:pPr>
            <w:r w:rsidRPr="009271BA">
              <w:rPr>
                <w:rFonts w:cs="Arial"/>
                <w:bCs/>
                <w:iCs/>
                <w:color w:val="0D0D0D" w:themeColor="text1" w:themeTint="F2"/>
                <w:sz w:val="16"/>
                <w:szCs w:val="16"/>
              </w:rPr>
              <w:t>Míra ekonomické aktivity žen s věkem nejmladšího dítěte do šesti let byla v Česku (společně s Maďarskem a</w:t>
            </w:r>
            <w:r w:rsidR="009271BA" w:rsidRPr="009271BA">
              <w:rPr>
                <w:rFonts w:cs="Arial"/>
                <w:bCs/>
                <w:iCs/>
                <w:color w:val="0D0D0D" w:themeColor="text1" w:themeTint="F2"/>
                <w:sz w:val="16"/>
                <w:szCs w:val="16"/>
              </w:rPr>
              <w:t> </w:t>
            </w:r>
            <w:r w:rsidRPr="009271BA">
              <w:rPr>
                <w:rFonts w:cs="Arial"/>
                <w:bCs/>
                <w:iCs/>
                <w:color w:val="0D0D0D" w:themeColor="text1" w:themeTint="F2"/>
                <w:sz w:val="16"/>
                <w:szCs w:val="16"/>
              </w:rPr>
              <w:t>Slovenskem) vůbec nejnižší z celé EU</w:t>
            </w: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Pr="00202C91" w:rsidRDefault="005D4336" w:rsidP="007A0BF4">
            <w:pPr>
              <w:pStyle w:val="Textpoznpodarou"/>
              <w:jc w:val="both"/>
              <w:rPr>
                <w:rFonts w:cs="Arial"/>
                <w:color w:val="0D0D0D" w:themeColor="text1" w:themeTint="F2"/>
                <w:spacing w:val="-2"/>
              </w:rPr>
            </w:pPr>
            <w:r w:rsidRPr="00202C91">
              <w:rPr>
                <w:rFonts w:cs="Arial"/>
                <w:color w:val="0D0D0D" w:themeColor="text1" w:themeTint="F2"/>
                <w:spacing w:val="-2"/>
              </w:rPr>
              <w:t xml:space="preserve">Potenciál dalšího růstu intenzity zaměstnanosti tkví ve větším vtažení „krajních věkových skupin“ </w:t>
            </w:r>
            <w:r w:rsidRPr="00202C91">
              <w:rPr>
                <w:rFonts w:cs="Arial"/>
                <w:color w:val="000000" w:themeColor="text1"/>
                <w:spacing w:val="-2"/>
              </w:rPr>
              <w:t>práceschopného obyvatelstva na trh práce. Zatímco intenzita zapojení starších pracovníků (ve věku 55-64 let) v ČR patří v rámci EU k průměrným, u mladých pracovníků (15-24 let) v roce 2015 platilo, že více než dvě třetiny z nich bylo buď nezaměstnaných, resp. mnohem</w:t>
            </w:r>
            <w:r w:rsidRPr="00202C91">
              <w:rPr>
                <w:rFonts w:cs="Arial"/>
                <w:color w:val="0D0D0D" w:themeColor="text1" w:themeTint="F2"/>
                <w:spacing w:val="-2"/>
              </w:rPr>
              <w:t xml:space="preserve"> častěji studovalo. Rozšiřování nabídky terciárního vzdělávání, jakož i postupně se prodlužující věk nároku na starobní důchod, představují v ČR jedny z klíčových determinant pracovní </w:t>
            </w:r>
            <w:r w:rsidRPr="00202C91">
              <w:rPr>
                <w:rFonts w:cs="Arial"/>
                <w:color w:val="0D0D0D" w:themeColor="text1" w:themeTint="F2"/>
                <w:spacing w:val="-2"/>
              </w:rPr>
              <w:lastRenderedPageBreak/>
              <w:t xml:space="preserve">aktivity dotčených věkových skupin </w:t>
            </w:r>
            <w:r w:rsidRPr="00202C91">
              <w:rPr>
                <w:rFonts w:cs="Arial"/>
                <w:color w:val="000000" w:themeColor="text1"/>
                <w:spacing w:val="-2"/>
              </w:rPr>
              <w:t>obyvatel. Jak je však patrné z evropského srovnání, významnou roli hraje také možnost práce na částečný úvazek, která je dlouhodobě</w:t>
            </w:r>
            <w:r w:rsidRPr="00202C91">
              <w:rPr>
                <w:rFonts w:cs="Arial"/>
                <w:color w:val="0D0D0D" w:themeColor="text1" w:themeTint="F2"/>
                <w:spacing w:val="-2"/>
              </w:rPr>
              <w:t xml:space="preserve"> nejrozšířenější v zemích severní a západní Evropy. </w:t>
            </w:r>
          </w:p>
          <w:p w:rsidR="005D4336" w:rsidRPr="008D59DD" w:rsidRDefault="005D4336" w:rsidP="007A0BF4">
            <w:pPr>
              <w:pStyle w:val="Textpoznpodarou"/>
              <w:jc w:val="both"/>
              <w:rPr>
                <w:rFonts w:cs="Arial"/>
                <w:color w:val="0D0D0D" w:themeColor="text1" w:themeTint="F2"/>
                <w:spacing w:val="-4"/>
                <w:sz w:val="16"/>
                <w:szCs w:val="16"/>
              </w:rPr>
            </w:pPr>
          </w:p>
          <w:p w:rsidR="005D4336" w:rsidRPr="004A22BD" w:rsidRDefault="005D4336" w:rsidP="007A0BF4">
            <w:pPr>
              <w:pStyle w:val="Textpoznpodarou"/>
              <w:jc w:val="both"/>
              <w:rPr>
                <w:rFonts w:cs="Arial"/>
                <w:color w:val="0D0D0D" w:themeColor="text1" w:themeTint="F2"/>
                <w:spacing w:val="-4"/>
                <w:sz w:val="16"/>
                <w:szCs w:val="16"/>
              </w:rPr>
            </w:pPr>
            <w:r>
              <w:rPr>
                <w:rFonts w:cs="Arial"/>
                <w:color w:val="0D0D0D" w:themeColor="text1" w:themeTint="F2"/>
                <w:spacing w:val="-4"/>
              </w:rPr>
              <w:t xml:space="preserve">Nabídky flexibilních forem </w:t>
            </w:r>
            <w:r w:rsidRPr="00434662">
              <w:rPr>
                <w:rFonts w:cs="Arial"/>
                <w:color w:val="000000" w:themeColor="text1"/>
                <w:spacing w:val="-4"/>
              </w:rPr>
              <w:t>pracovních úvazků společně s nastavením rodinné politiky státu jsou důležitými faktory zaměstnanosti žen s malými dětmi. Pro</w:t>
            </w:r>
            <w:r>
              <w:rPr>
                <w:rFonts w:cs="Arial"/>
                <w:color w:val="0D0D0D" w:themeColor="text1" w:themeTint="F2"/>
                <w:spacing w:val="-4"/>
              </w:rPr>
              <w:t xml:space="preserve"> Česko je charakteristické, že intenzita ekonomické aktivity žen s dětmi v předškolním věku dosahuje v rámci EU velmi nízkých hodnot, míra zapojení žen na trhu práce však prudce stoupá s rostoucím věkem nejmladšího dítěte. U žen (ve věku 15-64 let) s nejmladším dítětem ve věku 6-11 let dosahovala v roce 2014 míra ekonomické aktivity již téměř 84 % a byla tak v rámci EU třetí nejvyšší (po Švédsku – 89 % a</w:t>
            </w:r>
            <w:r w:rsidRPr="00AE67DA">
              <w:rPr>
                <w:rFonts w:cs="Arial"/>
                <w:color w:val="0D0D0D" w:themeColor="text1" w:themeTint="F2"/>
                <w:spacing w:val="-2"/>
              </w:rPr>
              <w:t> </w:t>
            </w:r>
            <w:r>
              <w:rPr>
                <w:rFonts w:cs="Arial"/>
                <w:color w:val="0D0D0D" w:themeColor="text1" w:themeTint="F2"/>
                <w:spacing w:val="-4"/>
              </w:rPr>
              <w:t>Finsku – 85 %).</w:t>
            </w:r>
          </w:p>
        </w:tc>
      </w:tr>
    </w:tbl>
    <w:p w:rsidR="005D4336" w:rsidRPr="008D59DD" w:rsidRDefault="005D4336" w:rsidP="005D4336">
      <w:pPr>
        <w:pStyle w:val="Textpoznpodarou"/>
        <w:jc w:val="both"/>
        <w:rPr>
          <w:rFonts w:cs="Arial"/>
          <w:color w:val="000000" w:themeColor="text1"/>
          <w:spacing w:val="-2"/>
          <w:sz w:val="16"/>
          <w:szCs w:val="16"/>
        </w:rPr>
      </w:pPr>
    </w:p>
    <w:tbl>
      <w:tblPr>
        <w:tblW w:w="4986" w:type="pct"/>
        <w:tblLayout w:type="fixed"/>
        <w:tblCellMar>
          <w:left w:w="28" w:type="dxa"/>
          <w:right w:w="28" w:type="dxa"/>
        </w:tblCellMar>
        <w:tblLook w:val="04A0"/>
      </w:tblPr>
      <w:tblGrid>
        <w:gridCol w:w="768"/>
        <w:gridCol w:w="4081"/>
        <w:gridCol w:w="893"/>
        <w:gridCol w:w="3925"/>
      </w:tblGrid>
      <w:tr w:rsidR="005D4336" w:rsidTr="004D74FF">
        <w:tc>
          <w:tcPr>
            <w:tcW w:w="397" w:type="pct"/>
          </w:tcPr>
          <w:p w:rsidR="005D4336" w:rsidRPr="007E77FB" w:rsidRDefault="005D4336" w:rsidP="007A0BF4">
            <w:pPr>
              <w:pStyle w:val="Textpoznpodarou"/>
              <w:rPr>
                <w:lang w:eastAsia="en-US"/>
              </w:rPr>
            </w:pPr>
            <w:r w:rsidRPr="007E77FB">
              <w:rPr>
                <w:lang w:eastAsia="en-US"/>
              </w:rPr>
              <w:t>Graf č.</w:t>
            </w:r>
            <w:r>
              <w:rPr>
                <w:lang w:eastAsia="en-US"/>
              </w:rPr>
              <w:t> 7</w:t>
            </w:r>
          </w:p>
        </w:tc>
        <w:tc>
          <w:tcPr>
            <w:tcW w:w="2111" w:type="pct"/>
          </w:tcPr>
          <w:p w:rsidR="005D4336" w:rsidRPr="00217965" w:rsidRDefault="005D4336" w:rsidP="007A0BF4">
            <w:pPr>
              <w:pStyle w:val="Textpoznpodarou"/>
              <w:rPr>
                <w:b/>
                <w:lang w:eastAsia="en-US"/>
              </w:rPr>
            </w:pPr>
            <w:r w:rsidRPr="00217965">
              <w:rPr>
                <w:b/>
                <w:lang w:eastAsia="en-US"/>
              </w:rPr>
              <w:t xml:space="preserve">Počet nezaměstnaných uchazečů </w:t>
            </w:r>
          </w:p>
          <w:p w:rsidR="005D4336" w:rsidRPr="00217965" w:rsidRDefault="005D4336" w:rsidP="007A0BF4">
            <w:pPr>
              <w:pStyle w:val="Textpoznpodarou"/>
              <w:rPr>
                <w:b/>
                <w:lang w:eastAsia="en-US"/>
              </w:rPr>
            </w:pPr>
            <w:r w:rsidRPr="00217965">
              <w:rPr>
                <w:b/>
                <w:lang w:eastAsia="en-US"/>
              </w:rPr>
              <w:t xml:space="preserve">na 1 volné pracovní místo </w:t>
            </w:r>
          </w:p>
          <w:p w:rsidR="005D4336" w:rsidRPr="00E81446" w:rsidRDefault="005D4336" w:rsidP="007A0BF4">
            <w:pPr>
              <w:pStyle w:val="Textpoznpodarou"/>
              <w:rPr>
                <w:b/>
                <w:lang w:eastAsia="en-US"/>
              </w:rPr>
            </w:pPr>
            <w:r w:rsidRPr="00217965">
              <w:rPr>
                <w:lang w:eastAsia="en-US"/>
              </w:rPr>
              <w:t>(dle kvalifikačních tříd)</w:t>
            </w:r>
          </w:p>
        </w:tc>
        <w:tc>
          <w:tcPr>
            <w:tcW w:w="462" w:type="pct"/>
          </w:tcPr>
          <w:p w:rsidR="005D4336" w:rsidRPr="007E77FB" w:rsidRDefault="005D4336" w:rsidP="007A0BF4">
            <w:pPr>
              <w:pStyle w:val="Textpoznpodarou"/>
              <w:rPr>
                <w:lang w:eastAsia="en-US"/>
              </w:rPr>
            </w:pPr>
            <w:r w:rsidRPr="007E77FB">
              <w:rPr>
                <w:lang w:eastAsia="en-US"/>
              </w:rPr>
              <w:t>Graf č.</w:t>
            </w:r>
            <w:r>
              <w:rPr>
                <w:lang w:eastAsia="en-US"/>
              </w:rPr>
              <w:t> 8</w:t>
            </w:r>
          </w:p>
        </w:tc>
        <w:tc>
          <w:tcPr>
            <w:tcW w:w="2030" w:type="pct"/>
          </w:tcPr>
          <w:p w:rsidR="005D4336" w:rsidRPr="00302429" w:rsidRDefault="005D4336" w:rsidP="007A0BF4">
            <w:pPr>
              <w:pStyle w:val="Textpoznpodarou"/>
              <w:rPr>
                <w:b/>
                <w:lang w:eastAsia="en-US"/>
              </w:rPr>
            </w:pPr>
            <w:r w:rsidRPr="00302429">
              <w:rPr>
                <w:b/>
                <w:lang w:eastAsia="en-US"/>
              </w:rPr>
              <w:t>Počet nezaměstnaných uchazečů</w:t>
            </w:r>
          </w:p>
          <w:p w:rsidR="005D4336" w:rsidRPr="00302429" w:rsidRDefault="005D4336" w:rsidP="007A0BF4">
            <w:pPr>
              <w:pStyle w:val="Textpoznpodarou"/>
              <w:rPr>
                <w:b/>
                <w:lang w:eastAsia="en-US"/>
              </w:rPr>
            </w:pPr>
            <w:r w:rsidRPr="00302429">
              <w:rPr>
                <w:b/>
                <w:lang w:eastAsia="en-US"/>
              </w:rPr>
              <w:t xml:space="preserve">na 1 volné pracovní místo </w:t>
            </w:r>
          </w:p>
          <w:p w:rsidR="005D4336" w:rsidRPr="00E81446" w:rsidRDefault="005D4336" w:rsidP="007A0BF4">
            <w:pPr>
              <w:pStyle w:val="Textpoznpodarou"/>
              <w:rPr>
                <w:b/>
                <w:lang w:eastAsia="en-US"/>
              </w:rPr>
            </w:pPr>
            <w:r w:rsidRPr="00302429">
              <w:rPr>
                <w:lang w:eastAsia="en-US"/>
              </w:rPr>
              <w:t>(dle nejvyššího dosaženého vzdělání)</w:t>
            </w:r>
          </w:p>
        </w:tc>
      </w:tr>
      <w:tr w:rsidR="005D4336" w:rsidTr="004D74FF">
        <w:tc>
          <w:tcPr>
            <w:tcW w:w="2507" w:type="pct"/>
            <w:gridSpan w:val="2"/>
          </w:tcPr>
          <w:p w:rsidR="005D4336" w:rsidRDefault="00C20031" w:rsidP="007A0BF4">
            <w:pPr>
              <w:pStyle w:val="Textpoznpodarou"/>
              <w:jc w:val="both"/>
            </w:pPr>
            <w:r>
              <w:rPr>
                <w:noProof/>
              </w:rPr>
              <w:pict>
                <v:shape id="_x0000_i1056" type="#_x0000_t75" style="width:239.8pt;height:203.5pt;visibility:visible;mso-wrap-style:square">
                  <v:imagedata r:id="rId14" o:title=""/>
                </v:shape>
              </w:pict>
            </w:r>
          </w:p>
        </w:tc>
        <w:tc>
          <w:tcPr>
            <w:tcW w:w="2493" w:type="pct"/>
            <w:gridSpan w:val="2"/>
          </w:tcPr>
          <w:p w:rsidR="005D4336" w:rsidRDefault="00C20031" w:rsidP="007A0BF4">
            <w:pPr>
              <w:pStyle w:val="Textpoznpodarou"/>
              <w:jc w:val="both"/>
            </w:pPr>
            <w:r>
              <w:pict>
                <v:shape id="_x0000_i1057" type="#_x0000_t75" style="width:237.9pt;height:203.5pt">
                  <v:imagedata r:id="rId15" o:title=""/>
                </v:shape>
              </w:pict>
            </w:r>
          </w:p>
        </w:tc>
      </w:tr>
      <w:tr w:rsidR="005D4336" w:rsidTr="00A716EC">
        <w:tc>
          <w:tcPr>
            <w:tcW w:w="5000" w:type="pct"/>
            <w:gridSpan w:val="4"/>
          </w:tcPr>
          <w:p w:rsidR="005D4336" w:rsidRDefault="005D4336" w:rsidP="007A0BF4">
            <w:pPr>
              <w:autoSpaceDE w:val="0"/>
              <w:autoSpaceDN w:val="0"/>
              <w:adjustRightInd w:val="0"/>
              <w:spacing w:line="240" w:lineRule="auto"/>
              <w:rPr>
                <w:rFonts w:cs="Arial"/>
                <w:color w:val="000000" w:themeColor="text1"/>
                <w:spacing w:val="-2"/>
                <w:sz w:val="18"/>
                <w:szCs w:val="18"/>
              </w:rPr>
            </w:pPr>
            <w:proofErr w:type="spellStart"/>
            <w:r>
              <w:rPr>
                <w:rFonts w:cs="Arial"/>
                <w:color w:val="000000" w:themeColor="text1"/>
                <w:spacing w:val="-2"/>
                <w:sz w:val="18"/>
                <w:szCs w:val="18"/>
              </w:rPr>
              <w:t>Pozn</w:t>
            </w:r>
            <w:proofErr w:type="spellEnd"/>
            <w:r>
              <w:rPr>
                <w:rFonts w:cs="Arial"/>
                <w:color w:val="000000" w:themeColor="text1"/>
                <w:spacing w:val="-2"/>
                <w:sz w:val="18"/>
                <w:szCs w:val="18"/>
                <w:lang w:val="en-US"/>
              </w:rPr>
              <w:t>.</w:t>
            </w:r>
            <w:r>
              <w:rPr>
                <w:rFonts w:cs="Arial"/>
                <w:color w:val="000000" w:themeColor="text1"/>
                <w:spacing w:val="-2"/>
                <w:sz w:val="18"/>
                <w:szCs w:val="18"/>
              </w:rPr>
              <w:t>:Kvalifikační třídy jsou</w:t>
            </w:r>
            <w:r w:rsidRPr="00352238">
              <w:rPr>
                <w:rFonts w:cs="Arial"/>
                <w:color w:val="000000" w:themeColor="text1"/>
                <w:spacing w:val="-2"/>
                <w:sz w:val="18"/>
                <w:szCs w:val="18"/>
              </w:rPr>
              <w:t xml:space="preserve"> do konce roku 2010 </w:t>
            </w:r>
            <w:r>
              <w:rPr>
                <w:rFonts w:cs="Arial"/>
                <w:color w:val="000000" w:themeColor="text1"/>
                <w:spacing w:val="-2"/>
                <w:sz w:val="18"/>
                <w:szCs w:val="18"/>
              </w:rPr>
              <w:t xml:space="preserve">uvedeny </w:t>
            </w:r>
            <w:r w:rsidRPr="00352238">
              <w:rPr>
                <w:rFonts w:cs="Arial"/>
                <w:color w:val="000000" w:themeColor="text1"/>
                <w:spacing w:val="-2"/>
                <w:sz w:val="18"/>
                <w:szCs w:val="18"/>
              </w:rPr>
              <w:t>dle klasifikace</w:t>
            </w:r>
            <w:r>
              <w:rPr>
                <w:rFonts w:cs="Arial"/>
                <w:color w:val="000000" w:themeColor="text1"/>
                <w:spacing w:val="-2"/>
                <w:sz w:val="18"/>
                <w:szCs w:val="18"/>
              </w:rPr>
              <w:t xml:space="preserve"> KZAM, od roku 2011 již podle CZ-ISCO.</w:t>
            </w:r>
          </w:p>
          <w:p w:rsidR="005D4336" w:rsidRPr="004C5813" w:rsidRDefault="005D4336" w:rsidP="007A0BF4">
            <w:pPr>
              <w:autoSpaceDE w:val="0"/>
              <w:autoSpaceDN w:val="0"/>
              <w:adjustRightInd w:val="0"/>
              <w:spacing w:line="240" w:lineRule="auto"/>
              <w:rPr>
                <w:rFonts w:cs="Arial"/>
                <w:color w:val="000000" w:themeColor="text1"/>
                <w:spacing w:val="-2"/>
                <w:sz w:val="18"/>
                <w:szCs w:val="18"/>
              </w:rPr>
            </w:pPr>
            <w:r>
              <w:rPr>
                <w:rFonts w:cs="Arial"/>
                <w:color w:val="000000" w:themeColor="text1"/>
                <w:spacing w:val="-2"/>
                <w:sz w:val="18"/>
                <w:szCs w:val="18"/>
              </w:rPr>
              <w:t xml:space="preserve">           Všechny údaje vyjadřují skutečnost na konci příslušných čtvrtletí.</w:t>
            </w:r>
          </w:p>
        </w:tc>
      </w:tr>
      <w:tr w:rsidR="005D4336" w:rsidTr="00A716EC">
        <w:tc>
          <w:tcPr>
            <w:tcW w:w="5000" w:type="pct"/>
            <w:gridSpan w:val="4"/>
          </w:tcPr>
          <w:p w:rsidR="005D4336" w:rsidRPr="004C5813" w:rsidRDefault="005D4336" w:rsidP="007A0BF4">
            <w:pPr>
              <w:autoSpaceDE w:val="0"/>
              <w:autoSpaceDN w:val="0"/>
              <w:adjustRightInd w:val="0"/>
              <w:spacing w:line="240" w:lineRule="auto"/>
              <w:jc w:val="right"/>
              <w:rPr>
                <w:rFonts w:cs="Arial"/>
                <w:color w:val="000000" w:themeColor="text1"/>
                <w:spacing w:val="-2"/>
                <w:sz w:val="18"/>
                <w:szCs w:val="18"/>
              </w:rPr>
            </w:pPr>
            <w:r w:rsidRPr="00886A8F">
              <w:rPr>
                <w:sz w:val="18"/>
                <w:szCs w:val="18"/>
                <w:lang w:eastAsia="en-US"/>
              </w:rPr>
              <w:t xml:space="preserve">Zdroj: </w:t>
            </w:r>
            <w:r>
              <w:rPr>
                <w:sz w:val="18"/>
                <w:szCs w:val="18"/>
                <w:lang w:eastAsia="en-US"/>
              </w:rPr>
              <w:t>MSPV, vlastní výpočty</w:t>
            </w:r>
          </w:p>
        </w:tc>
      </w:tr>
    </w:tbl>
    <w:p w:rsidR="005D4336" w:rsidRPr="008D59DD" w:rsidRDefault="005D4336" w:rsidP="005D4336">
      <w:pPr>
        <w:pStyle w:val="Textpoznpodarou"/>
        <w:jc w:val="both"/>
        <w:rPr>
          <w:rFonts w:cs="Arial"/>
          <w:color w:val="000000" w:themeColor="text1"/>
          <w:spacing w:val="-2"/>
          <w:sz w:val="16"/>
          <w:szCs w:val="16"/>
        </w:rPr>
      </w:pPr>
    </w:p>
    <w:tbl>
      <w:tblPr>
        <w:tblW w:w="5000" w:type="pct"/>
        <w:tblLayout w:type="fixed"/>
        <w:tblCellMar>
          <w:left w:w="28" w:type="dxa"/>
          <w:right w:w="28" w:type="dxa"/>
        </w:tblCellMar>
        <w:tblLook w:val="04A0"/>
      </w:tblPr>
      <w:tblGrid>
        <w:gridCol w:w="766"/>
        <w:gridCol w:w="1278"/>
        <w:gridCol w:w="275"/>
        <w:gridCol w:w="2528"/>
        <w:gridCol w:w="708"/>
        <w:gridCol w:w="4139"/>
      </w:tblGrid>
      <w:tr w:rsidR="005D4336" w:rsidTr="00A716EC">
        <w:tc>
          <w:tcPr>
            <w:tcW w:w="1054" w:type="pct"/>
            <w:gridSpan w:val="2"/>
          </w:tcPr>
          <w:p w:rsidR="005D4336" w:rsidRPr="009271BA" w:rsidRDefault="005D4336" w:rsidP="007A0BF4">
            <w:pPr>
              <w:spacing w:line="240" w:lineRule="auto"/>
              <w:rPr>
                <w:rFonts w:cs="Arial"/>
                <w:bCs/>
                <w:iCs/>
                <w:color w:val="0D0D0D" w:themeColor="text1" w:themeTint="F2"/>
                <w:sz w:val="16"/>
                <w:szCs w:val="16"/>
              </w:rPr>
            </w:pPr>
            <w:r w:rsidRPr="009271BA">
              <w:rPr>
                <w:rFonts w:cs="Arial"/>
                <w:bCs/>
                <w:iCs/>
                <w:color w:val="0D0D0D" w:themeColor="text1" w:themeTint="F2"/>
                <w:sz w:val="16"/>
                <w:szCs w:val="16"/>
              </w:rPr>
              <w:t>Počet volných pracovních míst se zvyšuje již dva roky, v prosinci 2015 jich úřady práce nabízely nejvíce od</w:t>
            </w:r>
            <w:r w:rsidR="009271BA">
              <w:rPr>
                <w:rFonts w:cs="Arial"/>
                <w:bCs/>
                <w:iCs/>
                <w:color w:val="0D0D0D" w:themeColor="text1" w:themeTint="F2"/>
                <w:sz w:val="16"/>
                <w:szCs w:val="16"/>
              </w:rPr>
              <w:t> </w:t>
            </w:r>
            <w:r w:rsidRPr="009271BA">
              <w:rPr>
                <w:rFonts w:cs="Arial"/>
                <w:bCs/>
                <w:iCs/>
                <w:color w:val="0D0D0D" w:themeColor="text1" w:themeTint="F2"/>
                <w:sz w:val="16"/>
                <w:szCs w:val="16"/>
              </w:rPr>
              <w:t>listopadu 2008</w:t>
            </w:r>
          </w:p>
          <w:p w:rsidR="005D4336" w:rsidRPr="00A245E8" w:rsidRDefault="005D4336" w:rsidP="007A0BF4">
            <w:pPr>
              <w:spacing w:line="240" w:lineRule="auto"/>
              <w:rPr>
                <w:rFonts w:cs="Arial"/>
                <w:bCs/>
                <w:iCs/>
                <w:color w:val="0D0D0D" w:themeColor="text1" w:themeTint="F2"/>
                <w:spacing w:val="-4"/>
                <w:sz w:val="16"/>
                <w:szCs w:val="16"/>
              </w:rPr>
            </w:pPr>
          </w:p>
        </w:tc>
        <w:tc>
          <w:tcPr>
            <w:tcW w:w="142" w:type="pct"/>
          </w:tcPr>
          <w:p w:rsidR="005D4336" w:rsidRPr="009720D9" w:rsidRDefault="005D4336" w:rsidP="007A0BF4">
            <w:pPr>
              <w:pStyle w:val="Textpoznpodarou"/>
              <w:jc w:val="both"/>
              <w:rPr>
                <w:color w:val="0D0D0D" w:themeColor="text1" w:themeTint="F2"/>
              </w:rPr>
            </w:pPr>
          </w:p>
        </w:tc>
        <w:tc>
          <w:tcPr>
            <w:tcW w:w="3804" w:type="pct"/>
            <w:gridSpan w:val="3"/>
          </w:tcPr>
          <w:p w:rsidR="005D4336" w:rsidRPr="008047F7" w:rsidRDefault="005D4336" w:rsidP="007A0BF4">
            <w:pPr>
              <w:pStyle w:val="Textpoznpodarou"/>
              <w:jc w:val="both"/>
              <w:rPr>
                <w:spacing w:val="-2"/>
              </w:rPr>
            </w:pPr>
            <w:r w:rsidRPr="008047F7">
              <w:rPr>
                <w:spacing w:val="-2"/>
              </w:rPr>
              <w:t xml:space="preserve">Intenzita tvorby nových pracovních míst zrychlila. Zatímco na sklonku roku 2014 bylo v </w:t>
            </w:r>
            <w:r w:rsidRPr="00434662">
              <w:rPr>
                <w:color w:val="000000" w:themeColor="text1"/>
                <w:spacing w:val="-2"/>
              </w:rPr>
              <w:t>nabídce úřadů práce 59 tis. volných pozic (o rok</w:t>
            </w:r>
            <w:r w:rsidRPr="008047F7">
              <w:rPr>
                <w:spacing w:val="-2"/>
              </w:rPr>
              <w:t xml:space="preserve"> dříve pouhých 35 tis.), o</w:t>
            </w:r>
            <w:r w:rsidRPr="00AE67DA">
              <w:rPr>
                <w:rFonts w:cs="Arial"/>
                <w:color w:val="0D0D0D" w:themeColor="text1" w:themeTint="F2"/>
                <w:spacing w:val="-2"/>
              </w:rPr>
              <w:t> </w:t>
            </w:r>
            <w:r w:rsidRPr="008047F7">
              <w:rPr>
                <w:spacing w:val="-2"/>
              </w:rPr>
              <w:t>dvanáct měsíců později šlo již o 103 tis. míst. Nadále existoval významný územní i</w:t>
            </w:r>
            <w:r w:rsidRPr="008047F7">
              <w:rPr>
                <w:color w:val="0D0D0D" w:themeColor="text1" w:themeTint="F2"/>
                <w:spacing w:val="-2"/>
              </w:rPr>
              <w:t> </w:t>
            </w:r>
            <w:r w:rsidRPr="008047F7">
              <w:rPr>
                <w:spacing w:val="-2"/>
              </w:rPr>
              <w:t>vzdělanostní (resp. kvalifikační) nesoulad mezi nabízenými volnými pozicemi a</w:t>
            </w:r>
            <w:r w:rsidRPr="008047F7">
              <w:rPr>
                <w:color w:val="0D0D0D" w:themeColor="text1" w:themeTint="F2"/>
                <w:spacing w:val="-2"/>
              </w:rPr>
              <w:t> </w:t>
            </w:r>
            <w:r w:rsidRPr="008047F7">
              <w:rPr>
                <w:spacing w:val="-2"/>
              </w:rPr>
              <w:t>registrovanými uchazeči o zaměstnání. Již téměř po dva roky platí, že největší šanci na uplatnění mají uchazeči ve skupině „obsluha strojů a zařízení, montéři“, kde na 1 volné místo připadaly koncem roku pouze dva uchazeči (na Plzeňsku, Pardubicku a Liberecku byly dokonce počty uchazečů a míst prakticky totožné). Velmi podobně na tom byli i řemeslníci a opraváři (2,9), s nevelkým odstupem následovali specialisté a techničtí a odborní pracovníci. Naopak u pomocných a</w:t>
            </w:r>
            <w:r w:rsidRPr="008047F7">
              <w:rPr>
                <w:color w:val="0D0D0D" w:themeColor="text1" w:themeTint="F2"/>
                <w:spacing w:val="-2"/>
              </w:rPr>
              <w:t> </w:t>
            </w:r>
            <w:r w:rsidRPr="008047F7">
              <w:rPr>
                <w:spacing w:val="-2"/>
              </w:rPr>
              <w:t>nekvalifikovaných pracovníků (kteří např. na Karlovarsku tvořili 40 % z celkového počtu registrovaných uchazečů) na jedno místo aspirovalo již sedm uchazečů a</w:t>
            </w:r>
            <w:r w:rsidRPr="00AE67DA">
              <w:rPr>
                <w:rFonts w:cs="Arial"/>
                <w:color w:val="0D0D0D" w:themeColor="text1" w:themeTint="F2"/>
                <w:spacing w:val="-2"/>
              </w:rPr>
              <w:t> </w:t>
            </w:r>
            <w:r w:rsidRPr="008047F7">
              <w:rPr>
                <w:spacing w:val="-2"/>
              </w:rPr>
              <w:t>u</w:t>
            </w:r>
            <w:r w:rsidRPr="00AE67DA">
              <w:rPr>
                <w:rFonts w:cs="Arial"/>
                <w:color w:val="0D0D0D" w:themeColor="text1" w:themeTint="F2"/>
                <w:spacing w:val="-2"/>
              </w:rPr>
              <w:t> </w:t>
            </w:r>
            <w:r w:rsidRPr="008047F7">
              <w:rPr>
                <w:spacing w:val="-2"/>
              </w:rPr>
              <w:t xml:space="preserve">úřednických postů již téměř jedenáct </w:t>
            </w:r>
            <w:r>
              <w:rPr>
                <w:spacing w:val="-2"/>
              </w:rPr>
              <w:t>adeptů (ve středních Čechách</w:t>
            </w:r>
            <w:r w:rsidRPr="008047F7">
              <w:rPr>
                <w:spacing w:val="-2"/>
              </w:rPr>
              <w:t xml:space="preserve"> 22 osob).</w:t>
            </w:r>
          </w:p>
          <w:p w:rsidR="005D4336" w:rsidRPr="008D59DD" w:rsidRDefault="005D4336" w:rsidP="007A0BF4">
            <w:pPr>
              <w:pStyle w:val="Textpoznpodarou"/>
              <w:jc w:val="both"/>
              <w:rPr>
                <w:rFonts w:cs="Arial"/>
                <w:color w:val="0D0D0D" w:themeColor="text1" w:themeTint="F2"/>
                <w:spacing w:val="-2"/>
                <w:sz w:val="16"/>
                <w:szCs w:val="16"/>
              </w:rPr>
            </w:pPr>
          </w:p>
        </w:tc>
      </w:tr>
      <w:tr w:rsidR="005D4336" w:rsidTr="00A716EC">
        <w:tc>
          <w:tcPr>
            <w:tcW w:w="1054" w:type="pct"/>
            <w:gridSpan w:val="2"/>
          </w:tcPr>
          <w:p w:rsidR="005D4336" w:rsidRPr="009271BA" w:rsidRDefault="005D4336" w:rsidP="009271BA">
            <w:pPr>
              <w:spacing w:line="240" w:lineRule="auto"/>
              <w:rPr>
                <w:rFonts w:cs="Arial"/>
                <w:bCs/>
                <w:iCs/>
                <w:color w:val="0D0D0D" w:themeColor="text1" w:themeTint="F2"/>
                <w:sz w:val="16"/>
                <w:szCs w:val="16"/>
              </w:rPr>
            </w:pPr>
            <w:r w:rsidRPr="009271BA">
              <w:rPr>
                <w:rFonts w:cs="Arial"/>
                <w:bCs/>
                <w:iCs/>
                <w:color w:val="0D0D0D" w:themeColor="text1" w:themeTint="F2"/>
                <w:sz w:val="16"/>
                <w:szCs w:val="16"/>
              </w:rPr>
              <w:t>Obecná míra nezaměstnanosti poklesla na</w:t>
            </w:r>
            <w:r w:rsidR="009271BA" w:rsidRPr="009271BA">
              <w:rPr>
                <w:rFonts w:cs="Arial"/>
                <w:bCs/>
                <w:iCs/>
                <w:color w:val="0D0D0D" w:themeColor="text1" w:themeTint="F2"/>
                <w:sz w:val="16"/>
                <w:szCs w:val="16"/>
              </w:rPr>
              <w:t> </w:t>
            </w:r>
            <w:r w:rsidRPr="009271BA">
              <w:rPr>
                <w:rFonts w:cs="Arial"/>
                <w:bCs/>
                <w:iCs/>
                <w:color w:val="0D0D0D" w:themeColor="text1" w:themeTint="F2"/>
                <w:sz w:val="16"/>
                <w:szCs w:val="16"/>
              </w:rPr>
              <w:t>nejnižší úroveň od</w:t>
            </w:r>
            <w:r w:rsidR="009271BA" w:rsidRPr="009271BA">
              <w:rPr>
                <w:rFonts w:cs="Arial"/>
                <w:bCs/>
                <w:iCs/>
                <w:color w:val="0D0D0D" w:themeColor="text1" w:themeTint="F2"/>
                <w:sz w:val="16"/>
                <w:szCs w:val="16"/>
              </w:rPr>
              <w:t> </w:t>
            </w:r>
            <w:r w:rsidRPr="009271BA">
              <w:rPr>
                <w:rFonts w:cs="Arial"/>
                <w:bCs/>
                <w:iCs/>
                <w:color w:val="0D0D0D" w:themeColor="text1" w:themeTint="F2"/>
                <w:sz w:val="16"/>
                <w:szCs w:val="16"/>
              </w:rPr>
              <w:t>listopadu 2008</w:t>
            </w:r>
          </w:p>
        </w:tc>
        <w:tc>
          <w:tcPr>
            <w:tcW w:w="142" w:type="pct"/>
          </w:tcPr>
          <w:p w:rsidR="005D4336" w:rsidRPr="009720D9" w:rsidRDefault="005D4336" w:rsidP="007A0BF4">
            <w:pPr>
              <w:pStyle w:val="Textpoznpodarou"/>
              <w:jc w:val="both"/>
              <w:rPr>
                <w:color w:val="0D0D0D" w:themeColor="text1" w:themeTint="F2"/>
              </w:rPr>
            </w:pPr>
          </w:p>
        </w:tc>
        <w:tc>
          <w:tcPr>
            <w:tcW w:w="3804" w:type="pct"/>
            <w:gridSpan w:val="3"/>
          </w:tcPr>
          <w:p w:rsidR="005D4336" w:rsidRPr="008D59DD" w:rsidRDefault="005D4336" w:rsidP="001C368C">
            <w:pPr>
              <w:pStyle w:val="Textpoznpodarou"/>
              <w:jc w:val="both"/>
              <w:rPr>
                <w:rFonts w:cs="Arial"/>
                <w:color w:val="0D0D0D" w:themeColor="text1" w:themeTint="F2"/>
                <w:spacing w:val="-4"/>
                <w:sz w:val="16"/>
                <w:szCs w:val="16"/>
              </w:rPr>
            </w:pPr>
            <w:r w:rsidRPr="008D59DD">
              <w:rPr>
                <w:rFonts w:cs="Arial"/>
                <w:color w:val="000000" w:themeColor="text1"/>
                <w:spacing w:val="-4"/>
              </w:rPr>
              <w:t>Obecná míra nezaměstnanosti</w:t>
            </w:r>
            <w:r w:rsidRPr="008D59DD">
              <w:rPr>
                <w:rStyle w:val="Znakapoznpodarou"/>
                <w:color w:val="000000" w:themeColor="text1"/>
                <w:spacing w:val="-4"/>
              </w:rPr>
              <w:footnoteReference w:id="2"/>
            </w:r>
            <w:r w:rsidRPr="008D59DD">
              <w:rPr>
                <w:rFonts w:cs="Arial"/>
                <w:color w:val="000000" w:themeColor="text1"/>
                <w:spacing w:val="-4"/>
              </w:rPr>
              <w:t xml:space="preserve"> se snižovala</w:t>
            </w:r>
            <w:r w:rsidRPr="008D59DD">
              <w:rPr>
                <w:rFonts w:cs="Arial"/>
                <w:color w:val="0D0D0D" w:themeColor="text1" w:themeTint="F2"/>
                <w:spacing w:val="-4"/>
              </w:rPr>
              <w:t xml:space="preserve"> v průběhu celého roku. Během léta pokořila 5% hranici a v prosinci 2015 </w:t>
            </w:r>
            <w:r w:rsidR="0074103A" w:rsidRPr="008D59DD">
              <w:rPr>
                <w:rFonts w:cs="Arial"/>
                <w:color w:val="0D0D0D" w:themeColor="text1" w:themeTint="F2"/>
                <w:spacing w:val="-4"/>
              </w:rPr>
              <w:t>skončila na nejnižší úrovni (4,5</w:t>
            </w:r>
            <w:r w:rsidRPr="008D59DD">
              <w:rPr>
                <w:rFonts w:cs="Arial"/>
                <w:color w:val="0D0D0D" w:themeColor="text1" w:themeTint="F2"/>
                <w:spacing w:val="-4"/>
              </w:rPr>
              <w:t xml:space="preserve"> %) od listopadu 2008. Pro</w:t>
            </w:r>
            <w:r w:rsidR="001C368C" w:rsidRPr="008D59DD">
              <w:rPr>
                <w:rFonts w:cs="Arial"/>
                <w:color w:val="0D0D0D" w:themeColor="text1" w:themeTint="F2"/>
                <w:spacing w:val="-4"/>
              </w:rPr>
              <w:t>ti počátku roku se snížila o 1,4</w:t>
            </w:r>
            <w:r w:rsidRPr="008D59DD">
              <w:rPr>
                <w:rFonts w:cs="Arial"/>
                <w:color w:val="0D0D0D" w:themeColor="text1" w:themeTint="F2"/>
                <w:spacing w:val="-4"/>
              </w:rPr>
              <w:t xml:space="preserve"> </w:t>
            </w:r>
            <w:proofErr w:type="spellStart"/>
            <w:proofErr w:type="gramStart"/>
            <w:r w:rsidRPr="008D59DD">
              <w:rPr>
                <w:rFonts w:cs="Arial"/>
                <w:color w:val="0D0D0D" w:themeColor="text1" w:themeTint="F2"/>
                <w:spacing w:val="-4"/>
              </w:rPr>
              <w:t>p.b</w:t>
            </w:r>
            <w:proofErr w:type="spellEnd"/>
            <w:r w:rsidRPr="008D59DD">
              <w:rPr>
                <w:rFonts w:cs="Arial"/>
                <w:color w:val="0D0D0D" w:themeColor="text1" w:themeTint="F2"/>
                <w:spacing w:val="-4"/>
              </w:rPr>
              <w:t>., bez</w:t>
            </w:r>
            <w:proofErr w:type="gramEnd"/>
            <w:r w:rsidRPr="008D59DD">
              <w:rPr>
                <w:rFonts w:cs="Arial"/>
                <w:color w:val="0D0D0D" w:themeColor="text1" w:themeTint="F2"/>
                <w:spacing w:val="-4"/>
              </w:rPr>
              <w:t xml:space="preserve"> rozdílů mezi pohlavími. Příznivý vývoj v průmyslu pomohl stlačit na nízké hodnoty </w:t>
            </w:r>
            <w:r w:rsidR="001C368C" w:rsidRPr="008D59DD">
              <w:rPr>
                <w:rFonts w:cs="Arial"/>
                <w:color w:val="0D0D0D" w:themeColor="text1" w:themeTint="F2"/>
                <w:spacing w:val="-4"/>
              </w:rPr>
              <w:t>míru nezaměstnanosti mužů (na 3,6</w:t>
            </w:r>
            <w:r w:rsidRPr="008D59DD">
              <w:rPr>
                <w:color w:val="0D0D0D" w:themeColor="text1" w:themeTint="F2"/>
                <w:spacing w:val="-4"/>
              </w:rPr>
              <w:t> </w:t>
            </w:r>
            <w:r w:rsidRPr="008D59DD">
              <w:rPr>
                <w:rFonts w:cs="Arial"/>
                <w:color w:val="0D0D0D" w:themeColor="text1" w:themeTint="F2"/>
                <w:spacing w:val="-4"/>
              </w:rPr>
              <w:t>%</w:t>
            </w:r>
            <w:r w:rsidR="001C368C" w:rsidRPr="008D59DD">
              <w:rPr>
                <w:rFonts w:cs="Arial"/>
                <w:color w:val="0D0D0D" w:themeColor="text1" w:themeTint="F2"/>
                <w:spacing w:val="-4"/>
              </w:rPr>
              <w:t xml:space="preserve"> ve 4. čtvrtletí</w:t>
            </w:r>
            <w:r w:rsidRPr="008D59DD">
              <w:rPr>
                <w:rFonts w:cs="Arial"/>
                <w:color w:val="0D0D0D" w:themeColor="text1" w:themeTint="F2"/>
                <w:spacing w:val="-4"/>
              </w:rPr>
              <w:t>), podobně jako v početné skupině osob se středním vzděláním bez maturity, vč. vyučených (4,6 %). Na druhou stranu přetrvával</w:t>
            </w:r>
            <w:r w:rsidR="008D59DD" w:rsidRPr="008D59DD">
              <w:rPr>
                <w:rFonts w:cs="Arial"/>
                <w:color w:val="0D0D0D" w:themeColor="text1" w:themeTint="F2"/>
                <w:spacing w:val="-4"/>
              </w:rPr>
              <w:t>a vysoká míra nezaměstnanosti v relativně málo početné</w:t>
            </w:r>
            <w:r w:rsidRPr="008D59DD">
              <w:rPr>
                <w:rFonts w:cs="Arial"/>
                <w:color w:val="0D0D0D" w:themeColor="text1" w:themeTint="F2"/>
                <w:spacing w:val="-4"/>
              </w:rPr>
              <w:t xml:space="preserve"> skupině osob se základním vzděláním (22,8 %), podobně jako i</w:t>
            </w:r>
            <w:r w:rsidR="001C368C" w:rsidRPr="008D59DD">
              <w:rPr>
                <w:rFonts w:cs="Arial"/>
                <w:color w:val="0D0D0D" w:themeColor="text1" w:themeTint="F2"/>
                <w:spacing w:val="-4"/>
              </w:rPr>
              <w:t> </w:t>
            </w:r>
            <w:r w:rsidRPr="008D59DD">
              <w:rPr>
                <w:rFonts w:cs="Arial"/>
                <w:color w:val="0D0D0D" w:themeColor="text1" w:themeTint="F2"/>
                <w:spacing w:val="-4"/>
              </w:rPr>
              <w:t>vysoký podíl dlouhodobě nezaměstnaných mezi všemi uchazeči o práci (48,5 %).</w:t>
            </w:r>
          </w:p>
        </w:tc>
      </w:tr>
      <w:tr w:rsidR="005D4336" w:rsidTr="00A716EC">
        <w:tc>
          <w:tcPr>
            <w:tcW w:w="395" w:type="pct"/>
          </w:tcPr>
          <w:p w:rsidR="005D4336" w:rsidRPr="007E77FB" w:rsidRDefault="005D4336" w:rsidP="007A0BF4">
            <w:pPr>
              <w:pStyle w:val="Textpoznpodarou"/>
              <w:rPr>
                <w:lang w:eastAsia="en-US"/>
              </w:rPr>
            </w:pPr>
            <w:r w:rsidRPr="007E77FB">
              <w:rPr>
                <w:lang w:eastAsia="en-US"/>
              </w:rPr>
              <w:lastRenderedPageBreak/>
              <w:t>Graf č.</w:t>
            </w:r>
            <w:r>
              <w:rPr>
                <w:lang w:eastAsia="en-US"/>
              </w:rPr>
              <w:t> 9</w:t>
            </w:r>
          </w:p>
        </w:tc>
        <w:tc>
          <w:tcPr>
            <w:tcW w:w="2105" w:type="pct"/>
            <w:gridSpan w:val="3"/>
          </w:tcPr>
          <w:p w:rsidR="005D4336" w:rsidRPr="00E81446" w:rsidRDefault="005D4336" w:rsidP="007A0BF4">
            <w:pPr>
              <w:pStyle w:val="Textpoznpodarou"/>
              <w:rPr>
                <w:b/>
                <w:lang w:eastAsia="en-US"/>
              </w:rPr>
            </w:pPr>
            <w:r>
              <w:rPr>
                <w:b/>
                <w:lang w:eastAsia="en-US"/>
              </w:rPr>
              <w:t>Minimální mzda, průměrná výše podpory v nezaměstnanosti a možnosti uplatnitelnosti osob s nejvýše dosaženým základním vzděláním na trhu práce</w:t>
            </w:r>
          </w:p>
        </w:tc>
        <w:tc>
          <w:tcPr>
            <w:tcW w:w="365" w:type="pct"/>
          </w:tcPr>
          <w:p w:rsidR="005D4336" w:rsidRPr="007E77FB" w:rsidRDefault="005D4336" w:rsidP="007A0BF4">
            <w:pPr>
              <w:pStyle w:val="Textpoznpodarou"/>
              <w:rPr>
                <w:lang w:eastAsia="en-US"/>
              </w:rPr>
            </w:pPr>
            <w:r w:rsidRPr="007E77FB">
              <w:rPr>
                <w:lang w:eastAsia="en-US"/>
              </w:rPr>
              <w:t>Graf č.</w:t>
            </w:r>
            <w:r>
              <w:rPr>
                <w:lang w:eastAsia="en-US"/>
              </w:rPr>
              <w:t> 10</w:t>
            </w:r>
          </w:p>
        </w:tc>
        <w:tc>
          <w:tcPr>
            <w:tcW w:w="2135" w:type="pct"/>
          </w:tcPr>
          <w:p w:rsidR="005D4336" w:rsidRDefault="005D4336" w:rsidP="007A0BF4">
            <w:pPr>
              <w:pStyle w:val="Textpoznpodarou"/>
              <w:rPr>
                <w:b/>
                <w:lang w:eastAsia="en-US"/>
              </w:rPr>
            </w:pPr>
            <w:r>
              <w:rPr>
                <w:b/>
                <w:lang w:eastAsia="en-US"/>
              </w:rPr>
              <w:t xml:space="preserve">Podíl vybraných ohrožených skupin na všech registrovaných uchazečích </w:t>
            </w:r>
          </w:p>
          <w:p w:rsidR="005D4336" w:rsidRPr="005C4185" w:rsidRDefault="005D4336" w:rsidP="007A0BF4">
            <w:pPr>
              <w:pStyle w:val="Textpoznpodarou"/>
              <w:rPr>
                <w:b/>
                <w:lang w:eastAsia="en-US"/>
              </w:rPr>
            </w:pPr>
            <w:r>
              <w:rPr>
                <w:b/>
                <w:lang w:eastAsia="en-US"/>
              </w:rPr>
              <w:t xml:space="preserve">o zaměstnání </w:t>
            </w:r>
            <w:r w:rsidRPr="00516645">
              <w:rPr>
                <w:lang w:eastAsia="en-US"/>
              </w:rPr>
              <w:t>(dle stavů na konci jednotlivých čtvrtletí)</w:t>
            </w:r>
          </w:p>
        </w:tc>
      </w:tr>
      <w:tr w:rsidR="005D4336" w:rsidTr="00A716EC">
        <w:tc>
          <w:tcPr>
            <w:tcW w:w="2500" w:type="pct"/>
            <w:gridSpan w:val="4"/>
          </w:tcPr>
          <w:p w:rsidR="005D4336" w:rsidRDefault="00C20031" w:rsidP="007A0BF4">
            <w:pPr>
              <w:pStyle w:val="Textpoznpodarou"/>
              <w:jc w:val="both"/>
            </w:pPr>
            <w:r>
              <w:rPr>
                <w:noProof/>
              </w:rPr>
              <w:pict>
                <v:shape id="_x0000_i1058" type="#_x0000_t75" style="width:239.8pt;height:200.95pt;visibility:visible;mso-wrap-style:square">
                  <v:imagedata r:id="rId16" o:title=""/>
                </v:shape>
              </w:pict>
            </w:r>
          </w:p>
        </w:tc>
        <w:tc>
          <w:tcPr>
            <w:tcW w:w="2500" w:type="pct"/>
            <w:gridSpan w:val="2"/>
          </w:tcPr>
          <w:p w:rsidR="005D4336" w:rsidRDefault="00C20031" w:rsidP="007A0BF4">
            <w:pPr>
              <w:pStyle w:val="Textpoznpodarou"/>
              <w:jc w:val="both"/>
            </w:pPr>
            <w:r>
              <w:rPr>
                <w:noProof/>
              </w:rPr>
              <w:pict>
                <v:shape id="_x0000_i1059" type="#_x0000_t75" style="width:240.4pt;height:200.95pt;visibility:visible;mso-wrap-style:square">
                  <v:imagedata r:id="rId17" o:title=""/>
                </v:shape>
              </w:pict>
            </w:r>
          </w:p>
        </w:tc>
      </w:tr>
      <w:tr w:rsidR="005D4336" w:rsidTr="00A716EC">
        <w:tc>
          <w:tcPr>
            <w:tcW w:w="5000" w:type="pct"/>
            <w:gridSpan w:val="6"/>
          </w:tcPr>
          <w:p w:rsidR="005D4336" w:rsidRDefault="005D4336" w:rsidP="007A0BF4">
            <w:pPr>
              <w:autoSpaceDE w:val="0"/>
              <w:autoSpaceDN w:val="0"/>
              <w:adjustRightInd w:val="0"/>
              <w:spacing w:line="240" w:lineRule="auto"/>
              <w:rPr>
                <w:rFonts w:cs="Arial"/>
                <w:color w:val="000000" w:themeColor="text1"/>
                <w:spacing w:val="-2"/>
                <w:sz w:val="18"/>
                <w:szCs w:val="18"/>
              </w:rPr>
            </w:pPr>
            <w:proofErr w:type="spellStart"/>
            <w:r>
              <w:rPr>
                <w:rFonts w:cs="Arial"/>
                <w:color w:val="000000" w:themeColor="text1"/>
                <w:spacing w:val="-2"/>
                <w:sz w:val="18"/>
                <w:szCs w:val="18"/>
              </w:rPr>
              <w:t>Pozn</w:t>
            </w:r>
            <w:proofErr w:type="spellEnd"/>
            <w:r>
              <w:rPr>
                <w:rFonts w:cs="Arial"/>
                <w:color w:val="000000" w:themeColor="text1"/>
                <w:spacing w:val="-2"/>
                <w:sz w:val="18"/>
                <w:szCs w:val="18"/>
                <w:lang w:val="en-US"/>
              </w:rPr>
              <w:t>.</w:t>
            </w:r>
            <w:r>
              <w:rPr>
                <w:rFonts w:cs="Arial"/>
                <w:color w:val="000000" w:themeColor="text1"/>
                <w:spacing w:val="-2"/>
                <w:sz w:val="18"/>
                <w:szCs w:val="18"/>
              </w:rPr>
              <w:t>: Kvalifikační třídy jsou</w:t>
            </w:r>
            <w:r w:rsidRPr="00352238">
              <w:rPr>
                <w:rFonts w:cs="Arial"/>
                <w:color w:val="000000" w:themeColor="text1"/>
                <w:spacing w:val="-2"/>
                <w:sz w:val="18"/>
                <w:szCs w:val="18"/>
              </w:rPr>
              <w:t xml:space="preserve"> do konce roku 2010 </w:t>
            </w:r>
            <w:r>
              <w:rPr>
                <w:rFonts w:cs="Arial"/>
                <w:color w:val="000000" w:themeColor="text1"/>
                <w:spacing w:val="-2"/>
                <w:sz w:val="18"/>
                <w:szCs w:val="18"/>
              </w:rPr>
              <w:t xml:space="preserve">uvedeny </w:t>
            </w:r>
            <w:r w:rsidRPr="00352238">
              <w:rPr>
                <w:rFonts w:cs="Arial"/>
                <w:color w:val="000000" w:themeColor="text1"/>
                <w:spacing w:val="-2"/>
                <w:sz w:val="18"/>
                <w:szCs w:val="18"/>
              </w:rPr>
              <w:t>dle klasifikace</w:t>
            </w:r>
            <w:r>
              <w:rPr>
                <w:rFonts w:cs="Arial"/>
                <w:color w:val="000000" w:themeColor="text1"/>
                <w:spacing w:val="-2"/>
                <w:sz w:val="18"/>
                <w:szCs w:val="18"/>
              </w:rPr>
              <w:t xml:space="preserve"> KZAM, od roku 2011 již podle CZ-ISCO.</w:t>
            </w:r>
          </w:p>
          <w:p w:rsidR="005D4336" w:rsidRPr="004C5813" w:rsidRDefault="005D4336" w:rsidP="007A0BF4">
            <w:pPr>
              <w:autoSpaceDE w:val="0"/>
              <w:autoSpaceDN w:val="0"/>
              <w:adjustRightInd w:val="0"/>
              <w:spacing w:line="240" w:lineRule="auto"/>
              <w:rPr>
                <w:rFonts w:cs="Arial"/>
                <w:color w:val="000000" w:themeColor="text1"/>
                <w:spacing w:val="-2"/>
                <w:sz w:val="18"/>
                <w:szCs w:val="18"/>
              </w:rPr>
            </w:pPr>
            <w:r>
              <w:rPr>
                <w:rFonts w:cs="Arial"/>
                <w:color w:val="000000" w:themeColor="text1"/>
                <w:spacing w:val="-2"/>
                <w:sz w:val="18"/>
                <w:szCs w:val="18"/>
              </w:rPr>
              <w:t xml:space="preserve">           Všechny údaje vyjadřují skutečnost na konci příslušných čtvrtletí.      </w:t>
            </w:r>
            <w:r w:rsidR="00A716EC">
              <w:rPr>
                <w:rFonts w:cs="Arial"/>
                <w:color w:val="000000" w:themeColor="text1"/>
                <w:spacing w:val="-2"/>
                <w:sz w:val="18"/>
                <w:szCs w:val="18"/>
              </w:rPr>
              <w:t xml:space="preserve">                             </w:t>
            </w:r>
            <w:r>
              <w:rPr>
                <w:rFonts w:cs="Arial"/>
                <w:color w:val="000000" w:themeColor="text1"/>
                <w:spacing w:val="-2"/>
                <w:sz w:val="18"/>
                <w:szCs w:val="18"/>
              </w:rPr>
              <w:t xml:space="preserve"> </w:t>
            </w:r>
            <w:r w:rsidRPr="00886A8F">
              <w:rPr>
                <w:sz w:val="18"/>
                <w:szCs w:val="18"/>
                <w:lang w:eastAsia="en-US"/>
              </w:rPr>
              <w:t xml:space="preserve">Zdroj: </w:t>
            </w:r>
            <w:r>
              <w:rPr>
                <w:sz w:val="18"/>
                <w:szCs w:val="18"/>
                <w:lang w:eastAsia="en-US"/>
              </w:rPr>
              <w:t>MSPV, vlastní výpočty</w:t>
            </w:r>
          </w:p>
        </w:tc>
      </w:tr>
    </w:tbl>
    <w:p w:rsidR="005D4336" w:rsidRDefault="005D4336" w:rsidP="005D4336">
      <w:pPr>
        <w:pStyle w:val="Textpoznpodarou"/>
        <w:jc w:val="both"/>
        <w:rPr>
          <w:rFonts w:cs="Arial"/>
          <w:color w:val="000000" w:themeColor="text1"/>
          <w:spacing w:val="-2"/>
        </w:rPr>
      </w:pPr>
    </w:p>
    <w:tbl>
      <w:tblPr>
        <w:tblW w:w="5000" w:type="pct"/>
        <w:tblCellMar>
          <w:left w:w="28" w:type="dxa"/>
          <w:right w:w="28" w:type="dxa"/>
        </w:tblCellMar>
        <w:tblLook w:val="04A0"/>
      </w:tblPr>
      <w:tblGrid>
        <w:gridCol w:w="2044"/>
        <w:gridCol w:w="275"/>
        <w:gridCol w:w="7375"/>
      </w:tblGrid>
      <w:tr w:rsidR="005D4336" w:rsidTr="007A0BF4">
        <w:tc>
          <w:tcPr>
            <w:tcW w:w="1054" w:type="pct"/>
          </w:tcPr>
          <w:p w:rsidR="005D4336" w:rsidRPr="00372465"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 xml:space="preserve">Podíl nezaměstnaných uchazečů se během roku 2015 snižoval ve všech okresech, celoplošný pokles nezaměstnanosti byl ale patrný již v průběhu roku </w:t>
            </w:r>
            <w:r w:rsidRPr="00434662">
              <w:rPr>
                <w:rFonts w:cs="Arial"/>
                <w:bCs/>
                <w:iCs/>
                <w:color w:val="000000" w:themeColor="text1"/>
                <w:spacing w:val="-2"/>
                <w:sz w:val="16"/>
                <w:szCs w:val="16"/>
              </w:rPr>
              <w:t>201</w:t>
            </w:r>
            <w:r>
              <w:rPr>
                <w:rFonts w:cs="Arial"/>
                <w:bCs/>
                <w:iCs/>
                <w:color w:val="000000" w:themeColor="text1"/>
                <w:spacing w:val="-2"/>
                <w:sz w:val="16"/>
                <w:szCs w:val="16"/>
              </w:rPr>
              <w:t>4</w:t>
            </w: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Pr="009271BA" w:rsidRDefault="005D4336" w:rsidP="007A0BF4">
            <w:pPr>
              <w:pStyle w:val="Textpoznpodarou"/>
              <w:jc w:val="both"/>
              <w:rPr>
                <w:rFonts w:cs="Arial"/>
                <w:color w:val="0D0D0D" w:themeColor="text1" w:themeTint="F2"/>
              </w:rPr>
            </w:pPr>
            <w:r w:rsidRPr="009271BA">
              <w:rPr>
                <w:rFonts w:cs="Arial"/>
                <w:color w:val="0D0D0D" w:themeColor="text1" w:themeTint="F2"/>
              </w:rPr>
              <w:t xml:space="preserve">Příznivý dopad ekonomického růstu na národní úrovni se pozitivně projevil na trhu práce ve </w:t>
            </w:r>
            <w:r w:rsidRPr="009271BA">
              <w:rPr>
                <w:rFonts w:cs="Arial"/>
                <w:color w:val="000000" w:themeColor="text1"/>
              </w:rPr>
              <w:t>všech regionech ČR.</w:t>
            </w:r>
            <w:r w:rsidRPr="009271BA">
              <w:rPr>
                <w:rFonts w:cs="Arial"/>
                <w:color w:val="0D0D0D" w:themeColor="text1" w:themeTint="F2"/>
              </w:rPr>
              <w:t xml:space="preserve"> Podíl dosažitelných uchazečů (v evidenci úřadů práce) na počtu obyvatel ve věkové skupině 15-64 let se v průběhu roku 2015 snižoval ve všech okresech (mezi kraji nejvíce na Olomoucku a Ústecku – shodně o 1,8 </w:t>
            </w:r>
            <w:proofErr w:type="spellStart"/>
            <w:proofErr w:type="gramStart"/>
            <w:r w:rsidRPr="009271BA">
              <w:rPr>
                <w:rFonts w:cs="Arial"/>
                <w:color w:val="0D0D0D" w:themeColor="text1" w:themeTint="F2"/>
              </w:rPr>
              <w:t>p.b</w:t>
            </w:r>
            <w:proofErr w:type="spellEnd"/>
            <w:r w:rsidRPr="009271BA">
              <w:rPr>
                <w:rFonts w:cs="Arial"/>
                <w:color w:val="0D0D0D" w:themeColor="text1" w:themeTint="F2"/>
              </w:rPr>
              <w:t>.).</w:t>
            </w:r>
            <w:proofErr w:type="gramEnd"/>
            <w:r w:rsidRPr="009271BA">
              <w:rPr>
                <w:rFonts w:cs="Arial"/>
                <w:color w:val="0D0D0D" w:themeColor="text1" w:themeTint="F2"/>
              </w:rPr>
              <w:t xml:space="preserve"> Rozpětí mezi okresy s nejvyšším podílem nezaměstnaných (k 31.12. 2015 šlo o okres Bruntál s 11,6 %) a nejnižším podílem (Praha-východ 2,6 %) se za poslední dva roky významně snížil (o bezmála 2 </w:t>
            </w:r>
            <w:proofErr w:type="spellStart"/>
            <w:proofErr w:type="gramStart"/>
            <w:r w:rsidRPr="009271BA">
              <w:rPr>
                <w:rFonts w:cs="Arial"/>
                <w:color w:val="0D0D0D" w:themeColor="text1" w:themeTint="F2"/>
              </w:rPr>
              <w:t>p.b</w:t>
            </w:r>
            <w:proofErr w:type="spellEnd"/>
            <w:r w:rsidRPr="009271BA">
              <w:rPr>
                <w:rFonts w:cs="Arial"/>
                <w:color w:val="0D0D0D" w:themeColor="text1" w:themeTint="F2"/>
              </w:rPr>
              <w:t>.).</w:t>
            </w:r>
            <w:proofErr w:type="gramEnd"/>
          </w:p>
        </w:tc>
      </w:tr>
    </w:tbl>
    <w:p w:rsidR="005D4336" w:rsidRPr="008047F7" w:rsidRDefault="005D4336" w:rsidP="005D4336">
      <w:pPr>
        <w:pStyle w:val="Textpoznpodarou"/>
        <w:jc w:val="both"/>
        <w:rPr>
          <w:rFonts w:cs="Arial"/>
          <w:color w:val="000000" w:themeColor="text1"/>
          <w:spacing w:val="-2"/>
          <w:sz w:val="8"/>
          <w:szCs w:val="8"/>
        </w:rPr>
      </w:pPr>
    </w:p>
    <w:p w:rsidR="005D4336" w:rsidRDefault="00C20031" w:rsidP="005D4336">
      <w:pPr>
        <w:pStyle w:val="Textpoznpodarou"/>
        <w:jc w:val="both"/>
        <w:rPr>
          <w:rFonts w:cs="Arial"/>
          <w:color w:val="000000" w:themeColor="text1"/>
          <w:spacing w:val="-2"/>
        </w:rPr>
      </w:pPr>
      <w:r w:rsidRPr="003B4A73">
        <w:rPr>
          <w:rFonts w:cs="Arial"/>
          <w:noProof/>
          <w:color w:val="000000" w:themeColor="text1"/>
          <w:spacing w:val="-2"/>
        </w:rPr>
        <w:pict>
          <v:shape id="_x0000_i1060" type="#_x0000_t75" alt="Nezaměstnanost-celkem-2015" style="width:484.6pt;height:342.45pt;visibility:visible;mso-wrap-style:square">
            <v:imagedata r:id="rId18" o:title="Nezaměstnanost-celkem-2015"/>
          </v:shape>
        </w:pict>
      </w:r>
    </w:p>
    <w:p w:rsidR="005D4336" w:rsidRPr="00ED3338" w:rsidRDefault="005D4336" w:rsidP="005D4336">
      <w:pPr>
        <w:pStyle w:val="Textpoznpodarou"/>
        <w:jc w:val="both"/>
        <w:rPr>
          <w:rFonts w:cs="Arial"/>
          <w:color w:val="000000" w:themeColor="text1"/>
          <w:spacing w:val="-2"/>
          <w:sz w:val="8"/>
          <w:szCs w:val="8"/>
        </w:rPr>
      </w:pPr>
    </w:p>
    <w:p w:rsidR="005D4336" w:rsidRDefault="00C20031" w:rsidP="005D4336">
      <w:pPr>
        <w:pStyle w:val="Textpoznpodarou"/>
        <w:jc w:val="both"/>
        <w:rPr>
          <w:rFonts w:cs="Arial"/>
          <w:color w:val="000000" w:themeColor="text1"/>
          <w:spacing w:val="-2"/>
        </w:rPr>
      </w:pPr>
      <w:r w:rsidRPr="003B4A73">
        <w:rPr>
          <w:rFonts w:cs="Arial"/>
          <w:noProof/>
          <w:color w:val="000000" w:themeColor="text1"/>
          <w:spacing w:val="-2"/>
        </w:rPr>
        <w:lastRenderedPageBreak/>
        <w:pict>
          <v:shape id="_x0000_i1061" type="#_x0000_t75" alt="Nezaměstnanost-nekvalifik-2" style="width:487.1pt;height:350pt;visibility:visible;mso-wrap-style:square">
            <v:imagedata r:id="rId19" o:title="Nezaměstnanost-nekvalifik-2"/>
          </v:shape>
        </w:pict>
      </w:r>
    </w:p>
    <w:p w:rsidR="005D4336" w:rsidRDefault="005D4336" w:rsidP="005D4336">
      <w:pPr>
        <w:pStyle w:val="Textpoznpodarou"/>
        <w:jc w:val="both"/>
        <w:rPr>
          <w:rFonts w:cs="Arial"/>
          <w:color w:val="000000" w:themeColor="text1"/>
          <w:spacing w:val="-2"/>
        </w:rPr>
      </w:pPr>
    </w:p>
    <w:tbl>
      <w:tblPr>
        <w:tblW w:w="5000" w:type="pct"/>
        <w:tblCellMar>
          <w:left w:w="28" w:type="dxa"/>
          <w:right w:w="28" w:type="dxa"/>
        </w:tblCellMar>
        <w:tblLook w:val="04A0"/>
      </w:tblPr>
      <w:tblGrid>
        <w:gridCol w:w="2044"/>
        <w:gridCol w:w="275"/>
        <w:gridCol w:w="7375"/>
      </w:tblGrid>
      <w:tr w:rsidR="005D4336" w:rsidTr="007A0BF4">
        <w:tc>
          <w:tcPr>
            <w:tcW w:w="1054" w:type="pct"/>
          </w:tcPr>
          <w:p w:rsidR="005D4336" w:rsidRPr="00372465"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Navzdory zmírnění v posledních dvou letech stále přetrvávají významné regionální disparity v nezaměstnanosti</w:t>
            </w: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Pr="0059714D" w:rsidRDefault="005D4336" w:rsidP="007A0BF4">
            <w:pPr>
              <w:pStyle w:val="Textpoznpodarou"/>
              <w:jc w:val="both"/>
              <w:rPr>
                <w:rFonts w:cs="Arial"/>
                <w:color w:val="0D0D0D" w:themeColor="text1" w:themeTint="F2"/>
                <w:spacing w:val="-2"/>
              </w:rPr>
            </w:pPr>
            <w:r w:rsidRPr="0059714D">
              <w:rPr>
                <w:rFonts w:cs="Arial"/>
                <w:color w:val="0D0D0D" w:themeColor="text1" w:themeTint="F2"/>
                <w:spacing w:val="-2"/>
              </w:rPr>
              <w:t xml:space="preserve">I přes tuto skutečnost </w:t>
            </w:r>
            <w:r>
              <w:rPr>
                <w:rFonts w:cs="Arial"/>
                <w:color w:val="0D0D0D" w:themeColor="text1" w:themeTint="F2"/>
                <w:spacing w:val="-2"/>
              </w:rPr>
              <w:t xml:space="preserve">stále </w:t>
            </w:r>
            <w:r w:rsidRPr="00434662">
              <w:rPr>
                <w:rFonts w:cs="Arial"/>
                <w:color w:val="000000" w:themeColor="text1"/>
                <w:spacing w:val="-2"/>
              </w:rPr>
              <w:t>přetrvávají významné územní disparity v nezaměstnanosti. Odráží se v nich specifika struktury zaměstnanosti v jednotlivých regionech charakterizované například přítomností významného</w:t>
            </w:r>
            <w:r>
              <w:rPr>
                <w:rFonts w:cs="Arial"/>
                <w:color w:val="0D0D0D" w:themeColor="text1" w:themeTint="F2"/>
                <w:spacing w:val="-2"/>
              </w:rPr>
              <w:t xml:space="preserve"> zaměstnavatele (navázaného na silné exportně zaměřené průmyslové podniky), zastoupení odvětví s výraznějším sezónním charakterem práce (zemědělství, lesnictví, stavebnictví, cestovních ruch, pohostinství), dopravní dostupnost významných center (zejména krajských měst) a v neposlední řadě i kvalifikační, resp. vzdělanostní struktura pracovní síly. Územní rozložení podílu osob s nízkou úrovní kvalifikace do značné míry kopíruje disparity v zastoupení dlouhodobě nezaměstnaných.</w:t>
            </w:r>
          </w:p>
        </w:tc>
      </w:tr>
    </w:tbl>
    <w:p w:rsidR="005D4336" w:rsidRPr="00202C91" w:rsidRDefault="005D4336" w:rsidP="005D4336">
      <w:pPr>
        <w:pStyle w:val="Textpoznpodarou"/>
        <w:jc w:val="both"/>
        <w:rPr>
          <w:rFonts w:cs="Arial"/>
          <w:color w:val="000000" w:themeColor="text1"/>
          <w:spacing w:val="-2"/>
        </w:rPr>
      </w:pPr>
    </w:p>
    <w:tbl>
      <w:tblPr>
        <w:tblW w:w="4986" w:type="pct"/>
        <w:tblLayout w:type="fixed"/>
        <w:tblCellMar>
          <w:left w:w="28" w:type="dxa"/>
          <w:right w:w="28" w:type="dxa"/>
        </w:tblCellMar>
        <w:tblLook w:val="04A0"/>
      </w:tblPr>
      <w:tblGrid>
        <w:gridCol w:w="769"/>
        <w:gridCol w:w="8898"/>
      </w:tblGrid>
      <w:tr w:rsidR="005D4336" w:rsidTr="007A0BF4">
        <w:tc>
          <w:tcPr>
            <w:tcW w:w="398" w:type="pct"/>
          </w:tcPr>
          <w:p w:rsidR="005D4336" w:rsidRPr="007E77FB" w:rsidRDefault="005D4336" w:rsidP="007A0BF4">
            <w:pPr>
              <w:pStyle w:val="Textpoznpodarou"/>
              <w:rPr>
                <w:lang w:eastAsia="en-US"/>
              </w:rPr>
            </w:pPr>
            <w:r w:rsidRPr="007E77FB">
              <w:rPr>
                <w:lang w:eastAsia="en-US"/>
              </w:rPr>
              <w:t>Graf č.</w:t>
            </w:r>
            <w:r>
              <w:rPr>
                <w:lang w:eastAsia="en-US"/>
              </w:rPr>
              <w:t> 11</w:t>
            </w:r>
          </w:p>
        </w:tc>
        <w:tc>
          <w:tcPr>
            <w:tcW w:w="4602" w:type="pct"/>
          </w:tcPr>
          <w:p w:rsidR="005D4336" w:rsidRDefault="005D4336" w:rsidP="007A0BF4">
            <w:pPr>
              <w:pStyle w:val="Textpoznpodarou"/>
              <w:rPr>
                <w:b/>
                <w:lang w:eastAsia="en-US"/>
              </w:rPr>
            </w:pPr>
            <w:r>
              <w:rPr>
                <w:b/>
                <w:lang w:eastAsia="en-US"/>
              </w:rPr>
              <w:t>Specifické míry nezaměstnanosti podle nejvyššího dokončeného vzdělání v roce 2015</w:t>
            </w:r>
          </w:p>
          <w:p w:rsidR="005D4336" w:rsidRPr="00E81446" w:rsidRDefault="005D4336" w:rsidP="007A0BF4">
            <w:pPr>
              <w:pStyle w:val="Textpoznpodarou"/>
              <w:rPr>
                <w:b/>
                <w:lang w:eastAsia="en-US"/>
              </w:rPr>
            </w:pPr>
            <w:r>
              <w:rPr>
                <w:lang w:eastAsia="en-US"/>
              </w:rPr>
              <w:t xml:space="preserve">(země EU a vybrané ostatní země, </w:t>
            </w:r>
            <w:r w:rsidRPr="00005BF2">
              <w:rPr>
                <w:lang w:eastAsia="en-US"/>
              </w:rPr>
              <w:t>v %)</w:t>
            </w:r>
          </w:p>
        </w:tc>
      </w:tr>
      <w:tr w:rsidR="005D4336" w:rsidTr="007A0BF4">
        <w:tc>
          <w:tcPr>
            <w:tcW w:w="5000" w:type="pct"/>
            <w:gridSpan w:val="2"/>
          </w:tcPr>
          <w:p w:rsidR="005D4336" w:rsidRDefault="00C20031" w:rsidP="007A0BF4">
            <w:pPr>
              <w:pStyle w:val="Textpoznpodarou"/>
              <w:jc w:val="both"/>
            </w:pPr>
            <w:r>
              <w:rPr>
                <w:noProof/>
              </w:rPr>
              <w:pict>
                <v:shape id="_x0000_i1062" type="#_x0000_t75" style="width:480.85pt;height:182.8pt;visibility:visible;mso-wrap-style:square">
                  <v:imagedata r:id="rId20" o:title=""/>
                </v:shape>
              </w:pict>
            </w:r>
          </w:p>
        </w:tc>
      </w:tr>
      <w:tr w:rsidR="005D4336" w:rsidTr="007A0BF4">
        <w:tc>
          <w:tcPr>
            <w:tcW w:w="5000" w:type="pct"/>
            <w:gridSpan w:val="2"/>
          </w:tcPr>
          <w:p w:rsidR="005D4336" w:rsidRPr="004C5813" w:rsidRDefault="005D4336" w:rsidP="007A0BF4">
            <w:pPr>
              <w:autoSpaceDE w:val="0"/>
              <w:autoSpaceDN w:val="0"/>
              <w:adjustRightInd w:val="0"/>
              <w:spacing w:line="240" w:lineRule="auto"/>
              <w:jc w:val="right"/>
              <w:rPr>
                <w:rFonts w:cs="Arial"/>
                <w:color w:val="000000" w:themeColor="text1"/>
                <w:spacing w:val="-2"/>
                <w:sz w:val="18"/>
                <w:szCs w:val="18"/>
              </w:rPr>
            </w:pPr>
            <w:r w:rsidRPr="00886A8F">
              <w:rPr>
                <w:sz w:val="18"/>
                <w:szCs w:val="18"/>
                <w:lang w:eastAsia="en-US"/>
              </w:rPr>
              <w:t xml:space="preserve">Zdroj: </w:t>
            </w:r>
            <w:proofErr w:type="spellStart"/>
            <w:r>
              <w:rPr>
                <w:sz w:val="18"/>
                <w:szCs w:val="18"/>
                <w:lang w:eastAsia="en-US"/>
              </w:rPr>
              <w:t>Eurostat</w:t>
            </w:r>
            <w:proofErr w:type="spellEnd"/>
          </w:p>
        </w:tc>
      </w:tr>
    </w:tbl>
    <w:p w:rsidR="005D4336" w:rsidRDefault="005D4336" w:rsidP="005D4336">
      <w:pPr>
        <w:pStyle w:val="Textpoznpodarou"/>
        <w:jc w:val="both"/>
        <w:rPr>
          <w:rFonts w:cs="Arial"/>
          <w:color w:val="000000" w:themeColor="text1"/>
          <w:spacing w:val="-2"/>
          <w:sz w:val="14"/>
          <w:szCs w:val="14"/>
        </w:rPr>
      </w:pPr>
    </w:p>
    <w:p w:rsidR="005D4336" w:rsidRPr="0081435B" w:rsidRDefault="005D4336" w:rsidP="005D4336">
      <w:pPr>
        <w:pStyle w:val="Textpoznpodarou"/>
        <w:jc w:val="both"/>
        <w:rPr>
          <w:rFonts w:cs="Arial"/>
          <w:color w:val="000000" w:themeColor="text1"/>
          <w:spacing w:val="-2"/>
          <w:sz w:val="14"/>
          <w:szCs w:val="14"/>
        </w:rPr>
      </w:pPr>
    </w:p>
    <w:tbl>
      <w:tblPr>
        <w:tblW w:w="5000" w:type="pct"/>
        <w:tblCellMar>
          <w:left w:w="28" w:type="dxa"/>
          <w:right w:w="28" w:type="dxa"/>
        </w:tblCellMar>
        <w:tblLook w:val="04A0"/>
      </w:tblPr>
      <w:tblGrid>
        <w:gridCol w:w="2044"/>
        <w:gridCol w:w="275"/>
        <w:gridCol w:w="7375"/>
      </w:tblGrid>
      <w:tr w:rsidR="005D4336" w:rsidTr="007A0BF4">
        <w:tc>
          <w:tcPr>
            <w:tcW w:w="1054" w:type="pct"/>
          </w:tcPr>
          <w:p w:rsidR="005D4336" w:rsidRPr="00E23B96" w:rsidRDefault="005D4336" w:rsidP="007A0BF4">
            <w:pPr>
              <w:spacing w:line="240" w:lineRule="auto"/>
              <w:rPr>
                <w:rFonts w:cs="Arial"/>
                <w:bCs/>
                <w:iCs/>
                <w:color w:val="0D0D0D" w:themeColor="text1" w:themeTint="F2"/>
                <w:spacing w:val="-4"/>
                <w:sz w:val="16"/>
                <w:szCs w:val="16"/>
              </w:rPr>
            </w:pPr>
            <w:r>
              <w:rPr>
                <w:rFonts w:cs="Arial"/>
                <w:bCs/>
                <w:iCs/>
                <w:color w:val="0D0D0D" w:themeColor="text1" w:themeTint="F2"/>
                <w:spacing w:val="-4"/>
                <w:sz w:val="16"/>
                <w:szCs w:val="16"/>
              </w:rPr>
              <w:lastRenderedPageBreak/>
              <w:t>ČR patřila</w:t>
            </w:r>
            <w:r w:rsidRPr="00E23B96">
              <w:rPr>
                <w:rFonts w:cs="Arial"/>
                <w:bCs/>
                <w:iCs/>
                <w:color w:val="0D0D0D" w:themeColor="text1" w:themeTint="F2"/>
                <w:spacing w:val="-4"/>
                <w:sz w:val="16"/>
                <w:szCs w:val="16"/>
              </w:rPr>
              <w:t xml:space="preserve"> společně s Německem k zemím s nejnižší mírou nezaměstnanosti v rámci celé EU</w:t>
            </w: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Pr="00202C91" w:rsidRDefault="005D4336" w:rsidP="007A0BF4">
            <w:pPr>
              <w:pStyle w:val="Textpoznpodarou"/>
              <w:jc w:val="both"/>
            </w:pPr>
            <w:r w:rsidRPr="00202C91">
              <w:rPr>
                <w:rFonts w:cs="Arial"/>
                <w:color w:val="0D0D0D" w:themeColor="text1" w:themeTint="F2"/>
              </w:rPr>
              <w:t>P</w:t>
            </w:r>
            <w:r w:rsidRPr="00202C91">
              <w:t>odíl nezaměstnaných osob na celkové pracovní síle se postupně snižuje i v EU (rychleji mezi mladšími členskými státy), stále však zůstává vysoký (ve 4. čtvrtletí 2015 na úrovni 9 %). ČR patřila na konci roku 2015 společně s Německem k zemím s nejnižší mírou nezaměstnanosti. Méně příznivá byla situace u žen, kde</w:t>
            </w:r>
            <w:r>
              <w:t> </w:t>
            </w:r>
            <w:r w:rsidRPr="00202C91">
              <w:t xml:space="preserve">dosahovaly lepších výsledků hned čtyři země (Německo, Rakousko, Velká Británie a Malta), v případě míry dlouhodobé nezaměstnanosti dokonce devět zemí. </w:t>
            </w:r>
          </w:p>
          <w:p w:rsidR="005D4336" w:rsidRPr="00202C91" w:rsidRDefault="005D4336" w:rsidP="007A0BF4">
            <w:pPr>
              <w:pStyle w:val="Textpoznpodarou"/>
              <w:jc w:val="both"/>
              <w:rPr>
                <w:rFonts w:cs="Arial"/>
                <w:color w:val="0D0D0D" w:themeColor="text1" w:themeTint="F2"/>
                <w:spacing w:val="-2"/>
              </w:rPr>
            </w:pPr>
          </w:p>
        </w:tc>
      </w:tr>
      <w:tr w:rsidR="005D4336" w:rsidTr="007A0BF4">
        <w:tc>
          <w:tcPr>
            <w:tcW w:w="1054" w:type="pct"/>
          </w:tcPr>
          <w:p w:rsidR="005D4336" w:rsidRPr="000B728B" w:rsidRDefault="005D4336" w:rsidP="007A0BF4">
            <w:pPr>
              <w:spacing w:line="240" w:lineRule="auto"/>
              <w:rPr>
                <w:rFonts w:cs="Arial"/>
                <w:bCs/>
                <w:iCs/>
                <w:color w:val="0D0D0D" w:themeColor="text1" w:themeTint="F2"/>
                <w:spacing w:val="-4"/>
                <w:sz w:val="16"/>
                <w:szCs w:val="16"/>
              </w:rPr>
            </w:pPr>
            <w:r w:rsidRPr="000B728B">
              <w:rPr>
                <w:rFonts w:cs="Arial"/>
                <w:bCs/>
                <w:iCs/>
                <w:color w:val="0D0D0D" w:themeColor="text1" w:themeTint="F2"/>
                <w:spacing w:val="-4"/>
                <w:sz w:val="16"/>
                <w:szCs w:val="16"/>
              </w:rPr>
              <w:t>Výrazná diferenciace míry nezaměstnanosti podle vzdělání zejména v nových členských státech EU</w:t>
            </w:r>
          </w:p>
        </w:tc>
        <w:tc>
          <w:tcPr>
            <w:tcW w:w="142" w:type="pct"/>
          </w:tcPr>
          <w:p w:rsidR="005D4336" w:rsidRPr="000B728B" w:rsidRDefault="005D4336" w:rsidP="007A0BF4">
            <w:pPr>
              <w:pStyle w:val="Textpoznpodarou"/>
              <w:jc w:val="both"/>
              <w:rPr>
                <w:rFonts w:cs="Arial"/>
                <w:bCs/>
                <w:iCs/>
                <w:color w:val="0D0D0D" w:themeColor="text1" w:themeTint="F2"/>
                <w:spacing w:val="-4"/>
                <w:sz w:val="16"/>
                <w:szCs w:val="16"/>
              </w:rPr>
            </w:pPr>
          </w:p>
        </w:tc>
        <w:tc>
          <w:tcPr>
            <w:tcW w:w="3804" w:type="pct"/>
          </w:tcPr>
          <w:p w:rsidR="005D4336" w:rsidRPr="00202C91" w:rsidRDefault="005D4336" w:rsidP="007A0BF4">
            <w:pPr>
              <w:pStyle w:val="Textpoznpodarou"/>
              <w:jc w:val="both"/>
              <w:rPr>
                <w:rFonts w:cs="Arial"/>
                <w:color w:val="0D0D0D" w:themeColor="text1" w:themeTint="F2"/>
                <w:sz w:val="16"/>
                <w:szCs w:val="16"/>
              </w:rPr>
            </w:pPr>
            <w:r w:rsidRPr="00202C91">
              <w:rPr>
                <w:rFonts w:cs="Arial"/>
                <w:color w:val="000000" w:themeColor="text1"/>
              </w:rPr>
              <w:t>Významný faktor z hlediska rizika nezaměstnanosti (zejména dlouhodobé) představuje úroveň nejvyššího dokončeného vzdělání. Nepřímý</w:t>
            </w:r>
            <w:r w:rsidRPr="00202C91">
              <w:rPr>
                <w:rFonts w:cs="Arial"/>
                <w:color w:val="0D0D0D" w:themeColor="text1" w:themeTint="F2"/>
              </w:rPr>
              <w:t xml:space="preserve"> vztah mezi úrovní vzdělání a mírou nezaměstnanosti je dobře patrný v drtivé většině zemí EU. ČR patří k zemím s nejvyššími rozdíly v nezaměstnanosti podle vzdělání. V relativním </w:t>
            </w:r>
            <w:r w:rsidRPr="00202C91">
              <w:rPr>
                <w:rFonts w:cs="Arial"/>
                <w:color w:val="0D0D0D" w:themeColor="text1" w:themeTint="F2"/>
                <w:spacing w:val="-2"/>
              </w:rPr>
              <w:t>vyjádření patří Česku dokonce primát, když míra nezaměstnanosti osob s</w:t>
            </w:r>
            <w:r w:rsidRPr="00202C91">
              <w:rPr>
                <w:rFonts w:cs="Arial"/>
                <w:color w:val="0D0D0D" w:themeColor="text1" w:themeTint="F2"/>
              </w:rPr>
              <w:t xml:space="preserve"> primárním či nižším sekundárním vzděláním byla téměř osmkrát vyšší než v případě osob s terciárním vzděláním. Nepříznivé postavení </w:t>
            </w:r>
            <w:proofErr w:type="spellStart"/>
            <w:r w:rsidRPr="00202C91">
              <w:rPr>
                <w:rFonts w:cs="Arial"/>
                <w:color w:val="0D0D0D" w:themeColor="text1" w:themeTint="F2"/>
              </w:rPr>
              <w:t>nízkokvalifikovaných</w:t>
            </w:r>
            <w:proofErr w:type="spellEnd"/>
            <w:r w:rsidRPr="00202C91">
              <w:rPr>
                <w:rFonts w:cs="Arial"/>
                <w:color w:val="0D0D0D" w:themeColor="text1" w:themeTint="F2"/>
              </w:rPr>
              <w:t xml:space="preserve"> osob na trhu práce je dlouhodobě patrné zejména v novějších členských státech EU (Slovensko, Bulharsko, pobaltské státy).</w:t>
            </w:r>
          </w:p>
        </w:tc>
      </w:tr>
    </w:tbl>
    <w:p w:rsidR="005D4336" w:rsidRDefault="005D4336" w:rsidP="005D4336">
      <w:pPr>
        <w:pStyle w:val="Textpoznpodarou"/>
        <w:jc w:val="both"/>
        <w:rPr>
          <w:rFonts w:cs="Arial"/>
          <w:color w:val="000000" w:themeColor="text1"/>
          <w:spacing w:val="-2"/>
        </w:rPr>
      </w:pPr>
    </w:p>
    <w:tbl>
      <w:tblPr>
        <w:tblW w:w="4986" w:type="pct"/>
        <w:tblLayout w:type="fixed"/>
        <w:tblCellMar>
          <w:left w:w="28" w:type="dxa"/>
          <w:right w:w="28" w:type="dxa"/>
        </w:tblCellMar>
        <w:tblLook w:val="04A0"/>
      </w:tblPr>
      <w:tblGrid>
        <w:gridCol w:w="769"/>
        <w:gridCol w:w="8898"/>
      </w:tblGrid>
      <w:tr w:rsidR="005D4336" w:rsidTr="007A0BF4">
        <w:tc>
          <w:tcPr>
            <w:tcW w:w="398" w:type="pct"/>
          </w:tcPr>
          <w:p w:rsidR="005D4336" w:rsidRPr="007E77FB" w:rsidRDefault="005D4336" w:rsidP="007A0BF4">
            <w:pPr>
              <w:pStyle w:val="Textpoznpodarou"/>
              <w:rPr>
                <w:lang w:eastAsia="en-US"/>
              </w:rPr>
            </w:pPr>
            <w:r w:rsidRPr="007E77FB">
              <w:rPr>
                <w:lang w:eastAsia="en-US"/>
              </w:rPr>
              <w:t>Graf č.</w:t>
            </w:r>
            <w:r>
              <w:rPr>
                <w:lang w:eastAsia="en-US"/>
              </w:rPr>
              <w:t> 12</w:t>
            </w:r>
          </w:p>
        </w:tc>
        <w:tc>
          <w:tcPr>
            <w:tcW w:w="4602" w:type="pct"/>
          </w:tcPr>
          <w:p w:rsidR="005D4336" w:rsidRDefault="005D4336" w:rsidP="007A0BF4">
            <w:pPr>
              <w:pStyle w:val="Textpoznpodarou"/>
              <w:rPr>
                <w:b/>
                <w:lang w:eastAsia="en-US"/>
              </w:rPr>
            </w:pPr>
            <w:r>
              <w:rPr>
                <w:b/>
                <w:lang w:eastAsia="en-US"/>
              </w:rPr>
              <w:t xml:space="preserve">Míra dlouhodobé nezaměstnanosti v regionech NUTS 2 vybraných evropských zemí </w:t>
            </w:r>
          </w:p>
          <w:p w:rsidR="005D4336" w:rsidRPr="00E81446" w:rsidRDefault="005D4336" w:rsidP="007A0BF4">
            <w:pPr>
              <w:pStyle w:val="Textpoznpodarou"/>
              <w:rPr>
                <w:b/>
                <w:lang w:eastAsia="en-US"/>
              </w:rPr>
            </w:pPr>
            <w:r>
              <w:rPr>
                <w:b/>
                <w:lang w:eastAsia="en-US"/>
              </w:rPr>
              <w:t xml:space="preserve">v roce 2015 </w:t>
            </w:r>
            <w:r w:rsidRPr="00B66798">
              <w:rPr>
                <w:lang w:eastAsia="en-US"/>
              </w:rPr>
              <w:t>(</w:t>
            </w:r>
            <w:r w:rsidRPr="00005BF2">
              <w:rPr>
                <w:lang w:eastAsia="en-US"/>
              </w:rPr>
              <w:t>v %)</w:t>
            </w:r>
          </w:p>
        </w:tc>
      </w:tr>
      <w:tr w:rsidR="005D4336" w:rsidTr="007A0BF4">
        <w:tc>
          <w:tcPr>
            <w:tcW w:w="5000" w:type="pct"/>
            <w:gridSpan w:val="2"/>
          </w:tcPr>
          <w:p w:rsidR="005D4336" w:rsidRDefault="00C20031" w:rsidP="007A0BF4">
            <w:pPr>
              <w:pStyle w:val="Textpoznpodarou"/>
              <w:jc w:val="both"/>
            </w:pPr>
            <w:r>
              <w:rPr>
                <w:noProof/>
              </w:rPr>
              <w:pict>
                <v:shape id="_x0000_i1063" type="#_x0000_t75" style="width:479.6pt;height:193.45pt;visibility:visible;mso-wrap-style:square">
                  <v:imagedata r:id="rId21" o:title=""/>
                </v:shape>
              </w:pict>
            </w:r>
          </w:p>
        </w:tc>
      </w:tr>
      <w:tr w:rsidR="005D4336" w:rsidTr="007A0BF4">
        <w:tc>
          <w:tcPr>
            <w:tcW w:w="5000" w:type="pct"/>
            <w:gridSpan w:val="2"/>
          </w:tcPr>
          <w:p w:rsidR="005D4336" w:rsidRPr="008F3E0E" w:rsidRDefault="005D4336" w:rsidP="007A0BF4">
            <w:pPr>
              <w:autoSpaceDE w:val="0"/>
              <w:autoSpaceDN w:val="0"/>
              <w:adjustRightInd w:val="0"/>
              <w:spacing w:line="240" w:lineRule="auto"/>
              <w:jc w:val="both"/>
              <w:rPr>
                <w:sz w:val="18"/>
                <w:szCs w:val="18"/>
                <w:lang w:eastAsia="en-US"/>
              </w:rPr>
            </w:pPr>
            <w:proofErr w:type="spellStart"/>
            <w:r>
              <w:rPr>
                <w:sz w:val="18"/>
                <w:szCs w:val="18"/>
                <w:lang w:eastAsia="en-US"/>
              </w:rPr>
              <w:t>Pozn</w:t>
            </w:r>
            <w:proofErr w:type="spellEnd"/>
            <w:r>
              <w:rPr>
                <w:sz w:val="18"/>
                <w:szCs w:val="18"/>
                <w:lang w:eastAsia="en-US"/>
              </w:rPr>
              <w:t>: Nejsou uvedeny země EU, které se člení pouze na 1 region NUTS 2 (p</w:t>
            </w:r>
            <w:r w:rsidRPr="006D321D">
              <w:rPr>
                <w:sz w:val="18"/>
                <w:szCs w:val="18"/>
                <w:lang w:eastAsia="en-US"/>
              </w:rPr>
              <w:t>obaltské státy, Malta, Kypr, Lucembursko</w:t>
            </w:r>
            <w:r>
              <w:rPr>
                <w:sz w:val="18"/>
                <w:szCs w:val="18"/>
                <w:lang w:eastAsia="en-US"/>
              </w:rPr>
              <w:t xml:space="preserve">). Počty hodnocených regionů NUTS 2 jsou uvedeny v závorce (vč. vzdálených ostrovních regionů Francie, Španělska a Portugalska).                                                                                                                      </w:t>
            </w:r>
            <w:r w:rsidRPr="00886A8F">
              <w:rPr>
                <w:sz w:val="18"/>
                <w:szCs w:val="18"/>
                <w:lang w:eastAsia="en-US"/>
              </w:rPr>
              <w:t xml:space="preserve">Zdroj: </w:t>
            </w:r>
            <w:proofErr w:type="spellStart"/>
            <w:r>
              <w:rPr>
                <w:sz w:val="18"/>
                <w:szCs w:val="18"/>
                <w:lang w:eastAsia="en-US"/>
              </w:rPr>
              <w:t>Eurostat</w:t>
            </w:r>
            <w:proofErr w:type="spellEnd"/>
            <w:r>
              <w:rPr>
                <w:sz w:val="18"/>
                <w:szCs w:val="18"/>
                <w:lang w:eastAsia="en-US"/>
              </w:rPr>
              <w:t>, vlastní výpočty</w:t>
            </w:r>
          </w:p>
        </w:tc>
      </w:tr>
    </w:tbl>
    <w:p w:rsidR="005D4336" w:rsidRDefault="005D4336" w:rsidP="005D4336">
      <w:pPr>
        <w:pStyle w:val="Textpoznpodarou"/>
        <w:jc w:val="both"/>
        <w:rPr>
          <w:rFonts w:cs="Arial"/>
          <w:color w:val="000000" w:themeColor="text1"/>
          <w:spacing w:val="-2"/>
        </w:rPr>
      </w:pPr>
    </w:p>
    <w:tbl>
      <w:tblPr>
        <w:tblW w:w="4999" w:type="pct"/>
        <w:tblLayout w:type="fixed"/>
        <w:tblCellMar>
          <w:left w:w="28" w:type="dxa"/>
          <w:right w:w="28" w:type="dxa"/>
        </w:tblCellMar>
        <w:tblLook w:val="04A0"/>
      </w:tblPr>
      <w:tblGrid>
        <w:gridCol w:w="751"/>
        <w:gridCol w:w="1291"/>
        <w:gridCol w:w="273"/>
        <w:gridCol w:w="2533"/>
        <w:gridCol w:w="847"/>
        <w:gridCol w:w="3997"/>
      </w:tblGrid>
      <w:tr w:rsidR="005D4336" w:rsidTr="004D74FF">
        <w:tc>
          <w:tcPr>
            <w:tcW w:w="1053" w:type="pct"/>
            <w:gridSpan w:val="2"/>
          </w:tcPr>
          <w:p w:rsidR="005D4336" w:rsidRPr="00372465" w:rsidRDefault="005D4336" w:rsidP="009271BA">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Největší meziregionální rozdíly v míře dlouhodobé nezaměstnanosti byly v roce 2015 v Itálii, nízké naopak v severských státech a</w:t>
            </w:r>
            <w:r w:rsidR="009271BA">
              <w:rPr>
                <w:rFonts w:cs="Arial"/>
                <w:bCs/>
                <w:iCs/>
                <w:color w:val="0D0D0D" w:themeColor="text1" w:themeTint="F2"/>
                <w:spacing w:val="-2"/>
                <w:sz w:val="16"/>
                <w:szCs w:val="16"/>
              </w:rPr>
              <w:t> </w:t>
            </w:r>
            <w:r>
              <w:rPr>
                <w:rFonts w:cs="Arial"/>
                <w:bCs/>
                <w:iCs/>
                <w:color w:val="0D0D0D" w:themeColor="text1" w:themeTint="F2"/>
                <w:spacing w:val="-2"/>
                <w:sz w:val="16"/>
                <w:szCs w:val="16"/>
              </w:rPr>
              <w:t>Nizozemsku</w:t>
            </w:r>
          </w:p>
        </w:tc>
        <w:tc>
          <w:tcPr>
            <w:tcW w:w="141" w:type="pct"/>
          </w:tcPr>
          <w:p w:rsidR="005D4336" w:rsidRPr="009720D9" w:rsidRDefault="005D4336" w:rsidP="007A0BF4">
            <w:pPr>
              <w:pStyle w:val="Textpoznpodarou"/>
              <w:jc w:val="both"/>
              <w:rPr>
                <w:color w:val="0D0D0D" w:themeColor="text1" w:themeTint="F2"/>
              </w:rPr>
            </w:pPr>
          </w:p>
        </w:tc>
        <w:tc>
          <w:tcPr>
            <w:tcW w:w="3806" w:type="pct"/>
            <w:gridSpan w:val="3"/>
          </w:tcPr>
          <w:p w:rsidR="005D4336" w:rsidRPr="00AE67DA" w:rsidRDefault="005D4336" w:rsidP="007A0BF4">
            <w:pPr>
              <w:pStyle w:val="Textpoznpodarou"/>
              <w:jc w:val="both"/>
              <w:rPr>
                <w:rFonts w:cs="Arial"/>
                <w:color w:val="0D0D0D" w:themeColor="text1" w:themeTint="F2"/>
                <w:spacing w:val="-2"/>
              </w:rPr>
            </w:pPr>
            <w:r w:rsidRPr="00AE67DA">
              <w:rPr>
                <w:rFonts w:cs="Arial"/>
                <w:color w:val="0D0D0D" w:themeColor="text1" w:themeTint="F2"/>
                <w:spacing w:val="-2"/>
              </w:rPr>
              <w:t xml:space="preserve">Nezaměstnanost je v EU tradičně diferencována nejen mezi jednotlivými státy, ale na nižší úrovni také v rámci </w:t>
            </w:r>
            <w:r w:rsidRPr="00AE67DA">
              <w:rPr>
                <w:rFonts w:cs="Arial"/>
                <w:color w:val="000000" w:themeColor="text1"/>
                <w:spacing w:val="-2"/>
              </w:rPr>
              <w:t>nich. To se týká zejména dlouhodobé nezaměstnanosti (zachycující osoby nezaměstnané déle než 12 měsíců). Nejhorší postavení má Řecko, jehož vysoká míra nezaměstnanosti má na rozdíl od většiny jihoevropských zemi také výrazně dlouhodobý charakter. Řecko patří rovněž k zemím s nejvyššími regionální</w:t>
            </w:r>
            <w:r w:rsidR="000350FB">
              <w:rPr>
                <w:rFonts w:cs="Arial"/>
                <w:color w:val="000000" w:themeColor="text1"/>
                <w:spacing w:val="-2"/>
              </w:rPr>
              <w:t>mi</w:t>
            </w:r>
            <w:r w:rsidRPr="00AE67DA">
              <w:rPr>
                <w:rFonts w:cs="Arial"/>
                <w:color w:val="000000" w:themeColor="text1"/>
                <w:spacing w:val="-2"/>
              </w:rPr>
              <w:t xml:space="preserve"> rozdíly (míra dlouhodobé nezaměstnanosti v některých ostrovních regionech těžících z cestovního</w:t>
            </w:r>
            <w:r w:rsidRPr="00AE67DA">
              <w:rPr>
                <w:rFonts w:cs="Arial"/>
                <w:color w:val="0D0D0D" w:themeColor="text1" w:themeTint="F2"/>
                <w:spacing w:val="-2"/>
              </w:rPr>
              <w:t xml:space="preserve"> ruchu byla v roce 2015 proti regionu hlavního města pouze třetinová). Rozvinuté meziregionální disparity jsou typické také pro Španělsko a Francii, zde jsou však zčásti „uměle“ navýšeny vzdálenými relativně malými ostrovními regiony. Největší rozdíly mezi regiony NUTS 2 tak vykázala Itálie s tradiční severojižní polaritou (zatímco v tyrolském regionu </w:t>
            </w:r>
            <w:proofErr w:type="spellStart"/>
            <w:r w:rsidRPr="00AE67DA">
              <w:rPr>
                <w:rFonts w:cs="Arial"/>
                <w:color w:val="0D0D0D" w:themeColor="text1" w:themeTint="F2"/>
                <w:spacing w:val="-2"/>
              </w:rPr>
              <w:t>Bolzano</w:t>
            </w:r>
            <w:proofErr w:type="spellEnd"/>
            <w:r w:rsidRPr="00AE67DA">
              <w:rPr>
                <w:rFonts w:cs="Arial"/>
                <w:color w:val="0D0D0D" w:themeColor="text1" w:themeTint="F2"/>
                <w:spacing w:val="-2"/>
              </w:rPr>
              <w:t xml:space="preserve"> činila míra dlouhodobé nezaměstnanosti jen 1,3 %, v Kalábrii 15,3 %). Česko patří k zemím se spíše nižšími disparitami, které navyšují především regiony Severozápad</w:t>
            </w:r>
            <w:r>
              <w:rPr>
                <w:rFonts w:cs="Arial"/>
                <w:color w:val="0D0D0D" w:themeColor="text1" w:themeTint="F2"/>
                <w:spacing w:val="-2"/>
              </w:rPr>
              <w:t xml:space="preserve"> (4,3 %) a</w:t>
            </w:r>
            <w:r w:rsidRPr="00AE67DA">
              <w:rPr>
                <w:rFonts w:cs="Arial"/>
                <w:color w:val="0D0D0D" w:themeColor="text1" w:themeTint="F2"/>
                <w:spacing w:val="-2"/>
              </w:rPr>
              <w:t> </w:t>
            </w:r>
            <w:proofErr w:type="spellStart"/>
            <w:r w:rsidRPr="00AE67DA">
              <w:rPr>
                <w:rFonts w:cs="Arial"/>
                <w:color w:val="0D0D0D" w:themeColor="text1" w:themeTint="F2"/>
                <w:spacing w:val="-2"/>
              </w:rPr>
              <w:t>Moravskoslezsko</w:t>
            </w:r>
            <w:proofErr w:type="spellEnd"/>
            <w:r w:rsidRPr="00AE67DA">
              <w:rPr>
                <w:rFonts w:cs="Arial"/>
                <w:color w:val="0D0D0D" w:themeColor="text1" w:themeTint="F2"/>
                <w:spacing w:val="-2"/>
              </w:rPr>
              <w:t xml:space="preserve"> (4,5 %). Důležitou pozici zastávají regiony hlavních měst. Zatímco ve většině novějších členských zemí patří k územím nejméně postiženým dlouhodobou nezaměstnaností (ČR, SR, Rumunsko), v některých tradičních státech Unie (Velká Británie, Německo, Rakousko, Belgie) je tomu naopak. Dlouhodobá nezaměstnanost zde souvisí s vyšším zastoupením </w:t>
            </w:r>
            <w:proofErr w:type="spellStart"/>
            <w:r w:rsidRPr="00AE67DA">
              <w:rPr>
                <w:rFonts w:cs="Arial"/>
                <w:color w:val="0D0D0D" w:themeColor="text1" w:themeTint="F2"/>
                <w:spacing w:val="-2"/>
              </w:rPr>
              <w:t>nízkokvalifikovaných</w:t>
            </w:r>
            <w:proofErr w:type="spellEnd"/>
            <w:r w:rsidRPr="00AE67DA">
              <w:rPr>
                <w:rFonts w:cs="Arial"/>
                <w:color w:val="0D0D0D" w:themeColor="text1" w:themeTint="F2"/>
                <w:spacing w:val="-2"/>
              </w:rPr>
              <w:t xml:space="preserve"> pracovníků, často původem ze zemí mimo EU. V samotném Bruselu dosahovala 11,4 % (při podílu uchazečů nezaměstnaných déle než </w:t>
            </w:r>
            <w:r w:rsidR="007E6A56">
              <w:rPr>
                <w:rFonts w:cs="Arial"/>
                <w:color w:val="0D0D0D" w:themeColor="text1" w:themeTint="F2"/>
                <w:spacing w:val="-2"/>
              </w:rPr>
              <w:t>rok 64 %) a blížila se některým</w:t>
            </w:r>
            <w:r w:rsidRPr="00AE67DA">
              <w:rPr>
                <w:rFonts w:cs="Arial"/>
                <w:color w:val="0D0D0D" w:themeColor="text1" w:themeTint="F2"/>
                <w:spacing w:val="-2"/>
              </w:rPr>
              <w:t xml:space="preserve"> postiženým rurálním regionům jižní Itálie, Řecka či Španělska.</w:t>
            </w:r>
          </w:p>
        </w:tc>
      </w:tr>
      <w:tr w:rsidR="005D4336" w:rsidTr="004D74FF">
        <w:tc>
          <w:tcPr>
            <w:tcW w:w="387" w:type="pct"/>
          </w:tcPr>
          <w:p w:rsidR="005D4336" w:rsidRPr="007E77FB" w:rsidRDefault="005D4336" w:rsidP="007A0BF4">
            <w:pPr>
              <w:pStyle w:val="Textpoznpodarou"/>
              <w:rPr>
                <w:lang w:eastAsia="en-US"/>
              </w:rPr>
            </w:pPr>
            <w:r w:rsidRPr="007E77FB">
              <w:rPr>
                <w:lang w:eastAsia="en-US"/>
              </w:rPr>
              <w:lastRenderedPageBreak/>
              <w:t>Graf č.</w:t>
            </w:r>
            <w:r>
              <w:rPr>
                <w:lang w:eastAsia="en-US"/>
              </w:rPr>
              <w:t> 13</w:t>
            </w:r>
          </w:p>
        </w:tc>
        <w:tc>
          <w:tcPr>
            <w:tcW w:w="2114" w:type="pct"/>
            <w:gridSpan w:val="3"/>
          </w:tcPr>
          <w:p w:rsidR="005D4336" w:rsidRDefault="005D4336" w:rsidP="007A0BF4">
            <w:pPr>
              <w:pStyle w:val="Textpoznpodarou"/>
              <w:rPr>
                <w:b/>
                <w:spacing w:val="-2"/>
                <w:lang w:eastAsia="en-US"/>
              </w:rPr>
            </w:pPr>
            <w:r w:rsidRPr="00886A8F">
              <w:rPr>
                <w:b/>
                <w:spacing w:val="-2"/>
                <w:lang w:eastAsia="en-US"/>
              </w:rPr>
              <w:t xml:space="preserve">Průměrná hrubá měsíční mzda nominálně </w:t>
            </w:r>
          </w:p>
          <w:p w:rsidR="005D4336" w:rsidRDefault="005D4336" w:rsidP="007A0BF4">
            <w:pPr>
              <w:pStyle w:val="Textpoznpodarou"/>
              <w:rPr>
                <w:b/>
                <w:spacing w:val="-2"/>
                <w:lang w:eastAsia="en-US"/>
              </w:rPr>
            </w:pPr>
            <w:r w:rsidRPr="00886A8F">
              <w:rPr>
                <w:b/>
                <w:spacing w:val="-2"/>
                <w:lang w:eastAsia="en-US"/>
              </w:rPr>
              <w:t xml:space="preserve">a reálně </w:t>
            </w:r>
          </w:p>
          <w:p w:rsidR="005D4336" w:rsidRPr="00816E02" w:rsidRDefault="005D4336" w:rsidP="007A0BF4">
            <w:pPr>
              <w:pStyle w:val="Textpoznpodarou"/>
              <w:rPr>
                <w:lang w:eastAsia="en-US"/>
              </w:rPr>
            </w:pPr>
            <w:r w:rsidRPr="00816E02">
              <w:rPr>
                <w:lang w:eastAsia="en-US"/>
              </w:rPr>
              <w:t>(na přepočtené počty zaměstnanců, y/y v %)</w:t>
            </w:r>
          </w:p>
        </w:tc>
        <w:tc>
          <w:tcPr>
            <w:tcW w:w="437" w:type="pct"/>
          </w:tcPr>
          <w:p w:rsidR="005D4336" w:rsidRPr="007E77FB" w:rsidRDefault="005D4336" w:rsidP="007A0BF4">
            <w:pPr>
              <w:pStyle w:val="Textpoznpodarou"/>
              <w:rPr>
                <w:lang w:eastAsia="en-US"/>
              </w:rPr>
            </w:pPr>
            <w:r w:rsidRPr="007E77FB">
              <w:rPr>
                <w:lang w:eastAsia="en-US"/>
              </w:rPr>
              <w:t>Graf č.</w:t>
            </w:r>
            <w:r>
              <w:rPr>
                <w:lang w:eastAsia="en-US"/>
              </w:rPr>
              <w:t> 14</w:t>
            </w:r>
          </w:p>
        </w:tc>
        <w:tc>
          <w:tcPr>
            <w:tcW w:w="2062" w:type="pct"/>
          </w:tcPr>
          <w:p w:rsidR="005D4336" w:rsidRDefault="00A716EC" w:rsidP="007A0BF4">
            <w:pPr>
              <w:pStyle w:val="Textpoznpodarou"/>
              <w:rPr>
                <w:b/>
                <w:spacing w:val="-4"/>
                <w:lang w:eastAsia="en-US"/>
              </w:rPr>
            </w:pPr>
            <w:proofErr w:type="spellStart"/>
            <w:r>
              <w:rPr>
                <w:b/>
                <w:spacing w:val="-4"/>
                <w:lang w:eastAsia="en-US"/>
              </w:rPr>
              <w:t>Prům</w:t>
            </w:r>
            <w:proofErr w:type="spellEnd"/>
            <w:r>
              <w:rPr>
                <w:b/>
                <w:spacing w:val="-4"/>
                <w:lang w:eastAsia="en-US"/>
              </w:rPr>
              <w:t>.</w:t>
            </w:r>
            <w:r w:rsidR="005D4336">
              <w:rPr>
                <w:b/>
                <w:spacing w:val="-4"/>
                <w:lang w:eastAsia="en-US"/>
              </w:rPr>
              <w:t xml:space="preserve"> hrubá</w:t>
            </w:r>
            <w:r w:rsidR="005D4336" w:rsidRPr="008046EE">
              <w:rPr>
                <w:b/>
                <w:spacing w:val="-4"/>
                <w:lang w:eastAsia="en-US"/>
              </w:rPr>
              <w:t xml:space="preserve"> měsíční</w:t>
            </w:r>
            <w:r w:rsidR="005D4336">
              <w:rPr>
                <w:b/>
                <w:spacing w:val="-4"/>
                <w:lang w:eastAsia="en-US"/>
              </w:rPr>
              <w:t xml:space="preserve"> mzda</w:t>
            </w:r>
            <w:r w:rsidR="005D4336" w:rsidRPr="008046EE">
              <w:rPr>
                <w:b/>
                <w:spacing w:val="-4"/>
                <w:lang w:eastAsia="en-US"/>
              </w:rPr>
              <w:t xml:space="preserve"> </w:t>
            </w:r>
            <w:r w:rsidR="005D4336" w:rsidRPr="008046EE">
              <w:rPr>
                <w:spacing w:val="-4"/>
                <w:lang w:eastAsia="en-US"/>
              </w:rPr>
              <w:t>(</w:t>
            </w:r>
            <w:r w:rsidR="005D4336">
              <w:rPr>
                <w:spacing w:val="-4"/>
                <w:lang w:eastAsia="en-US"/>
              </w:rPr>
              <w:t>na přepočtené</w:t>
            </w:r>
            <w:r w:rsidR="005D4336" w:rsidRPr="008046EE">
              <w:rPr>
                <w:spacing w:val="-4"/>
                <w:lang w:eastAsia="en-US"/>
              </w:rPr>
              <w:t xml:space="preserve"> počty zaměstnanců) </w:t>
            </w:r>
            <w:r w:rsidR="005D4336" w:rsidRPr="008046EE">
              <w:rPr>
                <w:b/>
                <w:spacing w:val="-4"/>
                <w:lang w:eastAsia="en-US"/>
              </w:rPr>
              <w:t xml:space="preserve">a </w:t>
            </w:r>
            <w:r w:rsidR="005D4336">
              <w:rPr>
                <w:b/>
                <w:spacing w:val="-4"/>
                <w:lang w:eastAsia="en-US"/>
              </w:rPr>
              <w:t xml:space="preserve">zaměstnanost </w:t>
            </w:r>
          </w:p>
          <w:p w:rsidR="005D4336" w:rsidRPr="008046EE" w:rsidRDefault="005D4336" w:rsidP="007A0BF4">
            <w:pPr>
              <w:pStyle w:val="Textpoznpodarou"/>
              <w:rPr>
                <w:b/>
                <w:spacing w:val="-4"/>
                <w:lang w:eastAsia="en-US"/>
              </w:rPr>
            </w:pPr>
            <w:r>
              <w:rPr>
                <w:b/>
                <w:spacing w:val="-4"/>
                <w:lang w:eastAsia="en-US"/>
              </w:rPr>
              <w:t xml:space="preserve">ve vybraných </w:t>
            </w:r>
            <w:r w:rsidRPr="007B74BE">
              <w:rPr>
                <w:b/>
                <w:spacing w:val="-4"/>
                <w:lang w:eastAsia="en-US"/>
              </w:rPr>
              <w:t>odvětvích v r</w:t>
            </w:r>
            <w:r>
              <w:rPr>
                <w:b/>
                <w:spacing w:val="-4"/>
                <w:lang w:eastAsia="en-US"/>
              </w:rPr>
              <w:t>o</w:t>
            </w:r>
            <w:r w:rsidRPr="007B74BE">
              <w:rPr>
                <w:b/>
                <w:spacing w:val="-4"/>
                <w:lang w:eastAsia="en-US"/>
              </w:rPr>
              <w:t>ce 2015</w:t>
            </w:r>
          </w:p>
        </w:tc>
      </w:tr>
      <w:tr w:rsidR="005D4336" w:rsidTr="004D74FF">
        <w:tc>
          <w:tcPr>
            <w:tcW w:w="2501" w:type="pct"/>
            <w:gridSpan w:val="4"/>
          </w:tcPr>
          <w:p w:rsidR="005D4336" w:rsidRDefault="00C20031" w:rsidP="007A0BF4">
            <w:pPr>
              <w:pStyle w:val="Textpoznpodarou"/>
              <w:jc w:val="both"/>
            </w:pPr>
            <w:r>
              <w:rPr>
                <w:noProof/>
              </w:rPr>
              <w:pict>
                <v:shape id="_x0000_i1064" type="#_x0000_t75" style="width:239.8pt;height:190.95pt;visibility:visible;mso-wrap-style:square">
                  <v:imagedata r:id="rId22" o:title=""/>
                </v:shape>
              </w:pict>
            </w:r>
          </w:p>
        </w:tc>
        <w:tc>
          <w:tcPr>
            <w:tcW w:w="2499" w:type="pct"/>
            <w:gridSpan w:val="2"/>
          </w:tcPr>
          <w:p w:rsidR="005D4336" w:rsidRDefault="00C20031" w:rsidP="007A0BF4">
            <w:pPr>
              <w:pStyle w:val="Textpoznpodarou"/>
              <w:jc w:val="both"/>
            </w:pPr>
            <w:r>
              <w:rPr>
                <w:noProof/>
              </w:rPr>
              <w:pict>
                <v:shape id="_x0000_i1065" type="#_x0000_t75" style="width:237.9pt;height:190.95pt;visibility:visible;mso-wrap-style:square">
                  <v:imagedata r:id="rId23" o:title=""/>
                </v:shape>
              </w:pict>
            </w:r>
          </w:p>
        </w:tc>
      </w:tr>
      <w:tr w:rsidR="005D4336" w:rsidTr="00A716EC">
        <w:tc>
          <w:tcPr>
            <w:tcW w:w="5000" w:type="pct"/>
            <w:gridSpan w:val="6"/>
          </w:tcPr>
          <w:p w:rsidR="005D4336" w:rsidRPr="004C5813" w:rsidRDefault="005D4336" w:rsidP="007A0BF4">
            <w:pPr>
              <w:autoSpaceDE w:val="0"/>
              <w:autoSpaceDN w:val="0"/>
              <w:adjustRightInd w:val="0"/>
              <w:spacing w:line="240" w:lineRule="auto"/>
              <w:jc w:val="right"/>
              <w:rPr>
                <w:rFonts w:cs="Arial"/>
                <w:color w:val="000000" w:themeColor="text1"/>
                <w:spacing w:val="-2"/>
                <w:sz w:val="18"/>
                <w:szCs w:val="18"/>
              </w:rPr>
            </w:pPr>
            <w:r>
              <w:rPr>
                <w:sz w:val="18"/>
                <w:szCs w:val="18"/>
                <w:lang w:eastAsia="en-US"/>
              </w:rPr>
              <w:t>Zdroj: ČSÚ</w:t>
            </w:r>
          </w:p>
        </w:tc>
      </w:tr>
    </w:tbl>
    <w:p w:rsidR="005D4336" w:rsidRPr="00202C91" w:rsidRDefault="005D4336" w:rsidP="005D4336">
      <w:pPr>
        <w:pStyle w:val="Textpoznpodarou"/>
        <w:jc w:val="both"/>
        <w:rPr>
          <w:rFonts w:cs="Arial"/>
          <w:color w:val="000000" w:themeColor="text1"/>
          <w:spacing w:val="-2"/>
          <w:sz w:val="16"/>
          <w:szCs w:val="16"/>
        </w:rPr>
      </w:pPr>
    </w:p>
    <w:tbl>
      <w:tblPr>
        <w:tblW w:w="5000" w:type="pct"/>
        <w:tblCellMar>
          <w:left w:w="28" w:type="dxa"/>
          <w:right w:w="28" w:type="dxa"/>
        </w:tblCellMar>
        <w:tblLook w:val="04A0"/>
      </w:tblPr>
      <w:tblGrid>
        <w:gridCol w:w="2044"/>
        <w:gridCol w:w="275"/>
        <w:gridCol w:w="7375"/>
      </w:tblGrid>
      <w:tr w:rsidR="005D4336" w:rsidTr="007A0BF4">
        <w:tc>
          <w:tcPr>
            <w:tcW w:w="1054" w:type="pct"/>
          </w:tcPr>
          <w:p w:rsidR="005D4336" w:rsidRPr="007159D2" w:rsidRDefault="005D4336" w:rsidP="007A0BF4">
            <w:pPr>
              <w:spacing w:line="240" w:lineRule="auto"/>
              <w:rPr>
                <w:rFonts w:cs="Arial"/>
                <w:bCs/>
                <w:iCs/>
                <w:color w:val="0D0D0D" w:themeColor="text1" w:themeTint="F2"/>
                <w:spacing w:val="-4"/>
                <w:sz w:val="16"/>
                <w:szCs w:val="16"/>
              </w:rPr>
            </w:pPr>
            <w:r w:rsidRPr="007159D2">
              <w:rPr>
                <w:rFonts w:cs="Arial"/>
                <w:bCs/>
                <w:iCs/>
                <w:color w:val="0D0D0D" w:themeColor="text1" w:themeTint="F2"/>
                <w:spacing w:val="-4"/>
                <w:sz w:val="16"/>
                <w:szCs w:val="16"/>
              </w:rPr>
              <w:t>Výrazné zrychlení meziročního tempa růstu mezd v průběhu roku 2015</w:t>
            </w:r>
          </w:p>
          <w:p w:rsidR="005D4336" w:rsidRPr="007159D2" w:rsidRDefault="005D4336" w:rsidP="007A0BF4">
            <w:pPr>
              <w:spacing w:line="240" w:lineRule="auto"/>
              <w:rPr>
                <w:rFonts w:cs="Arial"/>
                <w:bCs/>
                <w:iCs/>
                <w:color w:val="0D0D0D" w:themeColor="text1" w:themeTint="F2"/>
                <w:spacing w:val="-4"/>
                <w:sz w:val="16"/>
                <w:szCs w:val="16"/>
              </w:rPr>
            </w:pPr>
          </w:p>
          <w:p w:rsidR="005D4336" w:rsidRPr="007159D2" w:rsidRDefault="005D4336" w:rsidP="007A0BF4">
            <w:pPr>
              <w:spacing w:line="240" w:lineRule="auto"/>
              <w:rPr>
                <w:rFonts w:cs="Arial"/>
                <w:bCs/>
                <w:iCs/>
                <w:color w:val="0D0D0D" w:themeColor="text1" w:themeTint="F2"/>
                <w:spacing w:val="-4"/>
                <w:sz w:val="16"/>
                <w:szCs w:val="16"/>
              </w:rPr>
            </w:pPr>
          </w:p>
          <w:p w:rsidR="005D4336" w:rsidRPr="007159D2" w:rsidRDefault="005D4336" w:rsidP="007A0BF4">
            <w:pPr>
              <w:spacing w:line="240" w:lineRule="auto"/>
              <w:rPr>
                <w:rFonts w:cs="Arial"/>
                <w:bCs/>
                <w:iCs/>
                <w:color w:val="0D0D0D" w:themeColor="text1" w:themeTint="F2"/>
                <w:spacing w:val="-4"/>
                <w:sz w:val="16"/>
                <w:szCs w:val="16"/>
              </w:rPr>
            </w:pPr>
          </w:p>
          <w:p w:rsidR="005D4336" w:rsidRPr="007159D2" w:rsidRDefault="005D4336" w:rsidP="007A0BF4">
            <w:pPr>
              <w:spacing w:line="240" w:lineRule="auto"/>
              <w:rPr>
                <w:rFonts w:cs="Arial"/>
                <w:bCs/>
                <w:iCs/>
                <w:color w:val="0D0D0D" w:themeColor="text1" w:themeTint="F2"/>
                <w:spacing w:val="-4"/>
                <w:sz w:val="16"/>
                <w:szCs w:val="16"/>
              </w:rPr>
            </w:pPr>
          </w:p>
          <w:p w:rsidR="005D4336" w:rsidRPr="007159D2" w:rsidRDefault="005D4336" w:rsidP="007A0BF4">
            <w:pPr>
              <w:spacing w:line="240" w:lineRule="auto"/>
              <w:rPr>
                <w:rFonts w:cs="Arial"/>
                <w:bCs/>
                <w:iCs/>
                <w:color w:val="0D0D0D" w:themeColor="text1" w:themeTint="F2"/>
                <w:spacing w:val="-4"/>
                <w:sz w:val="16"/>
                <w:szCs w:val="16"/>
              </w:rPr>
            </w:pPr>
          </w:p>
          <w:p w:rsidR="005D4336" w:rsidRDefault="005D4336" w:rsidP="007A0BF4">
            <w:pPr>
              <w:spacing w:line="240" w:lineRule="auto"/>
              <w:rPr>
                <w:rFonts w:cs="Arial"/>
                <w:bCs/>
                <w:iCs/>
                <w:color w:val="0D0D0D" w:themeColor="text1" w:themeTint="F2"/>
                <w:spacing w:val="-4"/>
                <w:sz w:val="16"/>
                <w:szCs w:val="16"/>
              </w:rPr>
            </w:pPr>
          </w:p>
          <w:p w:rsidR="005D4336" w:rsidRDefault="005D4336" w:rsidP="007A0BF4">
            <w:pPr>
              <w:spacing w:line="240" w:lineRule="auto"/>
              <w:rPr>
                <w:rFonts w:cs="Arial"/>
                <w:bCs/>
                <w:iCs/>
                <w:color w:val="0D0D0D" w:themeColor="text1" w:themeTint="F2"/>
                <w:spacing w:val="-4"/>
                <w:sz w:val="16"/>
                <w:szCs w:val="16"/>
              </w:rPr>
            </w:pPr>
          </w:p>
          <w:p w:rsidR="005D4336" w:rsidRDefault="005D4336" w:rsidP="007A0BF4">
            <w:pPr>
              <w:spacing w:line="240" w:lineRule="auto"/>
              <w:rPr>
                <w:rFonts w:cs="Arial"/>
                <w:bCs/>
                <w:iCs/>
                <w:color w:val="0D0D0D" w:themeColor="text1" w:themeTint="F2"/>
                <w:spacing w:val="-4"/>
                <w:sz w:val="16"/>
                <w:szCs w:val="16"/>
              </w:rPr>
            </w:pPr>
          </w:p>
          <w:p w:rsidR="005D4336" w:rsidRDefault="005D4336" w:rsidP="007A0BF4">
            <w:pPr>
              <w:spacing w:line="240" w:lineRule="auto"/>
              <w:rPr>
                <w:rFonts w:cs="Arial"/>
                <w:bCs/>
                <w:iCs/>
                <w:color w:val="0D0D0D" w:themeColor="text1" w:themeTint="F2"/>
                <w:spacing w:val="-4"/>
                <w:sz w:val="16"/>
                <w:szCs w:val="16"/>
              </w:rPr>
            </w:pPr>
          </w:p>
          <w:p w:rsidR="005D4336" w:rsidRDefault="005D4336" w:rsidP="007A0BF4">
            <w:pPr>
              <w:spacing w:line="240" w:lineRule="auto"/>
              <w:rPr>
                <w:rFonts w:cs="Arial"/>
                <w:bCs/>
                <w:iCs/>
                <w:color w:val="0D0D0D" w:themeColor="text1" w:themeTint="F2"/>
                <w:spacing w:val="-4"/>
                <w:sz w:val="16"/>
                <w:szCs w:val="16"/>
              </w:rPr>
            </w:pPr>
          </w:p>
          <w:p w:rsidR="005D4336" w:rsidRDefault="005D4336" w:rsidP="007A0BF4">
            <w:pPr>
              <w:spacing w:line="240" w:lineRule="auto"/>
              <w:rPr>
                <w:rFonts w:cs="Arial"/>
                <w:bCs/>
                <w:iCs/>
                <w:color w:val="0D0D0D" w:themeColor="text1" w:themeTint="F2"/>
                <w:spacing w:val="-4"/>
                <w:sz w:val="16"/>
                <w:szCs w:val="16"/>
              </w:rPr>
            </w:pPr>
          </w:p>
          <w:p w:rsidR="005D4336" w:rsidRPr="007159D2" w:rsidRDefault="005D4336" w:rsidP="007A0BF4">
            <w:pPr>
              <w:spacing w:line="240" w:lineRule="auto"/>
              <w:rPr>
                <w:rFonts w:cs="Arial"/>
                <w:bCs/>
                <w:iCs/>
                <w:color w:val="0D0D0D" w:themeColor="text1" w:themeTint="F2"/>
                <w:spacing w:val="-4"/>
                <w:sz w:val="16"/>
                <w:szCs w:val="16"/>
              </w:rPr>
            </w:pPr>
          </w:p>
          <w:p w:rsidR="005D4336" w:rsidRPr="007159D2" w:rsidRDefault="005D4336" w:rsidP="007A0BF4">
            <w:pPr>
              <w:spacing w:line="240" w:lineRule="auto"/>
              <w:rPr>
                <w:rFonts w:cs="Arial"/>
                <w:bCs/>
                <w:iCs/>
                <w:color w:val="0D0D0D" w:themeColor="text1" w:themeTint="F2"/>
                <w:spacing w:val="-4"/>
                <w:sz w:val="16"/>
                <w:szCs w:val="16"/>
              </w:rPr>
            </w:pPr>
          </w:p>
          <w:p w:rsidR="005D4336" w:rsidRPr="007159D2" w:rsidRDefault="005D4336" w:rsidP="007A0BF4">
            <w:pPr>
              <w:spacing w:line="240" w:lineRule="auto"/>
              <w:rPr>
                <w:rFonts w:cs="Arial"/>
                <w:bCs/>
                <w:iCs/>
                <w:color w:val="0D0D0D" w:themeColor="text1" w:themeTint="F2"/>
                <w:spacing w:val="-4"/>
                <w:sz w:val="16"/>
                <w:szCs w:val="16"/>
              </w:rPr>
            </w:pPr>
          </w:p>
          <w:p w:rsidR="005D4336" w:rsidRPr="00E23B96" w:rsidRDefault="005D4336" w:rsidP="007A0BF4">
            <w:pPr>
              <w:spacing w:line="240" w:lineRule="auto"/>
              <w:rPr>
                <w:rFonts w:cs="Arial"/>
                <w:bCs/>
                <w:iCs/>
                <w:color w:val="0D0D0D" w:themeColor="text1" w:themeTint="F2"/>
                <w:spacing w:val="-4"/>
                <w:sz w:val="14"/>
                <w:szCs w:val="14"/>
              </w:rPr>
            </w:pPr>
            <w:r>
              <w:rPr>
                <w:rFonts w:cs="Arial"/>
                <w:bCs/>
                <w:iCs/>
                <w:color w:val="0D0D0D" w:themeColor="text1" w:themeTint="F2"/>
                <w:spacing w:val="-4"/>
                <w:sz w:val="16"/>
                <w:szCs w:val="16"/>
              </w:rPr>
              <w:t>Zvýšení</w:t>
            </w:r>
            <w:r w:rsidRPr="007159D2">
              <w:rPr>
                <w:rFonts w:cs="Arial"/>
                <w:bCs/>
                <w:iCs/>
                <w:color w:val="0D0D0D" w:themeColor="text1" w:themeTint="F2"/>
                <w:spacing w:val="-4"/>
                <w:sz w:val="16"/>
                <w:szCs w:val="16"/>
              </w:rPr>
              <w:t xml:space="preserve"> minimální mzdy přispělo k zastavení dalšího prohlubování mzdové diferenciace</w:t>
            </w: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Pr="00231486" w:rsidRDefault="005D4336" w:rsidP="007A0BF4">
            <w:pPr>
              <w:pStyle w:val="Textpoznpodarou"/>
              <w:jc w:val="both"/>
              <w:rPr>
                <w:rFonts w:cs="Arial"/>
                <w:color w:val="0D0D0D" w:themeColor="text1" w:themeTint="F2"/>
                <w:spacing w:val="-4"/>
              </w:rPr>
            </w:pPr>
            <w:r w:rsidRPr="00231486">
              <w:rPr>
                <w:rFonts w:cs="Arial"/>
                <w:color w:val="0D0D0D" w:themeColor="text1" w:themeTint="F2"/>
                <w:spacing w:val="-4"/>
              </w:rPr>
              <w:t xml:space="preserve">Stoupající poptávka po pracovních silách se v ČR postupně projevila i v oblasti výdělků. Tempo </w:t>
            </w:r>
            <w:r w:rsidRPr="00231486">
              <w:rPr>
                <w:rFonts w:cs="Arial"/>
                <w:color w:val="000000" w:themeColor="text1"/>
                <w:spacing w:val="-4"/>
              </w:rPr>
              <w:t>růstu průměrných mezd (</w:t>
            </w:r>
            <w:r w:rsidRPr="00231486">
              <w:rPr>
                <w:color w:val="000000" w:themeColor="text1"/>
                <w:spacing w:val="-4"/>
              </w:rPr>
              <w:t>na přepočtené</w:t>
            </w:r>
            <w:r w:rsidRPr="00231486">
              <w:rPr>
                <w:spacing w:val="-4"/>
              </w:rPr>
              <w:t xml:space="preserve"> počty zaměstnanců) </w:t>
            </w:r>
            <w:r w:rsidRPr="00231486">
              <w:rPr>
                <w:rFonts w:cs="Arial"/>
                <w:color w:val="0D0D0D" w:themeColor="text1" w:themeTint="F2"/>
                <w:spacing w:val="-4"/>
              </w:rPr>
              <w:t>bylo v</w:t>
            </w:r>
            <w:r w:rsidR="000C6C84">
              <w:rPr>
                <w:rFonts w:cs="Arial"/>
                <w:color w:val="0D0D0D" w:themeColor="text1" w:themeTint="F2"/>
                <w:spacing w:val="-4"/>
              </w:rPr>
              <w:t> </w:t>
            </w:r>
            <w:r w:rsidRPr="00231486">
              <w:rPr>
                <w:rFonts w:cs="Arial"/>
                <w:color w:val="0D0D0D" w:themeColor="text1" w:themeTint="F2"/>
                <w:spacing w:val="-4"/>
              </w:rPr>
              <w:t xml:space="preserve">roce 2015 </w:t>
            </w:r>
            <w:r w:rsidR="002B22BD">
              <w:rPr>
                <w:rFonts w:cs="Arial"/>
                <w:color w:val="0D0D0D" w:themeColor="text1" w:themeTint="F2"/>
                <w:spacing w:val="-4"/>
              </w:rPr>
              <w:t>druhé nejvyšší za posledních šest</w:t>
            </w:r>
            <w:r w:rsidRPr="00231486">
              <w:rPr>
                <w:rFonts w:cs="Arial"/>
                <w:color w:val="0D0D0D" w:themeColor="text1" w:themeTint="F2"/>
                <w:spacing w:val="-4"/>
              </w:rPr>
              <w:t xml:space="preserve"> let a v průběhu roku </w:t>
            </w:r>
            <w:proofErr w:type="gramStart"/>
            <w:r w:rsidRPr="00231486">
              <w:rPr>
                <w:rFonts w:cs="Arial"/>
                <w:color w:val="0D0D0D" w:themeColor="text1" w:themeTint="F2"/>
                <w:spacing w:val="-4"/>
              </w:rPr>
              <w:t>zrychlovalo (z 1,7</w:t>
            </w:r>
            <w:proofErr w:type="gramEnd"/>
            <w:r w:rsidRPr="00231486">
              <w:rPr>
                <w:rFonts w:cs="Arial"/>
                <w:color w:val="0D0D0D" w:themeColor="text1" w:themeTint="F2"/>
                <w:spacing w:val="-4"/>
              </w:rPr>
              <w:t> % v 1. čtvrtletí až na 3,2 % na konci roku). Relativně nejvíce si v roce 2015 polepšili zaměstnanci v ubytování, stravování a pohostinství (4,9 %), jde však o</w:t>
            </w:r>
            <w:r w:rsidR="00EF6217">
              <w:rPr>
                <w:rFonts w:cs="Arial"/>
                <w:color w:val="0D0D0D" w:themeColor="text1" w:themeTint="F2"/>
                <w:spacing w:val="-4"/>
              </w:rPr>
              <w:t> </w:t>
            </w:r>
            <w:r w:rsidRPr="00231486">
              <w:rPr>
                <w:rFonts w:cs="Arial"/>
                <w:color w:val="0D0D0D" w:themeColor="text1" w:themeTint="F2"/>
                <w:spacing w:val="-4"/>
              </w:rPr>
              <w:t xml:space="preserve">odvětví </w:t>
            </w:r>
            <w:r w:rsidRPr="00F07549">
              <w:rPr>
                <w:rFonts w:cs="Arial"/>
                <w:color w:val="0D0D0D" w:themeColor="text1" w:themeTint="F2"/>
                <w:spacing w:val="-5"/>
              </w:rPr>
              <w:t>s dlouhodobě nízkou úrovní mezd. Ve zpracovatelském průmyslu rostly mzdy (o 2,8 %</w:t>
            </w:r>
            <w:r w:rsidRPr="00231486">
              <w:rPr>
                <w:rFonts w:cs="Arial"/>
                <w:color w:val="0D0D0D" w:themeColor="text1" w:themeTint="F2"/>
                <w:spacing w:val="-4"/>
              </w:rPr>
              <w:t>) podobně jako na úrovni celého národního hospodářství, významně zde však</w:t>
            </w:r>
            <w:r w:rsidR="002B22BD">
              <w:rPr>
                <w:rFonts w:cs="Arial"/>
                <w:color w:val="0D0D0D" w:themeColor="text1" w:themeTint="F2"/>
                <w:spacing w:val="-4"/>
              </w:rPr>
              <w:t xml:space="preserve"> rostl počet</w:t>
            </w:r>
            <w:r>
              <w:rPr>
                <w:rFonts w:cs="Arial"/>
                <w:color w:val="0D0D0D" w:themeColor="text1" w:themeTint="F2"/>
                <w:spacing w:val="-4"/>
              </w:rPr>
              <w:t xml:space="preserve"> </w:t>
            </w:r>
            <w:r w:rsidR="002B22BD">
              <w:rPr>
                <w:rFonts w:cs="Arial"/>
                <w:color w:val="0D0D0D" w:themeColor="text1" w:themeTint="F2"/>
                <w:spacing w:val="-4"/>
              </w:rPr>
              <w:t>zaměstnanců</w:t>
            </w:r>
            <w:r w:rsidRPr="00231486">
              <w:rPr>
                <w:rFonts w:cs="Arial"/>
                <w:color w:val="0D0D0D" w:themeColor="text1" w:themeTint="F2"/>
                <w:spacing w:val="-4"/>
              </w:rPr>
              <w:t xml:space="preserve"> (+2,9 %</w:t>
            </w:r>
            <w:r>
              <w:rPr>
                <w:rFonts w:cs="Arial"/>
                <w:color w:val="0D0D0D" w:themeColor="text1" w:themeTint="F2"/>
                <w:spacing w:val="-4"/>
              </w:rPr>
              <w:t>, dle podnikové statistiky</w:t>
            </w:r>
            <w:r w:rsidRPr="00231486">
              <w:rPr>
                <w:rFonts w:cs="Arial"/>
                <w:color w:val="0D0D0D" w:themeColor="text1" w:themeTint="F2"/>
                <w:spacing w:val="-4"/>
              </w:rPr>
              <w:t>). V odvětvích s nejvyšší úrovní mezd (informační a komunikační činnosti, peněžnictví a pojišťovnictví) byl růst výdělků podstatně střídmější, v energetice dokonce o téměř 1 % poklesl (při téměř 2% snížení počtu zaměstnanců). U odvětví spadajících převážně do veřejného sektoru byla situace různorodá. Nejvíce si polepšili zaměstn</w:t>
            </w:r>
            <w:r>
              <w:rPr>
                <w:rFonts w:cs="Arial"/>
                <w:color w:val="0D0D0D" w:themeColor="text1" w:themeTint="F2"/>
                <w:spacing w:val="-4"/>
              </w:rPr>
              <w:t>anci ve veřejné správě obraně a</w:t>
            </w:r>
            <w:r w:rsidRPr="00231486">
              <w:rPr>
                <w:rFonts w:cs="Arial"/>
                <w:color w:val="0D0D0D" w:themeColor="text1" w:themeTint="F2"/>
                <w:spacing w:val="-4"/>
              </w:rPr>
              <w:t xml:space="preserve"> sociálním zabezpečení (+4,7 %), navíc při souběžném růstu zaměstnanosti (+2 %) realizovaném hlavně u složek integrovaného záchranného systému. Obdobným tempem se navyšovala zaměstnanost také ve zdravotní a sociální péči, mzdový růst zde však byl skromnější (+3,5 %). Nízké bylo naopak meziroční navýšení objemu </w:t>
            </w:r>
            <w:r w:rsidRPr="00F07549">
              <w:rPr>
                <w:rFonts w:cs="Arial"/>
                <w:color w:val="0D0D0D" w:themeColor="text1" w:themeTint="F2"/>
                <w:spacing w:val="-6"/>
              </w:rPr>
              <w:t xml:space="preserve">mzdových prostředků ve vzdělávání (1% růst počtu zaměstnanců při zvýšení průměrné </w:t>
            </w:r>
            <w:r w:rsidRPr="00F07549">
              <w:rPr>
                <w:rFonts w:cs="Arial"/>
                <w:color w:val="0D0D0D" w:themeColor="text1" w:themeTint="F2"/>
              </w:rPr>
              <w:t>mzdy o 1,6 %</w:t>
            </w:r>
            <w:r>
              <w:rPr>
                <w:rFonts w:cs="Arial"/>
                <w:color w:val="0D0D0D" w:themeColor="text1" w:themeTint="F2"/>
                <w:spacing w:val="-4"/>
              </w:rPr>
              <w:t xml:space="preserve"> –</w:t>
            </w:r>
            <w:r w:rsidRPr="00231486">
              <w:rPr>
                <w:rFonts w:cs="Arial"/>
                <w:color w:val="0D0D0D" w:themeColor="text1" w:themeTint="F2"/>
                <w:spacing w:val="-4"/>
              </w:rPr>
              <w:t xml:space="preserve"> ta se </w:t>
            </w:r>
            <w:r>
              <w:rPr>
                <w:rFonts w:cs="Arial"/>
                <w:color w:val="0D0D0D" w:themeColor="text1" w:themeTint="F2"/>
                <w:spacing w:val="-4"/>
              </w:rPr>
              <w:t xml:space="preserve">však </w:t>
            </w:r>
            <w:r w:rsidRPr="00231486">
              <w:rPr>
                <w:rFonts w:cs="Arial"/>
                <w:color w:val="0D0D0D" w:themeColor="text1" w:themeTint="F2"/>
                <w:spacing w:val="-4"/>
              </w:rPr>
              <w:t xml:space="preserve">dlouhodobě nachází pod celorepublikovou úrovní). </w:t>
            </w:r>
          </w:p>
          <w:p w:rsidR="005D4336" w:rsidRPr="005703D7" w:rsidRDefault="005D4336" w:rsidP="007A0BF4">
            <w:pPr>
              <w:pStyle w:val="Textpoznpodarou"/>
              <w:jc w:val="both"/>
              <w:rPr>
                <w:rFonts w:cs="Arial"/>
                <w:color w:val="0D0D0D" w:themeColor="text1" w:themeTint="F2"/>
                <w:sz w:val="14"/>
                <w:szCs w:val="14"/>
              </w:rPr>
            </w:pPr>
          </w:p>
          <w:p w:rsidR="005D4336" w:rsidRPr="00DB602F" w:rsidRDefault="005D4336" w:rsidP="007A0BF4">
            <w:pPr>
              <w:pStyle w:val="Textpoznpodarou"/>
              <w:jc w:val="both"/>
              <w:rPr>
                <w:rFonts w:cs="Arial"/>
                <w:color w:val="0D0D0D" w:themeColor="text1" w:themeTint="F2"/>
              </w:rPr>
            </w:pPr>
            <w:r w:rsidRPr="004A22BD">
              <w:rPr>
                <w:rFonts w:cs="Arial"/>
                <w:color w:val="0D0D0D" w:themeColor="text1" w:themeTint="F2"/>
              </w:rPr>
              <w:t xml:space="preserve">Důležitou skutečností bylo, že </w:t>
            </w:r>
            <w:r>
              <w:rPr>
                <w:rFonts w:cs="Arial"/>
                <w:color w:val="0D0D0D" w:themeColor="text1" w:themeTint="F2"/>
              </w:rPr>
              <w:t>mzdový medián</w:t>
            </w:r>
            <w:r w:rsidRPr="004A22BD">
              <w:rPr>
                <w:rFonts w:cs="Arial"/>
                <w:color w:val="0D0D0D" w:themeColor="text1" w:themeTint="F2"/>
              </w:rPr>
              <w:t xml:space="preserve"> </w:t>
            </w:r>
            <w:r>
              <w:rPr>
                <w:rFonts w:cs="Arial"/>
                <w:color w:val="0D0D0D" w:themeColor="text1" w:themeTint="F2"/>
              </w:rPr>
              <w:t>rostl</w:t>
            </w:r>
            <w:r w:rsidRPr="004A22BD">
              <w:rPr>
                <w:rFonts w:cs="Arial"/>
                <w:color w:val="0D0D0D" w:themeColor="text1" w:themeTint="F2"/>
              </w:rPr>
              <w:t xml:space="preserve"> vyšším </w:t>
            </w:r>
            <w:r>
              <w:rPr>
                <w:rFonts w:cs="Arial"/>
                <w:color w:val="0D0D0D" w:themeColor="text1" w:themeTint="F2"/>
              </w:rPr>
              <w:t xml:space="preserve">tempem než průměrná mzda (především na konci roku). </w:t>
            </w:r>
            <w:r w:rsidRPr="004A22BD">
              <w:rPr>
                <w:rFonts w:cs="Arial"/>
                <w:color w:val="0D0D0D" w:themeColor="text1" w:themeTint="F2"/>
              </w:rPr>
              <w:t>Růst diferenciace výdělků se tak zastavil. Přispělo k tomu tak</w:t>
            </w:r>
            <w:r>
              <w:rPr>
                <w:rFonts w:cs="Arial"/>
                <w:color w:val="0D0D0D" w:themeColor="text1" w:themeTint="F2"/>
              </w:rPr>
              <w:t>é zvýšení úrovně minimální mzdy na počátku roku.</w:t>
            </w:r>
          </w:p>
        </w:tc>
      </w:tr>
    </w:tbl>
    <w:p w:rsidR="005D4336" w:rsidRPr="00202C91" w:rsidRDefault="005D4336" w:rsidP="005D4336">
      <w:pPr>
        <w:pStyle w:val="Textpoznpodarou"/>
        <w:jc w:val="both"/>
        <w:rPr>
          <w:rFonts w:cs="Arial"/>
          <w:color w:val="000000" w:themeColor="text1"/>
          <w:spacing w:val="-2"/>
          <w:sz w:val="18"/>
          <w:szCs w:val="18"/>
        </w:rPr>
      </w:pPr>
    </w:p>
    <w:tbl>
      <w:tblPr>
        <w:tblW w:w="5000" w:type="pct"/>
        <w:tblLayout w:type="fixed"/>
        <w:tblCellMar>
          <w:left w:w="28" w:type="dxa"/>
          <w:right w:w="28" w:type="dxa"/>
        </w:tblCellMar>
        <w:tblLook w:val="04A0"/>
      </w:tblPr>
      <w:tblGrid>
        <w:gridCol w:w="770"/>
        <w:gridCol w:w="1274"/>
        <w:gridCol w:w="275"/>
        <w:gridCol w:w="7348"/>
        <w:gridCol w:w="27"/>
      </w:tblGrid>
      <w:tr w:rsidR="005D4336" w:rsidTr="007A0BF4">
        <w:trPr>
          <w:gridAfter w:val="1"/>
          <w:wAfter w:w="14" w:type="pct"/>
        </w:trPr>
        <w:tc>
          <w:tcPr>
            <w:tcW w:w="397" w:type="pct"/>
          </w:tcPr>
          <w:p w:rsidR="005D4336" w:rsidRPr="007E77FB" w:rsidRDefault="005D4336" w:rsidP="007A0BF4">
            <w:pPr>
              <w:pStyle w:val="Textpoznpodarou"/>
              <w:rPr>
                <w:lang w:eastAsia="en-US"/>
              </w:rPr>
            </w:pPr>
            <w:r w:rsidRPr="007E77FB">
              <w:rPr>
                <w:lang w:eastAsia="en-US"/>
              </w:rPr>
              <w:t>Graf č.</w:t>
            </w:r>
            <w:r>
              <w:rPr>
                <w:lang w:eastAsia="en-US"/>
              </w:rPr>
              <w:t> 15</w:t>
            </w:r>
          </w:p>
        </w:tc>
        <w:tc>
          <w:tcPr>
            <w:tcW w:w="4589" w:type="pct"/>
            <w:gridSpan w:val="3"/>
          </w:tcPr>
          <w:p w:rsidR="005D4336" w:rsidRPr="00E81446" w:rsidRDefault="005D4336" w:rsidP="007A0BF4">
            <w:pPr>
              <w:pStyle w:val="Textpoznpodarou"/>
              <w:rPr>
                <w:b/>
                <w:lang w:eastAsia="en-US"/>
              </w:rPr>
            </w:pPr>
            <w:r>
              <w:rPr>
                <w:b/>
                <w:lang w:eastAsia="en-US"/>
              </w:rPr>
              <w:t xml:space="preserve">Průměrná hrubá měsíční </w:t>
            </w:r>
            <w:r w:rsidRPr="00472E9B">
              <w:rPr>
                <w:b/>
                <w:lang w:eastAsia="en-US"/>
              </w:rPr>
              <w:t>mzda</w:t>
            </w:r>
            <w:r>
              <w:rPr>
                <w:lang w:eastAsia="en-US"/>
              </w:rPr>
              <w:t xml:space="preserve"> (v korunách, na fyzické osoby</w:t>
            </w:r>
            <w:r w:rsidRPr="00472E9B">
              <w:rPr>
                <w:lang w:eastAsia="en-US"/>
              </w:rPr>
              <w:t>)</w:t>
            </w:r>
            <w:r>
              <w:rPr>
                <w:lang w:eastAsia="en-US"/>
              </w:rPr>
              <w:t xml:space="preserve">, </w:t>
            </w:r>
            <w:r>
              <w:rPr>
                <w:b/>
                <w:lang w:eastAsia="en-US"/>
              </w:rPr>
              <w:t>meziroční vývoj</w:t>
            </w:r>
            <w:r w:rsidRPr="00472E9B">
              <w:rPr>
                <w:b/>
                <w:lang w:eastAsia="en-US"/>
              </w:rPr>
              <w:t xml:space="preserve"> mzdy a</w:t>
            </w:r>
            <w:r>
              <w:rPr>
                <w:b/>
                <w:lang w:eastAsia="en-US"/>
              </w:rPr>
              <w:t> </w:t>
            </w:r>
            <w:r w:rsidRPr="00472E9B">
              <w:rPr>
                <w:b/>
                <w:lang w:eastAsia="en-US"/>
              </w:rPr>
              <w:t>zaměstnanosti</w:t>
            </w:r>
            <w:r>
              <w:rPr>
                <w:b/>
                <w:lang w:eastAsia="en-US"/>
              </w:rPr>
              <w:t xml:space="preserve"> </w:t>
            </w:r>
            <w:r w:rsidRPr="00472E9B">
              <w:rPr>
                <w:b/>
                <w:lang w:eastAsia="en-US"/>
              </w:rPr>
              <w:t>v roce 2015</w:t>
            </w:r>
            <w:r>
              <w:rPr>
                <w:b/>
                <w:lang w:eastAsia="en-US"/>
              </w:rPr>
              <w:t xml:space="preserve"> </w:t>
            </w:r>
            <w:r w:rsidRPr="00FA2822">
              <w:rPr>
                <w:lang w:eastAsia="en-US"/>
              </w:rPr>
              <w:t>(v rámci sekcí a oddílů průmyslu)</w:t>
            </w:r>
            <w:r>
              <w:rPr>
                <w:lang w:eastAsia="en-US"/>
              </w:rPr>
              <w:t>*</w:t>
            </w:r>
          </w:p>
        </w:tc>
      </w:tr>
      <w:tr w:rsidR="005D4336" w:rsidTr="007A0BF4">
        <w:trPr>
          <w:gridAfter w:val="1"/>
          <w:wAfter w:w="14" w:type="pct"/>
        </w:trPr>
        <w:tc>
          <w:tcPr>
            <w:tcW w:w="4986" w:type="pct"/>
            <w:gridSpan w:val="4"/>
          </w:tcPr>
          <w:p w:rsidR="005D4336" w:rsidRDefault="00C20031" w:rsidP="007A0BF4">
            <w:pPr>
              <w:pStyle w:val="Textpoznpodarou"/>
              <w:jc w:val="both"/>
            </w:pPr>
            <w:r>
              <w:rPr>
                <w:noProof/>
              </w:rPr>
              <w:pict>
                <v:shape id="_x0000_i1066" type="#_x0000_t75" style="width:480.85pt;height:174.7pt;visibility:visible;mso-wrap-style:square">
                  <v:imagedata r:id="rId24" o:title=""/>
                </v:shape>
              </w:pict>
            </w:r>
          </w:p>
        </w:tc>
      </w:tr>
      <w:tr w:rsidR="005D4336" w:rsidTr="007A0BF4">
        <w:trPr>
          <w:gridAfter w:val="1"/>
          <w:wAfter w:w="14" w:type="pct"/>
        </w:trPr>
        <w:tc>
          <w:tcPr>
            <w:tcW w:w="4986" w:type="pct"/>
            <w:gridSpan w:val="4"/>
          </w:tcPr>
          <w:p w:rsidR="005D4336" w:rsidRPr="006E7350" w:rsidRDefault="005D4336" w:rsidP="007A0BF4">
            <w:pPr>
              <w:autoSpaceDE w:val="0"/>
              <w:autoSpaceDN w:val="0"/>
              <w:adjustRightInd w:val="0"/>
              <w:spacing w:line="240" w:lineRule="auto"/>
              <w:jc w:val="both"/>
              <w:rPr>
                <w:sz w:val="18"/>
                <w:szCs w:val="18"/>
                <w:lang w:eastAsia="en-US"/>
              </w:rPr>
            </w:pPr>
            <w:r>
              <w:rPr>
                <w:sz w:val="18"/>
                <w:szCs w:val="18"/>
                <w:lang w:eastAsia="en-US"/>
              </w:rPr>
              <w:t xml:space="preserve">*Hodnota mzdy za rok 2015 je vypočtena jako průměr údajů za jednotlivá čtvrtletí.                  </w:t>
            </w:r>
            <w:r w:rsidRPr="00886A8F">
              <w:rPr>
                <w:sz w:val="18"/>
                <w:szCs w:val="18"/>
                <w:lang w:eastAsia="en-US"/>
              </w:rPr>
              <w:t>Zdroj: ČSÚ</w:t>
            </w:r>
            <w:r>
              <w:rPr>
                <w:sz w:val="18"/>
                <w:szCs w:val="18"/>
                <w:lang w:eastAsia="en-US"/>
              </w:rPr>
              <w:t>, vlastní výpočty</w:t>
            </w:r>
          </w:p>
        </w:tc>
      </w:tr>
      <w:tr w:rsidR="005D4336" w:rsidTr="007A0BF4">
        <w:tc>
          <w:tcPr>
            <w:tcW w:w="1054" w:type="pct"/>
            <w:gridSpan w:val="2"/>
          </w:tcPr>
          <w:p w:rsidR="005D4336" w:rsidRPr="00372465"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lastRenderedPageBreak/>
              <w:t>V rámci zpracovatelského průmyslu vzrostla průměrná mzda relativně nejvíce v menších oborech s výraznějším zastoupením zaměstnanců ohodnocených v pásmech blízko úrovně minimální mzdy</w:t>
            </w:r>
          </w:p>
        </w:tc>
        <w:tc>
          <w:tcPr>
            <w:tcW w:w="142" w:type="pct"/>
          </w:tcPr>
          <w:p w:rsidR="005D4336" w:rsidRPr="009720D9" w:rsidRDefault="005D4336" w:rsidP="007A0BF4">
            <w:pPr>
              <w:pStyle w:val="Textpoznpodarou"/>
              <w:jc w:val="both"/>
              <w:rPr>
                <w:color w:val="0D0D0D" w:themeColor="text1" w:themeTint="F2"/>
              </w:rPr>
            </w:pPr>
          </w:p>
        </w:tc>
        <w:tc>
          <w:tcPr>
            <w:tcW w:w="3804" w:type="pct"/>
            <w:gridSpan w:val="2"/>
          </w:tcPr>
          <w:p w:rsidR="005D4336" w:rsidRPr="002B22BD" w:rsidRDefault="005D4336" w:rsidP="007A0BF4">
            <w:pPr>
              <w:pStyle w:val="Textpoznpodarou"/>
              <w:jc w:val="both"/>
              <w:rPr>
                <w:rFonts w:cs="Arial"/>
                <w:color w:val="0D0D0D" w:themeColor="text1" w:themeTint="F2"/>
              </w:rPr>
            </w:pPr>
            <w:r w:rsidRPr="002B22BD">
              <w:rPr>
                <w:rFonts w:cs="Arial"/>
                <w:color w:val="000000" w:themeColor="text1"/>
              </w:rPr>
              <w:t>Průmysl jako</w:t>
            </w:r>
            <w:r w:rsidRPr="002B22BD">
              <w:rPr>
                <w:rFonts w:cs="Arial"/>
                <w:color w:val="0D0D0D" w:themeColor="text1" w:themeTint="F2"/>
              </w:rPr>
              <w:t xml:space="preserve"> celek patřil v roce 2015 k oborům, kde byla meziroční dynamika růstu mezd spíše umírněná. S ohledem na jeho význam pro celou ekonomiku ČR je vhodné nahlédnout podrobněji do jeho struktury až na úroveň dílčích odvětví. Z nejvyššího růstu mezd (v rozmezí 4-6 %) se mohli těšit zaměstnanci v menších odvětvích, kde dlouhodobě přetrvává nízká úroveň výdělků (oděvní, kožedělný, nábytkářský či dřevozpracující odvětví). Vysoká tempa růstu mezd zde souvisí se</w:t>
            </w:r>
            <w:r w:rsidR="009271BA" w:rsidRPr="002B22BD">
              <w:rPr>
                <w:rFonts w:cs="Arial"/>
                <w:color w:val="0D0D0D" w:themeColor="text1" w:themeTint="F2"/>
              </w:rPr>
              <w:t> </w:t>
            </w:r>
            <w:r w:rsidRPr="002B22BD">
              <w:rPr>
                <w:rFonts w:cs="Arial"/>
                <w:color w:val="0D0D0D" w:themeColor="text1" w:themeTint="F2"/>
              </w:rPr>
              <w:t>zvýšením minimální mzdy, ale také se zlepšenými hospodářskými výsledky těchto oborů (např. v oděvním průmyslu vzrostla v roce 2015 produkce meziročně o</w:t>
            </w:r>
            <w:r w:rsidR="009271BA" w:rsidRPr="002B22BD">
              <w:rPr>
                <w:rFonts w:cs="Arial"/>
                <w:color w:val="0D0D0D" w:themeColor="text1" w:themeTint="F2"/>
              </w:rPr>
              <w:t> </w:t>
            </w:r>
            <w:r w:rsidR="002B22BD" w:rsidRPr="002B22BD">
              <w:rPr>
                <w:rFonts w:cs="Arial"/>
                <w:color w:val="0D0D0D" w:themeColor="text1" w:themeTint="F2"/>
              </w:rPr>
              <w:t>desetinu</w:t>
            </w:r>
            <w:r w:rsidRPr="002B22BD">
              <w:rPr>
                <w:rFonts w:cs="Arial"/>
                <w:color w:val="0D0D0D" w:themeColor="text1" w:themeTint="F2"/>
              </w:rPr>
              <w:t xml:space="preserve">). V některých silných exportních oborech (automobilový průmysl s navazujícími obory) se rychleji zvyšovaly počty zaměstnanců nežli jejich průměrné mzdy. </w:t>
            </w:r>
          </w:p>
          <w:p w:rsidR="005D4336" w:rsidRPr="00202C91" w:rsidRDefault="005D4336" w:rsidP="007A0BF4">
            <w:pPr>
              <w:pStyle w:val="Textpoznpodarou"/>
              <w:jc w:val="both"/>
              <w:rPr>
                <w:rFonts w:cs="Arial"/>
                <w:color w:val="0D0D0D" w:themeColor="text1" w:themeTint="F2"/>
                <w:spacing w:val="-2"/>
              </w:rPr>
            </w:pPr>
          </w:p>
        </w:tc>
      </w:tr>
      <w:tr w:rsidR="005D4336" w:rsidTr="007A0BF4">
        <w:trPr>
          <w:trHeight w:val="1639"/>
        </w:trPr>
        <w:tc>
          <w:tcPr>
            <w:tcW w:w="1054" w:type="pct"/>
            <w:gridSpan w:val="2"/>
          </w:tcPr>
          <w:p w:rsidR="005D4336" w:rsidRPr="000A12D1" w:rsidRDefault="005D4336" w:rsidP="007A0BF4">
            <w:pPr>
              <w:spacing w:line="240" w:lineRule="auto"/>
              <w:rPr>
                <w:sz w:val="16"/>
                <w:szCs w:val="16"/>
              </w:rPr>
            </w:pPr>
            <w:proofErr w:type="spellStart"/>
            <w:r>
              <w:rPr>
                <w:sz w:val="16"/>
                <w:szCs w:val="16"/>
              </w:rPr>
              <w:t>Nízkoinflační</w:t>
            </w:r>
            <w:proofErr w:type="spellEnd"/>
            <w:r>
              <w:rPr>
                <w:sz w:val="16"/>
                <w:szCs w:val="16"/>
              </w:rPr>
              <w:t xml:space="preserve"> prostředí přispívá k růstu kupní síly zaměstnanců </w:t>
            </w:r>
          </w:p>
        </w:tc>
        <w:tc>
          <w:tcPr>
            <w:tcW w:w="142" w:type="pct"/>
          </w:tcPr>
          <w:p w:rsidR="005D4336" w:rsidRPr="000A12D1" w:rsidRDefault="005D4336" w:rsidP="007A0BF4">
            <w:pPr>
              <w:pStyle w:val="Textpoznpodarou"/>
              <w:jc w:val="both"/>
            </w:pPr>
          </w:p>
        </w:tc>
        <w:tc>
          <w:tcPr>
            <w:tcW w:w="3804" w:type="pct"/>
            <w:gridSpan w:val="2"/>
          </w:tcPr>
          <w:p w:rsidR="005D4336" w:rsidRPr="001B6CD1" w:rsidRDefault="005D4336" w:rsidP="007A0BF4">
            <w:pPr>
              <w:pStyle w:val="Textpoznpodarou"/>
              <w:jc w:val="both"/>
              <w:rPr>
                <w:spacing w:val="-2"/>
              </w:rPr>
            </w:pPr>
            <w:r w:rsidRPr="001B6CD1">
              <w:rPr>
                <w:color w:val="000000" w:themeColor="text1"/>
                <w:spacing w:val="-2"/>
              </w:rPr>
              <w:t>Nízká míra inflace a zrychlující růst průměrné mzdy se příznivě odrazily ve vývoji kupní síly zaměstnanců. Zatímco v 1. čtvrtletí 2015 stoupla průměrná mzda v reálném vyjádření meziročně</w:t>
            </w:r>
            <w:r w:rsidR="002B22BD">
              <w:rPr>
                <w:spacing w:val="-2"/>
              </w:rPr>
              <w:t xml:space="preserve"> o 1,6</w:t>
            </w:r>
            <w:r w:rsidRPr="001B6CD1">
              <w:rPr>
                <w:spacing w:val="-2"/>
              </w:rPr>
              <w:t xml:space="preserve"> %,</w:t>
            </w:r>
            <w:r w:rsidR="002B22BD">
              <w:rPr>
                <w:spacing w:val="-2"/>
              </w:rPr>
              <w:t xml:space="preserve"> na konci roku to bylo již o 3,1</w:t>
            </w:r>
            <w:r w:rsidRPr="001B6CD1">
              <w:rPr>
                <w:spacing w:val="-2"/>
              </w:rPr>
              <w:t xml:space="preserve"> %. Jednalo se o</w:t>
            </w:r>
            <w:r w:rsidR="002B22BD">
              <w:rPr>
                <w:spacing w:val="-2"/>
              </w:rPr>
              <w:t xml:space="preserve"> druhý</w:t>
            </w:r>
            <w:r w:rsidRPr="001B6CD1">
              <w:rPr>
                <w:spacing w:val="-2"/>
              </w:rPr>
              <w:t xml:space="preserve"> nejvyšší růst od konce roku 2009. Tehdy však byla její dynamika tažena vysokým nominálním růstem mezd (v relaci na jednoho zaměstnance) způsobeným zejména propouštěním </w:t>
            </w:r>
            <w:proofErr w:type="spellStart"/>
            <w:r w:rsidRPr="001B6CD1">
              <w:rPr>
                <w:spacing w:val="-2"/>
              </w:rPr>
              <w:t>nízkokvalifikovaných</w:t>
            </w:r>
            <w:proofErr w:type="spellEnd"/>
            <w:r w:rsidRPr="001B6CD1">
              <w:rPr>
                <w:spacing w:val="-2"/>
              </w:rPr>
              <w:t xml:space="preserve"> pracovníků s podprůměrnými mzdami, kteří se stali jednou z prvních obětí nastupující hluboké recese.</w:t>
            </w:r>
          </w:p>
        </w:tc>
      </w:tr>
    </w:tbl>
    <w:p w:rsidR="005D4336" w:rsidRPr="00202C91" w:rsidRDefault="005D4336" w:rsidP="005D4336">
      <w:pPr>
        <w:pStyle w:val="Textpoznpodarou"/>
        <w:jc w:val="both"/>
        <w:rPr>
          <w:rFonts w:cs="Arial"/>
          <w:color w:val="000000" w:themeColor="text1"/>
          <w:spacing w:val="-2"/>
        </w:rPr>
      </w:pPr>
    </w:p>
    <w:tbl>
      <w:tblPr>
        <w:tblW w:w="5000" w:type="pct"/>
        <w:tblLayout w:type="fixed"/>
        <w:tblCellMar>
          <w:left w:w="28" w:type="dxa"/>
          <w:right w:w="28" w:type="dxa"/>
        </w:tblCellMar>
        <w:tblLook w:val="04A0"/>
      </w:tblPr>
      <w:tblGrid>
        <w:gridCol w:w="729"/>
        <w:gridCol w:w="4062"/>
        <w:gridCol w:w="843"/>
        <w:gridCol w:w="4060"/>
      </w:tblGrid>
      <w:tr w:rsidR="005D4336" w:rsidTr="00ED22FF">
        <w:tc>
          <w:tcPr>
            <w:tcW w:w="376" w:type="pct"/>
          </w:tcPr>
          <w:p w:rsidR="005D4336" w:rsidRPr="007E77FB" w:rsidRDefault="005D4336" w:rsidP="007A0BF4">
            <w:pPr>
              <w:pStyle w:val="Textpoznpodarou"/>
              <w:rPr>
                <w:lang w:eastAsia="en-US"/>
              </w:rPr>
            </w:pPr>
            <w:r>
              <w:rPr>
                <w:lang w:eastAsia="en-US"/>
              </w:rPr>
              <w:t xml:space="preserve">Graf </w:t>
            </w:r>
            <w:r w:rsidRPr="007E77FB">
              <w:rPr>
                <w:lang w:eastAsia="en-US"/>
              </w:rPr>
              <w:t>č.</w:t>
            </w:r>
            <w:r>
              <w:rPr>
                <w:lang w:eastAsia="en-US"/>
              </w:rPr>
              <w:t> 16</w:t>
            </w:r>
          </w:p>
        </w:tc>
        <w:tc>
          <w:tcPr>
            <w:tcW w:w="2095" w:type="pct"/>
          </w:tcPr>
          <w:p w:rsidR="005D4336" w:rsidRPr="00DF3C10" w:rsidRDefault="005D4336" w:rsidP="007A0BF4">
            <w:pPr>
              <w:pStyle w:val="Textpoznpodarou"/>
              <w:rPr>
                <w:b/>
                <w:spacing w:val="-2"/>
                <w:lang w:eastAsia="en-US"/>
              </w:rPr>
            </w:pPr>
            <w:r w:rsidRPr="00142A28">
              <w:rPr>
                <w:b/>
                <w:spacing w:val="-2"/>
                <w:lang w:eastAsia="en-US"/>
              </w:rPr>
              <w:t xml:space="preserve">Distribuce hrubých měsíčních mezd </w:t>
            </w:r>
            <w:r>
              <w:rPr>
                <w:b/>
                <w:spacing w:val="-2"/>
                <w:lang w:eastAsia="en-US"/>
              </w:rPr>
              <w:t>mužů a žen (</w:t>
            </w:r>
            <w:r w:rsidRPr="00142A28">
              <w:rPr>
                <w:b/>
                <w:spacing w:val="-2"/>
                <w:lang w:eastAsia="en-US"/>
              </w:rPr>
              <w:t>zaměstnanců</w:t>
            </w:r>
            <w:r>
              <w:rPr>
                <w:b/>
                <w:spacing w:val="-2"/>
                <w:lang w:eastAsia="en-US"/>
              </w:rPr>
              <w:t>)</w:t>
            </w:r>
            <w:r w:rsidRPr="00142A28">
              <w:rPr>
                <w:b/>
                <w:spacing w:val="-2"/>
                <w:lang w:eastAsia="en-US"/>
              </w:rPr>
              <w:t xml:space="preserve"> podle hlavních tříd CZ-ISCO</w:t>
            </w:r>
            <w:r>
              <w:rPr>
                <w:b/>
                <w:spacing w:val="-2"/>
                <w:lang w:eastAsia="en-US"/>
              </w:rPr>
              <w:t xml:space="preserve"> v roce 2015</w:t>
            </w:r>
          </w:p>
        </w:tc>
        <w:tc>
          <w:tcPr>
            <w:tcW w:w="435" w:type="pct"/>
          </w:tcPr>
          <w:p w:rsidR="005D4336" w:rsidRPr="007E77FB" w:rsidRDefault="005D4336" w:rsidP="007A0BF4">
            <w:pPr>
              <w:pStyle w:val="Textpoznpodarou"/>
              <w:rPr>
                <w:lang w:eastAsia="en-US"/>
              </w:rPr>
            </w:pPr>
            <w:r w:rsidRPr="007E77FB">
              <w:rPr>
                <w:lang w:eastAsia="en-US"/>
              </w:rPr>
              <w:t>Graf č.</w:t>
            </w:r>
            <w:r>
              <w:rPr>
                <w:lang w:eastAsia="en-US"/>
              </w:rPr>
              <w:t> 17</w:t>
            </w:r>
          </w:p>
        </w:tc>
        <w:tc>
          <w:tcPr>
            <w:tcW w:w="2095" w:type="pct"/>
          </w:tcPr>
          <w:p w:rsidR="005D4336" w:rsidRPr="004E78CF" w:rsidRDefault="005D4336" w:rsidP="007A0BF4">
            <w:pPr>
              <w:pStyle w:val="Textpoznpodarou"/>
              <w:rPr>
                <w:spacing w:val="-6"/>
                <w:lang w:eastAsia="en-US"/>
              </w:rPr>
            </w:pPr>
            <w:r w:rsidRPr="00142A28">
              <w:rPr>
                <w:b/>
                <w:spacing w:val="-2"/>
                <w:lang w:eastAsia="en-US"/>
              </w:rPr>
              <w:t xml:space="preserve">Distribuce </w:t>
            </w:r>
            <w:r w:rsidRPr="000D7785">
              <w:rPr>
                <w:spacing w:val="-2"/>
                <w:lang w:eastAsia="en-US"/>
              </w:rPr>
              <w:t>(v %)</w:t>
            </w:r>
            <w:r>
              <w:rPr>
                <w:b/>
                <w:spacing w:val="-2"/>
                <w:lang w:eastAsia="en-US"/>
              </w:rPr>
              <w:t xml:space="preserve"> a výše </w:t>
            </w:r>
            <w:r w:rsidRPr="00833C39">
              <w:rPr>
                <w:spacing w:val="-2"/>
                <w:lang w:eastAsia="en-US"/>
              </w:rPr>
              <w:t xml:space="preserve">(v korunách, </w:t>
            </w:r>
            <w:proofErr w:type="spellStart"/>
            <w:r w:rsidRPr="00833C39">
              <w:rPr>
                <w:spacing w:val="-2"/>
                <w:lang w:eastAsia="en-US"/>
              </w:rPr>
              <w:t>pr</w:t>
            </w:r>
            <w:proofErr w:type="spellEnd"/>
            <w:r w:rsidRPr="00833C39">
              <w:rPr>
                <w:spacing w:val="-2"/>
                <w:lang w:eastAsia="en-US"/>
              </w:rPr>
              <w:t xml:space="preserve">. </w:t>
            </w:r>
            <w:proofErr w:type="gramStart"/>
            <w:r w:rsidRPr="00833C39">
              <w:rPr>
                <w:spacing w:val="-2"/>
                <w:lang w:eastAsia="en-US"/>
              </w:rPr>
              <w:t>osa</w:t>
            </w:r>
            <w:proofErr w:type="gramEnd"/>
            <w:r w:rsidRPr="00833C39">
              <w:rPr>
                <w:spacing w:val="-2"/>
                <w:lang w:eastAsia="en-US"/>
              </w:rPr>
              <w:t xml:space="preserve">) </w:t>
            </w:r>
            <w:r w:rsidRPr="00142A28">
              <w:rPr>
                <w:b/>
                <w:spacing w:val="-2"/>
                <w:lang w:eastAsia="en-US"/>
              </w:rPr>
              <w:t xml:space="preserve">hrubých měsíčních mezd </w:t>
            </w:r>
            <w:r>
              <w:rPr>
                <w:b/>
                <w:spacing w:val="-2"/>
                <w:lang w:eastAsia="en-US"/>
              </w:rPr>
              <w:t>podle nejvyššího dokončeného vzdělání v roce 2015</w:t>
            </w:r>
          </w:p>
        </w:tc>
      </w:tr>
      <w:tr w:rsidR="005D4336" w:rsidTr="00ED22FF">
        <w:trPr>
          <w:trHeight w:val="3873"/>
        </w:trPr>
        <w:tc>
          <w:tcPr>
            <w:tcW w:w="2471" w:type="pct"/>
            <w:gridSpan w:val="2"/>
          </w:tcPr>
          <w:p w:rsidR="005D4336" w:rsidRDefault="00C20031" w:rsidP="007A0BF4">
            <w:pPr>
              <w:pStyle w:val="Textpoznpodarou"/>
              <w:jc w:val="both"/>
            </w:pPr>
            <w:r>
              <w:rPr>
                <w:noProof/>
              </w:rPr>
              <w:pict>
                <v:shape id="_x0000_i1067" type="#_x0000_t75" style="width:234.15pt;height:201.6pt;visibility:visible;mso-wrap-style:square">
                  <v:imagedata r:id="rId25" o:title=""/>
                </v:shape>
              </w:pict>
            </w:r>
          </w:p>
        </w:tc>
        <w:tc>
          <w:tcPr>
            <w:tcW w:w="2529" w:type="pct"/>
            <w:gridSpan w:val="2"/>
          </w:tcPr>
          <w:p w:rsidR="005D4336" w:rsidRDefault="00C20031" w:rsidP="007A0BF4">
            <w:pPr>
              <w:pStyle w:val="Textpoznpodarou"/>
              <w:jc w:val="both"/>
            </w:pPr>
            <w:r>
              <w:rPr>
                <w:noProof/>
              </w:rPr>
              <w:pict>
                <v:shape id="_x0000_i1068" type="#_x0000_t75" style="width:241.05pt;height:201.6pt;visibility:visible;mso-wrap-style:square">
                  <v:imagedata r:id="rId26" o:title=""/>
                </v:shape>
              </w:pict>
            </w:r>
          </w:p>
        </w:tc>
      </w:tr>
      <w:tr w:rsidR="005D4336" w:rsidTr="00ED22FF">
        <w:tc>
          <w:tcPr>
            <w:tcW w:w="5000" w:type="pct"/>
            <w:gridSpan w:val="4"/>
          </w:tcPr>
          <w:p w:rsidR="005D4336" w:rsidRPr="00DF3C10" w:rsidRDefault="005D4336" w:rsidP="007A0BF4">
            <w:pPr>
              <w:autoSpaceDE w:val="0"/>
              <w:autoSpaceDN w:val="0"/>
              <w:adjustRightInd w:val="0"/>
              <w:spacing w:line="240" w:lineRule="auto"/>
              <w:jc w:val="right"/>
              <w:rPr>
                <w:rFonts w:cs="Arial"/>
                <w:color w:val="000000"/>
                <w:spacing w:val="-2"/>
                <w:sz w:val="18"/>
                <w:szCs w:val="18"/>
              </w:rPr>
            </w:pPr>
            <w:r w:rsidRPr="00886A8F">
              <w:rPr>
                <w:sz w:val="18"/>
                <w:szCs w:val="18"/>
                <w:lang w:eastAsia="en-US"/>
              </w:rPr>
              <w:t>Zdroj: ČSÚ</w:t>
            </w:r>
            <w:r>
              <w:rPr>
                <w:sz w:val="18"/>
                <w:szCs w:val="18"/>
                <w:lang w:eastAsia="en-US"/>
              </w:rPr>
              <w:t>, MPSV, vlastní výpočty</w:t>
            </w:r>
          </w:p>
        </w:tc>
      </w:tr>
    </w:tbl>
    <w:p w:rsidR="005D4336" w:rsidRPr="00202C91" w:rsidRDefault="005D4336" w:rsidP="005D4336">
      <w:pPr>
        <w:pStyle w:val="Textpoznpodarou"/>
        <w:jc w:val="both"/>
        <w:rPr>
          <w:rFonts w:cs="Arial"/>
          <w:color w:val="000000" w:themeColor="text1"/>
          <w:spacing w:val="-2"/>
        </w:rPr>
      </w:pPr>
    </w:p>
    <w:tbl>
      <w:tblPr>
        <w:tblW w:w="5000" w:type="pct"/>
        <w:tblCellMar>
          <w:left w:w="28" w:type="dxa"/>
          <w:right w:w="28" w:type="dxa"/>
        </w:tblCellMar>
        <w:tblLook w:val="04A0"/>
      </w:tblPr>
      <w:tblGrid>
        <w:gridCol w:w="2044"/>
        <w:gridCol w:w="275"/>
        <w:gridCol w:w="7375"/>
      </w:tblGrid>
      <w:tr w:rsidR="005D4336" w:rsidTr="007A0BF4">
        <w:tc>
          <w:tcPr>
            <w:tcW w:w="1054" w:type="pct"/>
          </w:tcPr>
          <w:p w:rsidR="005D4336"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Diferenciace mezd se mezi roky 2012 a 2015 mírně snížila…</w:t>
            </w: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…přesto v roce 2015 dosahovaly průměrné mzdy u řídících pracovníků 3,8</w:t>
            </w:r>
            <w:r w:rsidR="009271BA">
              <w:rPr>
                <w:rFonts w:cs="Arial"/>
                <w:bCs/>
                <w:iCs/>
                <w:color w:val="0D0D0D" w:themeColor="text1" w:themeTint="F2"/>
                <w:spacing w:val="-2"/>
                <w:sz w:val="16"/>
                <w:szCs w:val="16"/>
              </w:rPr>
              <w:t> </w:t>
            </w:r>
            <w:r>
              <w:rPr>
                <w:rFonts w:cs="Arial"/>
                <w:bCs/>
                <w:iCs/>
                <w:color w:val="0D0D0D" w:themeColor="text1" w:themeTint="F2"/>
                <w:spacing w:val="-2"/>
                <w:sz w:val="16"/>
                <w:szCs w:val="16"/>
              </w:rPr>
              <w:t>násobku mezd pomocných a</w:t>
            </w:r>
            <w:r w:rsidR="009271BA">
              <w:rPr>
                <w:rFonts w:cs="Arial"/>
                <w:bCs/>
                <w:iCs/>
                <w:color w:val="0D0D0D" w:themeColor="text1" w:themeTint="F2"/>
                <w:spacing w:val="-2"/>
                <w:sz w:val="16"/>
                <w:szCs w:val="16"/>
              </w:rPr>
              <w:t> </w:t>
            </w:r>
            <w:r>
              <w:rPr>
                <w:rFonts w:cs="Arial"/>
                <w:bCs/>
                <w:iCs/>
                <w:color w:val="0D0D0D" w:themeColor="text1" w:themeTint="F2"/>
                <w:spacing w:val="-2"/>
                <w:sz w:val="16"/>
                <w:szCs w:val="16"/>
              </w:rPr>
              <w:t>nekvalifikovaných pracovníků</w:t>
            </w:r>
          </w:p>
          <w:p w:rsidR="005D4336" w:rsidRPr="00372465" w:rsidRDefault="005D4336" w:rsidP="007A0BF4">
            <w:pPr>
              <w:spacing w:line="240" w:lineRule="auto"/>
              <w:rPr>
                <w:rFonts w:cs="Arial"/>
                <w:bCs/>
                <w:iCs/>
                <w:color w:val="0D0D0D" w:themeColor="text1" w:themeTint="F2"/>
                <w:spacing w:val="-2"/>
                <w:sz w:val="16"/>
                <w:szCs w:val="16"/>
              </w:rPr>
            </w:pP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Default="005D4336" w:rsidP="007A0BF4">
            <w:pPr>
              <w:pStyle w:val="Textpoznpodarou"/>
              <w:jc w:val="both"/>
              <w:rPr>
                <w:rFonts w:cs="Arial"/>
                <w:color w:val="0D0D0D" w:themeColor="text1" w:themeTint="F2"/>
                <w:spacing w:val="-4"/>
              </w:rPr>
            </w:pPr>
            <w:r w:rsidRPr="003E77E5">
              <w:rPr>
                <w:rFonts w:cs="Arial"/>
                <w:color w:val="000000" w:themeColor="text1"/>
                <w:spacing w:val="-4"/>
              </w:rPr>
              <w:t xml:space="preserve">Podrobnější pohled na diferenciaci mezd umožňuje </w:t>
            </w:r>
            <w:r w:rsidRPr="003E77E5">
              <w:rPr>
                <w:rFonts w:cs="Arial"/>
                <w:color w:val="0D0D0D" w:themeColor="text1" w:themeTint="F2"/>
                <w:spacing w:val="-4"/>
              </w:rPr>
              <w:t>strukturální mzdová statistika</w:t>
            </w:r>
            <w:r w:rsidRPr="003E77E5">
              <w:rPr>
                <w:rStyle w:val="Znakapoznpodarou"/>
                <w:color w:val="0D0D0D" w:themeColor="text1" w:themeTint="F2"/>
                <w:spacing w:val="-4"/>
              </w:rPr>
              <w:footnoteReference w:id="3"/>
            </w:r>
            <w:r>
              <w:rPr>
                <w:rFonts w:cs="Arial"/>
                <w:color w:val="0D0D0D" w:themeColor="text1" w:themeTint="F2"/>
                <w:spacing w:val="-4"/>
              </w:rPr>
              <w:t>.</w:t>
            </w:r>
            <w:r w:rsidRPr="003E77E5">
              <w:rPr>
                <w:rFonts w:cs="Arial"/>
                <w:color w:val="0D0D0D" w:themeColor="text1" w:themeTint="F2"/>
                <w:spacing w:val="-4"/>
              </w:rPr>
              <w:t xml:space="preserve"> Na</w:t>
            </w:r>
            <w:r>
              <w:rPr>
                <w:rFonts w:cs="Arial"/>
                <w:color w:val="0D0D0D" w:themeColor="text1" w:themeTint="F2"/>
                <w:spacing w:val="-4"/>
              </w:rPr>
              <w:t> </w:t>
            </w:r>
            <w:r w:rsidRPr="003E77E5">
              <w:rPr>
                <w:rFonts w:cs="Arial"/>
                <w:color w:val="0D0D0D" w:themeColor="text1" w:themeTint="F2"/>
                <w:spacing w:val="-4"/>
              </w:rPr>
              <w:t xml:space="preserve">zastavení nárůstu relativních mzdových disparit poukazuje nejen rychlejší meziroční dynamika růstu mzdového mediánu oproti průměru v období 2013-2015, ale snižující se variační koeficient mezd (v roce 2015 se rovnal 0,79, o tři roky dříve činil 0,87). Variační koeficient mezd </w:t>
            </w:r>
            <w:r>
              <w:rPr>
                <w:rFonts w:cs="Arial"/>
                <w:color w:val="0D0D0D" w:themeColor="text1" w:themeTint="F2"/>
                <w:spacing w:val="-4"/>
              </w:rPr>
              <w:t xml:space="preserve">se </w:t>
            </w:r>
            <w:r w:rsidRPr="003E77E5">
              <w:rPr>
                <w:rFonts w:cs="Arial"/>
                <w:color w:val="0D0D0D" w:themeColor="text1" w:themeTint="F2"/>
                <w:spacing w:val="-4"/>
              </w:rPr>
              <w:t>v tomto období snižoval intenzivněji u mužů, poklesl</w:t>
            </w:r>
            <w:r>
              <w:rPr>
                <w:rFonts w:cs="Arial"/>
                <w:color w:val="0D0D0D" w:themeColor="text1" w:themeTint="F2"/>
                <w:spacing w:val="-4"/>
              </w:rPr>
              <w:t xml:space="preserve"> ale i</w:t>
            </w:r>
            <w:r w:rsidR="00803BD2">
              <w:rPr>
                <w:rFonts w:cs="Arial"/>
                <w:color w:val="0D0D0D" w:themeColor="text1" w:themeTint="F2"/>
                <w:spacing w:val="-4"/>
              </w:rPr>
              <w:t xml:space="preserve"> u</w:t>
            </w:r>
            <w:r w:rsidRPr="003E77E5">
              <w:rPr>
                <w:rFonts w:cs="Arial"/>
                <w:color w:val="0D0D0D" w:themeColor="text1" w:themeTint="F2"/>
                <w:spacing w:val="-4"/>
              </w:rPr>
              <w:t> mezd žen, jež jsou tradičně více nivelizovány (z 0,65 na 0,62). V rámci hlavních tříd zaměstnání dosahovaly nejvyšší úrovně mezd (3,8 násobku průměrných mezd pomocných a nekvalifikovaných pracovníků) a zároveň i nejrozvinutější rozrůzněnosti výdělky řídících pracovníků. Do této manažerské kategorie však náleželo jen 5,5 % mužů na zaměstna</w:t>
            </w:r>
            <w:r>
              <w:rPr>
                <w:rFonts w:cs="Arial"/>
                <w:color w:val="0D0D0D" w:themeColor="text1" w:themeTint="F2"/>
                <w:spacing w:val="-4"/>
              </w:rPr>
              <w:t>neckých pozicích, resp. 3 % žen</w:t>
            </w:r>
            <w:r w:rsidRPr="003E77E5">
              <w:rPr>
                <w:rFonts w:cs="Arial"/>
                <w:color w:val="0D0D0D" w:themeColor="text1" w:themeTint="F2"/>
                <w:spacing w:val="-4"/>
              </w:rPr>
              <w:t xml:space="preserve">. Diferenciace mezd v rámci jednotlivých tříd zaměstnanosti klesá úměrně s výší mezd. Vysoce diferencované výdělky má proto také třída specialistů, kde desetina nejlépe placených zaměstnanců pobírala měsíčně v roce 2015 více než 65,4 tis. korun, zatímco 10 % </w:t>
            </w:r>
            <w:r w:rsidRPr="003E77E5">
              <w:rPr>
                <w:rFonts w:cs="Arial"/>
                <w:color w:val="0D0D0D" w:themeColor="text1" w:themeTint="F2"/>
                <w:spacing w:val="-4"/>
              </w:rPr>
              <w:lastRenderedPageBreak/>
              <w:t>nejméně ohodnocených specialistů se muselo spokojit s výdělkem do 21,9 tis. korun. Decilový poměr tak činil u specialistů 2,98, zatímco u pomocných a nekvalifikovaných pracovníků 2,42 (a v málo početné třídě kvalifikovaných pracovníků v zemědělství, lesnictví a rybářství dokonce jen 2,20). Ve všech hlavních třídách zaměstnanosti byla úroveň a také diferenciace mužských výdělků vyšší než ženských. Poměrně velké</w:t>
            </w:r>
            <w:r>
              <w:rPr>
                <w:rFonts w:cs="Arial"/>
                <w:color w:val="0D0D0D" w:themeColor="text1" w:themeTint="F2"/>
                <w:spacing w:val="-4"/>
              </w:rPr>
              <w:t> </w:t>
            </w:r>
            <w:r w:rsidRPr="003E77E5">
              <w:rPr>
                <w:rFonts w:cs="Arial"/>
                <w:color w:val="0D0D0D" w:themeColor="text1" w:themeTint="F2"/>
                <w:spacing w:val="-4"/>
              </w:rPr>
              <w:t xml:space="preserve">rozdíly mezi pohlavími byly u početné třídy pracovníků ve službách a prodeji (zahrnuje 8,5 % všech zaměstnaných mužů, u žen dokonce 17,6 %), kde decilový poměr výše mezd žen činil 2,20, u mužů pak poměrně vysokých 3,34. </w:t>
            </w:r>
          </w:p>
          <w:p w:rsidR="005D4336" w:rsidRPr="003E77E5" w:rsidRDefault="005D4336" w:rsidP="007A0BF4">
            <w:pPr>
              <w:pStyle w:val="Textpoznpodarou"/>
              <w:jc w:val="both"/>
              <w:rPr>
                <w:rFonts w:cs="Arial"/>
                <w:color w:val="0D0D0D" w:themeColor="text1" w:themeTint="F2"/>
                <w:spacing w:val="-4"/>
              </w:rPr>
            </w:pPr>
          </w:p>
        </w:tc>
      </w:tr>
      <w:tr w:rsidR="005D4336" w:rsidTr="007A0BF4">
        <w:tc>
          <w:tcPr>
            <w:tcW w:w="1054" w:type="pct"/>
          </w:tcPr>
          <w:p w:rsidR="005D4336" w:rsidRDefault="005D4336" w:rsidP="007A0BF4">
            <w:pPr>
              <w:spacing w:line="240" w:lineRule="auto"/>
              <w:rPr>
                <w:rFonts w:cs="Arial"/>
                <w:bCs/>
                <w:iCs/>
                <w:color w:val="0D0D0D" w:themeColor="text1" w:themeTint="F2"/>
                <w:sz w:val="16"/>
                <w:szCs w:val="16"/>
              </w:rPr>
            </w:pPr>
            <w:r>
              <w:rPr>
                <w:rFonts w:cs="Arial"/>
                <w:bCs/>
                <w:iCs/>
                <w:color w:val="0D0D0D" w:themeColor="text1" w:themeTint="F2"/>
                <w:sz w:val="16"/>
                <w:szCs w:val="16"/>
              </w:rPr>
              <w:lastRenderedPageBreak/>
              <w:t>Rozdíly ve výši</w:t>
            </w:r>
            <w:r w:rsidRPr="00C95BD2">
              <w:rPr>
                <w:rFonts w:cs="Arial"/>
                <w:bCs/>
                <w:iCs/>
                <w:color w:val="0D0D0D" w:themeColor="text1" w:themeTint="F2"/>
                <w:sz w:val="16"/>
                <w:szCs w:val="16"/>
              </w:rPr>
              <w:t xml:space="preserve"> výdělků podle vzdělání </w:t>
            </w:r>
            <w:r>
              <w:rPr>
                <w:rFonts w:cs="Arial"/>
                <w:bCs/>
                <w:iCs/>
                <w:color w:val="0D0D0D" w:themeColor="text1" w:themeTint="F2"/>
                <w:sz w:val="16"/>
                <w:szCs w:val="16"/>
              </w:rPr>
              <w:t>byly ve</w:t>
            </w:r>
            <w:r w:rsidR="000D6B09">
              <w:rPr>
                <w:rFonts w:cs="Arial"/>
                <w:bCs/>
                <w:iCs/>
                <w:color w:val="0D0D0D" w:themeColor="text1" w:themeTint="F2"/>
                <w:sz w:val="16"/>
                <w:szCs w:val="16"/>
              </w:rPr>
              <w:t> </w:t>
            </w:r>
            <w:r>
              <w:rPr>
                <w:rFonts w:cs="Arial"/>
                <w:bCs/>
                <w:iCs/>
                <w:color w:val="0D0D0D" w:themeColor="text1" w:themeTint="F2"/>
                <w:sz w:val="16"/>
                <w:szCs w:val="16"/>
              </w:rPr>
              <w:t>srovnání s disparitami podle hlavních tříd zaměstnání nižší</w:t>
            </w: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Pr="00C95BD2" w:rsidRDefault="005D4336" w:rsidP="00DA424A">
            <w:pPr>
              <w:spacing w:line="240" w:lineRule="auto"/>
              <w:rPr>
                <w:rFonts w:cs="Arial"/>
                <w:bCs/>
                <w:iCs/>
                <w:color w:val="0D0D0D" w:themeColor="text1" w:themeTint="F2"/>
                <w:sz w:val="16"/>
                <w:szCs w:val="16"/>
              </w:rPr>
            </w:pPr>
            <w:r>
              <w:rPr>
                <w:rFonts w:cs="Arial"/>
                <w:bCs/>
                <w:iCs/>
                <w:color w:val="0D0D0D" w:themeColor="text1" w:themeTint="F2"/>
                <w:sz w:val="16"/>
                <w:szCs w:val="16"/>
              </w:rPr>
              <w:t>Průměrná mzda vysokoškoláků (bez</w:t>
            </w:r>
            <w:r w:rsidR="000D6B09">
              <w:rPr>
                <w:rFonts w:cs="Arial"/>
                <w:bCs/>
                <w:iCs/>
                <w:color w:val="0D0D0D" w:themeColor="text1" w:themeTint="F2"/>
                <w:sz w:val="16"/>
                <w:szCs w:val="16"/>
              </w:rPr>
              <w:t> </w:t>
            </w:r>
            <w:r>
              <w:rPr>
                <w:rFonts w:cs="Arial"/>
                <w:bCs/>
                <w:iCs/>
                <w:color w:val="0D0D0D" w:themeColor="text1" w:themeTint="F2"/>
                <w:sz w:val="16"/>
                <w:szCs w:val="16"/>
              </w:rPr>
              <w:t>bakalářů) byla v roce 2015 2,4</w:t>
            </w:r>
            <w:r w:rsidR="00DA424A">
              <w:rPr>
                <w:rFonts w:cs="Arial"/>
                <w:bCs/>
                <w:iCs/>
                <w:color w:val="0D0D0D" w:themeColor="text1" w:themeTint="F2"/>
                <w:sz w:val="16"/>
                <w:szCs w:val="16"/>
              </w:rPr>
              <w:t>krát</w:t>
            </w:r>
            <w:r>
              <w:rPr>
                <w:rFonts w:cs="Arial"/>
                <w:bCs/>
                <w:iCs/>
                <w:color w:val="0D0D0D" w:themeColor="text1" w:themeTint="F2"/>
                <w:sz w:val="16"/>
                <w:szCs w:val="16"/>
              </w:rPr>
              <w:t xml:space="preserve"> vyšší než</w:t>
            </w:r>
            <w:r w:rsidR="00DA424A">
              <w:rPr>
                <w:rFonts w:cs="Arial"/>
                <w:bCs/>
                <w:iCs/>
                <w:color w:val="0D0D0D" w:themeColor="text1" w:themeTint="F2"/>
                <w:sz w:val="16"/>
                <w:szCs w:val="16"/>
              </w:rPr>
              <w:t> </w:t>
            </w:r>
            <w:r>
              <w:rPr>
                <w:rFonts w:cs="Arial"/>
                <w:bCs/>
                <w:iCs/>
                <w:color w:val="0D0D0D" w:themeColor="text1" w:themeTint="F2"/>
                <w:sz w:val="16"/>
                <w:szCs w:val="16"/>
              </w:rPr>
              <w:t>výdělky zaměstnanců s maximálně základním vzděláním</w:t>
            </w: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Pr="00E67A77" w:rsidRDefault="005D4336" w:rsidP="007A0BF4">
            <w:pPr>
              <w:pStyle w:val="Textpoznpodarou"/>
              <w:jc w:val="both"/>
              <w:rPr>
                <w:rFonts w:cs="Arial"/>
                <w:color w:val="0D0D0D" w:themeColor="text1" w:themeTint="F2"/>
                <w:spacing w:val="-2"/>
              </w:rPr>
            </w:pPr>
            <w:r w:rsidRPr="00E67A77">
              <w:rPr>
                <w:rFonts w:cs="Arial"/>
                <w:color w:val="0D0D0D" w:themeColor="text1" w:themeTint="F2"/>
                <w:spacing w:val="-2"/>
              </w:rPr>
              <w:t>Méně rozvinuté (ve srovnání s třídami zaměstnání), avšak stále významné, byly rozdíly výdělků podle úrovně nejvyššího dokončeného vzdělání. Poměr mezd mužů s vysokoškolským diplomem (bez bakalářů) k výdělkům mužů s maximálně základním vzděláním se v roce 2015 rovnal 2,56 (v případě průměrných mezd), resp. 2,08 (u mediánu). Obdobné proporce u žen činily 2,18, resp. 1,96. Ve srovnání s rokem 2012 byly tyto poměry nižší, a to u obou pohlaví. Zaměstnancům s nižší úrovní vzdělání tak rostly mzdy rychlejším tempem. Platilo také, že diferenciace výdělků roste s výší dosaženého vzdělání (variační koeficient mezd u osob se základním popř. neukončeným vzděláním byl v porovnání s vysokoškoláky poloviční). Rozrůzněnost výdělků zaměstnanců s maximálně základním vzděláním a</w:t>
            </w:r>
            <w:r>
              <w:rPr>
                <w:rFonts w:cs="Arial"/>
                <w:color w:val="0D0D0D" w:themeColor="text1" w:themeTint="F2"/>
                <w:spacing w:val="-2"/>
              </w:rPr>
              <w:t> </w:t>
            </w:r>
            <w:r w:rsidRPr="00E67A77">
              <w:rPr>
                <w:rFonts w:cs="Arial"/>
                <w:color w:val="0D0D0D" w:themeColor="text1" w:themeTint="F2"/>
                <w:spacing w:val="-2"/>
              </w:rPr>
              <w:t>těch se středoškolským vzděláním s maturitou byla prakticky totožná, největší zlom nastává mezi pracovníky s vyšším odborným vzděláním (a vysokoškoláků v bakalářském stupni) a ostatních osob s vysokoškolským diplomem. Měsíční mzdu nad 40 tis. korun pobíralo v roce 2015 více než 38 % vysokoškoláků (bez bakalářů), ale již pouze 17,6 % osob s nižším stupněm terciárního vzdělání. Zároveň však 11</w:t>
            </w:r>
            <w:r>
              <w:rPr>
                <w:rFonts w:cs="Arial"/>
                <w:color w:val="0D0D0D" w:themeColor="text1" w:themeTint="F2"/>
                <w:spacing w:val="-2"/>
              </w:rPr>
              <w:t> </w:t>
            </w:r>
            <w:r w:rsidRPr="00E67A77">
              <w:rPr>
                <w:rFonts w:cs="Arial"/>
                <w:color w:val="0D0D0D" w:themeColor="text1" w:themeTint="F2"/>
                <w:spacing w:val="-2"/>
              </w:rPr>
              <w:t xml:space="preserve">% vysokoškoláků pobíralo mzdu nižší než 20 tis. korun, obdobné procento středoškoláků bez maturity si přišlo měsíčně na více než 32 tis. korun. </w:t>
            </w:r>
          </w:p>
        </w:tc>
      </w:tr>
    </w:tbl>
    <w:p w:rsidR="005D4336" w:rsidRPr="00E67A77" w:rsidRDefault="005D4336" w:rsidP="005D4336">
      <w:pPr>
        <w:pStyle w:val="Textpoznpodarou"/>
        <w:jc w:val="both"/>
        <w:rPr>
          <w:rFonts w:cs="Arial"/>
          <w:color w:val="000000" w:themeColor="text1"/>
          <w:spacing w:val="-2"/>
        </w:rPr>
      </w:pPr>
    </w:p>
    <w:tbl>
      <w:tblPr>
        <w:tblW w:w="5000" w:type="pct"/>
        <w:tblLayout w:type="fixed"/>
        <w:tblCellMar>
          <w:left w:w="28" w:type="dxa"/>
          <w:right w:w="28" w:type="dxa"/>
        </w:tblCellMar>
        <w:tblLook w:val="04A0"/>
      </w:tblPr>
      <w:tblGrid>
        <w:gridCol w:w="595"/>
        <w:gridCol w:w="4254"/>
        <w:gridCol w:w="710"/>
        <w:gridCol w:w="4135"/>
      </w:tblGrid>
      <w:tr w:rsidR="005D4336" w:rsidTr="004D74FF">
        <w:tc>
          <w:tcPr>
            <w:tcW w:w="307" w:type="pct"/>
          </w:tcPr>
          <w:p w:rsidR="005D4336" w:rsidRPr="007E77FB" w:rsidRDefault="005D4336" w:rsidP="007A0BF4">
            <w:pPr>
              <w:pStyle w:val="Textpoznpodarou"/>
              <w:rPr>
                <w:lang w:eastAsia="en-US"/>
              </w:rPr>
            </w:pPr>
            <w:r>
              <w:rPr>
                <w:lang w:eastAsia="en-US"/>
              </w:rPr>
              <w:t xml:space="preserve">Graf </w:t>
            </w:r>
            <w:r w:rsidRPr="007E77FB">
              <w:rPr>
                <w:lang w:eastAsia="en-US"/>
              </w:rPr>
              <w:t>č.</w:t>
            </w:r>
            <w:r>
              <w:rPr>
                <w:lang w:eastAsia="en-US"/>
              </w:rPr>
              <w:t> 18</w:t>
            </w:r>
          </w:p>
        </w:tc>
        <w:tc>
          <w:tcPr>
            <w:tcW w:w="2193" w:type="pct"/>
          </w:tcPr>
          <w:p w:rsidR="005D4336" w:rsidRPr="00DF3C10" w:rsidRDefault="005D4336" w:rsidP="007A0BF4">
            <w:pPr>
              <w:pStyle w:val="Textpoznpodarou"/>
              <w:rPr>
                <w:b/>
                <w:spacing w:val="-2"/>
                <w:lang w:eastAsia="en-US"/>
              </w:rPr>
            </w:pPr>
            <w:r>
              <w:rPr>
                <w:b/>
                <w:spacing w:val="-2"/>
                <w:lang w:eastAsia="en-US"/>
              </w:rPr>
              <w:t>Průměr a medián hrubých</w:t>
            </w:r>
            <w:r w:rsidRPr="00142A28">
              <w:rPr>
                <w:b/>
                <w:spacing w:val="-2"/>
                <w:lang w:eastAsia="en-US"/>
              </w:rPr>
              <w:t xml:space="preserve"> měsíčních mezd</w:t>
            </w:r>
            <w:r>
              <w:rPr>
                <w:b/>
                <w:spacing w:val="-2"/>
                <w:lang w:eastAsia="en-US"/>
              </w:rPr>
              <w:t xml:space="preserve"> podle pohlaví v roce 2015 </w:t>
            </w:r>
            <w:r w:rsidRPr="00833C39">
              <w:rPr>
                <w:spacing w:val="-2"/>
                <w:lang w:eastAsia="en-US"/>
              </w:rPr>
              <w:t>(v k</w:t>
            </w:r>
            <w:r>
              <w:rPr>
                <w:spacing w:val="-2"/>
                <w:lang w:eastAsia="en-US"/>
              </w:rPr>
              <w:t>o</w:t>
            </w:r>
            <w:r w:rsidRPr="00833C39">
              <w:rPr>
                <w:spacing w:val="-2"/>
                <w:lang w:eastAsia="en-US"/>
              </w:rPr>
              <w:t>runách</w:t>
            </w:r>
            <w:r>
              <w:rPr>
                <w:spacing w:val="-2"/>
                <w:lang w:eastAsia="en-US"/>
              </w:rPr>
              <w:t>)</w:t>
            </w:r>
          </w:p>
        </w:tc>
        <w:tc>
          <w:tcPr>
            <w:tcW w:w="366" w:type="pct"/>
          </w:tcPr>
          <w:p w:rsidR="005D4336" w:rsidRPr="007E77FB" w:rsidRDefault="005D4336" w:rsidP="007A0BF4">
            <w:pPr>
              <w:pStyle w:val="Textpoznpodarou"/>
              <w:rPr>
                <w:lang w:eastAsia="en-US"/>
              </w:rPr>
            </w:pPr>
            <w:r w:rsidRPr="007E77FB">
              <w:rPr>
                <w:lang w:eastAsia="en-US"/>
              </w:rPr>
              <w:t>Graf č.</w:t>
            </w:r>
            <w:r>
              <w:rPr>
                <w:lang w:eastAsia="en-US"/>
              </w:rPr>
              <w:t> 19</w:t>
            </w:r>
          </w:p>
        </w:tc>
        <w:tc>
          <w:tcPr>
            <w:tcW w:w="2134" w:type="pct"/>
          </w:tcPr>
          <w:p w:rsidR="005D4336" w:rsidRDefault="005D4336" w:rsidP="007A0BF4">
            <w:pPr>
              <w:pStyle w:val="Textpoznpodarou"/>
              <w:rPr>
                <w:b/>
                <w:spacing w:val="-2"/>
                <w:lang w:eastAsia="en-US"/>
              </w:rPr>
            </w:pPr>
            <w:proofErr w:type="spellStart"/>
            <w:r>
              <w:rPr>
                <w:b/>
                <w:spacing w:val="-2"/>
                <w:lang w:eastAsia="en-US"/>
              </w:rPr>
              <w:t>P</w:t>
            </w:r>
            <w:r w:rsidR="00405FC7">
              <w:rPr>
                <w:b/>
                <w:spacing w:val="-2"/>
                <w:lang w:eastAsia="en-US"/>
              </w:rPr>
              <w:t>rům</w:t>
            </w:r>
            <w:proofErr w:type="spellEnd"/>
            <w:r w:rsidR="00405FC7">
              <w:rPr>
                <w:b/>
                <w:spacing w:val="-2"/>
                <w:lang w:eastAsia="en-US"/>
              </w:rPr>
              <w:t>.</w:t>
            </w:r>
            <w:r>
              <w:rPr>
                <w:b/>
                <w:spacing w:val="-2"/>
                <w:lang w:eastAsia="en-US"/>
              </w:rPr>
              <w:t xml:space="preserve"> hrubé měsíční mzdy v krajích </w:t>
            </w:r>
            <w:r w:rsidRPr="00650123">
              <w:rPr>
                <w:b/>
                <w:spacing w:val="-2"/>
                <w:lang w:eastAsia="en-US"/>
              </w:rPr>
              <w:t>dle hlavních tříd CZ-ISCO</w:t>
            </w:r>
            <w:r>
              <w:rPr>
                <w:b/>
                <w:spacing w:val="-2"/>
                <w:lang w:eastAsia="en-US"/>
              </w:rPr>
              <w:t xml:space="preserve"> v letech 2012 a 2015</w:t>
            </w:r>
          </w:p>
          <w:p w:rsidR="005D4336" w:rsidRPr="00F6280C" w:rsidRDefault="005D4336" w:rsidP="007A0BF4">
            <w:pPr>
              <w:pStyle w:val="Textpoznpodarou"/>
              <w:rPr>
                <w:spacing w:val="-6"/>
                <w:lang w:eastAsia="en-US"/>
              </w:rPr>
            </w:pPr>
            <w:r w:rsidRPr="00F6280C">
              <w:rPr>
                <w:spacing w:val="-6"/>
                <w:lang w:eastAsia="en-US"/>
              </w:rPr>
              <w:t>(</w:t>
            </w:r>
            <w:r>
              <w:rPr>
                <w:spacing w:val="-6"/>
                <w:lang w:eastAsia="en-US"/>
              </w:rPr>
              <w:t>úroveň ČR v daném</w:t>
            </w:r>
            <w:r w:rsidRPr="00F6280C">
              <w:rPr>
                <w:spacing w:val="-6"/>
                <w:lang w:eastAsia="en-US"/>
              </w:rPr>
              <w:t xml:space="preserve"> roce a třídě CZ-ISCO=100)</w:t>
            </w:r>
          </w:p>
        </w:tc>
      </w:tr>
      <w:tr w:rsidR="005D4336" w:rsidTr="004D74FF">
        <w:trPr>
          <w:trHeight w:val="3873"/>
        </w:trPr>
        <w:tc>
          <w:tcPr>
            <w:tcW w:w="2501" w:type="pct"/>
            <w:gridSpan w:val="2"/>
          </w:tcPr>
          <w:p w:rsidR="005D4336" w:rsidRDefault="00C20031" w:rsidP="007A0BF4">
            <w:pPr>
              <w:pStyle w:val="Textpoznpodarou"/>
              <w:jc w:val="both"/>
            </w:pPr>
            <w:r>
              <w:rPr>
                <w:noProof/>
              </w:rPr>
              <w:pict>
                <v:shape id="_x0000_i1069" type="#_x0000_t75" style="width:239.8pt;height:194.1pt;visibility:visible;mso-wrap-style:square">
                  <v:imagedata r:id="rId27" o:title=""/>
                </v:shape>
              </w:pict>
            </w:r>
          </w:p>
        </w:tc>
        <w:tc>
          <w:tcPr>
            <w:tcW w:w="2499" w:type="pct"/>
            <w:gridSpan w:val="2"/>
          </w:tcPr>
          <w:p w:rsidR="005D4336" w:rsidRDefault="00C20031" w:rsidP="007A0BF4">
            <w:pPr>
              <w:pStyle w:val="Textpoznpodarou"/>
              <w:jc w:val="both"/>
            </w:pPr>
            <w:r>
              <w:rPr>
                <w:noProof/>
              </w:rPr>
              <w:pict>
                <v:shape id="_x0000_i1070" type="#_x0000_t75" style="width:238.55pt;height:194.1pt;visibility:visible;mso-wrap-style:square">
                  <v:imagedata r:id="rId28" o:title=""/>
                </v:shape>
              </w:pict>
            </w:r>
          </w:p>
        </w:tc>
      </w:tr>
      <w:tr w:rsidR="005D4336" w:rsidTr="00405FC7">
        <w:tc>
          <w:tcPr>
            <w:tcW w:w="5000" w:type="pct"/>
            <w:gridSpan w:val="4"/>
          </w:tcPr>
          <w:p w:rsidR="005D4336" w:rsidRPr="00DF3C10" w:rsidRDefault="005D4336" w:rsidP="007A0BF4">
            <w:pPr>
              <w:autoSpaceDE w:val="0"/>
              <w:autoSpaceDN w:val="0"/>
              <w:adjustRightInd w:val="0"/>
              <w:spacing w:line="240" w:lineRule="auto"/>
              <w:jc w:val="right"/>
              <w:rPr>
                <w:rFonts w:cs="Arial"/>
                <w:color w:val="000000"/>
                <w:spacing w:val="-2"/>
                <w:sz w:val="18"/>
                <w:szCs w:val="18"/>
              </w:rPr>
            </w:pPr>
            <w:r w:rsidRPr="00886A8F">
              <w:rPr>
                <w:sz w:val="18"/>
                <w:szCs w:val="18"/>
                <w:lang w:eastAsia="en-US"/>
              </w:rPr>
              <w:t>Zdroj: ČSÚ</w:t>
            </w:r>
            <w:r>
              <w:rPr>
                <w:sz w:val="18"/>
                <w:szCs w:val="18"/>
                <w:lang w:eastAsia="en-US"/>
              </w:rPr>
              <w:t>, MPSV, vlastní výpočty</w:t>
            </w:r>
          </w:p>
        </w:tc>
      </w:tr>
    </w:tbl>
    <w:p w:rsidR="005D4336" w:rsidRDefault="005D4336" w:rsidP="005D4336">
      <w:pPr>
        <w:pStyle w:val="Textpoznpodarou"/>
        <w:jc w:val="both"/>
        <w:rPr>
          <w:rFonts w:cs="Arial"/>
          <w:color w:val="000000" w:themeColor="text1"/>
          <w:spacing w:val="-2"/>
        </w:rPr>
      </w:pPr>
    </w:p>
    <w:tbl>
      <w:tblPr>
        <w:tblW w:w="5000" w:type="pct"/>
        <w:tblCellMar>
          <w:left w:w="28" w:type="dxa"/>
          <w:right w:w="28" w:type="dxa"/>
        </w:tblCellMar>
        <w:tblLook w:val="04A0"/>
      </w:tblPr>
      <w:tblGrid>
        <w:gridCol w:w="2044"/>
        <w:gridCol w:w="275"/>
        <w:gridCol w:w="7375"/>
      </w:tblGrid>
      <w:tr w:rsidR="005D4336" w:rsidTr="007A0BF4">
        <w:tc>
          <w:tcPr>
            <w:tcW w:w="1054" w:type="pct"/>
          </w:tcPr>
          <w:p w:rsidR="005D4336"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Výše průměrných výdělků mužů a žen se mění v souvislosti s věkem odlišně…</w:t>
            </w: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…muži dosahují nejvyšší mzdy ve věku 40-44 let, ženy o dekádu dříve</w:t>
            </w: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Pr="00372465"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lastRenderedPageBreak/>
              <w:t>Ženy pobíraly 78 % průměru mezd mužů, mezi lety 2012 a 2015 se tento poměr nezměnil</w:t>
            </w: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Default="005D4336" w:rsidP="007A0BF4">
            <w:pPr>
              <w:pStyle w:val="Textpoznpodarou"/>
              <w:jc w:val="both"/>
              <w:rPr>
                <w:rFonts w:cs="Arial"/>
                <w:color w:val="0D0D0D" w:themeColor="text1" w:themeTint="F2"/>
                <w:spacing w:val="-4"/>
              </w:rPr>
            </w:pPr>
            <w:r w:rsidRPr="003E77E5">
              <w:rPr>
                <w:rFonts w:cs="Arial"/>
                <w:color w:val="0D0D0D" w:themeColor="text1" w:themeTint="F2"/>
                <w:spacing w:val="-4"/>
              </w:rPr>
              <w:t>Lze soudit, že ne zcela zanedbatelný podíl vysokoškoláků s podprůměrnými mzdami souvisí s uplatňováním absolventů, zejména na pozicích ve veřejném sektoru. Rozdíly ve výši výdělků podle věku mají však komplexnější charakter, liší se i mezi pohlavími. Nejmladší osoby na trhu práce (do 19 let) pobíraly v roce 2015 jen 57 % průměrné mzdy nejlépe ohodnocených zaměstnanců (ve věku 35-</w:t>
            </w:r>
            <w:r w:rsidR="00911AE9">
              <w:rPr>
                <w:rFonts w:cs="Arial"/>
                <w:color w:val="0D0D0D" w:themeColor="text1" w:themeTint="F2"/>
                <w:spacing w:val="-4"/>
              </w:rPr>
              <w:t>39 let). Tito nejmladší pracovní</w:t>
            </w:r>
            <w:r w:rsidRPr="003E77E5">
              <w:rPr>
                <w:rFonts w:cs="Arial"/>
                <w:color w:val="0D0D0D" w:themeColor="text1" w:themeTint="F2"/>
                <w:spacing w:val="-4"/>
              </w:rPr>
              <w:t>ci však tv</w:t>
            </w:r>
            <w:r w:rsidR="00911AE9">
              <w:rPr>
                <w:rFonts w:cs="Arial"/>
                <w:color w:val="0D0D0D" w:themeColor="text1" w:themeTint="F2"/>
                <w:spacing w:val="-4"/>
              </w:rPr>
              <w:t>oří stále více okrajovou skupin</w:t>
            </w:r>
            <w:r w:rsidRPr="003E77E5">
              <w:rPr>
                <w:rFonts w:cs="Arial"/>
                <w:color w:val="0D0D0D" w:themeColor="text1" w:themeTint="F2"/>
                <w:spacing w:val="-4"/>
              </w:rPr>
              <w:t xml:space="preserve">u (jen 2 promile všech zaměstnanců), vlivem nízkého věku navíc mezi nimi nejsou prakticky zastoupeni absolventi terciárního stupně vzdělání. S rostoucím věkem se pozice mladých </w:t>
            </w:r>
            <w:r>
              <w:rPr>
                <w:rFonts w:cs="Arial"/>
                <w:color w:val="0D0D0D" w:themeColor="text1" w:themeTint="F2"/>
                <w:spacing w:val="-4"/>
              </w:rPr>
              <w:t xml:space="preserve">na </w:t>
            </w:r>
            <w:r w:rsidRPr="003E77E5">
              <w:rPr>
                <w:rFonts w:cs="Arial"/>
                <w:color w:val="0D0D0D" w:themeColor="text1" w:themeTint="F2"/>
                <w:spacing w:val="-4"/>
              </w:rPr>
              <w:t>trhu práce výrazně zlepšuje, maximálních výdělků dosahují</w:t>
            </w:r>
            <w:r>
              <w:rPr>
                <w:rFonts w:cs="Arial"/>
                <w:color w:val="0D0D0D" w:themeColor="text1" w:themeTint="F2"/>
                <w:spacing w:val="-4"/>
              </w:rPr>
              <w:t xml:space="preserve"> muži ve věku 40-44 let, ženy o</w:t>
            </w:r>
            <w:r w:rsidRPr="003E77E5">
              <w:rPr>
                <w:rFonts w:cs="Arial"/>
                <w:color w:val="0D0D0D" w:themeColor="text1" w:themeTint="F2"/>
                <w:spacing w:val="-4"/>
              </w:rPr>
              <w:t> dekádu dříve. Nižší výdělky žen po 35</w:t>
            </w:r>
            <w:r w:rsidR="00322A2F">
              <w:rPr>
                <w:rFonts w:cs="Arial"/>
                <w:color w:val="0D0D0D" w:themeColor="text1" w:themeTint="F2"/>
                <w:spacing w:val="-4"/>
              </w:rPr>
              <w:t>.</w:t>
            </w:r>
            <w:r w:rsidRPr="003E77E5">
              <w:rPr>
                <w:rFonts w:cs="Arial"/>
                <w:color w:val="0D0D0D" w:themeColor="text1" w:themeTint="F2"/>
                <w:spacing w:val="-4"/>
              </w:rPr>
              <w:t xml:space="preserve"> roku (ve srovnání s ženami ve věku 30-34 let) souvisí s obtížnějším skloubením pracovního a rodinného života, ženy vracející se z rod</w:t>
            </w:r>
            <w:r>
              <w:rPr>
                <w:rFonts w:cs="Arial"/>
                <w:color w:val="0D0D0D" w:themeColor="text1" w:themeTint="F2"/>
                <w:spacing w:val="-4"/>
              </w:rPr>
              <w:t>ičovské dovolené jsou tak často</w:t>
            </w:r>
            <w:r w:rsidRPr="003E77E5">
              <w:rPr>
                <w:rFonts w:cs="Arial"/>
                <w:color w:val="0D0D0D" w:themeColor="text1" w:themeTint="F2"/>
                <w:spacing w:val="-4"/>
              </w:rPr>
              <w:t xml:space="preserve"> nuceny snížit své p</w:t>
            </w:r>
            <w:r>
              <w:rPr>
                <w:rFonts w:cs="Arial"/>
                <w:color w:val="0D0D0D" w:themeColor="text1" w:themeTint="F2"/>
                <w:spacing w:val="-4"/>
              </w:rPr>
              <w:t>racovní aspirace a přistoupit i</w:t>
            </w:r>
            <w:r w:rsidRPr="003E77E5">
              <w:rPr>
                <w:rFonts w:cs="Arial"/>
                <w:color w:val="0D0D0D" w:themeColor="text1" w:themeTint="F2"/>
                <w:spacing w:val="-4"/>
              </w:rPr>
              <w:t xml:space="preserve"> na méně kvalifikovanou pozici. </w:t>
            </w:r>
            <w:r>
              <w:rPr>
                <w:rFonts w:cs="Arial"/>
                <w:color w:val="0D0D0D" w:themeColor="text1" w:themeTint="F2"/>
                <w:spacing w:val="-4"/>
              </w:rPr>
              <w:t xml:space="preserve">Výše výdělků žen v průběhu </w:t>
            </w:r>
            <w:r w:rsidRPr="003E77E5">
              <w:rPr>
                <w:rFonts w:cs="Arial"/>
                <w:color w:val="0D0D0D" w:themeColor="text1" w:themeTint="F2"/>
                <w:spacing w:val="-4"/>
              </w:rPr>
              <w:t xml:space="preserve">středního věku se ale </w:t>
            </w:r>
            <w:r w:rsidRPr="003E77E5">
              <w:rPr>
                <w:rFonts w:cs="Arial"/>
                <w:color w:val="0D0D0D" w:themeColor="text1" w:themeTint="F2"/>
                <w:spacing w:val="-4"/>
              </w:rPr>
              <w:lastRenderedPageBreak/>
              <w:t>na</w:t>
            </w:r>
            <w:r>
              <w:rPr>
                <w:rFonts w:cs="Arial"/>
                <w:color w:val="0D0D0D" w:themeColor="text1" w:themeTint="F2"/>
                <w:spacing w:val="-4"/>
              </w:rPr>
              <w:t> </w:t>
            </w:r>
            <w:r w:rsidRPr="003E77E5">
              <w:rPr>
                <w:rFonts w:cs="Arial"/>
                <w:color w:val="0D0D0D" w:themeColor="text1" w:themeTint="F2"/>
                <w:spacing w:val="-4"/>
              </w:rPr>
              <w:t>rozdíl od mužů nesnižuje. Nárůst mezd žen ve věku 60-64 let souvisí s dosud odlišnou věkovou hranicí nároku na starobní důchod. Zatímco u mužů jde z velké části ještě o „řádné“ pracující (napříč různými socioekonomickými skupinami), u žen zůstávají v tomto věku „dobrovolně“ na pracovním trhu především osoby s vyšší kvalifikací. Mediánové mzdy žen ve věku 60-64 let tak výjimečně dosahují prakticky 100 % úrovně mužů této věkové skupiny. Naopak ve věku 40-44 let činily výdělky žen jen 77,4 % úrovně mediánu mez</w:t>
            </w:r>
            <w:r>
              <w:rPr>
                <w:rFonts w:cs="Arial"/>
                <w:color w:val="0D0D0D" w:themeColor="text1" w:themeTint="F2"/>
                <w:spacing w:val="-4"/>
              </w:rPr>
              <w:t>d mužů (u</w:t>
            </w:r>
            <w:r w:rsidRPr="003E77E5">
              <w:rPr>
                <w:rFonts w:cs="Arial"/>
                <w:color w:val="0D0D0D" w:themeColor="text1" w:themeTint="F2"/>
                <w:spacing w:val="-4"/>
              </w:rPr>
              <w:t xml:space="preserve"> průměrné mzdy dokonce pouze 70,4 %). </w:t>
            </w:r>
          </w:p>
          <w:p w:rsidR="005D4336" w:rsidRPr="00A55267" w:rsidRDefault="005D4336" w:rsidP="007A0BF4">
            <w:pPr>
              <w:pStyle w:val="Textpoznpodarou"/>
              <w:jc w:val="both"/>
              <w:rPr>
                <w:rFonts w:cs="Arial"/>
                <w:color w:val="0D0D0D" w:themeColor="text1" w:themeTint="F2"/>
                <w:spacing w:val="-4"/>
                <w:sz w:val="18"/>
                <w:szCs w:val="18"/>
              </w:rPr>
            </w:pPr>
          </w:p>
        </w:tc>
      </w:tr>
      <w:tr w:rsidR="005D4336" w:rsidTr="007A0BF4">
        <w:tc>
          <w:tcPr>
            <w:tcW w:w="1054" w:type="pct"/>
          </w:tcPr>
          <w:p w:rsidR="005D4336" w:rsidRDefault="005D4336" w:rsidP="007A0BF4">
            <w:pPr>
              <w:spacing w:line="240" w:lineRule="auto"/>
              <w:rPr>
                <w:rFonts w:cs="Arial"/>
                <w:bCs/>
                <w:iCs/>
                <w:color w:val="0D0D0D" w:themeColor="text1" w:themeTint="F2"/>
                <w:sz w:val="16"/>
                <w:szCs w:val="16"/>
              </w:rPr>
            </w:pPr>
            <w:r w:rsidRPr="002B7879">
              <w:rPr>
                <w:rFonts w:cs="Arial"/>
                <w:bCs/>
                <w:iCs/>
                <w:color w:val="0D0D0D" w:themeColor="text1" w:themeTint="F2"/>
                <w:sz w:val="16"/>
                <w:szCs w:val="16"/>
              </w:rPr>
              <w:lastRenderedPageBreak/>
              <w:t xml:space="preserve">Převis průměrné mzdy v metropoli </w:t>
            </w:r>
            <w:r>
              <w:rPr>
                <w:rFonts w:cs="Arial"/>
                <w:bCs/>
                <w:iCs/>
                <w:color w:val="0D0D0D" w:themeColor="text1" w:themeTint="F2"/>
                <w:sz w:val="16"/>
                <w:szCs w:val="16"/>
              </w:rPr>
              <w:t>nad ostatními kraji se snížil…</w:t>
            </w: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r>
              <w:rPr>
                <w:rFonts w:cs="Arial"/>
                <w:bCs/>
                <w:iCs/>
                <w:color w:val="0D0D0D" w:themeColor="text1" w:themeTint="F2"/>
                <w:sz w:val="16"/>
                <w:szCs w:val="16"/>
              </w:rPr>
              <w:t>…nejvíce viditelný byl u řídících pracovníků a specialistů, naopak u kvalifikovaných i nekvalifikovaných manuálních profesí si mírně více vydělali lidé z regionů</w:t>
            </w:r>
          </w:p>
          <w:p w:rsidR="005D4336" w:rsidRPr="002B7879" w:rsidRDefault="005D4336" w:rsidP="007A0BF4">
            <w:pPr>
              <w:spacing w:line="240" w:lineRule="auto"/>
              <w:rPr>
                <w:rFonts w:cs="Arial"/>
                <w:bCs/>
                <w:iCs/>
                <w:color w:val="0D0D0D" w:themeColor="text1" w:themeTint="F2"/>
                <w:sz w:val="16"/>
                <w:szCs w:val="16"/>
              </w:rPr>
            </w:pP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Pr="003E77E5" w:rsidRDefault="005D4336" w:rsidP="007A0BF4">
            <w:pPr>
              <w:pStyle w:val="Textpoznpodarou"/>
              <w:jc w:val="both"/>
              <w:rPr>
                <w:rFonts w:cs="Arial"/>
                <w:color w:val="0D0D0D" w:themeColor="text1" w:themeTint="F2"/>
                <w:spacing w:val="-4"/>
              </w:rPr>
            </w:pPr>
            <w:r w:rsidRPr="003E77E5">
              <w:rPr>
                <w:rFonts w:cs="Arial"/>
                <w:color w:val="0D0D0D" w:themeColor="text1" w:themeTint="F2"/>
                <w:spacing w:val="-4"/>
              </w:rPr>
              <w:t>Mzda v Praze převyšovala v roce 2015 průměrnou mzdu na národní úrovni o 31 %, v případě mediánu o 21 %. Rozdíly v mimopražských regionech byly poměrně nízké, pohybovaly se u průměrné mzdy od 101 % (Středočeský kraj) po 87 % (Karlovarsko). Převis Prahy nad národní úrovní se v posledních letech snížil</w:t>
            </w:r>
            <w:r>
              <w:rPr>
                <w:rFonts w:cs="Arial"/>
                <w:color w:val="0D0D0D" w:themeColor="text1" w:themeTint="F2"/>
                <w:spacing w:val="-4"/>
              </w:rPr>
              <w:t xml:space="preserve"> – </w:t>
            </w:r>
            <w:r w:rsidRPr="003E77E5">
              <w:rPr>
                <w:rFonts w:cs="Arial"/>
                <w:color w:val="0D0D0D" w:themeColor="text1" w:themeTint="F2"/>
                <w:spacing w:val="-4"/>
              </w:rPr>
              <w:t>v roce 2012 dosahoval u průměrné mzdy 36</w:t>
            </w:r>
            <w:r>
              <w:rPr>
                <w:rFonts w:cs="Arial"/>
                <w:color w:val="0D0D0D" w:themeColor="text1" w:themeTint="F2"/>
                <w:spacing w:val="-4"/>
              </w:rPr>
              <w:t xml:space="preserve"> % (resp. 24 % u mediánové mzdy</w:t>
            </w:r>
            <w:r w:rsidRPr="003E77E5">
              <w:rPr>
                <w:rFonts w:cs="Arial"/>
                <w:color w:val="0D0D0D" w:themeColor="text1" w:themeTint="F2"/>
                <w:spacing w:val="-4"/>
              </w:rPr>
              <w:t xml:space="preserve">). V rámci hlavních tříd zaměstnání dosahovala Praha největší dominance u řídících pracovníků, jejichž průměrné mzdy byly v metropoli (81,3 tis.) oproti Zlínsku téměř dvojnásobné. Výsostné postavení Prahy bylo patrné také u specialistů, naopak v kvalifikovaných manuálních profesích ji pokořil Středočeský kraj (kde lze předpokládat dobré uplatnění </w:t>
            </w:r>
            <w:r w:rsidRPr="00A55267">
              <w:rPr>
                <w:rFonts w:cs="Arial"/>
                <w:color w:val="0D0D0D" w:themeColor="text1" w:themeTint="F2"/>
                <w:spacing w:val="-6"/>
              </w:rPr>
              <w:t>těchto pracovníků v automobilovém průmyslu a na něj navázaných oborech).</w:t>
            </w:r>
            <w:r w:rsidRPr="003E77E5">
              <w:rPr>
                <w:rFonts w:cs="Arial"/>
                <w:color w:val="0D0D0D" w:themeColor="text1" w:themeTint="F2"/>
                <w:spacing w:val="-4"/>
              </w:rPr>
              <w:t xml:space="preserve"> Průměrné mzdy pomocných a nekvalifikovaných pracovníků v Praze se dokonce nacházely pod celorepublikovým průměrem této třídy. Nejméně kvalifikovaní pracovníci na Liberecku si tak vydělali o šestinu více než v Praze (v absolutním vyjádření však šl</w:t>
            </w:r>
            <w:r>
              <w:rPr>
                <w:rFonts w:cs="Arial"/>
                <w:color w:val="0D0D0D" w:themeColor="text1" w:themeTint="F2"/>
                <w:spacing w:val="-4"/>
              </w:rPr>
              <w:t>o jen</w:t>
            </w:r>
            <w:r w:rsidRPr="003E77E5">
              <w:rPr>
                <w:rFonts w:cs="Arial"/>
                <w:color w:val="0D0D0D" w:themeColor="text1" w:themeTint="F2"/>
                <w:spacing w:val="-4"/>
              </w:rPr>
              <w:t xml:space="preserve"> o 2,5 tis. korun měsíčně). Nejnižší </w:t>
            </w:r>
            <w:proofErr w:type="spellStart"/>
            <w:r w:rsidRPr="003E77E5">
              <w:rPr>
                <w:rFonts w:cs="Arial"/>
                <w:color w:val="0D0D0D" w:themeColor="text1" w:themeTint="F2"/>
                <w:spacing w:val="-4"/>
              </w:rPr>
              <w:t>mezikrajské</w:t>
            </w:r>
            <w:proofErr w:type="spellEnd"/>
            <w:r w:rsidRPr="003E77E5">
              <w:rPr>
                <w:rFonts w:cs="Arial"/>
                <w:color w:val="0D0D0D" w:themeColor="text1" w:themeTint="F2"/>
                <w:spacing w:val="-4"/>
              </w:rPr>
              <w:t xml:space="preserve"> disparity</w:t>
            </w:r>
            <w:r>
              <w:rPr>
                <w:rFonts w:cs="Arial"/>
                <w:color w:val="0D0D0D" w:themeColor="text1" w:themeTint="F2"/>
                <w:spacing w:val="-4"/>
              </w:rPr>
              <w:t xml:space="preserve"> byly</w:t>
            </w:r>
            <w:r w:rsidRPr="003E77E5">
              <w:rPr>
                <w:rFonts w:cs="Arial"/>
                <w:color w:val="0D0D0D" w:themeColor="text1" w:themeTint="F2"/>
                <w:spacing w:val="-4"/>
              </w:rPr>
              <w:t xml:space="preserve"> u obsluhy strojů a zařízení (mezi 21,2 tis. na Pardubicku po 24,4 </w:t>
            </w:r>
            <w:r>
              <w:rPr>
                <w:rFonts w:cs="Arial"/>
                <w:color w:val="0D0D0D" w:themeColor="text1" w:themeTint="F2"/>
                <w:spacing w:val="-4"/>
              </w:rPr>
              <w:t>tis. ve středních Čechách</w:t>
            </w:r>
            <w:r w:rsidRPr="003E77E5">
              <w:rPr>
                <w:rFonts w:cs="Arial"/>
                <w:color w:val="0D0D0D" w:themeColor="text1" w:themeTint="F2"/>
                <w:spacing w:val="-4"/>
              </w:rPr>
              <w:t>). V této třídě zaměstnání však na celorepublikové úrovni pracovala desetina žen a více než pětina mužů.</w:t>
            </w:r>
          </w:p>
        </w:tc>
      </w:tr>
    </w:tbl>
    <w:p w:rsidR="005D4336" w:rsidRPr="00A55267" w:rsidRDefault="005D4336" w:rsidP="005D4336">
      <w:pPr>
        <w:pStyle w:val="Textpoznpodarou"/>
        <w:jc w:val="both"/>
        <w:rPr>
          <w:rFonts w:cs="Arial"/>
          <w:color w:val="000000" w:themeColor="text1"/>
          <w:spacing w:val="-2"/>
          <w:sz w:val="18"/>
          <w:szCs w:val="18"/>
        </w:rPr>
      </w:pPr>
    </w:p>
    <w:tbl>
      <w:tblPr>
        <w:tblW w:w="4986" w:type="pct"/>
        <w:tblLayout w:type="fixed"/>
        <w:tblCellMar>
          <w:left w:w="28" w:type="dxa"/>
          <w:right w:w="28" w:type="dxa"/>
        </w:tblCellMar>
        <w:tblLook w:val="04A0"/>
      </w:tblPr>
      <w:tblGrid>
        <w:gridCol w:w="737"/>
        <w:gridCol w:w="4253"/>
        <w:gridCol w:w="708"/>
        <w:gridCol w:w="3969"/>
      </w:tblGrid>
      <w:tr w:rsidR="005D4336" w:rsidTr="004D74FF">
        <w:tc>
          <w:tcPr>
            <w:tcW w:w="381" w:type="pct"/>
          </w:tcPr>
          <w:p w:rsidR="005D4336" w:rsidRDefault="005D4336" w:rsidP="007A0BF4">
            <w:pPr>
              <w:pStyle w:val="Textpoznpodarou"/>
              <w:rPr>
                <w:lang w:eastAsia="en-US"/>
              </w:rPr>
            </w:pPr>
            <w:r>
              <w:rPr>
                <w:lang w:eastAsia="en-US"/>
              </w:rPr>
              <w:t xml:space="preserve">Graf </w:t>
            </w:r>
          </w:p>
          <w:p w:rsidR="005D4336" w:rsidRPr="007E77FB" w:rsidRDefault="005D4336" w:rsidP="007A0BF4">
            <w:pPr>
              <w:pStyle w:val="Textpoznpodarou"/>
              <w:rPr>
                <w:lang w:eastAsia="en-US"/>
              </w:rPr>
            </w:pPr>
            <w:r w:rsidRPr="007E77FB">
              <w:rPr>
                <w:lang w:eastAsia="en-US"/>
              </w:rPr>
              <w:t>č.</w:t>
            </w:r>
            <w:r>
              <w:rPr>
                <w:lang w:eastAsia="en-US"/>
              </w:rPr>
              <w:t xml:space="preserve"> 20</w:t>
            </w:r>
          </w:p>
        </w:tc>
        <w:tc>
          <w:tcPr>
            <w:tcW w:w="2200" w:type="pct"/>
          </w:tcPr>
          <w:p w:rsidR="005D4336" w:rsidRPr="00DF3C10" w:rsidRDefault="005D4336" w:rsidP="007A0BF4">
            <w:pPr>
              <w:pStyle w:val="Textpoznpodarou"/>
              <w:rPr>
                <w:b/>
                <w:spacing w:val="-2"/>
                <w:lang w:eastAsia="en-US"/>
              </w:rPr>
            </w:pPr>
            <w:r>
              <w:rPr>
                <w:b/>
                <w:spacing w:val="-2"/>
                <w:lang w:eastAsia="en-US"/>
              </w:rPr>
              <w:t xml:space="preserve">Nedostatek pracovní síly jako bariéra růstu </w:t>
            </w:r>
            <w:r w:rsidRPr="00DF3C10">
              <w:rPr>
                <w:spacing w:val="-2"/>
                <w:lang w:eastAsia="en-US"/>
              </w:rPr>
              <w:t>(% podniků</w:t>
            </w:r>
            <w:r>
              <w:rPr>
                <w:spacing w:val="-2"/>
                <w:lang w:eastAsia="en-US"/>
              </w:rPr>
              <w:t xml:space="preserve"> v </w:t>
            </w:r>
            <w:proofErr w:type="spellStart"/>
            <w:r>
              <w:rPr>
                <w:spacing w:val="-2"/>
                <w:lang w:eastAsia="en-US"/>
              </w:rPr>
              <w:t>prům</w:t>
            </w:r>
            <w:proofErr w:type="spellEnd"/>
            <w:r>
              <w:rPr>
                <w:spacing w:val="-2"/>
                <w:lang w:eastAsia="en-US"/>
              </w:rPr>
              <w:t>./ staveb.</w:t>
            </w:r>
            <w:r w:rsidRPr="00DF3C10">
              <w:rPr>
                <w:spacing w:val="-2"/>
                <w:lang w:eastAsia="en-US"/>
              </w:rPr>
              <w:t>)</w:t>
            </w:r>
            <w:r>
              <w:rPr>
                <w:b/>
                <w:spacing w:val="-2"/>
                <w:lang w:eastAsia="en-US"/>
              </w:rPr>
              <w:t xml:space="preserve">, saldo očekávání zaměstnanosti </w:t>
            </w:r>
            <w:r w:rsidRPr="00DF3C10">
              <w:rPr>
                <w:spacing w:val="-2"/>
                <w:lang w:eastAsia="en-US"/>
              </w:rPr>
              <w:t xml:space="preserve">(v bodech), </w:t>
            </w:r>
            <w:proofErr w:type="spellStart"/>
            <w:r w:rsidRPr="00151CDE">
              <w:rPr>
                <w:b/>
                <w:spacing w:val="-2"/>
                <w:lang w:eastAsia="en-US"/>
              </w:rPr>
              <w:t>sez</w:t>
            </w:r>
            <w:proofErr w:type="spellEnd"/>
            <w:r w:rsidRPr="00151CDE">
              <w:rPr>
                <w:b/>
                <w:spacing w:val="-2"/>
                <w:lang w:eastAsia="en-US"/>
              </w:rPr>
              <w:t>. očištěno</w:t>
            </w:r>
          </w:p>
        </w:tc>
        <w:tc>
          <w:tcPr>
            <w:tcW w:w="366" w:type="pct"/>
          </w:tcPr>
          <w:p w:rsidR="005D4336" w:rsidRPr="007E77FB" w:rsidRDefault="005D4336" w:rsidP="007A0BF4">
            <w:pPr>
              <w:pStyle w:val="Textpoznpodarou"/>
              <w:rPr>
                <w:lang w:eastAsia="en-US"/>
              </w:rPr>
            </w:pPr>
            <w:r w:rsidRPr="007E77FB">
              <w:rPr>
                <w:lang w:eastAsia="en-US"/>
              </w:rPr>
              <w:t>Graf č.</w:t>
            </w:r>
            <w:r>
              <w:rPr>
                <w:lang w:eastAsia="en-US"/>
              </w:rPr>
              <w:t> 21</w:t>
            </w:r>
          </w:p>
        </w:tc>
        <w:tc>
          <w:tcPr>
            <w:tcW w:w="2053" w:type="pct"/>
          </w:tcPr>
          <w:p w:rsidR="005D4336" w:rsidRPr="004E78CF" w:rsidRDefault="005D4336" w:rsidP="007A0BF4">
            <w:pPr>
              <w:pStyle w:val="Textpoznpodarou"/>
              <w:rPr>
                <w:spacing w:val="-6"/>
                <w:lang w:eastAsia="en-US"/>
              </w:rPr>
            </w:pPr>
            <w:r>
              <w:rPr>
                <w:b/>
                <w:spacing w:val="-2"/>
                <w:lang w:eastAsia="en-US"/>
              </w:rPr>
              <w:t xml:space="preserve">Podíl zaměstnanců </w:t>
            </w:r>
            <w:r w:rsidRPr="00B9382C">
              <w:rPr>
                <w:spacing w:val="-2"/>
                <w:lang w:eastAsia="en-US"/>
              </w:rPr>
              <w:t xml:space="preserve">(ve věku 25 a více let) </w:t>
            </w:r>
            <w:r>
              <w:rPr>
                <w:b/>
                <w:spacing w:val="-2"/>
                <w:lang w:eastAsia="en-US"/>
              </w:rPr>
              <w:t>v současném zaměstnání s délkou trvání méně než 1 rok</w:t>
            </w:r>
            <w:r w:rsidRPr="00B9382C">
              <w:rPr>
                <w:spacing w:val="-2"/>
                <w:lang w:eastAsia="en-US"/>
              </w:rPr>
              <w:t xml:space="preserve"> (</w:t>
            </w:r>
            <w:r>
              <w:rPr>
                <w:spacing w:val="-2"/>
                <w:lang w:eastAsia="en-US"/>
              </w:rPr>
              <w:t xml:space="preserve">v </w:t>
            </w:r>
            <w:r w:rsidRPr="00B9382C">
              <w:rPr>
                <w:spacing w:val="-2"/>
                <w:lang w:eastAsia="en-US"/>
              </w:rPr>
              <w:t>%)</w:t>
            </w:r>
          </w:p>
        </w:tc>
      </w:tr>
      <w:tr w:rsidR="005D4336" w:rsidTr="004D74FF">
        <w:tc>
          <w:tcPr>
            <w:tcW w:w="2581" w:type="pct"/>
            <w:gridSpan w:val="2"/>
          </w:tcPr>
          <w:p w:rsidR="005D4336" w:rsidRDefault="00C20031" w:rsidP="007A0BF4">
            <w:pPr>
              <w:pStyle w:val="Textpoznpodarou"/>
              <w:jc w:val="both"/>
            </w:pPr>
            <w:r>
              <w:rPr>
                <w:noProof/>
              </w:rPr>
              <w:pict>
                <v:shape id="_x0000_i1071" type="#_x0000_t75" style="width:246.05pt;height:188.45pt;visibility:visible;mso-wrap-style:square">
                  <v:imagedata r:id="rId29" o:title=""/>
                </v:shape>
              </w:pict>
            </w:r>
          </w:p>
        </w:tc>
        <w:tc>
          <w:tcPr>
            <w:tcW w:w="2419" w:type="pct"/>
            <w:gridSpan w:val="2"/>
          </w:tcPr>
          <w:p w:rsidR="005D4336" w:rsidRDefault="00C20031" w:rsidP="007A0BF4">
            <w:pPr>
              <w:pStyle w:val="Textpoznpodarou"/>
              <w:jc w:val="both"/>
            </w:pPr>
            <w:r>
              <w:rPr>
                <w:noProof/>
              </w:rPr>
              <w:pict>
                <v:shape id="_x0000_i1072" type="#_x0000_t75" style="width:232.9pt;height:188.45pt;visibility:visible;mso-wrap-style:square">
                  <v:imagedata r:id="rId30" o:title=""/>
                </v:shape>
              </w:pict>
            </w:r>
          </w:p>
        </w:tc>
      </w:tr>
      <w:tr w:rsidR="005D4336" w:rsidTr="0039462F">
        <w:tc>
          <w:tcPr>
            <w:tcW w:w="5000" w:type="pct"/>
            <w:gridSpan w:val="4"/>
          </w:tcPr>
          <w:p w:rsidR="005D4336" w:rsidRPr="00DF3C10" w:rsidRDefault="005D4336" w:rsidP="007A0BF4">
            <w:pPr>
              <w:autoSpaceDE w:val="0"/>
              <w:autoSpaceDN w:val="0"/>
              <w:adjustRightInd w:val="0"/>
              <w:spacing w:line="240" w:lineRule="auto"/>
              <w:jc w:val="right"/>
              <w:rPr>
                <w:rFonts w:cs="Arial"/>
                <w:color w:val="000000"/>
                <w:spacing w:val="-2"/>
                <w:sz w:val="18"/>
                <w:szCs w:val="18"/>
              </w:rPr>
            </w:pPr>
            <w:r w:rsidRPr="00886A8F">
              <w:rPr>
                <w:sz w:val="18"/>
                <w:szCs w:val="18"/>
                <w:lang w:eastAsia="en-US"/>
              </w:rPr>
              <w:t>Zdroj: ČSÚ</w:t>
            </w:r>
            <w:r>
              <w:rPr>
                <w:sz w:val="18"/>
                <w:szCs w:val="18"/>
                <w:lang w:eastAsia="en-US"/>
              </w:rPr>
              <w:t xml:space="preserve">, </w:t>
            </w:r>
            <w:proofErr w:type="spellStart"/>
            <w:r>
              <w:rPr>
                <w:sz w:val="18"/>
                <w:szCs w:val="18"/>
                <w:lang w:eastAsia="en-US"/>
              </w:rPr>
              <w:t>Eurostat</w:t>
            </w:r>
            <w:proofErr w:type="spellEnd"/>
            <w:r>
              <w:rPr>
                <w:sz w:val="18"/>
                <w:szCs w:val="18"/>
                <w:lang w:eastAsia="en-US"/>
              </w:rPr>
              <w:t>, vlastní výpočty</w:t>
            </w:r>
          </w:p>
        </w:tc>
      </w:tr>
    </w:tbl>
    <w:p w:rsidR="005D4336" w:rsidRPr="00A55267" w:rsidRDefault="005D4336" w:rsidP="005D4336">
      <w:pPr>
        <w:pStyle w:val="Textpoznpodarou"/>
        <w:jc w:val="both"/>
        <w:rPr>
          <w:rFonts w:cs="Arial"/>
          <w:color w:val="000000" w:themeColor="text1"/>
          <w:spacing w:val="-2"/>
          <w:sz w:val="18"/>
          <w:szCs w:val="18"/>
        </w:rPr>
      </w:pPr>
    </w:p>
    <w:tbl>
      <w:tblPr>
        <w:tblW w:w="5000" w:type="pct"/>
        <w:tblCellMar>
          <w:left w:w="28" w:type="dxa"/>
          <w:right w:w="28" w:type="dxa"/>
        </w:tblCellMar>
        <w:tblLook w:val="04A0"/>
      </w:tblPr>
      <w:tblGrid>
        <w:gridCol w:w="2044"/>
        <w:gridCol w:w="275"/>
        <w:gridCol w:w="7375"/>
      </w:tblGrid>
      <w:tr w:rsidR="005D4336" w:rsidTr="007A0BF4">
        <w:tc>
          <w:tcPr>
            <w:tcW w:w="1054" w:type="pct"/>
          </w:tcPr>
          <w:p w:rsidR="005D4336"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Výrazný růst podílu průmyslových podniků, jež uvádějí jako bariéru růstu nedostatek pracovní síly, byl patrný od poloviny roku 2015…</w:t>
            </w: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Pr="00372465"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…proti úrovni z vrcholu konjunktury (30 %) byl však tento podíl na počátku roku 2016 zatím pouze poloviční</w:t>
            </w: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Pr="004A22BD" w:rsidRDefault="005D4336" w:rsidP="007A0BF4">
            <w:pPr>
              <w:pStyle w:val="Textpoznpodarou"/>
              <w:jc w:val="both"/>
              <w:rPr>
                <w:rFonts w:cs="Arial"/>
                <w:color w:val="0D0D0D" w:themeColor="text1" w:themeTint="F2"/>
                <w:spacing w:val="-2"/>
                <w:sz w:val="16"/>
                <w:szCs w:val="16"/>
              </w:rPr>
            </w:pPr>
            <w:r w:rsidRPr="00AF3E55">
              <w:rPr>
                <w:rFonts w:cs="Arial"/>
                <w:color w:val="0D0D0D" w:themeColor="text1" w:themeTint="F2"/>
                <w:spacing w:val="-4"/>
              </w:rPr>
              <w:t>Pře</w:t>
            </w:r>
            <w:r w:rsidR="00322A2F">
              <w:rPr>
                <w:rFonts w:cs="Arial"/>
                <w:color w:val="0D0D0D" w:themeColor="text1" w:themeTint="F2"/>
                <w:spacing w:val="-4"/>
              </w:rPr>
              <w:t>t</w:t>
            </w:r>
            <w:r w:rsidRPr="00AF3E55">
              <w:rPr>
                <w:rFonts w:cs="Arial"/>
                <w:color w:val="0D0D0D" w:themeColor="text1" w:themeTint="F2"/>
                <w:spacing w:val="-4"/>
              </w:rPr>
              <w:t xml:space="preserve">rvávající silná zahraniční poptávka v tradičních exportních průmyslových oborech, ale i silný růst inženýrského stavitelství v souvislosti s dočerpáváním prostředků z rozpočtu EU, vyústily ve zvýšený tlak na trhu práce. V průběhu roku 2015 </w:t>
            </w:r>
            <w:r w:rsidRPr="00AF3E55">
              <w:rPr>
                <w:rFonts w:cs="Arial"/>
                <w:color w:val="000000" w:themeColor="text1"/>
                <w:spacing w:val="-4"/>
              </w:rPr>
              <w:t>výrazně vzrostl podíl podniků, které uvádějí nedostatek (zejména kvalifikované technicky zaměřené) pracovní síly jako významnou bariéru svého růstu. Např</w:t>
            </w:r>
            <w:r w:rsidRPr="00AF3E55">
              <w:rPr>
                <w:rFonts w:cs="Arial"/>
                <w:color w:val="0D0D0D" w:themeColor="text1" w:themeTint="F2"/>
                <w:spacing w:val="-4"/>
              </w:rPr>
              <w:t>. v průmyslu šlo v 1. čtvrtletí 2016 již o každý sedmý podnik, tedy nejvíce za poslední 4,5 roku. Struk</w:t>
            </w:r>
            <w:r>
              <w:rPr>
                <w:rFonts w:cs="Arial"/>
                <w:color w:val="0D0D0D" w:themeColor="text1" w:themeTint="F2"/>
                <w:spacing w:val="-4"/>
              </w:rPr>
              <w:t>turální nesoulad nabídky a poptávky</w:t>
            </w:r>
            <w:r w:rsidRPr="00AF3E55">
              <w:rPr>
                <w:rFonts w:cs="Arial"/>
                <w:color w:val="0D0D0D" w:themeColor="text1" w:themeTint="F2"/>
                <w:spacing w:val="-4"/>
              </w:rPr>
              <w:t xml:space="preserve"> se v budoucnu v určitých kvalifikačních skupinách zaměstnanců může projevit rostoucím tlakem na růst mezd a s tím související</w:t>
            </w:r>
            <w:r>
              <w:rPr>
                <w:rFonts w:cs="Arial"/>
                <w:color w:val="0D0D0D" w:themeColor="text1" w:themeTint="F2"/>
                <w:spacing w:val="-4"/>
              </w:rPr>
              <w:t>m</w:t>
            </w:r>
            <w:r w:rsidRPr="00AF3E55">
              <w:rPr>
                <w:rFonts w:cs="Arial"/>
                <w:color w:val="0D0D0D" w:themeColor="text1" w:themeTint="F2"/>
                <w:spacing w:val="-4"/>
              </w:rPr>
              <w:t xml:space="preserve"> zvýšení</w:t>
            </w:r>
            <w:r>
              <w:rPr>
                <w:rFonts w:cs="Arial"/>
                <w:color w:val="0D0D0D" w:themeColor="text1" w:themeTint="F2"/>
                <w:spacing w:val="-4"/>
              </w:rPr>
              <w:t>m</w:t>
            </w:r>
            <w:r w:rsidRPr="00AF3E55">
              <w:rPr>
                <w:rFonts w:cs="Arial"/>
                <w:color w:val="0D0D0D" w:themeColor="text1" w:themeTint="F2"/>
                <w:spacing w:val="-4"/>
              </w:rPr>
              <w:t xml:space="preserve"> pracovní fluktuace. Podíl zaměstnanců (</w:t>
            </w:r>
            <w:proofErr w:type="gramStart"/>
            <w:r w:rsidRPr="00AF3E55">
              <w:rPr>
                <w:rFonts w:cs="Arial"/>
                <w:color w:val="0D0D0D" w:themeColor="text1" w:themeTint="F2"/>
                <w:spacing w:val="-4"/>
              </w:rPr>
              <w:t>25-</w:t>
            </w:r>
            <w:proofErr w:type="spellStart"/>
            <w:r w:rsidRPr="00AF3E55">
              <w:rPr>
                <w:rFonts w:cs="Arial"/>
                <w:color w:val="0D0D0D" w:themeColor="text1" w:themeTint="F2"/>
                <w:spacing w:val="-4"/>
              </w:rPr>
              <w:t>letých</w:t>
            </w:r>
            <w:proofErr w:type="spellEnd"/>
            <w:proofErr w:type="gramEnd"/>
            <w:r w:rsidRPr="00AF3E55">
              <w:rPr>
                <w:rFonts w:cs="Arial"/>
                <w:color w:val="0D0D0D" w:themeColor="text1" w:themeTint="F2"/>
                <w:spacing w:val="-4"/>
              </w:rPr>
              <w:t xml:space="preserve"> a starších), kteří byli v současném zaměstnání kratší dobu než 1 rok</w:t>
            </w:r>
            <w:r>
              <w:rPr>
                <w:rFonts w:cs="Arial"/>
                <w:color w:val="0D0D0D" w:themeColor="text1" w:themeTint="F2"/>
                <w:spacing w:val="-4"/>
              </w:rPr>
              <w:t>,</w:t>
            </w:r>
            <w:r w:rsidRPr="00AF3E55">
              <w:rPr>
                <w:rFonts w:cs="Arial"/>
                <w:color w:val="0D0D0D" w:themeColor="text1" w:themeTint="F2"/>
                <w:spacing w:val="-4"/>
              </w:rPr>
              <w:t xml:space="preserve"> v posledních dvou letech v ČR mírně roste (z 9,3 % na 10,3 %). V evropském srovnání však jde o hodnoty podprůměrné. </w:t>
            </w:r>
            <w:r>
              <w:rPr>
                <w:rFonts w:cs="Arial"/>
                <w:color w:val="0D0D0D" w:themeColor="text1" w:themeTint="F2"/>
                <w:spacing w:val="-4"/>
              </w:rPr>
              <w:t>Růst podílů „nových“ pracovníků</w:t>
            </w:r>
            <w:r w:rsidRPr="00AF3E55">
              <w:rPr>
                <w:rFonts w:cs="Arial"/>
                <w:color w:val="0D0D0D" w:themeColor="text1" w:themeTint="F2"/>
                <w:spacing w:val="-4"/>
              </w:rPr>
              <w:t xml:space="preserve"> souvisí s ekonomickým cyklem, v době konjunktury dochází ke vzniku nových pracovních míst, tak i k přetahování kvalifikovaných zaměstnanců mezi podniky. Pozitivní dopad obnoveného růstu ekonomiky je dobře patrný např. v Irsku, Španělsku či Slovensku, kde se rychle zvyšuje</w:t>
            </w:r>
            <w:r w:rsidR="0054458F">
              <w:rPr>
                <w:rFonts w:cs="Arial"/>
                <w:color w:val="0D0D0D" w:themeColor="text1" w:themeTint="F2"/>
                <w:spacing w:val="-4"/>
              </w:rPr>
              <w:t xml:space="preserve"> i podíl „nových“ pracovníků v </w:t>
            </w:r>
            <w:r w:rsidR="00BA759F">
              <w:rPr>
                <w:rFonts w:cs="Arial"/>
                <w:color w:val="0D0D0D" w:themeColor="text1" w:themeTint="F2"/>
                <w:spacing w:val="-4"/>
              </w:rPr>
              <w:t>„</w:t>
            </w:r>
            <w:r w:rsidRPr="00AF3E55">
              <w:rPr>
                <w:rFonts w:cs="Arial"/>
                <w:color w:val="0D0D0D" w:themeColor="text1" w:themeTint="F2"/>
                <w:spacing w:val="-4"/>
              </w:rPr>
              <w:t>zaměstnaneckém portfoliu“ podniků.</w:t>
            </w:r>
          </w:p>
        </w:tc>
      </w:tr>
    </w:tbl>
    <w:p w:rsidR="00D871DA" w:rsidRPr="00C20031" w:rsidRDefault="00D871DA" w:rsidP="00C20031">
      <w:pPr>
        <w:pStyle w:val="Nadpis1"/>
        <w:rPr>
          <w:sz w:val="2"/>
          <w:szCs w:val="2"/>
          <w:lang w:eastAsia="ar-SA"/>
        </w:rPr>
      </w:pPr>
    </w:p>
    <w:sectPr w:rsidR="00D871DA" w:rsidRPr="00C20031" w:rsidSect="00C20031">
      <w:headerReference w:type="even" r:id="rId31"/>
      <w:headerReference w:type="default" r:id="rId32"/>
      <w:footerReference w:type="even" r:id="rId33"/>
      <w:footerReference w:type="default" r:id="rId34"/>
      <w:type w:val="continuous"/>
      <w:pgSz w:w="11906" w:h="16838" w:code="9"/>
      <w:pgMar w:top="1134" w:right="1134" w:bottom="1418" w:left="1134" w:header="680" w:footer="680" w:gutter="0"/>
      <w:pgNumType w:start="1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6B0" w:rsidRDefault="00AB76B0" w:rsidP="00E71A58">
      <w:r>
        <w:separator/>
      </w:r>
    </w:p>
  </w:endnote>
  <w:endnote w:type="continuationSeparator" w:id="0">
    <w:p w:rsidR="00AB76B0" w:rsidRDefault="00AB76B0" w:rsidP="00E71A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6B0" w:rsidRDefault="003B4A73" w:rsidP="00357449">
    <w:pPr>
      <w:pStyle w:val="Zpat"/>
      <w:tabs>
        <w:tab w:val="clear" w:pos="4536"/>
        <w:tab w:val="clear" w:pos="9072"/>
        <w:tab w:val="center" w:pos="4820"/>
        <w:tab w:val="right" w:pos="9639"/>
      </w:tabs>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2050" type="#_x0000_t75" alt="Description: 3" style="position:absolute;margin-left:445.7pt;margin-top:-4.1pt;width:36.75pt;height:17.25pt;z-index:251657728;visibility:visible">
          <v:imagedata r:id="rId1" o:title=""/>
        </v:shape>
      </w:pict>
    </w:r>
    <w:r w:rsidRPr="005A21E0">
      <w:rPr>
        <w:rFonts w:ascii="Arial" w:hAnsi="Arial" w:cs="Arial"/>
        <w:sz w:val="16"/>
        <w:szCs w:val="16"/>
      </w:rPr>
      <w:fldChar w:fldCharType="begin"/>
    </w:r>
    <w:r w:rsidR="00AB76B0" w:rsidRPr="005A21E0">
      <w:rPr>
        <w:rFonts w:ascii="Arial" w:hAnsi="Arial" w:cs="Arial"/>
        <w:sz w:val="16"/>
        <w:szCs w:val="16"/>
      </w:rPr>
      <w:instrText>PAGE   \* MERGEFORMAT</w:instrText>
    </w:r>
    <w:r w:rsidRPr="005A21E0">
      <w:rPr>
        <w:rFonts w:ascii="Arial" w:hAnsi="Arial" w:cs="Arial"/>
        <w:sz w:val="16"/>
        <w:szCs w:val="16"/>
      </w:rPr>
      <w:fldChar w:fldCharType="separate"/>
    </w:r>
    <w:r w:rsidR="00C20031">
      <w:rPr>
        <w:rFonts w:ascii="Arial" w:hAnsi="Arial" w:cs="Arial"/>
        <w:noProof/>
        <w:sz w:val="16"/>
        <w:szCs w:val="16"/>
      </w:rPr>
      <w:t>28</w:t>
    </w:r>
    <w:r w:rsidRPr="005A21E0">
      <w:rPr>
        <w:rFonts w:ascii="Arial" w:hAnsi="Arial" w:cs="Arial"/>
        <w:sz w:val="16"/>
        <w:szCs w:val="16"/>
      </w:rPr>
      <w:fldChar w:fldCharType="end"/>
    </w:r>
    <w:r w:rsidR="00AB76B0">
      <w:rPr>
        <w:rFonts w:ascii="Arial" w:hAnsi="Arial" w:cs="Arial"/>
        <w:sz w:val="16"/>
        <w:szCs w:val="16"/>
      </w:rPr>
      <w:tab/>
      <w:t>2015</w:t>
    </w:r>
    <w:r w:rsidR="00AB76B0">
      <w:tab/>
    </w:r>
    <w:r w:rsidR="00AB76B0">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6B0" w:rsidRDefault="003B4A73" w:rsidP="00357449">
    <w:pPr>
      <w:pStyle w:val="Zpat"/>
      <w:tabs>
        <w:tab w:val="clear" w:pos="4536"/>
        <w:tab w:val="clear" w:pos="9072"/>
        <w:tab w:val="left" w:pos="1134"/>
        <w:tab w:val="left" w:pos="1920"/>
        <w:tab w:val="center" w:pos="4820"/>
        <w:tab w:val="right" w:pos="9639"/>
      </w:tabs>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Description: 3" style="position:absolute;margin-left:.3pt;margin-top:7.1pt;width:39pt;height:21pt;z-index:251658752;visibility:visible">
          <v:imagedata r:id="rId1" o:title=""/>
        </v:shape>
      </w:pict>
    </w:r>
    <w:r w:rsidR="00AB76B0">
      <w:tab/>
    </w:r>
    <w:r w:rsidR="00AB76B0">
      <w:tab/>
    </w:r>
    <w:r w:rsidR="00AB76B0" w:rsidRPr="00DC5B3B">
      <w:t xml:space="preserve">                              </w:t>
    </w:r>
  </w:p>
  <w:p w:rsidR="00AB76B0" w:rsidRPr="00223E00" w:rsidRDefault="00AB76B0" w:rsidP="00357449">
    <w:pPr>
      <w:pStyle w:val="Zpat"/>
      <w:tabs>
        <w:tab w:val="clear" w:pos="4536"/>
        <w:tab w:val="clear" w:pos="9072"/>
        <w:tab w:val="left" w:pos="1134"/>
        <w:tab w:val="left" w:pos="1920"/>
        <w:tab w:val="center" w:pos="4820"/>
        <w:tab w:val="left" w:pos="9262"/>
        <w:tab w:val="left" w:pos="9495"/>
        <w:tab w:val="right" w:pos="9639"/>
      </w:tabs>
    </w:pPr>
    <w:r>
      <w:rPr>
        <w:rFonts w:ascii="Arial" w:hAnsi="Arial" w:cs="Arial"/>
        <w:sz w:val="16"/>
        <w:szCs w:val="16"/>
      </w:rPr>
      <w:tab/>
    </w:r>
    <w:r>
      <w:rPr>
        <w:rFonts w:ascii="Arial" w:hAnsi="Arial" w:cs="Arial"/>
        <w:sz w:val="16"/>
        <w:szCs w:val="16"/>
      </w:rPr>
      <w:tab/>
    </w:r>
    <w:r>
      <w:rPr>
        <w:rFonts w:ascii="Arial" w:hAnsi="Arial" w:cs="Arial"/>
        <w:sz w:val="16"/>
        <w:szCs w:val="16"/>
      </w:rPr>
      <w:tab/>
      <w:t>2015</w:t>
    </w:r>
    <w:r>
      <w:rPr>
        <w:rFonts w:ascii="Arial" w:hAnsi="Arial" w:cs="Arial"/>
        <w:sz w:val="16"/>
        <w:szCs w:val="16"/>
      </w:rPr>
      <w:tab/>
    </w:r>
    <w:r w:rsidR="003B4A73" w:rsidRPr="00223E00">
      <w:rPr>
        <w:rFonts w:ascii="Arial" w:hAnsi="Arial" w:cs="Arial"/>
        <w:sz w:val="16"/>
        <w:szCs w:val="16"/>
      </w:rPr>
      <w:fldChar w:fldCharType="begin"/>
    </w:r>
    <w:r w:rsidRPr="00223E00">
      <w:rPr>
        <w:rFonts w:ascii="Arial" w:hAnsi="Arial" w:cs="Arial"/>
        <w:sz w:val="16"/>
        <w:szCs w:val="16"/>
      </w:rPr>
      <w:instrText xml:space="preserve"> PAGE   \* MERGEFORMAT </w:instrText>
    </w:r>
    <w:r w:rsidR="003B4A73" w:rsidRPr="00223E00">
      <w:rPr>
        <w:rFonts w:ascii="Arial" w:hAnsi="Arial" w:cs="Arial"/>
        <w:sz w:val="16"/>
        <w:szCs w:val="16"/>
      </w:rPr>
      <w:fldChar w:fldCharType="separate"/>
    </w:r>
    <w:r w:rsidR="00C20031">
      <w:rPr>
        <w:rFonts w:ascii="Arial" w:hAnsi="Arial" w:cs="Arial"/>
        <w:noProof/>
        <w:sz w:val="16"/>
        <w:szCs w:val="16"/>
      </w:rPr>
      <w:t>29</w:t>
    </w:r>
    <w:r w:rsidR="003B4A73" w:rsidRPr="00223E00">
      <w:rPr>
        <w:rFonts w:ascii="Arial" w:hAnsi="Arial"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6B0" w:rsidRDefault="00AB76B0" w:rsidP="00E71A58">
      <w:r>
        <w:separator/>
      </w:r>
    </w:p>
  </w:footnote>
  <w:footnote w:type="continuationSeparator" w:id="0">
    <w:p w:rsidR="00AB76B0" w:rsidRDefault="00AB76B0" w:rsidP="00E71A58">
      <w:r>
        <w:continuationSeparator/>
      </w:r>
    </w:p>
  </w:footnote>
  <w:footnote w:id="1">
    <w:p w:rsidR="00AB76B0" w:rsidRPr="004A22BD" w:rsidRDefault="00AB76B0" w:rsidP="007E527B">
      <w:pPr>
        <w:pStyle w:val="Textpoznpodarou"/>
        <w:rPr>
          <w:sz w:val="16"/>
          <w:szCs w:val="16"/>
        </w:rPr>
      </w:pPr>
      <w:r w:rsidRPr="004A22BD">
        <w:rPr>
          <w:rStyle w:val="Znakapoznpodarou"/>
          <w:sz w:val="16"/>
          <w:szCs w:val="16"/>
        </w:rPr>
        <w:footnoteRef/>
      </w:r>
      <w:r w:rsidRPr="004A22BD">
        <w:rPr>
          <w:sz w:val="16"/>
          <w:szCs w:val="16"/>
        </w:rPr>
        <w:t xml:space="preserve"> Pokud není uvedeno jinak, jedná se o údaje </w:t>
      </w:r>
      <w:r>
        <w:rPr>
          <w:sz w:val="16"/>
          <w:szCs w:val="16"/>
        </w:rPr>
        <w:t>o zaměstnanosti z národních účtů.</w:t>
      </w:r>
    </w:p>
  </w:footnote>
  <w:footnote w:id="2">
    <w:p w:rsidR="00AB76B0" w:rsidRPr="004A22BD" w:rsidRDefault="00AB76B0" w:rsidP="005D4336">
      <w:pPr>
        <w:pStyle w:val="Textpoznpodarou"/>
        <w:rPr>
          <w:sz w:val="16"/>
          <w:szCs w:val="16"/>
        </w:rPr>
      </w:pPr>
      <w:r w:rsidRPr="004A22BD">
        <w:rPr>
          <w:rStyle w:val="Znakapoznpodarou"/>
          <w:sz w:val="16"/>
          <w:szCs w:val="16"/>
        </w:rPr>
        <w:footnoteRef/>
      </w:r>
      <w:r w:rsidRPr="004A22BD">
        <w:rPr>
          <w:sz w:val="16"/>
          <w:szCs w:val="16"/>
        </w:rPr>
        <w:t xml:space="preserve"> Ve věku 15-64 let, očištěná od sezónních vlivů.</w:t>
      </w:r>
    </w:p>
  </w:footnote>
  <w:footnote w:id="3">
    <w:p w:rsidR="00AB76B0" w:rsidRPr="00960B76" w:rsidRDefault="00AB76B0" w:rsidP="005D4336">
      <w:pPr>
        <w:pStyle w:val="Normlnweb"/>
        <w:spacing w:before="120" w:beforeAutospacing="0" w:after="0" w:afterAutospacing="0"/>
        <w:jc w:val="both"/>
        <w:rPr>
          <w:rFonts w:ascii="Arial" w:hAnsi="Arial" w:cs="Arial"/>
          <w:sz w:val="16"/>
          <w:szCs w:val="16"/>
        </w:rPr>
      </w:pPr>
      <w:r w:rsidRPr="003B03BB">
        <w:rPr>
          <w:rStyle w:val="Znakapoznpodarou"/>
          <w:rFonts w:ascii="Arial" w:hAnsi="Arial" w:cs="Arial"/>
          <w:sz w:val="16"/>
          <w:szCs w:val="16"/>
        </w:rPr>
        <w:footnoteRef/>
      </w:r>
      <w:r w:rsidRPr="003B03BB">
        <w:rPr>
          <w:rFonts w:ascii="Arial" w:hAnsi="Arial" w:cs="Arial"/>
          <w:sz w:val="16"/>
          <w:szCs w:val="16"/>
        </w:rPr>
        <w:t xml:space="preserve"> </w:t>
      </w:r>
      <w:r w:rsidRPr="003B03BB">
        <w:rPr>
          <w:rFonts w:ascii="Arial" w:hAnsi="Arial" w:cs="Arial"/>
          <w:color w:val="0D0D0D" w:themeColor="text1" w:themeTint="F2"/>
          <w:spacing w:val="-2"/>
          <w:sz w:val="16"/>
          <w:szCs w:val="16"/>
        </w:rPr>
        <w:t xml:space="preserve">Ta poskytuje </w:t>
      </w:r>
      <w:r w:rsidRPr="003B03BB">
        <w:rPr>
          <w:rFonts w:ascii="Arial" w:hAnsi="Arial" w:cs="Arial"/>
          <w:sz w:val="16"/>
          <w:szCs w:val="16"/>
        </w:rPr>
        <w:t xml:space="preserve">údaje o jednotlivých zaměstnancích. Oproti tomu podniková zjišťování sledují evidenční počet zaměstnanců a objem mezd za celý ekonomický subjekt. Průměrná mzda </w:t>
      </w:r>
      <w:r>
        <w:rPr>
          <w:rFonts w:ascii="Arial" w:hAnsi="Arial" w:cs="Arial"/>
          <w:sz w:val="16"/>
          <w:szCs w:val="16"/>
        </w:rPr>
        <w:t>vypočtená ze strukturálního šetření není zcela srovnatelná s průměrnou mzdou poskytovanou podnikovou statistikou. Průměrná mzda ze strukturálního šetření</w:t>
      </w:r>
      <w:r w:rsidRPr="003B03BB">
        <w:rPr>
          <w:rFonts w:ascii="Arial" w:hAnsi="Arial" w:cs="Arial"/>
          <w:sz w:val="16"/>
          <w:szCs w:val="16"/>
        </w:rPr>
        <w:t xml:space="preserve"> je vypočtena poměřením s placenou dobou zaměstnance (nezahrnuje se neplacená nepřítomnos</w:t>
      </w:r>
      <w:r>
        <w:rPr>
          <w:rFonts w:ascii="Arial" w:hAnsi="Arial" w:cs="Arial"/>
          <w:sz w:val="16"/>
          <w:szCs w:val="16"/>
        </w:rPr>
        <w:t>t v práci, např. pro nemoc</w:t>
      </w:r>
      <w:r w:rsidRPr="003B03BB">
        <w:rPr>
          <w:rFonts w:ascii="Arial" w:hAnsi="Arial" w:cs="Arial"/>
          <w:sz w:val="16"/>
          <w:szCs w:val="16"/>
        </w:rPr>
        <w:t>), nezahrnují se ale zaměstnanci s týdenním úvazkem kratším než 30 hodin</w:t>
      </w:r>
      <w:r>
        <w:rPr>
          <w:rFonts w:ascii="Arial" w:hAnsi="Arial" w:cs="Arial"/>
          <w:sz w:val="16"/>
          <w:szCs w:val="16"/>
        </w:rPr>
        <w:t>. Oproti tomu v podnikových zjišťováních</w:t>
      </w:r>
      <w:r w:rsidRPr="003B03BB">
        <w:rPr>
          <w:rFonts w:ascii="Arial" w:hAnsi="Arial" w:cs="Arial"/>
          <w:sz w:val="16"/>
          <w:szCs w:val="16"/>
        </w:rPr>
        <w:t xml:space="preserve"> je </w:t>
      </w:r>
      <w:r>
        <w:rPr>
          <w:rFonts w:ascii="Arial" w:hAnsi="Arial" w:cs="Arial"/>
          <w:sz w:val="16"/>
          <w:szCs w:val="16"/>
        </w:rPr>
        <w:t xml:space="preserve">mzda </w:t>
      </w:r>
      <w:r w:rsidRPr="003B03BB">
        <w:rPr>
          <w:rFonts w:ascii="Arial" w:hAnsi="Arial" w:cs="Arial"/>
          <w:sz w:val="16"/>
          <w:szCs w:val="16"/>
        </w:rPr>
        <w:t>vypočtena poměřením s evidenčním počtem zaměstnanců (zaměstnanci s krátkodobou neplacenou nepřítomností jsou zahrnuti) bez ohledu na délku jejich týdenního úvazku.</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6B0" w:rsidRPr="00DC5B3B" w:rsidRDefault="00AB76B0" w:rsidP="003A28DB">
    <w:pPr>
      <w:pStyle w:val="Zhlav"/>
      <w:tabs>
        <w:tab w:val="clear" w:pos="4536"/>
        <w:tab w:val="clear" w:pos="9072"/>
        <w:tab w:val="left" w:pos="-6379"/>
        <w:tab w:val="center" w:pos="4820"/>
        <w:tab w:val="right" w:pos="9639"/>
      </w:tabs>
      <w:rPr>
        <w:rFonts w:ascii="Arial" w:hAnsi="Arial" w:cs="Arial"/>
        <w:sz w:val="16"/>
        <w:szCs w:val="16"/>
      </w:rPr>
    </w:pPr>
    <w:r>
      <w:rPr>
        <w:rFonts w:ascii="Arial" w:hAnsi="Arial" w:cs="Arial"/>
        <w:sz w:val="16"/>
        <w:szCs w:val="16"/>
      </w:rPr>
      <w:t>Tendence makroekonomického vývoje a kvality života v České republice v roce 2015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6B0" w:rsidRPr="003A28DB" w:rsidRDefault="00AB76B0" w:rsidP="003A28DB">
    <w:pPr>
      <w:pStyle w:val="Zhlav"/>
      <w:tabs>
        <w:tab w:val="clear" w:pos="4536"/>
        <w:tab w:val="clear" w:pos="9072"/>
        <w:tab w:val="left" w:pos="-6379"/>
        <w:tab w:val="center" w:pos="4820"/>
        <w:tab w:val="right" w:pos="9639"/>
      </w:tabs>
      <w:rPr>
        <w:rFonts w:ascii="Arial" w:hAnsi="Arial" w:cs="Arial"/>
        <w:sz w:val="16"/>
        <w:szCs w:val="16"/>
      </w:rPr>
    </w:pPr>
    <w:r>
      <w:rPr>
        <w:rFonts w:ascii="Arial" w:hAnsi="Arial" w:cs="Arial"/>
        <w:sz w:val="16"/>
        <w:szCs w:val="16"/>
      </w:rPr>
      <w:t>Tendence makroekonomického vývoje a kvality života v České republice v roce 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45pt;height:16.9pt;visibility:visible;mso-wrap-style:square" o:bullet="t">
        <v:imagedata r:id="rId1" o:title=""/>
      </v:shape>
    </w:pict>
  </w:numPicBullet>
  <w:numPicBullet w:numPicBulletId="1">
    <w:pict>
      <v:shape id="_x0000_i1027" type="#_x0000_t75" style="width:35.05pt;height:18.15pt;visibility:visible;mso-wrap-style:square" o:bullet="t">
        <v:imagedata r:id="rId2" o:title=""/>
      </v:shape>
    </w:pict>
  </w:numPicBullet>
  <w:abstractNum w:abstractNumId="0">
    <w:nsid w:val="05BB0A88"/>
    <w:multiLevelType w:val="hybridMultilevel"/>
    <w:tmpl w:val="5C64FE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1812E9F"/>
    <w:multiLevelType w:val="hybridMultilevel"/>
    <w:tmpl w:val="7D9C602C"/>
    <w:lvl w:ilvl="0" w:tplc="FE5CA57A">
      <w:start w:val="1"/>
      <w:numFmt w:val="bullet"/>
      <w:lvlText w:val=""/>
      <w:lvlPicBulletId w:val="0"/>
      <w:lvlJc w:val="left"/>
      <w:pPr>
        <w:tabs>
          <w:tab w:val="num" w:pos="720"/>
        </w:tabs>
        <w:ind w:left="720" w:hanging="360"/>
      </w:pPr>
      <w:rPr>
        <w:rFonts w:ascii="Symbol" w:hAnsi="Symbol" w:hint="default"/>
      </w:rPr>
    </w:lvl>
    <w:lvl w:ilvl="1" w:tplc="BA668460" w:tentative="1">
      <w:start w:val="1"/>
      <w:numFmt w:val="bullet"/>
      <w:lvlText w:val=""/>
      <w:lvlJc w:val="left"/>
      <w:pPr>
        <w:tabs>
          <w:tab w:val="num" w:pos="1440"/>
        </w:tabs>
        <w:ind w:left="1440" w:hanging="360"/>
      </w:pPr>
      <w:rPr>
        <w:rFonts w:ascii="Symbol" w:hAnsi="Symbol" w:hint="default"/>
      </w:rPr>
    </w:lvl>
    <w:lvl w:ilvl="2" w:tplc="F7E6E3AC" w:tentative="1">
      <w:start w:val="1"/>
      <w:numFmt w:val="bullet"/>
      <w:lvlText w:val=""/>
      <w:lvlJc w:val="left"/>
      <w:pPr>
        <w:tabs>
          <w:tab w:val="num" w:pos="2160"/>
        </w:tabs>
        <w:ind w:left="2160" w:hanging="360"/>
      </w:pPr>
      <w:rPr>
        <w:rFonts w:ascii="Symbol" w:hAnsi="Symbol" w:hint="default"/>
      </w:rPr>
    </w:lvl>
    <w:lvl w:ilvl="3" w:tplc="DCF44058" w:tentative="1">
      <w:start w:val="1"/>
      <w:numFmt w:val="bullet"/>
      <w:lvlText w:val=""/>
      <w:lvlJc w:val="left"/>
      <w:pPr>
        <w:tabs>
          <w:tab w:val="num" w:pos="2880"/>
        </w:tabs>
        <w:ind w:left="2880" w:hanging="360"/>
      </w:pPr>
      <w:rPr>
        <w:rFonts w:ascii="Symbol" w:hAnsi="Symbol" w:hint="default"/>
      </w:rPr>
    </w:lvl>
    <w:lvl w:ilvl="4" w:tplc="ED522672" w:tentative="1">
      <w:start w:val="1"/>
      <w:numFmt w:val="bullet"/>
      <w:lvlText w:val=""/>
      <w:lvlJc w:val="left"/>
      <w:pPr>
        <w:tabs>
          <w:tab w:val="num" w:pos="3600"/>
        </w:tabs>
        <w:ind w:left="3600" w:hanging="360"/>
      </w:pPr>
      <w:rPr>
        <w:rFonts w:ascii="Symbol" w:hAnsi="Symbol" w:hint="default"/>
      </w:rPr>
    </w:lvl>
    <w:lvl w:ilvl="5" w:tplc="3476E1C0" w:tentative="1">
      <w:start w:val="1"/>
      <w:numFmt w:val="bullet"/>
      <w:lvlText w:val=""/>
      <w:lvlJc w:val="left"/>
      <w:pPr>
        <w:tabs>
          <w:tab w:val="num" w:pos="4320"/>
        </w:tabs>
        <w:ind w:left="4320" w:hanging="360"/>
      </w:pPr>
      <w:rPr>
        <w:rFonts w:ascii="Symbol" w:hAnsi="Symbol" w:hint="default"/>
      </w:rPr>
    </w:lvl>
    <w:lvl w:ilvl="6" w:tplc="33665C60" w:tentative="1">
      <w:start w:val="1"/>
      <w:numFmt w:val="bullet"/>
      <w:lvlText w:val=""/>
      <w:lvlJc w:val="left"/>
      <w:pPr>
        <w:tabs>
          <w:tab w:val="num" w:pos="5040"/>
        </w:tabs>
        <w:ind w:left="5040" w:hanging="360"/>
      </w:pPr>
      <w:rPr>
        <w:rFonts w:ascii="Symbol" w:hAnsi="Symbol" w:hint="default"/>
      </w:rPr>
    </w:lvl>
    <w:lvl w:ilvl="7" w:tplc="4EB4B50C" w:tentative="1">
      <w:start w:val="1"/>
      <w:numFmt w:val="bullet"/>
      <w:lvlText w:val=""/>
      <w:lvlJc w:val="left"/>
      <w:pPr>
        <w:tabs>
          <w:tab w:val="num" w:pos="5760"/>
        </w:tabs>
        <w:ind w:left="5760" w:hanging="360"/>
      </w:pPr>
      <w:rPr>
        <w:rFonts w:ascii="Symbol" w:hAnsi="Symbol" w:hint="default"/>
      </w:rPr>
    </w:lvl>
    <w:lvl w:ilvl="8" w:tplc="45E4C21C" w:tentative="1">
      <w:start w:val="1"/>
      <w:numFmt w:val="bullet"/>
      <w:lvlText w:val=""/>
      <w:lvlJc w:val="left"/>
      <w:pPr>
        <w:tabs>
          <w:tab w:val="num" w:pos="6480"/>
        </w:tabs>
        <w:ind w:left="6480" w:hanging="360"/>
      </w:pPr>
      <w:rPr>
        <w:rFonts w:ascii="Symbol" w:hAnsi="Symbol" w:hint="default"/>
      </w:rPr>
    </w:lvl>
  </w:abstractNum>
  <w:abstractNum w:abstractNumId="2">
    <w:nsid w:val="1635223D"/>
    <w:multiLevelType w:val="hybridMultilevel"/>
    <w:tmpl w:val="99FA97D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93D37A1"/>
    <w:multiLevelType w:val="multilevel"/>
    <w:tmpl w:val="698C7F16"/>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nsid w:val="2ADC7537"/>
    <w:multiLevelType w:val="hybridMultilevel"/>
    <w:tmpl w:val="2BB2A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8F83F12"/>
    <w:multiLevelType w:val="multilevel"/>
    <w:tmpl w:val="0B74C25A"/>
    <w:lvl w:ilvl="0">
      <w:start w:val="4"/>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
    <w:nsid w:val="3AB14BFE"/>
    <w:multiLevelType w:val="hybridMultilevel"/>
    <w:tmpl w:val="118A4438"/>
    <w:lvl w:ilvl="0" w:tplc="82DE1B68">
      <w:start w:val="1"/>
      <w:numFmt w:val="bullet"/>
      <w:lvlText w:val=""/>
      <w:lvlPicBulletId w:val="1"/>
      <w:lvlJc w:val="left"/>
      <w:pPr>
        <w:tabs>
          <w:tab w:val="num" w:pos="720"/>
        </w:tabs>
        <w:ind w:left="720" w:hanging="360"/>
      </w:pPr>
      <w:rPr>
        <w:rFonts w:ascii="Symbol" w:hAnsi="Symbol" w:hint="default"/>
      </w:rPr>
    </w:lvl>
    <w:lvl w:ilvl="1" w:tplc="AE0ED9CE" w:tentative="1">
      <w:start w:val="1"/>
      <w:numFmt w:val="bullet"/>
      <w:lvlText w:val=""/>
      <w:lvlJc w:val="left"/>
      <w:pPr>
        <w:tabs>
          <w:tab w:val="num" w:pos="1440"/>
        </w:tabs>
        <w:ind w:left="1440" w:hanging="360"/>
      </w:pPr>
      <w:rPr>
        <w:rFonts w:ascii="Symbol" w:hAnsi="Symbol" w:hint="default"/>
      </w:rPr>
    </w:lvl>
    <w:lvl w:ilvl="2" w:tplc="4934A9A0" w:tentative="1">
      <w:start w:val="1"/>
      <w:numFmt w:val="bullet"/>
      <w:lvlText w:val=""/>
      <w:lvlJc w:val="left"/>
      <w:pPr>
        <w:tabs>
          <w:tab w:val="num" w:pos="2160"/>
        </w:tabs>
        <w:ind w:left="2160" w:hanging="360"/>
      </w:pPr>
      <w:rPr>
        <w:rFonts w:ascii="Symbol" w:hAnsi="Symbol" w:hint="default"/>
      </w:rPr>
    </w:lvl>
    <w:lvl w:ilvl="3" w:tplc="DA360986" w:tentative="1">
      <w:start w:val="1"/>
      <w:numFmt w:val="bullet"/>
      <w:lvlText w:val=""/>
      <w:lvlJc w:val="left"/>
      <w:pPr>
        <w:tabs>
          <w:tab w:val="num" w:pos="2880"/>
        </w:tabs>
        <w:ind w:left="2880" w:hanging="360"/>
      </w:pPr>
      <w:rPr>
        <w:rFonts w:ascii="Symbol" w:hAnsi="Symbol" w:hint="default"/>
      </w:rPr>
    </w:lvl>
    <w:lvl w:ilvl="4" w:tplc="BDBECB06" w:tentative="1">
      <w:start w:val="1"/>
      <w:numFmt w:val="bullet"/>
      <w:lvlText w:val=""/>
      <w:lvlJc w:val="left"/>
      <w:pPr>
        <w:tabs>
          <w:tab w:val="num" w:pos="3600"/>
        </w:tabs>
        <w:ind w:left="3600" w:hanging="360"/>
      </w:pPr>
      <w:rPr>
        <w:rFonts w:ascii="Symbol" w:hAnsi="Symbol" w:hint="default"/>
      </w:rPr>
    </w:lvl>
    <w:lvl w:ilvl="5" w:tplc="3AFEAE6A" w:tentative="1">
      <w:start w:val="1"/>
      <w:numFmt w:val="bullet"/>
      <w:lvlText w:val=""/>
      <w:lvlJc w:val="left"/>
      <w:pPr>
        <w:tabs>
          <w:tab w:val="num" w:pos="4320"/>
        </w:tabs>
        <w:ind w:left="4320" w:hanging="360"/>
      </w:pPr>
      <w:rPr>
        <w:rFonts w:ascii="Symbol" w:hAnsi="Symbol" w:hint="default"/>
      </w:rPr>
    </w:lvl>
    <w:lvl w:ilvl="6" w:tplc="C2583FCE" w:tentative="1">
      <w:start w:val="1"/>
      <w:numFmt w:val="bullet"/>
      <w:lvlText w:val=""/>
      <w:lvlJc w:val="left"/>
      <w:pPr>
        <w:tabs>
          <w:tab w:val="num" w:pos="5040"/>
        </w:tabs>
        <w:ind w:left="5040" w:hanging="360"/>
      </w:pPr>
      <w:rPr>
        <w:rFonts w:ascii="Symbol" w:hAnsi="Symbol" w:hint="default"/>
      </w:rPr>
    </w:lvl>
    <w:lvl w:ilvl="7" w:tplc="10140CE6" w:tentative="1">
      <w:start w:val="1"/>
      <w:numFmt w:val="bullet"/>
      <w:lvlText w:val=""/>
      <w:lvlJc w:val="left"/>
      <w:pPr>
        <w:tabs>
          <w:tab w:val="num" w:pos="5760"/>
        </w:tabs>
        <w:ind w:left="5760" w:hanging="360"/>
      </w:pPr>
      <w:rPr>
        <w:rFonts w:ascii="Symbol" w:hAnsi="Symbol" w:hint="default"/>
      </w:rPr>
    </w:lvl>
    <w:lvl w:ilvl="8" w:tplc="390E427C" w:tentative="1">
      <w:start w:val="1"/>
      <w:numFmt w:val="bullet"/>
      <w:lvlText w:val=""/>
      <w:lvlJc w:val="left"/>
      <w:pPr>
        <w:tabs>
          <w:tab w:val="num" w:pos="6480"/>
        </w:tabs>
        <w:ind w:left="6480" w:hanging="360"/>
      </w:pPr>
      <w:rPr>
        <w:rFonts w:ascii="Symbol" w:hAnsi="Symbol" w:hint="default"/>
      </w:rPr>
    </w:lvl>
  </w:abstractNum>
  <w:abstractNum w:abstractNumId="7">
    <w:nsid w:val="5D4D0FE2"/>
    <w:multiLevelType w:val="hybridMultilevel"/>
    <w:tmpl w:val="03541CAC"/>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60393E7F"/>
    <w:multiLevelType w:val="hybridMultilevel"/>
    <w:tmpl w:val="CEA2AC42"/>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06E2984"/>
    <w:multiLevelType w:val="hybridMultilevel"/>
    <w:tmpl w:val="366AF43E"/>
    <w:lvl w:ilvl="0" w:tplc="FC1C587E">
      <w:start w:val="2"/>
      <w:numFmt w:val="bullet"/>
      <w:lvlText w:val="-"/>
      <w:lvlJc w:val="left"/>
      <w:pPr>
        <w:ind w:left="405" w:hanging="360"/>
      </w:pPr>
      <w:rPr>
        <w:rFonts w:ascii="Arial" w:eastAsia="Calibri" w:hAnsi="Arial" w:cs="Arial"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0">
    <w:nsid w:val="6761419E"/>
    <w:multiLevelType w:val="multilevel"/>
    <w:tmpl w:val="0B74C25A"/>
    <w:lvl w:ilvl="0">
      <w:start w:val="4"/>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
    <w:nsid w:val="696F0669"/>
    <w:multiLevelType w:val="hybridMultilevel"/>
    <w:tmpl w:val="6B980916"/>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nsid w:val="713E1652"/>
    <w:multiLevelType w:val="hybridMultilevel"/>
    <w:tmpl w:val="DA2A3836"/>
    <w:lvl w:ilvl="0" w:tplc="B790AC8A">
      <w:numFmt w:val="bullet"/>
      <w:lvlText w:val=""/>
      <w:lvlJc w:val="left"/>
      <w:pPr>
        <w:ind w:left="720" w:hanging="360"/>
      </w:pPr>
      <w:rPr>
        <w:rFonts w:ascii="Symbol" w:eastAsia="Calibri" w:hAnsi="Symbol"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71CF6FB9"/>
    <w:multiLevelType w:val="hybridMultilevel"/>
    <w:tmpl w:val="490CADC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76C940DA"/>
    <w:multiLevelType w:val="hybridMultilevel"/>
    <w:tmpl w:val="D2C67DD0"/>
    <w:lvl w:ilvl="0" w:tplc="0405000F">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C550A0F"/>
    <w:multiLevelType w:val="hybridMultilevel"/>
    <w:tmpl w:val="A6E66A4C"/>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16">
    <w:nsid w:val="7FEE15A2"/>
    <w:multiLevelType w:val="hybridMultilevel"/>
    <w:tmpl w:val="B4BE78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15"/>
  </w:num>
  <w:num w:numId="3">
    <w:abstractNumId w:val="7"/>
  </w:num>
  <w:num w:numId="4">
    <w:abstractNumId w:val="14"/>
  </w:num>
  <w:num w:numId="5">
    <w:abstractNumId w:val="8"/>
  </w:num>
  <w:num w:numId="6">
    <w:abstractNumId w:val="16"/>
  </w:num>
  <w:num w:numId="7">
    <w:abstractNumId w:val="3"/>
  </w:num>
  <w:num w:numId="8">
    <w:abstractNumId w:val="10"/>
  </w:num>
  <w:num w:numId="9">
    <w:abstractNumId w:val="5"/>
  </w:num>
  <w:num w:numId="10">
    <w:abstractNumId w:val="12"/>
  </w:num>
  <w:num w:numId="11">
    <w:abstractNumId w:val="9"/>
  </w:num>
  <w:num w:numId="12">
    <w:abstractNumId w:val="0"/>
  </w:num>
  <w:num w:numId="13">
    <w:abstractNumId w:val="2"/>
  </w:num>
  <w:num w:numId="14">
    <w:abstractNumId w:val="1"/>
  </w:num>
  <w:num w:numId="15">
    <w:abstractNumId w:val="6"/>
  </w:num>
  <w:num w:numId="16">
    <w:abstractNumId w:val="4"/>
  </w:num>
  <w:num w:numId="17">
    <w:abstractNumId w:val="1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stylePaneFormatFilter w:val="1024"/>
  <w:doNotTrackMoves/>
  <w:defaultTabStop w:val="708"/>
  <w:hyphenationZone w:val="425"/>
  <w:evenAndOddHeaders/>
  <w:drawingGridHorizontalSpacing w:val="10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B70BD"/>
    <w:rsid w:val="0000023E"/>
    <w:rsid w:val="00000FA7"/>
    <w:rsid w:val="00001A7D"/>
    <w:rsid w:val="00001EFF"/>
    <w:rsid w:val="00003687"/>
    <w:rsid w:val="00003C43"/>
    <w:rsid w:val="00006ECF"/>
    <w:rsid w:val="00007498"/>
    <w:rsid w:val="0000767A"/>
    <w:rsid w:val="00010151"/>
    <w:rsid w:val="000101F5"/>
    <w:rsid w:val="000104B9"/>
    <w:rsid w:val="00010702"/>
    <w:rsid w:val="00011191"/>
    <w:rsid w:val="0001159B"/>
    <w:rsid w:val="00011778"/>
    <w:rsid w:val="000128C7"/>
    <w:rsid w:val="00012986"/>
    <w:rsid w:val="00014028"/>
    <w:rsid w:val="00015195"/>
    <w:rsid w:val="0001519F"/>
    <w:rsid w:val="0001572B"/>
    <w:rsid w:val="0001573E"/>
    <w:rsid w:val="000157DA"/>
    <w:rsid w:val="000162DB"/>
    <w:rsid w:val="00017F05"/>
    <w:rsid w:val="000202C6"/>
    <w:rsid w:val="00020946"/>
    <w:rsid w:val="00022081"/>
    <w:rsid w:val="0002292C"/>
    <w:rsid w:val="00022B41"/>
    <w:rsid w:val="0002434F"/>
    <w:rsid w:val="00024887"/>
    <w:rsid w:val="00024CBA"/>
    <w:rsid w:val="00025501"/>
    <w:rsid w:val="00026998"/>
    <w:rsid w:val="000304C4"/>
    <w:rsid w:val="0003066A"/>
    <w:rsid w:val="00030CAD"/>
    <w:rsid w:val="00030F14"/>
    <w:rsid w:val="000311C5"/>
    <w:rsid w:val="00031328"/>
    <w:rsid w:val="00032838"/>
    <w:rsid w:val="00032C12"/>
    <w:rsid w:val="00032E0C"/>
    <w:rsid w:val="000350FB"/>
    <w:rsid w:val="00035CCF"/>
    <w:rsid w:val="00035FC6"/>
    <w:rsid w:val="00037667"/>
    <w:rsid w:val="0004075D"/>
    <w:rsid w:val="000411E1"/>
    <w:rsid w:val="000417FB"/>
    <w:rsid w:val="0004229A"/>
    <w:rsid w:val="00043E05"/>
    <w:rsid w:val="0004694F"/>
    <w:rsid w:val="000500DC"/>
    <w:rsid w:val="00052052"/>
    <w:rsid w:val="00052172"/>
    <w:rsid w:val="000531D0"/>
    <w:rsid w:val="00053CBA"/>
    <w:rsid w:val="00054382"/>
    <w:rsid w:val="00054E43"/>
    <w:rsid w:val="00055059"/>
    <w:rsid w:val="000553E4"/>
    <w:rsid w:val="000567FA"/>
    <w:rsid w:val="00056B26"/>
    <w:rsid w:val="00057C16"/>
    <w:rsid w:val="00060F26"/>
    <w:rsid w:val="00061733"/>
    <w:rsid w:val="00062D43"/>
    <w:rsid w:val="00062E81"/>
    <w:rsid w:val="00062EC5"/>
    <w:rsid w:val="00064256"/>
    <w:rsid w:val="000650C5"/>
    <w:rsid w:val="0007013D"/>
    <w:rsid w:val="000706A4"/>
    <w:rsid w:val="00070A0C"/>
    <w:rsid w:val="00071F80"/>
    <w:rsid w:val="00072118"/>
    <w:rsid w:val="00073173"/>
    <w:rsid w:val="000759A5"/>
    <w:rsid w:val="00075BA7"/>
    <w:rsid w:val="000779AC"/>
    <w:rsid w:val="0008046C"/>
    <w:rsid w:val="00083803"/>
    <w:rsid w:val="00084393"/>
    <w:rsid w:val="0008716A"/>
    <w:rsid w:val="00087634"/>
    <w:rsid w:val="000907D0"/>
    <w:rsid w:val="00091237"/>
    <w:rsid w:val="0009191B"/>
    <w:rsid w:val="000920EC"/>
    <w:rsid w:val="00092208"/>
    <w:rsid w:val="00092505"/>
    <w:rsid w:val="00092C9A"/>
    <w:rsid w:val="00095CD8"/>
    <w:rsid w:val="00097D02"/>
    <w:rsid w:val="000A1183"/>
    <w:rsid w:val="000A2121"/>
    <w:rsid w:val="000A2484"/>
    <w:rsid w:val="000A2493"/>
    <w:rsid w:val="000A36CE"/>
    <w:rsid w:val="000A5415"/>
    <w:rsid w:val="000A59BF"/>
    <w:rsid w:val="000A5B73"/>
    <w:rsid w:val="000A66C2"/>
    <w:rsid w:val="000B1CFE"/>
    <w:rsid w:val="000B210A"/>
    <w:rsid w:val="000B249B"/>
    <w:rsid w:val="000B3B01"/>
    <w:rsid w:val="000B3DB9"/>
    <w:rsid w:val="000B3F02"/>
    <w:rsid w:val="000B48A2"/>
    <w:rsid w:val="000B48E7"/>
    <w:rsid w:val="000B4F41"/>
    <w:rsid w:val="000B5230"/>
    <w:rsid w:val="000B5262"/>
    <w:rsid w:val="000B5782"/>
    <w:rsid w:val="000B7663"/>
    <w:rsid w:val="000C11D3"/>
    <w:rsid w:val="000C12F5"/>
    <w:rsid w:val="000C2FAB"/>
    <w:rsid w:val="000C3408"/>
    <w:rsid w:val="000C5C0F"/>
    <w:rsid w:val="000C5D56"/>
    <w:rsid w:val="000C6498"/>
    <w:rsid w:val="000C6C84"/>
    <w:rsid w:val="000D0D51"/>
    <w:rsid w:val="000D14B3"/>
    <w:rsid w:val="000D208B"/>
    <w:rsid w:val="000D2B8D"/>
    <w:rsid w:val="000D2E41"/>
    <w:rsid w:val="000D342A"/>
    <w:rsid w:val="000D5E7A"/>
    <w:rsid w:val="000D5FAA"/>
    <w:rsid w:val="000D65A4"/>
    <w:rsid w:val="000D6AEF"/>
    <w:rsid w:val="000D6B09"/>
    <w:rsid w:val="000E025B"/>
    <w:rsid w:val="000E0ECB"/>
    <w:rsid w:val="000E153A"/>
    <w:rsid w:val="000E19A8"/>
    <w:rsid w:val="000E1EEA"/>
    <w:rsid w:val="000E3E34"/>
    <w:rsid w:val="000E4A42"/>
    <w:rsid w:val="000E6476"/>
    <w:rsid w:val="000E78D2"/>
    <w:rsid w:val="000F3332"/>
    <w:rsid w:val="000F33EE"/>
    <w:rsid w:val="000F401E"/>
    <w:rsid w:val="000F5445"/>
    <w:rsid w:val="000F559E"/>
    <w:rsid w:val="000F5673"/>
    <w:rsid w:val="000F67B2"/>
    <w:rsid w:val="000F67E3"/>
    <w:rsid w:val="000F790F"/>
    <w:rsid w:val="000F7E1B"/>
    <w:rsid w:val="00100014"/>
    <w:rsid w:val="0010039A"/>
    <w:rsid w:val="00101E94"/>
    <w:rsid w:val="00101FB2"/>
    <w:rsid w:val="00102CB8"/>
    <w:rsid w:val="00102F02"/>
    <w:rsid w:val="0010385D"/>
    <w:rsid w:val="00103E41"/>
    <w:rsid w:val="001041B6"/>
    <w:rsid w:val="00105F6B"/>
    <w:rsid w:val="001070EA"/>
    <w:rsid w:val="0011002A"/>
    <w:rsid w:val="001107CE"/>
    <w:rsid w:val="0011110A"/>
    <w:rsid w:val="001118AF"/>
    <w:rsid w:val="00111CA5"/>
    <w:rsid w:val="0011256E"/>
    <w:rsid w:val="0011352E"/>
    <w:rsid w:val="00113AE4"/>
    <w:rsid w:val="00114FC0"/>
    <w:rsid w:val="00115496"/>
    <w:rsid w:val="00116DB9"/>
    <w:rsid w:val="00116F28"/>
    <w:rsid w:val="001205E9"/>
    <w:rsid w:val="00121C39"/>
    <w:rsid w:val="001225F2"/>
    <w:rsid w:val="00123255"/>
    <w:rsid w:val="00124D2D"/>
    <w:rsid w:val="00124DA1"/>
    <w:rsid w:val="0012511D"/>
    <w:rsid w:val="00125326"/>
    <w:rsid w:val="00125CB5"/>
    <w:rsid w:val="00127535"/>
    <w:rsid w:val="001307BE"/>
    <w:rsid w:val="00130C8F"/>
    <w:rsid w:val="001314F2"/>
    <w:rsid w:val="001317DA"/>
    <w:rsid w:val="001323BA"/>
    <w:rsid w:val="0013254D"/>
    <w:rsid w:val="00133AAC"/>
    <w:rsid w:val="00133FBD"/>
    <w:rsid w:val="00136561"/>
    <w:rsid w:val="001400E1"/>
    <w:rsid w:val="001405FA"/>
    <w:rsid w:val="00141346"/>
    <w:rsid w:val="001413B3"/>
    <w:rsid w:val="001425C3"/>
    <w:rsid w:val="00142F16"/>
    <w:rsid w:val="00143E03"/>
    <w:rsid w:val="00143E93"/>
    <w:rsid w:val="001441F1"/>
    <w:rsid w:val="0014428D"/>
    <w:rsid w:val="001500FC"/>
    <w:rsid w:val="00151AC0"/>
    <w:rsid w:val="00151B27"/>
    <w:rsid w:val="00152046"/>
    <w:rsid w:val="00154147"/>
    <w:rsid w:val="00155746"/>
    <w:rsid w:val="00156318"/>
    <w:rsid w:val="0015639A"/>
    <w:rsid w:val="001606CF"/>
    <w:rsid w:val="0016081D"/>
    <w:rsid w:val="00160CC3"/>
    <w:rsid w:val="00160CF3"/>
    <w:rsid w:val="00160E61"/>
    <w:rsid w:val="00160F90"/>
    <w:rsid w:val="00161DD7"/>
    <w:rsid w:val="001620FA"/>
    <w:rsid w:val="00162853"/>
    <w:rsid w:val="00163793"/>
    <w:rsid w:val="00167FB2"/>
    <w:rsid w:val="001707DE"/>
    <w:rsid w:val="00170B04"/>
    <w:rsid w:val="00170F47"/>
    <w:rsid w:val="001714F2"/>
    <w:rsid w:val="00172BC8"/>
    <w:rsid w:val="00173642"/>
    <w:rsid w:val="00173AF4"/>
    <w:rsid w:val="00173CB0"/>
    <w:rsid w:val="00174CE8"/>
    <w:rsid w:val="00175351"/>
    <w:rsid w:val="0017598A"/>
    <w:rsid w:val="00175F60"/>
    <w:rsid w:val="00176050"/>
    <w:rsid w:val="001764D8"/>
    <w:rsid w:val="00176A8F"/>
    <w:rsid w:val="001809EB"/>
    <w:rsid w:val="00180D58"/>
    <w:rsid w:val="00181362"/>
    <w:rsid w:val="00182981"/>
    <w:rsid w:val="00184A20"/>
    <w:rsid w:val="00184CF9"/>
    <w:rsid w:val="00185010"/>
    <w:rsid w:val="001852EC"/>
    <w:rsid w:val="00186447"/>
    <w:rsid w:val="001874CF"/>
    <w:rsid w:val="0018770F"/>
    <w:rsid w:val="00190214"/>
    <w:rsid w:val="00190D9B"/>
    <w:rsid w:val="00191BAE"/>
    <w:rsid w:val="00193432"/>
    <w:rsid w:val="0019346C"/>
    <w:rsid w:val="00195444"/>
    <w:rsid w:val="001A199D"/>
    <w:rsid w:val="001A2A44"/>
    <w:rsid w:val="001A2BDB"/>
    <w:rsid w:val="001A30F4"/>
    <w:rsid w:val="001A4C0D"/>
    <w:rsid w:val="001A4F20"/>
    <w:rsid w:val="001A552F"/>
    <w:rsid w:val="001A56F3"/>
    <w:rsid w:val="001A737B"/>
    <w:rsid w:val="001A750C"/>
    <w:rsid w:val="001A7F49"/>
    <w:rsid w:val="001B10C0"/>
    <w:rsid w:val="001B1B54"/>
    <w:rsid w:val="001B1D89"/>
    <w:rsid w:val="001B2512"/>
    <w:rsid w:val="001B3110"/>
    <w:rsid w:val="001B4198"/>
    <w:rsid w:val="001B44BC"/>
    <w:rsid w:val="001B4CCF"/>
    <w:rsid w:val="001B5888"/>
    <w:rsid w:val="001B618F"/>
    <w:rsid w:val="001B6545"/>
    <w:rsid w:val="001B681B"/>
    <w:rsid w:val="001B6A49"/>
    <w:rsid w:val="001B7231"/>
    <w:rsid w:val="001B74FB"/>
    <w:rsid w:val="001B77A1"/>
    <w:rsid w:val="001C0422"/>
    <w:rsid w:val="001C0E0E"/>
    <w:rsid w:val="001C0EB9"/>
    <w:rsid w:val="001C1219"/>
    <w:rsid w:val="001C357A"/>
    <w:rsid w:val="001C368C"/>
    <w:rsid w:val="001C3A37"/>
    <w:rsid w:val="001C4384"/>
    <w:rsid w:val="001C4C8D"/>
    <w:rsid w:val="001C4E7D"/>
    <w:rsid w:val="001C65FF"/>
    <w:rsid w:val="001C7FB7"/>
    <w:rsid w:val="001D1155"/>
    <w:rsid w:val="001D222C"/>
    <w:rsid w:val="001D47E5"/>
    <w:rsid w:val="001D584C"/>
    <w:rsid w:val="001D5E1B"/>
    <w:rsid w:val="001D66C1"/>
    <w:rsid w:val="001D7C6F"/>
    <w:rsid w:val="001E0024"/>
    <w:rsid w:val="001E0C65"/>
    <w:rsid w:val="001E23E3"/>
    <w:rsid w:val="001E387A"/>
    <w:rsid w:val="001E3DA4"/>
    <w:rsid w:val="001E5555"/>
    <w:rsid w:val="001E5830"/>
    <w:rsid w:val="001E684C"/>
    <w:rsid w:val="001E701C"/>
    <w:rsid w:val="001E7C03"/>
    <w:rsid w:val="001F01CF"/>
    <w:rsid w:val="001F02AF"/>
    <w:rsid w:val="001F0649"/>
    <w:rsid w:val="001F0A76"/>
    <w:rsid w:val="001F28F4"/>
    <w:rsid w:val="001F2CC6"/>
    <w:rsid w:val="001F3055"/>
    <w:rsid w:val="001F31BC"/>
    <w:rsid w:val="001F31F5"/>
    <w:rsid w:val="001F378E"/>
    <w:rsid w:val="001F3C79"/>
    <w:rsid w:val="001F3E68"/>
    <w:rsid w:val="001F4597"/>
    <w:rsid w:val="001F4599"/>
    <w:rsid w:val="001F56A9"/>
    <w:rsid w:val="001F5C6A"/>
    <w:rsid w:val="001F5D00"/>
    <w:rsid w:val="001F670A"/>
    <w:rsid w:val="001F6CAA"/>
    <w:rsid w:val="00200D15"/>
    <w:rsid w:val="00201F3C"/>
    <w:rsid w:val="0020223B"/>
    <w:rsid w:val="0020297F"/>
    <w:rsid w:val="00203074"/>
    <w:rsid w:val="00203B46"/>
    <w:rsid w:val="002048E1"/>
    <w:rsid w:val="00205DF4"/>
    <w:rsid w:val="0020609C"/>
    <w:rsid w:val="00207DB6"/>
    <w:rsid w:val="00210278"/>
    <w:rsid w:val="00210CC2"/>
    <w:rsid w:val="00210F5B"/>
    <w:rsid w:val="00210FFA"/>
    <w:rsid w:val="00211262"/>
    <w:rsid w:val="002115F5"/>
    <w:rsid w:val="00211AC9"/>
    <w:rsid w:val="0021355B"/>
    <w:rsid w:val="00217965"/>
    <w:rsid w:val="002179F9"/>
    <w:rsid w:val="002205F2"/>
    <w:rsid w:val="0022080E"/>
    <w:rsid w:val="0022139E"/>
    <w:rsid w:val="0022221B"/>
    <w:rsid w:val="0022272B"/>
    <w:rsid w:val="00222A99"/>
    <w:rsid w:val="00223678"/>
    <w:rsid w:val="002236F7"/>
    <w:rsid w:val="00223E00"/>
    <w:rsid w:val="002252E0"/>
    <w:rsid w:val="002255F6"/>
    <w:rsid w:val="00226466"/>
    <w:rsid w:val="002266D0"/>
    <w:rsid w:val="00226887"/>
    <w:rsid w:val="00230DAD"/>
    <w:rsid w:val="0023229C"/>
    <w:rsid w:val="00232FB4"/>
    <w:rsid w:val="0023355C"/>
    <w:rsid w:val="00234280"/>
    <w:rsid w:val="00235000"/>
    <w:rsid w:val="002350E3"/>
    <w:rsid w:val="00235330"/>
    <w:rsid w:val="00236443"/>
    <w:rsid w:val="00240773"/>
    <w:rsid w:val="00240815"/>
    <w:rsid w:val="00240A5B"/>
    <w:rsid w:val="00240C76"/>
    <w:rsid w:val="002411EF"/>
    <w:rsid w:val="00242730"/>
    <w:rsid w:val="002436BA"/>
    <w:rsid w:val="00243924"/>
    <w:rsid w:val="0024442C"/>
    <w:rsid w:val="002444ED"/>
    <w:rsid w:val="00244A15"/>
    <w:rsid w:val="00244D40"/>
    <w:rsid w:val="00246AE9"/>
    <w:rsid w:val="0024799E"/>
    <w:rsid w:val="00250521"/>
    <w:rsid w:val="00250C59"/>
    <w:rsid w:val="00250E0D"/>
    <w:rsid w:val="00251D59"/>
    <w:rsid w:val="00252602"/>
    <w:rsid w:val="00252FDC"/>
    <w:rsid w:val="00257613"/>
    <w:rsid w:val="00261E5B"/>
    <w:rsid w:val="00262F34"/>
    <w:rsid w:val="0026319D"/>
    <w:rsid w:val="00263470"/>
    <w:rsid w:val="00263733"/>
    <w:rsid w:val="00264676"/>
    <w:rsid w:val="00265536"/>
    <w:rsid w:val="00265E54"/>
    <w:rsid w:val="00266F3E"/>
    <w:rsid w:val="002702CC"/>
    <w:rsid w:val="00270785"/>
    <w:rsid w:val="002714E2"/>
    <w:rsid w:val="00272464"/>
    <w:rsid w:val="00272823"/>
    <w:rsid w:val="00273DCD"/>
    <w:rsid w:val="00274291"/>
    <w:rsid w:val="00276CFE"/>
    <w:rsid w:val="00277071"/>
    <w:rsid w:val="0027786C"/>
    <w:rsid w:val="00277BF7"/>
    <w:rsid w:val="002813A2"/>
    <w:rsid w:val="00281416"/>
    <w:rsid w:val="00281688"/>
    <w:rsid w:val="00285CD3"/>
    <w:rsid w:val="00286220"/>
    <w:rsid w:val="0028686A"/>
    <w:rsid w:val="00286E66"/>
    <w:rsid w:val="002870B7"/>
    <w:rsid w:val="002919B5"/>
    <w:rsid w:val="00293441"/>
    <w:rsid w:val="00294238"/>
    <w:rsid w:val="0029493E"/>
    <w:rsid w:val="002962E0"/>
    <w:rsid w:val="00296B2C"/>
    <w:rsid w:val="00296BB2"/>
    <w:rsid w:val="00296C2E"/>
    <w:rsid w:val="002A1B05"/>
    <w:rsid w:val="002A267F"/>
    <w:rsid w:val="002A2CAF"/>
    <w:rsid w:val="002A3354"/>
    <w:rsid w:val="002A35EA"/>
    <w:rsid w:val="002A37B6"/>
    <w:rsid w:val="002A3BD5"/>
    <w:rsid w:val="002A43A2"/>
    <w:rsid w:val="002A44ED"/>
    <w:rsid w:val="002A4612"/>
    <w:rsid w:val="002A4F70"/>
    <w:rsid w:val="002A5170"/>
    <w:rsid w:val="002A5263"/>
    <w:rsid w:val="002A6821"/>
    <w:rsid w:val="002A74D2"/>
    <w:rsid w:val="002A7CDA"/>
    <w:rsid w:val="002A7E0A"/>
    <w:rsid w:val="002A7F47"/>
    <w:rsid w:val="002B1544"/>
    <w:rsid w:val="002B22BD"/>
    <w:rsid w:val="002B2593"/>
    <w:rsid w:val="002B36C8"/>
    <w:rsid w:val="002B71B4"/>
    <w:rsid w:val="002B7240"/>
    <w:rsid w:val="002B7590"/>
    <w:rsid w:val="002C0FF4"/>
    <w:rsid w:val="002C125A"/>
    <w:rsid w:val="002C2668"/>
    <w:rsid w:val="002C2BAF"/>
    <w:rsid w:val="002C43BD"/>
    <w:rsid w:val="002C493D"/>
    <w:rsid w:val="002C5261"/>
    <w:rsid w:val="002C6091"/>
    <w:rsid w:val="002D0562"/>
    <w:rsid w:val="002D1B5A"/>
    <w:rsid w:val="002D2500"/>
    <w:rsid w:val="002D338A"/>
    <w:rsid w:val="002D3F00"/>
    <w:rsid w:val="002D4D59"/>
    <w:rsid w:val="002D52D0"/>
    <w:rsid w:val="002D54BF"/>
    <w:rsid w:val="002D5579"/>
    <w:rsid w:val="002D5E94"/>
    <w:rsid w:val="002D632D"/>
    <w:rsid w:val="002E02A1"/>
    <w:rsid w:val="002E0982"/>
    <w:rsid w:val="002E0DB9"/>
    <w:rsid w:val="002E2CE4"/>
    <w:rsid w:val="002E34F3"/>
    <w:rsid w:val="002E435E"/>
    <w:rsid w:val="002E73F2"/>
    <w:rsid w:val="002F33FB"/>
    <w:rsid w:val="002F38B5"/>
    <w:rsid w:val="002F4825"/>
    <w:rsid w:val="002F663A"/>
    <w:rsid w:val="002F68A4"/>
    <w:rsid w:val="002F7594"/>
    <w:rsid w:val="00300D6F"/>
    <w:rsid w:val="00301357"/>
    <w:rsid w:val="00301D04"/>
    <w:rsid w:val="00302429"/>
    <w:rsid w:val="00302CC5"/>
    <w:rsid w:val="003035D4"/>
    <w:rsid w:val="00303DCB"/>
    <w:rsid w:val="00304771"/>
    <w:rsid w:val="00305736"/>
    <w:rsid w:val="00306C5B"/>
    <w:rsid w:val="00306E3B"/>
    <w:rsid w:val="00307277"/>
    <w:rsid w:val="003119B6"/>
    <w:rsid w:val="00311A14"/>
    <w:rsid w:val="00312237"/>
    <w:rsid w:val="00312C3D"/>
    <w:rsid w:val="00314331"/>
    <w:rsid w:val="00317E31"/>
    <w:rsid w:val="00320214"/>
    <w:rsid w:val="003209D6"/>
    <w:rsid w:val="0032109A"/>
    <w:rsid w:val="0032214F"/>
    <w:rsid w:val="00322164"/>
    <w:rsid w:val="00322A2F"/>
    <w:rsid w:val="00322CED"/>
    <w:rsid w:val="00323CF7"/>
    <w:rsid w:val="00323E61"/>
    <w:rsid w:val="0032513D"/>
    <w:rsid w:val="00325B20"/>
    <w:rsid w:val="00326251"/>
    <w:rsid w:val="0032739C"/>
    <w:rsid w:val="00327DEE"/>
    <w:rsid w:val="003302DA"/>
    <w:rsid w:val="00330EB0"/>
    <w:rsid w:val="00331544"/>
    <w:rsid w:val="00331785"/>
    <w:rsid w:val="003329F3"/>
    <w:rsid w:val="0033352E"/>
    <w:rsid w:val="00333690"/>
    <w:rsid w:val="00333D20"/>
    <w:rsid w:val="00333F53"/>
    <w:rsid w:val="003340EF"/>
    <w:rsid w:val="00334A49"/>
    <w:rsid w:val="0033536F"/>
    <w:rsid w:val="00335BB0"/>
    <w:rsid w:val="0033627B"/>
    <w:rsid w:val="003406BD"/>
    <w:rsid w:val="00343474"/>
    <w:rsid w:val="00343F84"/>
    <w:rsid w:val="00344135"/>
    <w:rsid w:val="003450E2"/>
    <w:rsid w:val="00351B63"/>
    <w:rsid w:val="00351F7E"/>
    <w:rsid w:val="00352E57"/>
    <w:rsid w:val="003541B0"/>
    <w:rsid w:val="0035457E"/>
    <w:rsid w:val="00355885"/>
    <w:rsid w:val="0035605E"/>
    <w:rsid w:val="00356106"/>
    <w:rsid w:val="0035612B"/>
    <w:rsid w:val="00357449"/>
    <w:rsid w:val="0036238B"/>
    <w:rsid w:val="003651A4"/>
    <w:rsid w:val="00365680"/>
    <w:rsid w:val="0036572A"/>
    <w:rsid w:val="003657F3"/>
    <w:rsid w:val="00366D4D"/>
    <w:rsid w:val="00367038"/>
    <w:rsid w:val="00370963"/>
    <w:rsid w:val="0037144E"/>
    <w:rsid w:val="003736B5"/>
    <w:rsid w:val="00373809"/>
    <w:rsid w:val="00374F1E"/>
    <w:rsid w:val="00376CBB"/>
    <w:rsid w:val="00376DEC"/>
    <w:rsid w:val="00377200"/>
    <w:rsid w:val="0038034A"/>
    <w:rsid w:val="00380E04"/>
    <w:rsid w:val="00380E6C"/>
    <w:rsid w:val="00383227"/>
    <w:rsid w:val="00384D8F"/>
    <w:rsid w:val="00385D98"/>
    <w:rsid w:val="00385EC5"/>
    <w:rsid w:val="0038658E"/>
    <w:rsid w:val="00390561"/>
    <w:rsid w:val="0039066E"/>
    <w:rsid w:val="00391C95"/>
    <w:rsid w:val="0039462F"/>
    <w:rsid w:val="00394D49"/>
    <w:rsid w:val="00396DAC"/>
    <w:rsid w:val="003A0214"/>
    <w:rsid w:val="003A027D"/>
    <w:rsid w:val="003A09DB"/>
    <w:rsid w:val="003A1D74"/>
    <w:rsid w:val="003A28DB"/>
    <w:rsid w:val="003A2B4D"/>
    <w:rsid w:val="003A2D2B"/>
    <w:rsid w:val="003A2DD4"/>
    <w:rsid w:val="003A3B1C"/>
    <w:rsid w:val="003A4088"/>
    <w:rsid w:val="003A478C"/>
    <w:rsid w:val="003A4F82"/>
    <w:rsid w:val="003A5525"/>
    <w:rsid w:val="003A6B38"/>
    <w:rsid w:val="003B2580"/>
    <w:rsid w:val="003B27D4"/>
    <w:rsid w:val="003B2E63"/>
    <w:rsid w:val="003B3189"/>
    <w:rsid w:val="003B3A9D"/>
    <w:rsid w:val="003B3DDD"/>
    <w:rsid w:val="003B4A73"/>
    <w:rsid w:val="003B5031"/>
    <w:rsid w:val="003B5A32"/>
    <w:rsid w:val="003B6105"/>
    <w:rsid w:val="003C03CC"/>
    <w:rsid w:val="003C04C4"/>
    <w:rsid w:val="003C26F4"/>
    <w:rsid w:val="003C3686"/>
    <w:rsid w:val="003C4852"/>
    <w:rsid w:val="003C59F2"/>
    <w:rsid w:val="003C5BC7"/>
    <w:rsid w:val="003C601E"/>
    <w:rsid w:val="003C66C4"/>
    <w:rsid w:val="003D0765"/>
    <w:rsid w:val="003D2C4E"/>
    <w:rsid w:val="003D3600"/>
    <w:rsid w:val="003D3825"/>
    <w:rsid w:val="003D3EC4"/>
    <w:rsid w:val="003D3FB7"/>
    <w:rsid w:val="003D4760"/>
    <w:rsid w:val="003D49DC"/>
    <w:rsid w:val="003D4DD9"/>
    <w:rsid w:val="003D5D7A"/>
    <w:rsid w:val="003E0663"/>
    <w:rsid w:val="003E133F"/>
    <w:rsid w:val="003E49F6"/>
    <w:rsid w:val="003E4F5C"/>
    <w:rsid w:val="003E699C"/>
    <w:rsid w:val="003E69F3"/>
    <w:rsid w:val="003E6CAF"/>
    <w:rsid w:val="003E782E"/>
    <w:rsid w:val="003E7A0B"/>
    <w:rsid w:val="003E7B2B"/>
    <w:rsid w:val="003F0297"/>
    <w:rsid w:val="003F0CE4"/>
    <w:rsid w:val="003F181F"/>
    <w:rsid w:val="003F1A48"/>
    <w:rsid w:val="003F1E23"/>
    <w:rsid w:val="003F2B0A"/>
    <w:rsid w:val="003F313C"/>
    <w:rsid w:val="003F341B"/>
    <w:rsid w:val="003F37FC"/>
    <w:rsid w:val="003F3A26"/>
    <w:rsid w:val="003F49A6"/>
    <w:rsid w:val="003F5098"/>
    <w:rsid w:val="003F5568"/>
    <w:rsid w:val="003F5A95"/>
    <w:rsid w:val="003F6D19"/>
    <w:rsid w:val="004000D5"/>
    <w:rsid w:val="00400244"/>
    <w:rsid w:val="004005C1"/>
    <w:rsid w:val="00401716"/>
    <w:rsid w:val="00401A09"/>
    <w:rsid w:val="0040273A"/>
    <w:rsid w:val="00402C25"/>
    <w:rsid w:val="004050D7"/>
    <w:rsid w:val="00405507"/>
    <w:rsid w:val="00405FC7"/>
    <w:rsid w:val="004078BD"/>
    <w:rsid w:val="00410132"/>
    <w:rsid w:val="00410BCD"/>
    <w:rsid w:val="00410DE5"/>
    <w:rsid w:val="0041175D"/>
    <w:rsid w:val="004123BE"/>
    <w:rsid w:val="00414CE5"/>
    <w:rsid w:val="00416673"/>
    <w:rsid w:val="0042160D"/>
    <w:rsid w:val="00423A3C"/>
    <w:rsid w:val="0042681B"/>
    <w:rsid w:val="00427193"/>
    <w:rsid w:val="0043068A"/>
    <w:rsid w:val="004306E0"/>
    <w:rsid w:val="00431D54"/>
    <w:rsid w:val="00432041"/>
    <w:rsid w:val="004329BE"/>
    <w:rsid w:val="00432C38"/>
    <w:rsid w:val="004342EC"/>
    <w:rsid w:val="0043509C"/>
    <w:rsid w:val="00437C76"/>
    <w:rsid w:val="0044105C"/>
    <w:rsid w:val="004422DD"/>
    <w:rsid w:val="00443E95"/>
    <w:rsid w:val="004441A0"/>
    <w:rsid w:val="00444268"/>
    <w:rsid w:val="00444326"/>
    <w:rsid w:val="004443BF"/>
    <w:rsid w:val="00444C19"/>
    <w:rsid w:val="00445218"/>
    <w:rsid w:val="00445CDD"/>
    <w:rsid w:val="004464D5"/>
    <w:rsid w:val="00446892"/>
    <w:rsid w:val="00447E36"/>
    <w:rsid w:val="00450326"/>
    <w:rsid w:val="00450700"/>
    <w:rsid w:val="00450C30"/>
    <w:rsid w:val="00452819"/>
    <w:rsid w:val="004529C7"/>
    <w:rsid w:val="004540FF"/>
    <w:rsid w:val="004541F1"/>
    <w:rsid w:val="00455ECA"/>
    <w:rsid w:val="00457296"/>
    <w:rsid w:val="00457320"/>
    <w:rsid w:val="00460164"/>
    <w:rsid w:val="0046039A"/>
    <w:rsid w:val="00460A6B"/>
    <w:rsid w:val="00461977"/>
    <w:rsid w:val="00461A3F"/>
    <w:rsid w:val="004629FD"/>
    <w:rsid w:val="00462AD2"/>
    <w:rsid w:val="00463B4B"/>
    <w:rsid w:val="00463F4D"/>
    <w:rsid w:val="004640FB"/>
    <w:rsid w:val="0046471F"/>
    <w:rsid w:val="00464BE8"/>
    <w:rsid w:val="00465019"/>
    <w:rsid w:val="00465FA4"/>
    <w:rsid w:val="0046613F"/>
    <w:rsid w:val="0046655D"/>
    <w:rsid w:val="0046765E"/>
    <w:rsid w:val="004676E2"/>
    <w:rsid w:val="00471EDD"/>
    <w:rsid w:val="00473E94"/>
    <w:rsid w:val="0047400C"/>
    <w:rsid w:val="004745D9"/>
    <w:rsid w:val="004762D8"/>
    <w:rsid w:val="004765B3"/>
    <w:rsid w:val="00476D29"/>
    <w:rsid w:val="00477241"/>
    <w:rsid w:val="00477D39"/>
    <w:rsid w:val="00477EAF"/>
    <w:rsid w:val="00477EE0"/>
    <w:rsid w:val="00480AB8"/>
    <w:rsid w:val="00480B92"/>
    <w:rsid w:val="0048139F"/>
    <w:rsid w:val="00481C00"/>
    <w:rsid w:val="00483053"/>
    <w:rsid w:val="00484874"/>
    <w:rsid w:val="00485230"/>
    <w:rsid w:val="004859B2"/>
    <w:rsid w:val="004879E9"/>
    <w:rsid w:val="00487F81"/>
    <w:rsid w:val="00490247"/>
    <w:rsid w:val="0049104F"/>
    <w:rsid w:val="00491218"/>
    <w:rsid w:val="00491CFD"/>
    <w:rsid w:val="00493362"/>
    <w:rsid w:val="00494343"/>
    <w:rsid w:val="00496C2F"/>
    <w:rsid w:val="0049740D"/>
    <w:rsid w:val="004978D3"/>
    <w:rsid w:val="004A11F8"/>
    <w:rsid w:val="004A22BD"/>
    <w:rsid w:val="004A22FA"/>
    <w:rsid w:val="004A269A"/>
    <w:rsid w:val="004A30FB"/>
    <w:rsid w:val="004A35DD"/>
    <w:rsid w:val="004A37D3"/>
    <w:rsid w:val="004A3AD6"/>
    <w:rsid w:val="004A5865"/>
    <w:rsid w:val="004A77DF"/>
    <w:rsid w:val="004B0295"/>
    <w:rsid w:val="004B0400"/>
    <w:rsid w:val="004B0803"/>
    <w:rsid w:val="004B10A8"/>
    <w:rsid w:val="004B22DA"/>
    <w:rsid w:val="004B3CB7"/>
    <w:rsid w:val="004B3D55"/>
    <w:rsid w:val="004B55B7"/>
    <w:rsid w:val="004B5836"/>
    <w:rsid w:val="004B6A7F"/>
    <w:rsid w:val="004C00A6"/>
    <w:rsid w:val="004C0BBB"/>
    <w:rsid w:val="004C1AD6"/>
    <w:rsid w:val="004C1B86"/>
    <w:rsid w:val="004C3382"/>
    <w:rsid w:val="004C3867"/>
    <w:rsid w:val="004C4AB7"/>
    <w:rsid w:val="004C4CD0"/>
    <w:rsid w:val="004C57B5"/>
    <w:rsid w:val="004C5C25"/>
    <w:rsid w:val="004C6717"/>
    <w:rsid w:val="004C6CFF"/>
    <w:rsid w:val="004C70DC"/>
    <w:rsid w:val="004C7268"/>
    <w:rsid w:val="004D0211"/>
    <w:rsid w:val="004D1C9C"/>
    <w:rsid w:val="004D458D"/>
    <w:rsid w:val="004D504B"/>
    <w:rsid w:val="004D536E"/>
    <w:rsid w:val="004D5D6E"/>
    <w:rsid w:val="004D74FF"/>
    <w:rsid w:val="004D76CC"/>
    <w:rsid w:val="004E1803"/>
    <w:rsid w:val="004E1839"/>
    <w:rsid w:val="004E4A75"/>
    <w:rsid w:val="004E541A"/>
    <w:rsid w:val="004E5A5C"/>
    <w:rsid w:val="004E7007"/>
    <w:rsid w:val="004E76D6"/>
    <w:rsid w:val="004E7F57"/>
    <w:rsid w:val="004F06F5"/>
    <w:rsid w:val="004F0C84"/>
    <w:rsid w:val="004F191F"/>
    <w:rsid w:val="004F2A73"/>
    <w:rsid w:val="004F33A0"/>
    <w:rsid w:val="004F4353"/>
    <w:rsid w:val="004F447D"/>
    <w:rsid w:val="004F4C28"/>
    <w:rsid w:val="004F4E82"/>
    <w:rsid w:val="004F5CC5"/>
    <w:rsid w:val="004F6350"/>
    <w:rsid w:val="004F67DF"/>
    <w:rsid w:val="00502230"/>
    <w:rsid w:val="005028E1"/>
    <w:rsid w:val="0050692E"/>
    <w:rsid w:val="00507040"/>
    <w:rsid w:val="005079F8"/>
    <w:rsid w:val="00510189"/>
    <w:rsid w:val="005106F1"/>
    <w:rsid w:val="005108C0"/>
    <w:rsid w:val="00511873"/>
    <w:rsid w:val="0051367B"/>
    <w:rsid w:val="00513B7E"/>
    <w:rsid w:val="005140DE"/>
    <w:rsid w:val="00514474"/>
    <w:rsid w:val="005147E9"/>
    <w:rsid w:val="0051778E"/>
    <w:rsid w:val="005205A2"/>
    <w:rsid w:val="0052142D"/>
    <w:rsid w:val="005215EF"/>
    <w:rsid w:val="005230D0"/>
    <w:rsid w:val="00524637"/>
    <w:rsid w:val="00524FDD"/>
    <w:rsid w:val="00525137"/>
    <w:rsid w:val="005251DD"/>
    <w:rsid w:val="005263D4"/>
    <w:rsid w:val="00526DB6"/>
    <w:rsid w:val="0053017A"/>
    <w:rsid w:val="00530492"/>
    <w:rsid w:val="00532854"/>
    <w:rsid w:val="005350F2"/>
    <w:rsid w:val="00535152"/>
    <w:rsid w:val="00535359"/>
    <w:rsid w:val="005357A2"/>
    <w:rsid w:val="005359E3"/>
    <w:rsid w:val="00535D87"/>
    <w:rsid w:val="00535EF0"/>
    <w:rsid w:val="005363DF"/>
    <w:rsid w:val="0053734B"/>
    <w:rsid w:val="005375B1"/>
    <w:rsid w:val="00537AFD"/>
    <w:rsid w:val="00537CB4"/>
    <w:rsid w:val="00541606"/>
    <w:rsid w:val="00542FA4"/>
    <w:rsid w:val="0054458F"/>
    <w:rsid w:val="0054495C"/>
    <w:rsid w:val="00544C1E"/>
    <w:rsid w:val="0054516B"/>
    <w:rsid w:val="0054559E"/>
    <w:rsid w:val="005513D5"/>
    <w:rsid w:val="005523B9"/>
    <w:rsid w:val="00552806"/>
    <w:rsid w:val="005545E0"/>
    <w:rsid w:val="00554865"/>
    <w:rsid w:val="00554E57"/>
    <w:rsid w:val="00561B39"/>
    <w:rsid w:val="00562749"/>
    <w:rsid w:val="00562DE9"/>
    <w:rsid w:val="005638A5"/>
    <w:rsid w:val="00565109"/>
    <w:rsid w:val="00566381"/>
    <w:rsid w:val="00566A03"/>
    <w:rsid w:val="005703D7"/>
    <w:rsid w:val="00571932"/>
    <w:rsid w:val="00573C97"/>
    <w:rsid w:val="00574240"/>
    <w:rsid w:val="00575CDC"/>
    <w:rsid w:val="005765D5"/>
    <w:rsid w:val="00576A3E"/>
    <w:rsid w:val="0057703D"/>
    <w:rsid w:val="00583384"/>
    <w:rsid w:val="0058366F"/>
    <w:rsid w:val="00583D5B"/>
    <w:rsid w:val="00583FFD"/>
    <w:rsid w:val="00587CCD"/>
    <w:rsid w:val="00590502"/>
    <w:rsid w:val="005908AE"/>
    <w:rsid w:val="0059176E"/>
    <w:rsid w:val="00592854"/>
    <w:rsid w:val="00593152"/>
    <w:rsid w:val="00593CA3"/>
    <w:rsid w:val="00594161"/>
    <w:rsid w:val="00594969"/>
    <w:rsid w:val="00596C5E"/>
    <w:rsid w:val="005A2194"/>
    <w:rsid w:val="005A21E0"/>
    <w:rsid w:val="005A33A1"/>
    <w:rsid w:val="005A54EE"/>
    <w:rsid w:val="005A563B"/>
    <w:rsid w:val="005A7500"/>
    <w:rsid w:val="005A77E4"/>
    <w:rsid w:val="005A7A7A"/>
    <w:rsid w:val="005B0DE8"/>
    <w:rsid w:val="005B1BDB"/>
    <w:rsid w:val="005B2BAA"/>
    <w:rsid w:val="005B2D53"/>
    <w:rsid w:val="005B3247"/>
    <w:rsid w:val="005B3409"/>
    <w:rsid w:val="005B3BB7"/>
    <w:rsid w:val="005B498A"/>
    <w:rsid w:val="005B4E00"/>
    <w:rsid w:val="005B60B5"/>
    <w:rsid w:val="005B7B12"/>
    <w:rsid w:val="005C16CB"/>
    <w:rsid w:val="005C21D6"/>
    <w:rsid w:val="005C3871"/>
    <w:rsid w:val="005C3F9F"/>
    <w:rsid w:val="005C406F"/>
    <w:rsid w:val="005C4A23"/>
    <w:rsid w:val="005C562C"/>
    <w:rsid w:val="005C5812"/>
    <w:rsid w:val="005C6400"/>
    <w:rsid w:val="005C7F1E"/>
    <w:rsid w:val="005D2B4D"/>
    <w:rsid w:val="005D374F"/>
    <w:rsid w:val="005D4336"/>
    <w:rsid w:val="005D5802"/>
    <w:rsid w:val="005D6CFC"/>
    <w:rsid w:val="005D73E2"/>
    <w:rsid w:val="005D757A"/>
    <w:rsid w:val="005D7C4B"/>
    <w:rsid w:val="005E116A"/>
    <w:rsid w:val="005E1E4B"/>
    <w:rsid w:val="005E214F"/>
    <w:rsid w:val="005E362D"/>
    <w:rsid w:val="005E3A0C"/>
    <w:rsid w:val="005E3CC9"/>
    <w:rsid w:val="005E3FAC"/>
    <w:rsid w:val="005E4177"/>
    <w:rsid w:val="005E492C"/>
    <w:rsid w:val="005E4BAA"/>
    <w:rsid w:val="005E52EF"/>
    <w:rsid w:val="005E5B56"/>
    <w:rsid w:val="005E6088"/>
    <w:rsid w:val="005E61DF"/>
    <w:rsid w:val="005E6B65"/>
    <w:rsid w:val="005E6B78"/>
    <w:rsid w:val="005E75B8"/>
    <w:rsid w:val="005E7CE4"/>
    <w:rsid w:val="005F0976"/>
    <w:rsid w:val="005F16C3"/>
    <w:rsid w:val="005F26CE"/>
    <w:rsid w:val="005F4057"/>
    <w:rsid w:val="005F4088"/>
    <w:rsid w:val="005F601D"/>
    <w:rsid w:val="005F6119"/>
    <w:rsid w:val="005F77CA"/>
    <w:rsid w:val="005F7940"/>
    <w:rsid w:val="00600E81"/>
    <w:rsid w:val="0060107A"/>
    <w:rsid w:val="00601AFF"/>
    <w:rsid w:val="00602D1D"/>
    <w:rsid w:val="00603A7F"/>
    <w:rsid w:val="00604307"/>
    <w:rsid w:val="0060487F"/>
    <w:rsid w:val="00605814"/>
    <w:rsid w:val="00606B93"/>
    <w:rsid w:val="006076A7"/>
    <w:rsid w:val="00607727"/>
    <w:rsid w:val="00610BD5"/>
    <w:rsid w:val="00611531"/>
    <w:rsid w:val="006118AA"/>
    <w:rsid w:val="006132A2"/>
    <w:rsid w:val="006139C7"/>
    <w:rsid w:val="006153E3"/>
    <w:rsid w:val="006167AB"/>
    <w:rsid w:val="00617D13"/>
    <w:rsid w:val="00617D2D"/>
    <w:rsid w:val="00617D83"/>
    <w:rsid w:val="00620430"/>
    <w:rsid w:val="00620AC5"/>
    <w:rsid w:val="00621575"/>
    <w:rsid w:val="006215FC"/>
    <w:rsid w:val="006228BE"/>
    <w:rsid w:val="00623B77"/>
    <w:rsid w:val="00624093"/>
    <w:rsid w:val="00624EC8"/>
    <w:rsid w:val="00625E54"/>
    <w:rsid w:val="00627678"/>
    <w:rsid w:val="00630F66"/>
    <w:rsid w:val="00631562"/>
    <w:rsid w:val="00631FC2"/>
    <w:rsid w:val="00632171"/>
    <w:rsid w:val="0063332A"/>
    <w:rsid w:val="00633FBD"/>
    <w:rsid w:val="006347F9"/>
    <w:rsid w:val="0063494E"/>
    <w:rsid w:val="00634C90"/>
    <w:rsid w:val="00635E79"/>
    <w:rsid w:val="00636E5E"/>
    <w:rsid w:val="006379E0"/>
    <w:rsid w:val="006404A7"/>
    <w:rsid w:val="006407F3"/>
    <w:rsid w:val="006408EC"/>
    <w:rsid w:val="0064129B"/>
    <w:rsid w:val="00641DF7"/>
    <w:rsid w:val="0064354E"/>
    <w:rsid w:val="00643A80"/>
    <w:rsid w:val="006446CA"/>
    <w:rsid w:val="00644DFC"/>
    <w:rsid w:val="006451E4"/>
    <w:rsid w:val="006454B4"/>
    <w:rsid w:val="00645A9C"/>
    <w:rsid w:val="006460B8"/>
    <w:rsid w:val="00647313"/>
    <w:rsid w:val="006502D1"/>
    <w:rsid w:val="006504A0"/>
    <w:rsid w:val="00650B18"/>
    <w:rsid w:val="006520C7"/>
    <w:rsid w:val="006520D5"/>
    <w:rsid w:val="00652CBB"/>
    <w:rsid w:val="006530B8"/>
    <w:rsid w:val="006535D6"/>
    <w:rsid w:val="00656716"/>
    <w:rsid w:val="006572ED"/>
    <w:rsid w:val="00657E87"/>
    <w:rsid w:val="00660457"/>
    <w:rsid w:val="00660E1E"/>
    <w:rsid w:val="006637B1"/>
    <w:rsid w:val="00664B64"/>
    <w:rsid w:val="00664C15"/>
    <w:rsid w:val="00665D67"/>
    <w:rsid w:val="00665D77"/>
    <w:rsid w:val="006660CD"/>
    <w:rsid w:val="00666EC8"/>
    <w:rsid w:val="00666F4B"/>
    <w:rsid w:val="006676D0"/>
    <w:rsid w:val="0066796E"/>
    <w:rsid w:val="00670FAC"/>
    <w:rsid w:val="006710C9"/>
    <w:rsid w:val="006716A5"/>
    <w:rsid w:val="006732A0"/>
    <w:rsid w:val="00673940"/>
    <w:rsid w:val="00675E37"/>
    <w:rsid w:val="00676AFC"/>
    <w:rsid w:val="00676F11"/>
    <w:rsid w:val="00680079"/>
    <w:rsid w:val="00680F68"/>
    <w:rsid w:val="006812E6"/>
    <w:rsid w:val="0068173A"/>
    <w:rsid w:val="0068260E"/>
    <w:rsid w:val="00682BD7"/>
    <w:rsid w:val="0068373D"/>
    <w:rsid w:val="00683BFE"/>
    <w:rsid w:val="0068437D"/>
    <w:rsid w:val="006857DF"/>
    <w:rsid w:val="00685E66"/>
    <w:rsid w:val="00686B72"/>
    <w:rsid w:val="00686BF1"/>
    <w:rsid w:val="00687AE5"/>
    <w:rsid w:val="00690A09"/>
    <w:rsid w:val="00690A25"/>
    <w:rsid w:val="006914E4"/>
    <w:rsid w:val="006936AD"/>
    <w:rsid w:val="00693EA1"/>
    <w:rsid w:val="00693FEA"/>
    <w:rsid w:val="00694930"/>
    <w:rsid w:val="00695170"/>
    <w:rsid w:val="00695BEF"/>
    <w:rsid w:val="006960D6"/>
    <w:rsid w:val="00696AA5"/>
    <w:rsid w:val="006977F6"/>
    <w:rsid w:val="00697A13"/>
    <w:rsid w:val="006A0256"/>
    <w:rsid w:val="006A109C"/>
    <w:rsid w:val="006A18AE"/>
    <w:rsid w:val="006A2EE8"/>
    <w:rsid w:val="006A3CF3"/>
    <w:rsid w:val="006A568F"/>
    <w:rsid w:val="006A65EF"/>
    <w:rsid w:val="006A672B"/>
    <w:rsid w:val="006A7E01"/>
    <w:rsid w:val="006B23A9"/>
    <w:rsid w:val="006B262C"/>
    <w:rsid w:val="006B281D"/>
    <w:rsid w:val="006B3F8A"/>
    <w:rsid w:val="006B5CA3"/>
    <w:rsid w:val="006B6B3B"/>
    <w:rsid w:val="006B7248"/>
    <w:rsid w:val="006B7714"/>
    <w:rsid w:val="006B78D8"/>
    <w:rsid w:val="006C090F"/>
    <w:rsid w:val="006C0935"/>
    <w:rsid w:val="006C0BCE"/>
    <w:rsid w:val="006C113F"/>
    <w:rsid w:val="006C2AED"/>
    <w:rsid w:val="006C38DD"/>
    <w:rsid w:val="006C53C7"/>
    <w:rsid w:val="006C5440"/>
    <w:rsid w:val="006C5577"/>
    <w:rsid w:val="006C559A"/>
    <w:rsid w:val="006C58FA"/>
    <w:rsid w:val="006D042D"/>
    <w:rsid w:val="006D06EF"/>
    <w:rsid w:val="006D142E"/>
    <w:rsid w:val="006D3290"/>
    <w:rsid w:val="006D4497"/>
    <w:rsid w:val="006D4E6F"/>
    <w:rsid w:val="006D61F6"/>
    <w:rsid w:val="006D6D7D"/>
    <w:rsid w:val="006E0EB0"/>
    <w:rsid w:val="006E1F4C"/>
    <w:rsid w:val="006E22C8"/>
    <w:rsid w:val="006E279A"/>
    <w:rsid w:val="006E2F3F"/>
    <w:rsid w:val="006E313B"/>
    <w:rsid w:val="006E442A"/>
    <w:rsid w:val="006E4434"/>
    <w:rsid w:val="006E59FC"/>
    <w:rsid w:val="006E5CFD"/>
    <w:rsid w:val="006E7E2C"/>
    <w:rsid w:val="006F1326"/>
    <w:rsid w:val="006F2BEE"/>
    <w:rsid w:val="006F3708"/>
    <w:rsid w:val="006F3E6B"/>
    <w:rsid w:val="006F4619"/>
    <w:rsid w:val="006F489F"/>
    <w:rsid w:val="006F4A59"/>
    <w:rsid w:val="006F59A3"/>
    <w:rsid w:val="00700232"/>
    <w:rsid w:val="007014C7"/>
    <w:rsid w:val="00702D6F"/>
    <w:rsid w:val="00703B6C"/>
    <w:rsid w:val="00703C6B"/>
    <w:rsid w:val="007047D5"/>
    <w:rsid w:val="00705D98"/>
    <w:rsid w:val="00707891"/>
    <w:rsid w:val="00707D43"/>
    <w:rsid w:val="00711CB9"/>
    <w:rsid w:val="00711EF1"/>
    <w:rsid w:val="0071229A"/>
    <w:rsid w:val="00712572"/>
    <w:rsid w:val="00713495"/>
    <w:rsid w:val="00713EEB"/>
    <w:rsid w:val="007159D2"/>
    <w:rsid w:val="007200D6"/>
    <w:rsid w:val="0072050E"/>
    <w:rsid w:val="00720FA2"/>
    <w:rsid w:val="007211F5"/>
    <w:rsid w:val="00724666"/>
    <w:rsid w:val="00725492"/>
    <w:rsid w:val="00726043"/>
    <w:rsid w:val="0072704A"/>
    <w:rsid w:val="007303DF"/>
    <w:rsid w:val="00730AE8"/>
    <w:rsid w:val="007315DA"/>
    <w:rsid w:val="00731963"/>
    <w:rsid w:val="00734321"/>
    <w:rsid w:val="0073532E"/>
    <w:rsid w:val="007377A7"/>
    <w:rsid w:val="00740310"/>
    <w:rsid w:val="00740652"/>
    <w:rsid w:val="00740F02"/>
    <w:rsid w:val="00740FEC"/>
    <w:rsid w:val="0074103A"/>
    <w:rsid w:val="0074132E"/>
    <w:rsid w:val="00741493"/>
    <w:rsid w:val="00741C92"/>
    <w:rsid w:val="007426B3"/>
    <w:rsid w:val="007426FD"/>
    <w:rsid w:val="0074329D"/>
    <w:rsid w:val="00743861"/>
    <w:rsid w:val="00744376"/>
    <w:rsid w:val="007449EA"/>
    <w:rsid w:val="00744D00"/>
    <w:rsid w:val="00745273"/>
    <w:rsid w:val="00746DD9"/>
    <w:rsid w:val="0075057A"/>
    <w:rsid w:val="00751771"/>
    <w:rsid w:val="00751C1C"/>
    <w:rsid w:val="00752180"/>
    <w:rsid w:val="007521A1"/>
    <w:rsid w:val="0075275A"/>
    <w:rsid w:val="00752BC3"/>
    <w:rsid w:val="0075315D"/>
    <w:rsid w:val="007538F9"/>
    <w:rsid w:val="00754253"/>
    <w:rsid w:val="007552BB"/>
    <w:rsid w:val="007558D3"/>
    <w:rsid w:val="007559D7"/>
    <w:rsid w:val="00755D3A"/>
    <w:rsid w:val="00760141"/>
    <w:rsid w:val="007609C6"/>
    <w:rsid w:val="007610A0"/>
    <w:rsid w:val="00762036"/>
    <w:rsid w:val="007620F2"/>
    <w:rsid w:val="00762EBA"/>
    <w:rsid w:val="00763547"/>
    <w:rsid w:val="0076359D"/>
    <w:rsid w:val="007639E7"/>
    <w:rsid w:val="0077058D"/>
    <w:rsid w:val="007708DF"/>
    <w:rsid w:val="00772536"/>
    <w:rsid w:val="00773613"/>
    <w:rsid w:val="00774782"/>
    <w:rsid w:val="00776476"/>
    <w:rsid w:val="00776527"/>
    <w:rsid w:val="0077744C"/>
    <w:rsid w:val="007805E1"/>
    <w:rsid w:val="0078113E"/>
    <w:rsid w:val="00781834"/>
    <w:rsid w:val="007821DB"/>
    <w:rsid w:val="00782818"/>
    <w:rsid w:val="007838F1"/>
    <w:rsid w:val="00784712"/>
    <w:rsid w:val="00784C4A"/>
    <w:rsid w:val="00785FCA"/>
    <w:rsid w:val="00787432"/>
    <w:rsid w:val="00787507"/>
    <w:rsid w:val="0078777B"/>
    <w:rsid w:val="00787959"/>
    <w:rsid w:val="007879F2"/>
    <w:rsid w:val="00791CF8"/>
    <w:rsid w:val="00791EF9"/>
    <w:rsid w:val="00792262"/>
    <w:rsid w:val="00793387"/>
    <w:rsid w:val="00793BAE"/>
    <w:rsid w:val="00794E0A"/>
    <w:rsid w:val="007952D6"/>
    <w:rsid w:val="00796642"/>
    <w:rsid w:val="007A0BF4"/>
    <w:rsid w:val="007A11D9"/>
    <w:rsid w:val="007A327B"/>
    <w:rsid w:val="007A4048"/>
    <w:rsid w:val="007A45B1"/>
    <w:rsid w:val="007A4606"/>
    <w:rsid w:val="007A5AC8"/>
    <w:rsid w:val="007B010B"/>
    <w:rsid w:val="007B089E"/>
    <w:rsid w:val="007B0D67"/>
    <w:rsid w:val="007B1966"/>
    <w:rsid w:val="007B19FC"/>
    <w:rsid w:val="007B2779"/>
    <w:rsid w:val="007B3DCC"/>
    <w:rsid w:val="007B4518"/>
    <w:rsid w:val="007B5031"/>
    <w:rsid w:val="007B573F"/>
    <w:rsid w:val="007B75A9"/>
    <w:rsid w:val="007B78F8"/>
    <w:rsid w:val="007C0065"/>
    <w:rsid w:val="007C010B"/>
    <w:rsid w:val="007C3AE3"/>
    <w:rsid w:val="007C605B"/>
    <w:rsid w:val="007D2A5A"/>
    <w:rsid w:val="007D2AD8"/>
    <w:rsid w:val="007D2C47"/>
    <w:rsid w:val="007D2F81"/>
    <w:rsid w:val="007D3167"/>
    <w:rsid w:val="007D4128"/>
    <w:rsid w:val="007D4281"/>
    <w:rsid w:val="007D42F5"/>
    <w:rsid w:val="007D44C3"/>
    <w:rsid w:val="007D4AA5"/>
    <w:rsid w:val="007D5947"/>
    <w:rsid w:val="007D65C1"/>
    <w:rsid w:val="007E030F"/>
    <w:rsid w:val="007E0E59"/>
    <w:rsid w:val="007E0F4B"/>
    <w:rsid w:val="007E1D89"/>
    <w:rsid w:val="007E292E"/>
    <w:rsid w:val="007E3715"/>
    <w:rsid w:val="007E527B"/>
    <w:rsid w:val="007E54E8"/>
    <w:rsid w:val="007E6A56"/>
    <w:rsid w:val="007E7E61"/>
    <w:rsid w:val="007F0037"/>
    <w:rsid w:val="007F0845"/>
    <w:rsid w:val="007F123D"/>
    <w:rsid w:val="007F16F9"/>
    <w:rsid w:val="007F2732"/>
    <w:rsid w:val="007F3E3E"/>
    <w:rsid w:val="007F42E0"/>
    <w:rsid w:val="007F43A1"/>
    <w:rsid w:val="007F500D"/>
    <w:rsid w:val="007F5F14"/>
    <w:rsid w:val="007F7B54"/>
    <w:rsid w:val="00800073"/>
    <w:rsid w:val="008005D7"/>
    <w:rsid w:val="00801FDD"/>
    <w:rsid w:val="008020C2"/>
    <w:rsid w:val="0080255C"/>
    <w:rsid w:val="00803BD2"/>
    <w:rsid w:val="00806625"/>
    <w:rsid w:val="00806D07"/>
    <w:rsid w:val="00807B2D"/>
    <w:rsid w:val="00811859"/>
    <w:rsid w:val="0081187C"/>
    <w:rsid w:val="00811E24"/>
    <w:rsid w:val="00812386"/>
    <w:rsid w:val="00812E2B"/>
    <w:rsid w:val="008137CD"/>
    <w:rsid w:val="00813A70"/>
    <w:rsid w:val="00813FE6"/>
    <w:rsid w:val="00815C6E"/>
    <w:rsid w:val="0081645F"/>
    <w:rsid w:val="00816608"/>
    <w:rsid w:val="00816E02"/>
    <w:rsid w:val="00817755"/>
    <w:rsid w:val="008178C2"/>
    <w:rsid w:val="008178CF"/>
    <w:rsid w:val="00817C98"/>
    <w:rsid w:val="00820773"/>
    <w:rsid w:val="00820C9F"/>
    <w:rsid w:val="0082132B"/>
    <w:rsid w:val="00821FF6"/>
    <w:rsid w:val="00823AAF"/>
    <w:rsid w:val="0082401E"/>
    <w:rsid w:val="00824081"/>
    <w:rsid w:val="0082409A"/>
    <w:rsid w:val="008252D7"/>
    <w:rsid w:val="00825C0F"/>
    <w:rsid w:val="00826ED1"/>
    <w:rsid w:val="00827181"/>
    <w:rsid w:val="0082733C"/>
    <w:rsid w:val="00827746"/>
    <w:rsid w:val="0083102D"/>
    <w:rsid w:val="0083143E"/>
    <w:rsid w:val="0083159D"/>
    <w:rsid w:val="008318FF"/>
    <w:rsid w:val="00831EF3"/>
    <w:rsid w:val="00832187"/>
    <w:rsid w:val="00832493"/>
    <w:rsid w:val="008329BD"/>
    <w:rsid w:val="008336D8"/>
    <w:rsid w:val="008339C4"/>
    <w:rsid w:val="00834F0A"/>
    <w:rsid w:val="00834FAA"/>
    <w:rsid w:val="00835181"/>
    <w:rsid w:val="00835991"/>
    <w:rsid w:val="00836086"/>
    <w:rsid w:val="00840699"/>
    <w:rsid w:val="00841D9F"/>
    <w:rsid w:val="00842604"/>
    <w:rsid w:val="00843ECF"/>
    <w:rsid w:val="00845AB1"/>
    <w:rsid w:val="00846673"/>
    <w:rsid w:val="0085049D"/>
    <w:rsid w:val="008507C8"/>
    <w:rsid w:val="0085281A"/>
    <w:rsid w:val="008559FE"/>
    <w:rsid w:val="00855F63"/>
    <w:rsid w:val="00857339"/>
    <w:rsid w:val="00860706"/>
    <w:rsid w:val="0086158A"/>
    <w:rsid w:val="00861DCB"/>
    <w:rsid w:val="00862A7A"/>
    <w:rsid w:val="00863104"/>
    <w:rsid w:val="008636CD"/>
    <w:rsid w:val="00863D9E"/>
    <w:rsid w:val="00863FDC"/>
    <w:rsid w:val="008642AF"/>
    <w:rsid w:val="00865729"/>
    <w:rsid w:val="00865ED4"/>
    <w:rsid w:val="008669A7"/>
    <w:rsid w:val="00867E29"/>
    <w:rsid w:val="00870F2B"/>
    <w:rsid w:val="00871F03"/>
    <w:rsid w:val="008724FE"/>
    <w:rsid w:val="008746E6"/>
    <w:rsid w:val="00875174"/>
    <w:rsid w:val="0087594C"/>
    <w:rsid w:val="00876086"/>
    <w:rsid w:val="008765FA"/>
    <w:rsid w:val="008768D6"/>
    <w:rsid w:val="008775D1"/>
    <w:rsid w:val="008777BB"/>
    <w:rsid w:val="00877D68"/>
    <w:rsid w:val="00877E5D"/>
    <w:rsid w:val="00880150"/>
    <w:rsid w:val="00880ABA"/>
    <w:rsid w:val="008826F7"/>
    <w:rsid w:val="0088369C"/>
    <w:rsid w:val="00883A67"/>
    <w:rsid w:val="00883D45"/>
    <w:rsid w:val="00884D69"/>
    <w:rsid w:val="00884DD6"/>
    <w:rsid w:val="0088503D"/>
    <w:rsid w:val="00886A8F"/>
    <w:rsid w:val="0088733A"/>
    <w:rsid w:val="00891BE0"/>
    <w:rsid w:val="00893302"/>
    <w:rsid w:val="00893648"/>
    <w:rsid w:val="00893F3C"/>
    <w:rsid w:val="008945A1"/>
    <w:rsid w:val="00894A63"/>
    <w:rsid w:val="00895A54"/>
    <w:rsid w:val="00896916"/>
    <w:rsid w:val="00896BDE"/>
    <w:rsid w:val="008A0861"/>
    <w:rsid w:val="008A0BB2"/>
    <w:rsid w:val="008A1AB3"/>
    <w:rsid w:val="008A1D5C"/>
    <w:rsid w:val="008A3292"/>
    <w:rsid w:val="008A3A85"/>
    <w:rsid w:val="008A43E9"/>
    <w:rsid w:val="008A4CB1"/>
    <w:rsid w:val="008A4E39"/>
    <w:rsid w:val="008A615E"/>
    <w:rsid w:val="008A632B"/>
    <w:rsid w:val="008A6BFE"/>
    <w:rsid w:val="008A7D9F"/>
    <w:rsid w:val="008B00C2"/>
    <w:rsid w:val="008B07EF"/>
    <w:rsid w:val="008B16DE"/>
    <w:rsid w:val="008B190E"/>
    <w:rsid w:val="008B1A8A"/>
    <w:rsid w:val="008B1FC9"/>
    <w:rsid w:val="008B531F"/>
    <w:rsid w:val="008B6B67"/>
    <w:rsid w:val="008B7306"/>
    <w:rsid w:val="008B775F"/>
    <w:rsid w:val="008B7C02"/>
    <w:rsid w:val="008B7C62"/>
    <w:rsid w:val="008B7D13"/>
    <w:rsid w:val="008B7F9E"/>
    <w:rsid w:val="008C034E"/>
    <w:rsid w:val="008C0E88"/>
    <w:rsid w:val="008C1399"/>
    <w:rsid w:val="008C1AA8"/>
    <w:rsid w:val="008C22A8"/>
    <w:rsid w:val="008C4EBC"/>
    <w:rsid w:val="008C5B43"/>
    <w:rsid w:val="008C5E68"/>
    <w:rsid w:val="008C63FD"/>
    <w:rsid w:val="008C6CB8"/>
    <w:rsid w:val="008C7815"/>
    <w:rsid w:val="008C7A07"/>
    <w:rsid w:val="008D0171"/>
    <w:rsid w:val="008D1037"/>
    <w:rsid w:val="008D13EA"/>
    <w:rsid w:val="008D1C7C"/>
    <w:rsid w:val="008D2671"/>
    <w:rsid w:val="008D2A16"/>
    <w:rsid w:val="008D2ECF"/>
    <w:rsid w:val="008D347D"/>
    <w:rsid w:val="008D3F3D"/>
    <w:rsid w:val="008D4A87"/>
    <w:rsid w:val="008D59DD"/>
    <w:rsid w:val="008E0367"/>
    <w:rsid w:val="008E308D"/>
    <w:rsid w:val="008E31FF"/>
    <w:rsid w:val="008E46A3"/>
    <w:rsid w:val="008E5B85"/>
    <w:rsid w:val="008E5DE6"/>
    <w:rsid w:val="008E6113"/>
    <w:rsid w:val="008E6AB3"/>
    <w:rsid w:val="008E6AD3"/>
    <w:rsid w:val="008E71A6"/>
    <w:rsid w:val="008E77B6"/>
    <w:rsid w:val="008E7902"/>
    <w:rsid w:val="008E7C55"/>
    <w:rsid w:val="008F032E"/>
    <w:rsid w:val="008F0F14"/>
    <w:rsid w:val="008F226E"/>
    <w:rsid w:val="008F4FCE"/>
    <w:rsid w:val="008F5301"/>
    <w:rsid w:val="008F6967"/>
    <w:rsid w:val="008F6A0C"/>
    <w:rsid w:val="008F6F38"/>
    <w:rsid w:val="008F7019"/>
    <w:rsid w:val="008F7721"/>
    <w:rsid w:val="008F7D28"/>
    <w:rsid w:val="009003A8"/>
    <w:rsid w:val="009010A7"/>
    <w:rsid w:val="00901AF3"/>
    <w:rsid w:val="00902CBE"/>
    <w:rsid w:val="00902D74"/>
    <w:rsid w:val="00902EFF"/>
    <w:rsid w:val="00903E06"/>
    <w:rsid w:val="00904B9D"/>
    <w:rsid w:val="00905A11"/>
    <w:rsid w:val="009066E1"/>
    <w:rsid w:val="00907A41"/>
    <w:rsid w:val="009102BD"/>
    <w:rsid w:val="00910F93"/>
    <w:rsid w:val="00911AE9"/>
    <w:rsid w:val="0091255A"/>
    <w:rsid w:val="00914426"/>
    <w:rsid w:val="0091675F"/>
    <w:rsid w:val="00917709"/>
    <w:rsid w:val="00917918"/>
    <w:rsid w:val="00920874"/>
    <w:rsid w:val="00921DAB"/>
    <w:rsid w:val="00921F14"/>
    <w:rsid w:val="00923750"/>
    <w:rsid w:val="009243A5"/>
    <w:rsid w:val="0092500F"/>
    <w:rsid w:val="009250D2"/>
    <w:rsid w:val="0092540B"/>
    <w:rsid w:val="009256C5"/>
    <w:rsid w:val="00926283"/>
    <w:rsid w:val="009271BA"/>
    <w:rsid w:val="009306BE"/>
    <w:rsid w:val="00930C07"/>
    <w:rsid w:val="00932E61"/>
    <w:rsid w:val="00937B11"/>
    <w:rsid w:val="00940F1F"/>
    <w:rsid w:val="00941250"/>
    <w:rsid w:val="00941C48"/>
    <w:rsid w:val="00942546"/>
    <w:rsid w:val="00943373"/>
    <w:rsid w:val="0094427A"/>
    <w:rsid w:val="00944380"/>
    <w:rsid w:val="009459C5"/>
    <w:rsid w:val="0094626C"/>
    <w:rsid w:val="0095013A"/>
    <w:rsid w:val="00950754"/>
    <w:rsid w:val="00953AEF"/>
    <w:rsid w:val="00954AAA"/>
    <w:rsid w:val="009551E2"/>
    <w:rsid w:val="00955783"/>
    <w:rsid w:val="009558A6"/>
    <w:rsid w:val="00955E5F"/>
    <w:rsid w:val="009560B0"/>
    <w:rsid w:val="00956F23"/>
    <w:rsid w:val="009576AC"/>
    <w:rsid w:val="00957871"/>
    <w:rsid w:val="00960077"/>
    <w:rsid w:val="00960769"/>
    <w:rsid w:val="00962D2E"/>
    <w:rsid w:val="00963724"/>
    <w:rsid w:val="00963BC7"/>
    <w:rsid w:val="00964498"/>
    <w:rsid w:val="0096504D"/>
    <w:rsid w:val="00965795"/>
    <w:rsid w:val="00965A2D"/>
    <w:rsid w:val="009663EB"/>
    <w:rsid w:val="0096650F"/>
    <w:rsid w:val="00967801"/>
    <w:rsid w:val="00967AD2"/>
    <w:rsid w:val="009700DB"/>
    <w:rsid w:val="00971D95"/>
    <w:rsid w:val="00971DC6"/>
    <w:rsid w:val="00972263"/>
    <w:rsid w:val="00972502"/>
    <w:rsid w:val="00972D8D"/>
    <w:rsid w:val="00973AAE"/>
    <w:rsid w:val="0097476C"/>
    <w:rsid w:val="00974923"/>
    <w:rsid w:val="00974D48"/>
    <w:rsid w:val="00974D5F"/>
    <w:rsid w:val="00975017"/>
    <w:rsid w:val="009759DF"/>
    <w:rsid w:val="00975F89"/>
    <w:rsid w:val="00980373"/>
    <w:rsid w:val="00980621"/>
    <w:rsid w:val="0098095B"/>
    <w:rsid w:val="00980BE0"/>
    <w:rsid w:val="00982072"/>
    <w:rsid w:val="009833FA"/>
    <w:rsid w:val="00983DBB"/>
    <w:rsid w:val="00983ECF"/>
    <w:rsid w:val="00986745"/>
    <w:rsid w:val="009867BC"/>
    <w:rsid w:val="00987109"/>
    <w:rsid w:val="00987309"/>
    <w:rsid w:val="0099012D"/>
    <w:rsid w:val="00990363"/>
    <w:rsid w:val="009954FF"/>
    <w:rsid w:val="00995E2F"/>
    <w:rsid w:val="009961BC"/>
    <w:rsid w:val="00996355"/>
    <w:rsid w:val="00996686"/>
    <w:rsid w:val="009A1229"/>
    <w:rsid w:val="009A2014"/>
    <w:rsid w:val="009A3A87"/>
    <w:rsid w:val="009A3BB2"/>
    <w:rsid w:val="009A4E12"/>
    <w:rsid w:val="009A5C68"/>
    <w:rsid w:val="009A6EF7"/>
    <w:rsid w:val="009B04D0"/>
    <w:rsid w:val="009B052C"/>
    <w:rsid w:val="009B0EF2"/>
    <w:rsid w:val="009B1158"/>
    <w:rsid w:val="009B23A3"/>
    <w:rsid w:val="009B4925"/>
    <w:rsid w:val="009B4B4B"/>
    <w:rsid w:val="009B56EC"/>
    <w:rsid w:val="009B6FD3"/>
    <w:rsid w:val="009B70BD"/>
    <w:rsid w:val="009C07A5"/>
    <w:rsid w:val="009C24A8"/>
    <w:rsid w:val="009C3705"/>
    <w:rsid w:val="009C7388"/>
    <w:rsid w:val="009D0CFF"/>
    <w:rsid w:val="009D1551"/>
    <w:rsid w:val="009D2859"/>
    <w:rsid w:val="009D2DE9"/>
    <w:rsid w:val="009D36EC"/>
    <w:rsid w:val="009D4173"/>
    <w:rsid w:val="009D4612"/>
    <w:rsid w:val="009D6095"/>
    <w:rsid w:val="009D6306"/>
    <w:rsid w:val="009E048A"/>
    <w:rsid w:val="009E1FBA"/>
    <w:rsid w:val="009E2C54"/>
    <w:rsid w:val="009E3710"/>
    <w:rsid w:val="009E55E3"/>
    <w:rsid w:val="009E6F65"/>
    <w:rsid w:val="009E7340"/>
    <w:rsid w:val="009E7B1F"/>
    <w:rsid w:val="009F1790"/>
    <w:rsid w:val="009F2470"/>
    <w:rsid w:val="009F3FC3"/>
    <w:rsid w:val="009F41C4"/>
    <w:rsid w:val="009F5846"/>
    <w:rsid w:val="009F7B52"/>
    <w:rsid w:val="009F7D77"/>
    <w:rsid w:val="00A004D2"/>
    <w:rsid w:val="00A015EA"/>
    <w:rsid w:val="00A10D66"/>
    <w:rsid w:val="00A1155A"/>
    <w:rsid w:val="00A12BA8"/>
    <w:rsid w:val="00A1420C"/>
    <w:rsid w:val="00A1456C"/>
    <w:rsid w:val="00A14821"/>
    <w:rsid w:val="00A170B3"/>
    <w:rsid w:val="00A17754"/>
    <w:rsid w:val="00A2055B"/>
    <w:rsid w:val="00A2253C"/>
    <w:rsid w:val="00A23545"/>
    <w:rsid w:val="00A23A55"/>
    <w:rsid w:val="00A23E43"/>
    <w:rsid w:val="00A24F8C"/>
    <w:rsid w:val="00A262BF"/>
    <w:rsid w:val="00A2683D"/>
    <w:rsid w:val="00A271AD"/>
    <w:rsid w:val="00A276D5"/>
    <w:rsid w:val="00A30336"/>
    <w:rsid w:val="00A304FE"/>
    <w:rsid w:val="00A305E3"/>
    <w:rsid w:val="00A30BB5"/>
    <w:rsid w:val="00A3128F"/>
    <w:rsid w:val="00A31C8B"/>
    <w:rsid w:val="00A326D0"/>
    <w:rsid w:val="00A35287"/>
    <w:rsid w:val="00A36B1A"/>
    <w:rsid w:val="00A37483"/>
    <w:rsid w:val="00A378F8"/>
    <w:rsid w:val="00A37EE9"/>
    <w:rsid w:val="00A40B19"/>
    <w:rsid w:val="00A40C3F"/>
    <w:rsid w:val="00A41D07"/>
    <w:rsid w:val="00A424F8"/>
    <w:rsid w:val="00A42883"/>
    <w:rsid w:val="00A437B7"/>
    <w:rsid w:val="00A465B4"/>
    <w:rsid w:val="00A46D48"/>
    <w:rsid w:val="00A46DE0"/>
    <w:rsid w:val="00A4778A"/>
    <w:rsid w:val="00A47C94"/>
    <w:rsid w:val="00A504C0"/>
    <w:rsid w:val="00A5067F"/>
    <w:rsid w:val="00A50E27"/>
    <w:rsid w:val="00A517C1"/>
    <w:rsid w:val="00A53058"/>
    <w:rsid w:val="00A55301"/>
    <w:rsid w:val="00A572FB"/>
    <w:rsid w:val="00A57B3C"/>
    <w:rsid w:val="00A57F1B"/>
    <w:rsid w:val="00A6128E"/>
    <w:rsid w:val="00A62CE1"/>
    <w:rsid w:val="00A631FA"/>
    <w:rsid w:val="00A64203"/>
    <w:rsid w:val="00A64348"/>
    <w:rsid w:val="00A644E1"/>
    <w:rsid w:val="00A7015E"/>
    <w:rsid w:val="00A711B0"/>
    <w:rsid w:val="00A716EC"/>
    <w:rsid w:val="00A721FB"/>
    <w:rsid w:val="00A727BA"/>
    <w:rsid w:val="00A72D4B"/>
    <w:rsid w:val="00A732AE"/>
    <w:rsid w:val="00A73CF4"/>
    <w:rsid w:val="00A75E40"/>
    <w:rsid w:val="00A77EB2"/>
    <w:rsid w:val="00A81094"/>
    <w:rsid w:val="00A81441"/>
    <w:rsid w:val="00A82B66"/>
    <w:rsid w:val="00A83B58"/>
    <w:rsid w:val="00A84FAF"/>
    <w:rsid w:val="00A851B6"/>
    <w:rsid w:val="00A85729"/>
    <w:rsid w:val="00A8574B"/>
    <w:rsid w:val="00A857C0"/>
    <w:rsid w:val="00A859BA"/>
    <w:rsid w:val="00A85C47"/>
    <w:rsid w:val="00A87C44"/>
    <w:rsid w:val="00A90343"/>
    <w:rsid w:val="00A91336"/>
    <w:rsid w:val="00A9221C"/>
    <w:rsid w:val="00A94628"/>
    <w:rsid w:val="00A94954"/>
    <w:rsid w:val="00A95BD0"/>
    <w:rsid w:val="00A96463"/>
    <w:rsid w:val="00A96A24"/>
    <w:rsid w:val="00A97E3F"/>
    <w:rsid w:val="00AA09D3"/>
    <w:rsid w:val="00AA1F5D"/>
    <w:rsid w:val="00AA23FB"/>
    <w:rsid w:val="00AA42AB"/>
    <w:rsid w:val="00AA4B93"/>
    <w:rsid w:val="00AA559A"/>
    <w:rsid w:val="00AA5F10"/>
    <w:rsid w:val="00AA7FDC"/>
    <w:rsid w:val="00AB104D"/>
    <w:rsid w:val="00AB1441"/>
    <w:rsid w:val="00AB2AF1"/>
    <w:rsid w:val="00AB2FD6"/>
    <w:rsid w:val="00AB35BA"/>
    <w:rsid w:val="00AB440B"/>
    <w:rsid w:val="00AB47E3"/>
    <w:rsid w:val="00AB74C5"/>
    <w:rsid w:val="00AB76B0"/>
    <w:rsid w:val="00AB7BEE"/>
    <w:rsid w:val="00AB7DF2"/>
    <w:rsid w:val="00AC1E3F"/>
    <w:rsid w:val="00AC219A"/>
    <w:rsid w:val="00AC4F18"/>
    <w:rsid w:val="00AC744A"/>
    <w:rsid w:val="00AD0898"/>
    <w:rsid w:val="00AD0B46"/>
    <w:rsid w:val="00AD1094"/>
    <w:rsid w:val="00AD2565"/>
    <w:rsid w:val="00AD306C"/>
    <w:rsid w:val="00AD3424"/>
    <w:rsid w:val="00AD50D1"/>
    <w:rsid w:val="00AD59BB"/>
    <w:rsid w:val="00AD5D68"/>
    <w:rsid w:val="00AD6C73"/>
    <w:rsid w:val="00AD7D49"/>
    <w:rsid w:val="00AE06D0"/>
    <w:rsid w:val="00AE1B8A"/>
    <w:rsid w:val="00AE39DC"/>
    <w:rsid w:val="00AE3CDA"/>
    <w:rsid w:val="00AE42D2"/>
    <w:rsid w:val="00AE63EF"/>
    <w:rsid w:val="00AE6537"/>
    <w:rsid w:val="00AE65B8"/>
    <w:rsid w:val="00AE7968"/>
    <w:rsid w:val="00AE7DFF"/>
    <w:rsid w:val="00AF1032"/>
    <w:rsid w:val="00AF128B"/>
    <w:rsid w:val="00AF1AEA"/>
    <w:rsid w:val="00AF2491"/>
    <w:rsid w:val="00AF2852"/>
    <w:rsid w:val="00AF3225"/>
    <w:rsid w:val="00AF4983"/>
    <w:rsid w:val="00AF518B"/>
    <w:rsid w:val="00AF5275"/>
    <w:rsid w:val="00AF6367"/>
    <w:rsid w:val="00AF6A79"/>
    <w:rsid w:val="00AF724E"/>
    <w:rsid w:val="00AF73A9"/>
    <w:rsid w:val="00B01436"/>
    <w:rsid w:val="00B01C2C"/>
    <w:rsid w:val="00B0231C"/>
    <w:rsid w:val="00B03E79"/>
    <w:rsid w:val="00B07C2A"/>
    <w:rsid w:val="00B13681"/>
    <w:rsid w:val="00B15DCD"/>
    <w:rsid w:val="00B17E71"/>
    <w:rsid w:val="00B17FDE"/>
    <w:rsid w:val="00B208FC"/>
    <w:rsid w:val="00B20C65"/>
    <w:rsid w:val="00B20F7B"/>
    <w:rsid w:val="00B22E17"/>
    <w:rsid w:val="00B25567"/>
    <w:rsid w:val="00B266C5"/>
    <w:rsid w:val="00B27293"/>
    <w:rsid w:val="00B301BB"/>
    <w:rsid w:val="00B3229E"/>
    <w:rsid w:val="00B32DDB"/>
    <w:rsid w:val="00B34931"/>
    <w:rsid w:val="00B35174"/>
    <w:rsid w:val="00B356D8"/>
    <w:rsid w:val="00B35BEA"/>
    <w:rsid w:val="00B37915"/>
    <w:rsid w:val="00B3793D"/>
    <w:rsid w:val="00B41BE6"/>
    <w:rsid w:val="00B428A4"/>
    <w:rsid w:val="00B457E7"/>
    <w:rsid w:val="00B45D1B"/>
    <w:rsid w:val="00B46D25"/>
    <w:rsid w:val="00B47430"/>
    <w:rsid w:val="00B502F7"/>
    <w:rsid w:val="00B52D2D"/>
    <w:rsid w:val="00B534EF"/>
    <w:rsid w:val="00B55BA8"/>
    <w:rsid w:val="00B55F15"/>
    <w:rsid w:val="00B561A6"/>
    <w:rsid w:val="00B60062"/>
    <w:rsid w:val="00B62960"/>
    <w:rsid w:val="00B63A11"/>
    <w:rsid w:val="00B63FD0"/>
    <w:rsid w:val="00B65C84"/>
    <w:rsid w:val="00B6608F"/>
    <w:rsid w:val="00B74317"/>
    <w:rsid w:val="00B76D1E"/>
    <w:rsid w:val="00B77BC8"/>
    <w:rsid w:val="00B800EB"/>
    <w:rsid w:val="00B822D2"/>
    <w:rsid w:val="00B83D46"/>
    <w:rsid w:val="00B848B8"/>
    <w:rsid w:val="00B84A41"/>
    <w:rsid w:val="00B84D57"/>
    <w:rsid w:val="00B8504B"/>
    <w:rsid w:val="00B85689"/>
    <w:rsid w:val="00B85A53"/>
    <w:rsid w:val="00B86748"/>
    <w:rsid w:val="00B87853"/>
    <w:rsid w:val="00B907EA"/>
    <w:rsid w:val="00B91EC9"/>
    <w:rsid w:val="00B924CA"/>
    <w:rsid w:val="00B92A4B"/>
    <w:rsid w:val="00B93384"/>
    <w:rsid w:val="00B94417"/>
    <w:rsid w:val="00B95566"/>
    <w:rsid w:val="00B95940"/>
    <w:rsid w:val="00B95EF8"/>
    <w:rsid w:val="00B95F50"/>
    <w:rsid w:val="00B96BD9"/>
    <w:rsid w:val="00BA759F"/>
    <w:rsid w:val="00BB0274"/>
    <w:rsid w:val="00BB1CFD"/>
    <w:rsid w:val="00BB2C53"/>
    <w:rsid w:val="00BB32DA"/>
    <w:rsid w:val="00BB3A54"/>
    <w:rsid w:val="00BB4D26"/>
    <w:rsid w:val="00BB4E21"/>
    <w:rsid w:val="00BB6FED"/>
    <w:rsid w:val="00BB7746"/>
    <w:rsid w:val="00BC22EB"/>
    <w:rsid w:val="00BC682B"/>
    <w:rsid w:val="00BC6B04"/>
    <w:rsid w:val="00BC6D27"/>
    <w:rsid w:val="00BD186B"/>
    <w:rsid w:val="00BD1995"/>
    <w:rsid w:val="00BD1EAC"/>
    <w:rsid w:val="00BD254C"/>
    <w:rsid w:val="00BD3428"/>
    <w:rsid w:val="00BD366B"/>
    <w:rsid w:val="00BD534C"/>
    <w:rsid w:val="00BD55A9"/>
    <w:rsid w:val="00BD56BC"/>
    <w:rsid w:val="00BD5D91"/>
    <w:rsid w:val="00BD6445"/>
    <w:rsid w:val="00BD6615"/>
    <w:rsid w:val="00BD6D50"/>
    <w:rsid w:val="00BE0D79"/>
    <w:rsid w:val="00BE0DB0"/>
    <w:rsid w:val="00BE20CF"/>
    <w:rsid w:val="00BE3381"/>
    <w:rsid w:val="00BE3F09"/>
    <w:rsid w:val="00BE627A"/>
    <w:rsid w:val="00BE670A"/>
    <w:rsid w:val="00BE6906"/>
    <w:rsid w:val="00BF18F4"/>
    <w:rsid w:val="00BF1A69"/>
    <w:rsid w:val="00BF3BC8"/>
    <w:rsid w:val="00BF3DF1"/>
    <w:rsid w:val="00BF4C31"/>
    <w:rsid w:val="00BF4E57"/>
    <w:rsid w:val="00BF53B8"/>
    <w:rsid w:val="00BF786A"/>
    <w:rsid w:val="00BF7CB8"/>
    <w:rsid w:val="00C00F20"/>
    <w:rsid w:val="00C01700"/>
    <w:rsid w:val="00C034E6"/>
    <w:rsid w:val="00C05715"/>
    <w:rsid w:val="00C05926"/>
    <w:rsid w:val="00C0784A"/>
    <w:rsid w:val="00C10B28"/>
    <w:rsid w:val="00C10D62"/>
    <w:rsid w:val="00C10FAE"/>
    <w:rsid w:val="00C11DAF"/>
    <w:rsid w:val="00C123B4"/>
    <w:rsid w:val="00C12A69"/>
    <w:rsid w:val="00C13737"/>
    <w:rsid w:val="00C150BE"/>
    <w:rsid w:val="00C158B0"/>
    <w:rsid w:val="00C15A0C"/>
    <w:rsid w:val="00C15DCB"/>
    <w:rsid w:val="00C16208"/>
    <w:rsid w:val="00C1711F"/>
    <w:rsid w:val="00C17E38"/>
    <w:rsid w:val="00C20031"/>
    <w:rsid w:val="00C20744"/>
    <w:rsid w:val="00C20C4D"/>
    <w:rsid w:val="00C21D46"/>
    <w:rsid w:val="00C21F94"/>
    <w:rsid w:val="00C222A1"/>
    <w:rsid w:val="00C22BDA"/>
    <w:rsid w:val="00C23371"/>
    <w:rsid w:val="00C23CBD"/>
    <w:rsid w:val="00C23D22"/>
    <w:rsid w:val="00C2463B"/>
    <w:rsid w:val="00C24E77"/>
    <w:rsid w:val="00C2732D"/>
    <w:rsid w:val="00C273C6"/>
    <w:rsid w:val="00C27913"/>
    <w:rsid w:val="00C300C6"/>
    <w:rsid w:val="00C30828"/>
    <w:rsid w:val="00C31DD8"/>
    <w:rsid w:val="00C3271C"/>
    <w:rsid w:val="00C34FDE"/>
    <w:rsid w:val="00C35C16"/>
    <w:rsid w:val="00C3634E"/>
    <w:rsid w:val="00C407B9"/>
    <w:rsid w:val="00C40F81"/>
    <w:rsid w:val="00C41463"/>
    <w:rsid w:val="00C41A72"/>
    <w:rsid w:val="00C42D45"/>
    <w:rsid w:val="00C4422D"/>
    <w:rsid w:val="00C46766"/>
    <w:rsid w:val="00C476C5"/>
    <w:rsid w:val="00C503B0"/>
    <w:rsid w:val="00C511C2"/>
    <w:rsid w:val="00C526C8"/>
    <w:rsid w:val="00C53CDB"/>
    <w:rsid w:val="00C53D82"/>
    <w:rsid w:val="00C54748"/>
    <w:rsid w:val="00C5476D"/>
    <w:rsid w:val="00C575FB"/>
    <w:rsid w:val="00C60696"/>
    <w:rsid w:val="00C60943"/>
    <w:rsid w:val="00C60EEF"/>
    <w:rsid w:val="00C60FC9"/>
    <w:rsid w:val="00C6121D"/>
    <w:rsid w:val="00C615F1"/>
    <w:rsid w:val="00C61627"/>
    <w:rsid w:val="00C6331A"/>
    <w:rsid w:val="00C64E60"/>
    <w:rsid w:val="00C657A4"/>
    <w:rsid w:val="00C6736C"/>
    <w:rsid w:val="00C71A1D"/>
    <w:rsid w:val="00C71EC4"/>
    <w:rsid w:val="00C73B18"/>
    <w:rsid w:val="00C7591E"/>
    <w:rsid w:val="00C75C7E"/>
    <w:rsid w:val="00C75C9B"/>
    <w:rsid w:val="00C76D8E"/>
    <w:rsid w:val="00C77833"/>
    <w:rsid w:val="00C80C9B"/>
    <w:rsid w:val="00C8335E"/>
    <w:rsid w:val="00C83F9C"/>
    <w:rsid w:val="00C84CE3"/>
    <w:rsid w:val="00C85614"/>
    <w:rsid w:val="00C86127"/>
    <w:rsid w:val="00C90024"/>
    <w:rsid w:val="00C90CF4"/>
    <w:rsid w:val="00C91C19"/>
    <w:rsid w:val="00C929A0"/>
    <w:rsid w:val="00C9333F"/>
    <w:rsid w:val="00C93389"/>
    <w:rsid w:val="00C937DB"/>
    <w:rsid w:val="00C94519"/>
    <w:rsid w:val="00C94E83"/>
    <w:rsid w:val="00C97038"/>
    <w:rsid w:val="00CA02B2"/>
    <w:rsid w:val="00CA0883"/>
    <w:rsid w:val="00CA1085"/>
    <w:rsid w:val="00CA140F"/>
    <w:rsid w:val="00CA25C2"/>
    <w:rsid w:val="00CA31A5"/>
    <w:rsid w:val="00CA37BB"/>
    <w:rsid w:val="00CA37CA"/>
    <w:rsid w:val="00CA5268"/>
    <w:rsid w:val="00CA5724"/>
    <w:rsid w:val="00CA6508"/>
    <w:rsid w:val="00CA6BA1"/>
    <w:rsid w:val="00CA6CD5"/>
    <w:rsid w:val="00CB1910"/>
    <w:rsid w:val="00CB2150"/>
    <w:rsid w:val="00CB28EE"/>
    <w:rsid w:val="00CB43A7"/>
    <w:rsid w:val="00CB4DF1"/>
    <w:rsid w:val="00CB5996"/>
    <w:rsid w:val="00CB6809"/>
    <w:rsid w:val="00CB7452"/>
    <w:rsid w:val="00CC0E10"/>
    <w:rsid w:val="00CC1DAF"/>
    <w:rsid w:val="00CC2642"/>
    <w:rsid w:val="00CC2967"/>
    <w:rsid w:val="00CC2A36"/>
    <w:rsid w:val="00CC2E15"/>
    <w:rsid w:val="00CC3440"/>
    <w:rsid w:val="00CC3908"/>
    <w:rsid w:val="00CC62AD"/>
    <w:rsid w:val="00CC6CA2"/>
    <w:rsid w:val="00CC7B80"/>
    <w:rsid w:val="00CD2B3C"/>
    <w:rsid w:val="00CD30F6"/>
    <w:rsid w:val="00CD4B29"/>
    <w:rsid w:val="00CD4D09"/>
    <w:rsid w:val="00CD6954"/>
    <w:rsid w:val="00CD6DA3"/>
    <w:rsid w:val="00CD6EF1"/>
    <w:rsid w:val="00CD7E35"/>
    <w:rsid w:val="00CE0420"/>
    <w:rsid w:val="00CE21C7"/>
    <w:rsid w:val="00CE2682"/>
    <w:rsid w:val="00CE2756"/>
    <w:rsid w:val="00CE442A"/>
    <w:rsid w:val="00CE505D"/>
    <w:rsid w:val="00CE57D8"/>
    <w:rsid w:val="00CE617A"/>
    <w:rsid w:val="00CE6E3C"/>
    <w:rsid w:val="00CE76FC"/>
    <w:rsid w:val="00CF25D2"/>
    <w:rsid w:val="00CF28C2"/>
    <w:rsid w:val="00CF42BD"/>
    <w:rsid w:val="00CF4FCF"/>
    <w:rsid w:val="00CF51EC"/>
    <w:rsid w:val="00CF6A9D"/>
    <w:rsid w:val="00CF6CD7"/>
    <w:rsid w:val="00CF7031"/>
    <w:rsid w:val="00CF75EC"/>
    <w:rsid w:val="00CF7BDA"/>
    <w:rsid w:val="00D0037A"/>
    <w:rsid w:val="00D0061E"/>
    <w:rsid w:val="00D00DAF"/>
    <w:rsid w:val="00D017EC"/>
    <w:rsid w:val="00D01CDA"/>
    <w:rsid w:val="00D040DD"/>
    <w:rsid w:val="00D04E1B"/>
    <w:rsid w:val="00D0547B"/>
    <w:rsid w:val="00D076DB"/>
    <w:rsid w:val="00D07EFF"/>
    <w:rsid w:val="00D1067C"/>
    <w:rsid w:val="00D12E78"/>
    <w:rsid w:val="00D136D4"/>
    <w:rsid w:val="00D13830"/>
    <w:rsid w:val="00D13ECF"/>
    <w:rsid w:val="00D142E5"/>
    <w:rsid w:val="00D148CD"/>
    <w:rsid w:val="00D1611E"/>
    <w:rsid w:val="00D16E69"/>
    <w:rsid w:val="00D17A94"/>
    <w:rsid w:val="00D17F4A"/>
    <w:rsid w:val="00D205A9"/>
    <w:rsid w:val="00D217EE"/>
    <w:rsid w:val="00D245BA"/>
    <w:rsid w:val="00D26923"/>
    <w:rsid w:val="00D27315"/>
    <w:rsid w:val="00D27856"/>
    <w:rsid w:val="00D27D34"/>
    <w:rsid w:val="00D3006B"/>
    <w:rsid w:val="00D301CA"/>
    <w:rsid w:val="00D30740"/>
    <w:rsid w:val="00D31075"/>
    <w:rsid w:val="00D31445"/>
    <w:rsid w:val="00D31932"/>
    <w:rsid w:val="00D32AE0"/>
    <w:rsid w:val="00D33B78"/>
    <w:rsid w:val="00D34686"/>
    <w:rsid w:val="00D360DA"/>
    <w:rsid w:val="00D37689"/>
    <w:rsid w:val="00D378CC"/>
    <w:rsid w:val="00D4042C"/>
    <w:rsid w:val="00D40B9E"/>
    <w:rsid w:val="00D41281"/>
    <w:rsid w:val="00D42312"/>
    <w:rsid w:val="00D433F5"/>
    <w:rsid w:val="00D43998"/>
    <w:rsid w:val="00D451E0"/>
    <w:rsid w:val="00D45A1D"/>
    <w:rsid w:val="00D4615E"/>
    <w:rsid w:val="00D475E6"/>
    <w:rsid w:val="00D478E2"/>
    <w:rsid w:val="00D508CF"/>
    <w:rsid w:val="00D5264C"/>
    <w:rsid w:val="00D52C37"/>
    <w:rsid w:val="00D547BA"/>
    <w:rsid w:val="00D55626"/>
    <w:rsid w:val="00D556BC"/>
    <w:rsid w:val="00D5626D"/>
    <w:rsid w:val="00D56631"/>
    <w:rsid w:val="00D60277"/>
    <w:rsid w:val="00D60336"/>
    <w:rsid w:val="00D609D3"/>
    <w:rsid w:val="00D6145B"/>
    <w:rsid w:val="00D61F88"/>
    <w:rsid w:val="00D62108"/>
    <w:rsid w:val="00D62901"/>
    <w:rsid w:val="00D6470C"/>
    <w:rsid w:val="00D64853"/>
    <w:rsid w:val="00D64CB5"/>
    <w:rsid w:val="00D66D48"/>
    <w:rsid w:val="00D7162F"/>
    <w:rsid w:val="00D72897"/>
    <w:rsid w:val="00D73256"/>
    <w:rsid w:val="00D73A30"/>
    <w:rsid w:val="00D74C65"/>
    <w:rsid w:val="00D75DC2"/>
    <w:rsid w:val="00D766EF"/>
    <w:rsid w:val="00D76BE7"/>
    <w:rsid w:val="00D76C03"/>
    <w:rsid w:val="00D77F8D"/>
    <w:rsid w:val="00D8119B"/>
    <w:rsid w:val="00D82462"/>
    <w:rsid w:val="00D868CE"/>
    <w:rsid w:val="00D86DAE"/>
    <w:rsid w:val="00D871DA"/>
    <w:rsid w:val="00D90116"/>
    <w:rsid w:val="00D90C1E"/>
    <w:rsid w:val="00D91BDF"/>
    <w:rsid w:val="00D91F2C"/>
    <w:rsid w:val="00D937AF"/>
    <w:rsid w:val="00D93F09"/>
    <w:rsid w:val="00D94C62"/>
    <w:rsid w:val="00D95378"/>
    <w:rsid w:val="00D954C2"/>
    <w:rsid w:val="00D97BB8"/>
    <w:rsid w:val="00DA1318"/>
    <w:rsid w:val="00DA1382"/>
    <w:rsid w:val="00DA1F92"/>
    <w:rsid w:val="00DA28B7"/>
    <w:rsid w:val="00DA2FE8"/>
    <w:rsid w:val="00DA424A"/>
    <w:rsid w:val="00DA49E6"/>
    <w:rsid w:val="00DA4AF6"/>
    <w:rsid w:val="00DB016E"/>
    <w:rsid w:val="00DB06E9"/>
    <w:rsid w:val="00DB19BD"/>
    <w:rsid w:val="00DB1D55"/>
    <w:rsid w:val="00DB378E"/>
    <w:rsid w:val="00DB3B36"/>
    <w:rsid w:val="00DB3E9D"/>
    <w:rsid w:val="00DB47B9"/>
    <w:rsid w:val="00DB4FB8"/>
    <w:rsid w:val="00DB53CE"/>
    <w:rsid w:val="00DB549D"/>
    <w:rsid w:val="00DB5792"/>
    <w:rsid w:val="00DB6A88"/>
    <w:rsid w:val="00DB6ABF"/>
    <w:rsid w:val="00DB7BA4"/>
    <w:rsid w:val="00DC226A"/>
    <w:rsid w:val="00DC257F"/>
    <w:rsid w:val="00DC350B"/>
    <w:rsid w:val="00DC3790"/>
    <w:rsid w:val="00DC3AFD"/>
    <w:rsid w:val="00DC408A"/>
    <w:rsid w:val="00DC436D"/>
    <w:rsid w:val="00DC519B"/>
    <w:rsid w:val="00DC5B3B"/>
    <w:rsid w:val="00DC6796"/>
    <w:rsid w:val="00DC78DF"/>
    <w:rsid w:val="00DC7D4C"/>
    <w:rsid w:val="00DD0821"/>
    <w:rsid w:val="00DD0E32"/>
    <w:rsid w:val="00DD2872"/>
    <w:rsid w:val="00DD2BFE"/>
    <w:rsid w:val="00DD373E"/>
    <w:rsid w:val="00DD4DAA"/>
    <w:rsid w:val="00DD57AD"/>
    <w:rsid w:val="00DD5AB6"/>
    <w:rsid w:val="00DE009B"/>
    <w:rsid w:val="00DE0C31"/>
    <w:rsid w:val="00DE2ED9"/>
    <w:rsid w:val="00DE319A"/>
    <w:rsid w:val="00DE5291"/>
    <w:rsid w:val="00DF0615"/>
    <w:rsid w:val="00DF0DC3"/>
    <w:rsid w:val="00DF21FD"/>
    <w:rsid w:val="00DF2873"/>
    <w:rsid w:val="00DF293C"/>
    <w:rsid w:val="00DF4413"/>
    <w:rsid w:val="00DF4C74"/>
    <w:rsid w:val="00DF5578"/>
    <w:rsid w:val="00DF55AB"/>
    <w:rsid w:val="00DF78DD"/>
    <w:rsid w:val="00DF7FEC"/>
    <w:rsid w:val="00E01C0E"/>
    <w:rsid w:val="00E02086"/>
    <w:rsid w:val="00E02740"/>
    <w:rsid w:val="00E03B27"/>
    <w:rsid w:val="00E04694"/>
    <w:rsid w:val="00E049F6"/>
    <w:rsid w:val="00E04CA9"/>
    <w:rsid w:val="00E05B2B"/>
    <w:rsid w:val="00E060DD"/>
    <w:rsid w:val="00E06A2A"/>
    <w:rsid w:val="00E07F05"/>
    <w:rsid w:val="00E1136D"/>
    <w:rsid w:val="00E127E1"/>
    <w:rsid w:val="00E144D2"/>
    <w:rsid w:val="00E144D6"/>
    <w:rsid w:val="00E15346"/>
    <w:rsid w:val="00E15B7D"/>
    <w:rsid w:val="00E2097E"/>
    <w:rsid w:val="00E215EA"/>
    <w:rsid w:val="00E21CAB"/>
    <w:rsid w:val="00E221FC"/>
    <w:rsid w:val="00E22E78"/>
    <w:rsid w:val="00E24619"/>
    <w:rsid w:val="00E25223"/>
    <w:rsid w:val="00E263A8"/>
    <w:rsid w:val="00E30BEA"/>
    <w:rsid w:val="00E31764"/>
    <w:rsid w:val="00E32BC2"/>
    <w:rsid w:val="00E340A1"/>
    <w:rsid w:val="00E34985"/>
    <w:rsid w:val="00E34E4A"/>
    <w:rsid w:val="00E365B3"/>
    <w:rsid w:val="00E366BB"/>
    <w:rsid w:val="00E37C45"/>
    <w:rsid w:val="00E40AAA"/>
    <w:rsid w:val="00E42444"/>
    <w:rsid w:val="00E4255E"/>
    <w:rsid w:val="00E42785"/>
    <w:rsid w:val="00E438CF"/>
    <w:rsid w:val="00E43B06"/>
    <w:rsid w:val="00E43C41"/>
    <w:rsid w:val="00E4500E"/>
    <w:rsid w:val="00E450CE"/>
    <w:rsid w:val="00E45A00"/>
    <w:rsid w:val="00E45CE7"/>
    <w:rsid w:val="00E4631F"/>
    <w:rsid w:val="00E46A4A"/>
    <w:rsid w:val="00E47CB8"/>
    <w:rsid w:val="00E50ACF"/>
    <w:rsid w:val="00E522BB"/>
    <w:rsid w:val="00E539E4"/>
    <w:rsid w:val="00E569C7"/>
    <w:rsid w:val="00E571F2"/>
    <w:rsid w:val="00E57429"/>
    <w:rsid w:val="00E61EA8"/>
    <w:rsid w:val="00E6374E"/>
    <w:rsid w:val="00E63C99"/>
    <w:rsid w:val="00E64EA1"/>
    <w:rsid w:val="00E669C7"/>
    <w:rsid w:val="00E70510"/>
    <w:rsid w:val="00E71262"/>
    <w:rsid w:val="00E71A58"/>
    <w:rsid w:val="00E7330E"/>
    <w:rsid w:val="00E737F6"/>
    <w:rsid w:val="00E7568F"/>
    <w:rsid w:val="00E75D69"/>
    <w:rsid w:val="00E7628E"/>
    <w:rsid w:val="00E764AE"/>
    <w:rsid w:val="00E7724B"/>
    <w:rsid w:val="00E77EAA"/>
    <w:rsid w:val="00E84F21"/>
    <w:rsid w:val="00E8618A"/>
    <w:rsid w:val="00E90A4B"/>
    <w:rsid w:val="00E90F73"/>
    <w:rsid w:val="00E910A7"/>
    <w:rsid w:val="00E914B7"/>
    <w:rsid w:val="00E91607"/>
    <w:rsid w:val="00E921C7"/>
    <w:rsid w:val="00E92995"/>
    <w:rsid w:val="00E93DB8"/>
    <w:rsid w:val="00E9402B"/>
    <w:rsid w:val="00E94612"/>
    <w:rsid w:val="00E952A1"/>
    <w:rsid w:val="00E95797"/>
    <w:rsid w:val="00E9682F"/>
    <w:rsid w:val="00E96A8D"/>
    <w:rsid w:val="00E972BA"/>
    <w:rsid w:val="00E975BC"/>
    <w:rsid w:val="00E978CA"/>
    <w:rsid w:val="00E97FA2"/>
    <w:rsid w:val="00EA06CB"/>
    <w:rsid w:val="00EA0AF3"/>
    <w:rsid w:val="00EA0C68"/>
    <w:rsid w:val="00EA19E2"/>
    <w:rsid w:val="00EA3EBE"/>
    <w:rsid w:val="00EA3FAC"/>
    <w:rsid w:val="00EA4153"/>
    <w:rsid w:val="00EA5CD6"/>
    <w:rsid w:val="00EA76FD"/>
    <w:rsid w:val="00EB03D4"/>
    <w:rsid w:val="00EB0555"/>
    <w:rsid w:val="00EB17F4"/>
    <w:rsid w:val="00EB20A0"/>
    <w:rsid w:val="00EB30B6"/>
    <w:rsid w:val="00EB4FA4"/>
    <w:rsid w:val="00EB5146"/>
    <w:rsid w:val="00EB522B"/>
    <w:rsid w:val="00EB55E9"/>
    <w:rsid w:val="00EB5641"/>
    <w:rsid w:val="00EB5CA9"/>
    <w:rsid w:val="00EB5ED4"/>
    <w:rsid w:val="00EB6537"/>
    <w:rsid w:val="00EB70E1"/>
    <w:rsid w:val="00EB7EB5"/>
    <w:rsid w:val="00EC0860"/>
    <w:rsid w:val="00EC424C"/>
    <w:rsid w:val="00EC454B"/>
    <w:rsid w:val="00EC6153"/>
    <w:rsid w:val="00EC7F92"/>
    <w:rsid w:val="00ED00A8"/>
    <w:rsid w:val="00ED0A79"/>
    <w:rsid w:val="00ED22FF"/>
    <w:rsid w:val="00ED2989"/>
    <w:rsid w:val="00ED2CA5"/>
    <w:rsid w:val="00ED336F"/>
    <w:rsid w:val="00ED3A94"/>
    <w:rsid w:val="00ED40F0"/>
    <w:rsid w:val="00ED4AC0"/>
    <w:rsid w:val="00ED54D6"/>
    <w:rsid w:val="00ED5726"/>
    <w:rsid w:val="00EE0113"/>
    <w:rsid w:val="00EE0298"/>
    <w:rsid w:val="00EE0384"/>
    <w:rsid w:val="00EE10AA"/>
    <w:rsid w:val="00EE1637"/>
    <w:rsid w:val="00EE3B7A"/>
    <w:rsid w:val="00EE3E78"/>
    <w:rsid w:val="00EE495A"/>
    <w:rsid w:val="00EE5E02"/>
    <w:rsid w:val="00EE617D"/>
    <w:rsid w:val="00EE61BF"/>
    <w:rsid w:val="00EE6538"/>
    <w:rsid w:val="00EE6748"/>
    <w:rsid w:val="00EE6C6B"/>
    <w:rsid w:val="00EE7034"/>
    <w:rsid w:val="00EF0E75"/>
    <w:rsid w:val="00EF1F5A"/>
    <w:rsid w:val="00EF4685"/>
    <w:rsid w:val="00EF5397"/>
    <w:rsid w:val="00EF5420"/>
    <w:rsid w:val="00EF6217"/>
    <w:rsid w:val="00EF6BE3"/>
    <w:rsid w:val="00EF7D0F"/>
    <w:rsid w:val="00F00D0E"/>
    <w:rsid w:val="00F00D3C"/>
    <w:rsid w:val="00F04811"/>
    <w:rsid w:val="00F0488C"/>
    <w:rsid w:val="00F0496E"/>
    <w:rsid w:val="00F04D10"/>
    <w:rsid w:val="00F053EA"/>
    <w:rsid w:val="00F0625B"/>
    <w:rsid w:val="00F101FF"/>
    <w:rsid w:val="00F104DF"/>
    <w:rsid w:val="00F10A33"/>
    <w:rsid w:val="00F10B64"/>
    <w:rsid w:val="00F1186C"/>
    <w:rsid w:val="00F14637"/>
    <w:rsid w:val="00F14ACD"/>
    <w:rsid w:val="00F15BEF"/>
    <w:rsid w:val="00F172BE"/>
    <w:rsid w:val="00F1776C"/>
    <w:rsid w:val="00F2037E"/>
    <w:rsid w:val="00F20D17"/>
    <w:rsid w:val="00F2103E"/>
    <w:rsid w:val="00F214FC"/>
    <w:rsid w:val="00F21C31"/>
    <w:rsid w:val="00F23825"/>
    <w:rsid w:val="00F23FFF"/>
    <w:rsid w:val="00F2441D"/>
    <w:rsid w:val="00F24FAA"/>
    <w:rsid w:val="00F25721"/>
    <w:rsid w:val="00F26197"/>
    <w:rsid w:val="00F2646A"/>
    <w:rsid w:val="00F273D4"/>
    <w:rsid w:val="00F307DD"/>
    <w:rsid w:val="00F318FC"/>
    <w:rsid w:val="00F31F76"/>
    <w:rsid w:val="00F325A3"/>
    <w:rsid w:val="00F3364D"/>
    <w:rsid w:val="00F359A1"/>
    <w:rsid w:val="00F35ACD"/>
    <w:rsid w:val="00F365BF"/>
    <w:rsid w:val="00F36BF8"/>
    <w:rsid w:val="00F375BA"/>
    <w:rsid w:val="00F37760"/>
    <w:rsid w:val="00F403D1"/>
    <w:rsid w:val="00F41CC8"/>
    <w:rsid w:val="00F43921"/>
    <w:rsid w:val="00F44E1B"/>
    <w:rsid w:val="00F4524F"/>
    <w:rsid w:val="00F45530"/>
    <w:rsid w:val="00F457CE"/>
    <w:rsid w:val="00F4591F"/>
    <w:rsid w:val="00F47321"/>
    <w:rsid w:val="00F4736B"/>
    <w:rsid w:val="00F47870"/>
    <w:rsid w:val="00F47997"/>
    <w:rsid w:val="00F47D05"/>
    <w:rsid w:val="00F50030"/>
    <w:rsid w:val="00F502F5"/>
    <w:rsid w:val="00F50B9D"/>
    <w:rsid w:val="00F51FC9"/>
    <w:rsid w:val="00F52B42"/>
    <w:rsid w:val="00F53243"/>
    <w:rsid w:val="00F541ED"/>
    <w:rsid w:val="00F54B31"/>
    <w:rsid w:val="00F54FD3"/>
    <w:rsid w:val="00F5508B"/>
    <w:rsid w:val="00F55605"/>
    <w:rsid w:val="00F57CD7"/>
    <w:rsid w:val="00F62F02"/>
    <w:rsid w:val="00F6339F"/>
    <w:rsid w:val="00F63DDE"/>
    <w:rsid w:val="00F63FB7"/>
    <w:rsid w:val="00F64726"/>
    <w:rsid w:val="00F6561A"/>
    <w:rsid w:val="00F673CA"/>
    <w:rsid w:val="00F6758C"/>
    <w:rsid w:val="00F70309"/>
    <w:rsid w:val="00F7078A"/>
    <w:rsid w:val="00F70E45"/>
    <w:rsid w:val="00F71372"/>
    <w:rsid w:val="00F727D5"/>
    <w:rsid w:val="00F72F44"/>
    <w:rsid w:val="00F73A0C"/>
    <w:rsid w:val="00F759DC"/>
    <w:rsid w:val="00F7717C"/>
    <w:rsid w:val="00F771A5"/>
    <w:rsid w:val="00F817A4"/>
    <w:rsid w:val="00F81C3A"/>
    <w:rsid w:val="00F835FC"/>
    <w:rsid w:val="00F8373A"/>
    <w:rsid w:val="00F83E21"/>
    <w:rsid w:val="00F83FA4"/>
    <w:rsid w:val="00F84E18"/>
    <w:rsid w:val="00F852E5"/>
    <w:rsid w:val="00F862CF"/>
    <w:rsid w:val="00F929E7"/>
    <w:rsid w:val="00F9310A"/>
    <w:rsid w:val="00F937C0"/>
    <w:rsid w:val="00F95117"/>
    <w:rsid w:val="00F95796"/>
    <w:rsid w:val="00F97DBC"/>
    <w:rsid w:val="00F97ED2"/>
    <w:rsid w:val="00FA05D7"/>
    <w:rsid w:val="00FA15BD"/>
    <w:rsid w:val="00FA1C6C"/>
    <w:rsid w:val="00FA2447"/>
    <w:rsid w:val="00FA2C2A"/>
    <w:rsid w:val="00FA309A"/>
    <w:rsid w:val="00FA5B57"/>
    <w:rsid w:val="00FA7644"/>
    <w:rsid w:val="00FB039E"/>
    <w:rsid w:val="00FB0A9A"/>
    <w:rsid w:val="00FB16AD"/>
    <w:rsid w:val="00FB2EAA"/>
    <w:rsid w:val="00FB483B"/>
    <w:rsid w:val="00FB56F1"/>
    <w:rsid w:val="00FB590B"/>
    <w:rsid w:val="00FB5FD4"/>
    <w:rsid w:val="00FB67F3"/>
    <w:rsid w:val="00FC0D8A"/>
    <w:rsid w:val="00FC0E5F"/>
    <w:rsid w:val="00FC135D"/>
    <w:rsid w:val="00FC3C84"/>
    <w:rsid w:val="00FC4660"/>
    <w:rsid w:val="00FC56DE"/>
    <w:rsid w:val="00FC5E01"/>
    <w:rsid w:val="00FD1261"/>
    <w:rsid w:val="00FD1627"/>
    <w:rsid w:val="00FD1BBD"/>
    <w:rsid w:val="00FD473D"/>
    <w:rsid w:val="00FD4763"/>
    <w:rsid w:val="00FD61C8"/>
    <w:rsid w:val="00FD63CE"/>
    <w:rsid w:val="00FD7D49"/>
    <w:rsid w:val="00FE1251"/>
    <w:rsid w:val="00FE16E6"/>
    <w:rsid w:val="00FE2F78"/>
    <w:rsid w:val="00FE3510"/>
    <w:rsid w:val="00FE371D"/>
    <w:rsid w:val="00FE375F"/>
    <w:rsid w:val="00FE3760"/>
    <w:rsid w:val="00FE3D8B"/>
    <w:rsid w:val="00FE440E"/>
    <w:rsid w:val="00FE4FCB"/>
    <w:rsid w:val="00FE688F"/>
    <w:rsid w:val="00FE705E"/>
    <w:rsid w:val="00FF02EB"/>
    <w:rsid w:val="00FF079B"/>
    <w:rsid w:val="00FF2436"/>
    <w:rsid w:val="00FF28E0"/>
    <w:rsid w:val="00FF2FB4"/>
    <w:rsid w:val="00FF30B3"/>
    <w:rsid w:val="00FF3DF3"/>
    <w:rsid w:val="00FF4027"/>
    <w:rsid w:val="00FF45A2"/>
    <w:rsid w:val="00FF55B1"/>
    <w:rsid w:val="00FF65DF"/>
    <w:rsid w:val="00FF7D9E"/>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71" w:unhideWhenUsed="0" w:qFormat="1"/>
  </w:latentStyles>
  <w:style w:type="paragraph" w:default="1" w:styleId="Normln">
    <w:name w:val="Normal"/>
    <w:qFormat/>
    <w:rsid w:val="005E492C"/>
    <w:pPr>
      <w:spacing w:line="288" w:lineRule="auto"/>
    </w:pPr>
    <w:rPr>
      <w:rFonts w:ascii="Arial" w:hAnsi="Arial"/>
      <w:szCs w:val="24"/>
    </w:rPr>
  </w:style>
  <w:style w:type="paragraph" w:styleId="Nadpis1">
    <w:name w:val="heading 1"/>
    <w:basedOn w:val="Normln"/>
    <w:next w:val="Normln"/>
    <w:link w:val="Nadpis1Char"/>
    <w:uiPriority w:val="9"/>
    <w:qFormat/>
    <w:rsid w:val="005E492C"/>
    <w:pPr>
      <w:keepNext/>
      <w:keepLines/>
      <w:spacing w:after="200"/>
      <w:outlineLvl w:val="0"/>
    </w:pPr>
    <w:rPr>
      <w:rFonts w:eastAsia="MS Gothic"/>
      <w:b/>
      <w:bCs/>
      <w:color w:val="71818C"/>
      <w:sz w:val="32"/>
      <w:szCs w:val="28"/>
    </w:rPr>
  </w:style>
  <w:style w:type="paragraph" w:styleId="Nadpis2">
    <w:name w:val="heading 2"/>
    <w:basedOn w:val="Normln"/>
    <w:next w:val="Normln"/>
    <w:link w:val="Nadpis2Char"/>
    <w:uiPriority w:val="99"/>
    <w:qFormat/>
    <w:rsid w:val="005E492C"/>
    <w:pPr>
      <w:keepNext/>
      <w:keepLines/>
      <w:outlineLvl w:val="1"/>
    </w:pPr>
    <w:rPr>
      <w:rFonts w:eastAsia="MS Gothic"/>
      <w:b/>
      <w:bCs/>
      <w:color w:val="71818C"/>
      <w:sz w:val="28"/>
      <w:szCs w:val="26"/>
    </w:rPr>
  </w:style>
  <w:style w:type="paragraph" w:styleId="Nadpis3">
    <w:name w:val="heading 3"/>
    <w:basedOn w:val="Nadpis2"/>
    <w:next w:val="Normln"/>
    <w:link w:val="Nadpis3Char"/>
    <w:uiPriority w:val="99"/>
    <w:qFormat/>
    <w:rsid w:val="00302CC5"/>
    <w:pPr>
      <w:outlineLvl w:val="2"/>
    </w:pPr>
    <w:rPr>
      <w:sz w:val="24"/>
      <w:szCs w:val="24"/>
    </w:rPr>
  </w:style>
  <w:style w:type="paragraph" w:styleId="Nadpis4">
    <w:name w:val="heading 4"/>
    <w:basedOn w:val="Normln"/>
    <w:next w:val="Normln"/>
    <w:link w:val="Nadpis4Char"/>
    <w:uiPriority w:val="9"/>
    <w:qFormat/>
    <w:rsid w:val="005E492C"/>
    <w:pPr>
      <w:keepNext/>
      <w:keepLines/>
      <w:outlineLvl w:val="3"/>
    </w:pPr>
    <w:rPr>
      <w:rFonts w:eastAsia="MS Gothic"/>
      <w:b/>
      <w:bCs/>
      <w:iCs/>
    </w:rPr>
  </w:style>
  <w:style w:type="paragraph" w:styleId="Nadpis5">
    <w:name w:val="heading 5"/>
    <w:basedOn w:val="Normln"/>
    <w:next w:val="Normln"/>
    <w:link w:val="Nadpis5Char"/>
    <w:uiPriority w:val="9"/>
    <w:qFormat/>
    <w:rsid w:val="007521A1"/>
    <w:pPr>
      <w:spacing w:before="240" w:after="60"/>
      <w:outlineLvl w:val="4"/>
    </w:pPr>
    <w:rPr>
      <w:rFonts w:ascii="Calibri" w:eastAsia="Times New Roman" w:hAnsi="Calibri"/>
      <w:b/>
      <w:bCs/>
      <w:i/>
      <w:iCs/>
      <w:sz w:val="26"/>
      <w:szCs w:val="26"/>
    </w:rPr>
  </w:style>
  <w:style w:type="paragraph" w:styleId="Nadpis6">
    <w:name w:val="heading 6"/>
    <w:basedOn w:val="Normln"/>
    <w:next w:val="Normln"/>
    <w:link w:val="Nadpis6Char"/>
    <w:uiPriority w:val="9"/>
    <w:qFormat/>
    <w:rsid w:val="007521A1"/>
    <w:pPr>
      <w:spacing w:before="240" w:after="60"/>
      <w:outlineLvl w:val="5"/>
    </w:pPr>
    <w:rPr>
      <w:rFonts w:ascii="Calibri" w:eastAsia="Times New Roman"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5E492C"/>
    <w:rPr>
      <w:rFonts w:ascii="Arial" w:eastAsia="MS Gothic" w:hAnsi="Arial" w:cs="Times New Roman"/>
      <w:b/>
      <w:color w:val="71818C"/>
      <w:sz w:val="28"/>
    </w:rPr>
  </w:style>
  <w:style w:type="character" w:customStyle="1" w:styleId="Nadpis2Char">
    <w:name w:val="Nadpis 2 Char"/>
    <w:basedOn w:val="Standardnpsmoodstavce"/>
    <w:link w:val="Nadpis2"/>
    <w:uiPriority w:val="9"/>
    <w:locked/>
    <w:rsid w:val="005E492C"/>
    <w:rPr>
      <w:rFonts w:ascii="Arial" w:eastAsia="MS Gothic" w:hAnsi="Arial" w:cs="Times New Roman"/>
      <w:b/>
      <w:color w:val="71818C"/>
      <w:sz w:val="26"/>
    </w:rPr>
  </w:style>
  <w:style w:type="character" w:customStyle="1" w:styleId="Nadpis3Char">
    <w:name w:val="Nadpis 3 Char"/>
    <w:basedOn w:val="Standardnpsmoodstavce"/>
    <w:link w:val="Nadpis3"/>
    <w:uiPriority w:val="9"/>
    <w:locked/>
    <w:rsid w:val="00302CC5"/>
    <w:rPr>
      <w:rFonts w:ascii="Arial" w:eastAsia="MS Gothic" w:hAnsi="Arial"/>
      <w:b/>
      <w:bCs/>
      <w:color w:val="71818C"/>
      <w:sz w:val="24"/>
      <w:szCs w:val="24"/>
    </w:rPr>
  </w:style>
  <w:style w:type="character" w:customStyle="1" w:styleId="Nadpis4Char">
    <w:name w:val="Nadpis 4 Char"/>
    <w:basedOn w:val="Standardnpsmoodstavce"/>
    <w:link w:val="Nadpis4"/>
    <w:uiPriority w:val="9"/>
    <w:locked/>
    <w:rsid w:val="005E492C"/>
    <w:rPr>
      <w:rFonts w:ascii="Arial" w:eastAsia="MS Gothic" w:hAnsi="Arial" w:cs="Times New Roman"/>
      <w:b/>
      <w:sz w:val="24"/>
    </w:rPr>
  </w:style>
  <w:style w:type="character" w:customStyle="1" w:styleId="Nadpis5Char">
    <w:name w:val="Nadpis 5 Char"/>
    <w:basedOn w:val="Standardnpsmoodstavce"/>
    <w:link w:val="Nadpis5"/>
    <w:uiPriority w:val="9"/>
    <w:semiHidden/>
    <w:locked/>
    <w:rsid w:val="007521A1"/>
    <w:rPr>
      <w:rFonts w:ascii="Calibri" w:hAnsi="Calibri" w:cs="Times New Roman"/>
      <w:b/>
      <w:bCs/>
      <w:i/>
      <w:iCs/>
      <w:sz w:val="26"/>
      <w:szCs w:val="26"/>
    </w:rPr>
  </w:style>
  <w:style w:type="character" w:customStyle="1" w:styleId="Nadpis6Char">
    <w:name w:val="Nadpis 6 Char"/>
    <w:basedOn w:val="Standardnpsmoodstavce"/>
    <w:link w:val="Nadpis6"/>
    <w:uiPriority w:val="9"/>
    <w:semiHidden/>
    <w:locked/>
    <w:rsid w:val="007521A1"/>
    <w:rPr>
      <w:rFonts w:ascii="Calibri" w:hAnsi="Calibri" w:cs="Times New Roman"/>
      <w:b/>
      <w:bCs/>
      <w:sz w:val="22"/>
      <w:szCs w:val="22"/>
    </w:rPr>
  </w:style>
  <w:style w:type="character" w:styleId="Hypertextovodkaz">
    <w:name w:val="Hyperlink"/>
    <w:basedOn w:val="Standardnpsmoodstavce"/>
    <w:uiPriority w:val="99"/>
    <w:rsid w:val="00E71A58"/>
    <w:rPr>
      <w:rFonts w:cs="Times New Roman"/>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rsid w:val="00E71A58"/>
    <w:pPr>
      <w:tabs>
        <w:tab w:val="center" w:pos="4536"/>
        <w:tab w:val="right" w:pos="9072"/>
      </w:tabs>
    </w:pPr>
    <w:rPr>
      <w:rFonts w:ascii="Calibri" w:hAnsi="Calibri"/>
      <w:sz w:val="22"/>
      <w:szCs w:val="22"/>
      <w:lang w:eastAsia="en-US"/>
    </w:rPr>
  </w:style>
  <w:style w:type="character" w:customStyle="1" w:styleId="ZhlavChar">
    <w:name w:val="Záhlaví Char"/>
    <w:basedOn w:val="Standardnpsmoodstavce"/>
    <w:link w:val="Zhlav"/>
    <w:locked/>
    <w:rsid w:val="00E71A58"/>
    <w:rPr>
      <w:rFonts w:cs="Times New Roman"/>
    </w:rPr>
  </w:style>
  <w:style w:type="paragraph" w:styleId="Zpat">
    <w:name w:val="footer"/>
    <w:basedOn w:val="Normln"/>
    <w:link w:val="ZpatChar"/>
    <w:uiPriority w:val="99"/>
    <w:rsid w:val="00E71A58"/>
    <w:pPr>
      <w:tabs>
        <w:tab w:val="center" w:pos="4536"/>
        <w:tab w:val="right" w:pos="9072"/>
      </w:tabs>
    </w:pPr>
    <w:rPr>
      <w:rFonts w:ascii="Calibri" w:hAnsi="Calibri"/>
      <w:sz w:val="22"/>
      <w:szCs w:val="22"/>
      <w:lang w:eastAsia="en-US"/>
    </w:rPr>
  </w:style>
  <w:style w:type="character" w:customStyle="1" w:styleId="ZpatChar">
    <w:name w:val="Zápatí Char"/>
    <w:basedOn w:val="Standardnpsmoodstavce"/>
    <w:link w:val="Zpat"/>
    <w:uiPriority w:val="99"/>
    <w:locked/>
    <w:rsid w:val="00E71A58"/>
    <w:rPr>
      <w:rFonts w:cs="Times New Roman"/>
    </w:rPr>
  </w:style>
  <w:style w:type="paragraph" w:styleId="Textbubliny">
    <w:name w:val="Balloon Text"/>
    <w:basedOn w:val="Normln"/>
    <w:link w:val="TextbublinyChar"/>
    <w:rsid w:val="00E71A58"/>
    <w:rPr>
      <w:rFonts w:ascii="Tahoma" w:hAnsi="Tahoma"/>
      <w:sz w:val="16"/>
      <w:szCs w:val="16"/>
    </w:rPr>
  </w:style>
  <w:style w:type="character" w:customStyle="1" w:styleId="TextbublinyChar">
    <w:name w:val="Text bubliny Char"/>
    <w:basedOn w:val="Standardnpsmoodstavce"/>
    <w:link w:val="Textbubliny"/>
    <w:uiPriority w:val="99"/>
    <w:locked/>
    <w:rsid w:val="00E71A58"/>
    <w:rPr>
      <w:rFonts w:ascii="Tahoma" w:hAnsi="Tahoma" w:cs="Times New Roman"/>
      <w:sz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hAnsi="Minion Pro"/>
      <w:color w:val="000000"/>
      <w:sz w:val="24"/>
      <w:szCs w:val="20"/>
    </w:rPr>
  </w:style>
  <w:style w:type="paragraph" w:styleId="Nzev">
    <w:name w:val="Title"/>
    <w:basedOn w:val="Normln"/>
    <w:next w:val="Normln"/>
    <w:link w:val="NzevChar"/>
    <w:uiPriority w:val="10"/>
    <w:qFormat/>
    <w:rsid w:val="005E492C"/>
    <w:pPr>
      <w:contextualSpacing/>
      <w:outlineLvl w:val="0"/>
    </w:pPr>
    <w:rPr>
      <w:rFonts w:eastAsia="MS Gothic"/>
      <w:b/>
      <w:caps/>
      <w:color w:val="71818C"/>
      <w:sz w:val="56"/>
      <w:szCs w:val="52"/>
    </w:rPr>
  </w:style>
  <w:style w:type="character" w:customStyle="1" w:styleId="NzevChar">
    <w:name w:val="Název Char"/>
    <w:basedOn w:val="Standardnpsmoodstavce"/>
    <w:link w:val="Nzev"/>
    <w:uiPriority w:val="10"/>
    <w:locked/>
    <w:rsid w:val="005E492C"/>
    <w:rPr>
      <w:rFonts w:ascii="Arial" w:eastAsia="MS Gothic" w:hAnsi="Arial" w:cs="Times New Roman"/>
      <w:b/>
      <w:caps/>
      <w:color w:val="71818C"/>
      <w:sz w:val="52"/>
    </w:rPr>
  </w:style>
  <w:style w:type="paragraph" w:styleId="Podtitul">
    <w:name w:val="Subtitle"/>
    <w:basedOn w:val="Normln"/>
    <w:next w:val="Normln"/>
    <w:link w:val="PodtitulChar"/>
    <w:uiPriority w:val="11"/>
    <w:qFormat/>
    <w:rsid w:val="005E492C"/>
    <w:pPr>
      <w:numPr>
        <w:ilvl w:val="1"/>
      </w:numPr>
    </w:pPr>
    <w:rPr>
      <w:rFonts w:eastAsia="MS Gothic"/>
      <w:b/>
      <w:iCs/>
      <w:color w:val="71818C"/>
      <w:sz w:val="28"/>
    </w:rPr>
  </w:style>
  <w:style w:type="character" w:customStyle="1" w:styleId="PodtitulChar">
    <w:name w:val="Podtitul Char"/>
    <w:basedOn w:val="Standardnpsmoodstavce"/>
    <w:link w:val="Podtitul"/>
    <w:uiPriority w:val="11"/>
    <w:locked/>
    <w:rsid w:val="005E492C"/>
    <w:rPr>
      <w:rFonts w:ascii="Arial" w:eastAsia="MS Gothic" w:hAnsi="Arial" w:cs="Times New Roman"/>
      <w:b/>
      <w:color w:val="71818C"/>
      <w:sz w:val="24"/>
    </w:rPr>
  </w:style>
  <w:style w:type="paragraph" w:customStyle="1" w:styleId="Bezmezer1">
    <w:name w:val="Bez mezer1"/>
    <w:aliases w:val="Bez zarážky"/>
    <w:link w:val="NoSpacingChar"/>
    <w:uiPriority w:val="1"/>
    <w:qFormat/>
    <w:rsid w:val="005E492C"/>
    <w:pPr>
      <w:spacing w:line="288" w:lineRule="auto"/>
    </w:pPr>
    <w:rPr>
      <w:rFonts w:ascii="Arial" w:hAnsi="Arial"/>
      <w:sz w:val="22"/>
      <w:szCs w:val="22"/>
    </w:rPr>
  </w:style>
  <w:style w:type="paragraph" w:customStyle="1" w:styleId="Box1">
    <w:name w:val="Box 1"/>
    <w:basedOn w:val="Zkladnodstavec"/>
    <w:next w:val="Normln"/>
    <w:qFormat/>
    <w:rsid w:val="005E492C"/>
    <w:pPr>
      <w:ind w:left="1134"/>
    </w:pPr>
    <w:rPr>
      <w:rFonts w:ascii="Arial" w:hAnsi="Arial" w:cs="Arial"/>
      <w:color w:val="71818C"/>
      <w:sz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qFormat/>
    <w:rsid w:val="005E492C"/>
    <w:pPr>
      <w:shd w:val="clear" w:color="auto" w:fill="EAECEE"/>
      <w:spacing w:line="288" w:lineRule="auto"/>
      <w:ind w:left="1134"/>
    </w:pPr>
    <w:rPr>
      <w:rFonts w:ascii="Arial" w:hAnsi="Arial"/>
      <w:color w:val="000000"/>
      <w:sz w:val="22"/>
      <w:szCs w:val="22"/>
    </w:rPr>
  </w:style>
  <w:style w:type="paragraph" w:customStyle="1" w:styleId="TL-Kontakty">
    <w:name w:val="TL - Kontakty"/>
    <w:next w:val="Normln"/>
    <w:link w:val="TL-KontaktyChar"/>
    <w:qFormat/>
    <w:rsid w:val="005E492C"/>
    <w:pPr>
      <w:spacing w:after="80"/>
    </w:pPr>
    <w:rPr>
      <w:rFonts w:ascii="Arial" w:hAnsi="Arial"/>
      <w:b/>
      <w:caps/>
      <w:color w:val="BD1B21"/>
      <w:sz w:val="22"/>
      <w:szCs w:val="22"/>
    </w:rPr>
  </w:style>
  <w:style w:type="character" w:customStyle="1" w:styleId="ZkladnodstavecChar">
    <w:name w:val="[Základní odstavec] Char"/>
    <w:link w:val="Zkladnodstavec"/>
    <w:uiPriority w:val="99"/>
    <w:locked/>
    <w:rsid w:val="006710C9"/>
    <w:rPr>
      <w:rFonts w:ascii="Minion Pro" w:hAnsi="Minion Pro"/>
      <w:color w:val="000000"/>
      <w:sz w:val="24"/>
    </w:rPr>
  </w:style>
  <w:style w:type="character" w:customStyle="1" w:styleId="Box2Char">
    <w:name w:val="Box 2 Char"/>
    <w:link w:val="Box2"/>
    <w:locked/>
    <w:rsid w:val="006710C9"/>
    <w:rPr>
      <w:rFonts w:ascii="Arial" w:hAnsi="Arial"/>
      <w:b/>
      <w:color w:val="000000"/>
      <w:sz w:val="24"/>
      <w:shd w:val="clear" w:color="auto" w:fill="CCC0D9"/>
    </w:rPr>
  </w:style>
  <w:style w:type="character" w:customStyle="1" w:styleId="BoxChar">
    <w:name w:val="Box Char"/>
    <w:link w:val="Box"/>
    <w:locked/>
    <w:rsid w:val="005E492C"/>
    <w:rPr>
      <w:rFonts w:ascii="Arial" w:hAnsi="Arial"/>
      <w:color w:val="000000"/>
      <w:sz w:val="22"/>
      <w:szCs w:val="22"/>
      <w:shd w:val="clear" w:color="auto" w:fill="EAECEE"/>
      <w:lang w:bidi="ar-SA"/>
    </w:rPr>
  </w:style>
  <w:style w:type="paragraph" w:customStyle="1" w:styleId="TL-Identifikace">
    <w:name w:val="TL - Identifikace"/>
    <w:next w:val="Normln"/>
    <w:link w:val="TL-IdentifikaceChar"/>
    <w:qFormat/>
    <w:rsid w:val="005E492C"/>
    <w:pPr>
      <w:spacing w:after="200" w:line="288" w:lineRule="auto"/>
    </w:pPr>
    <w:rPr>
      <w:rFonts w:ascii="Arial" w:hAnsi="Arial"/>
      <w:sz w:val="22"/>
      <w:szCs w:val="22"/>
    </w:rPr>
  </w:style>
  <w:style w:type="character" w:customStyle="1" w:styleId="TL-KontaktyChar">
    <w:name w:val="TL - Kontakty Char"/>
    <w:link w:val="TL-Kontakty"/>
    <w:locked/>
    <w:rsid w:val="005E492C"/>
    <w:rPr>
      <w:rFonts w:ascii="Arial" w:hAnsi="Arial"/>
      <w:b/>
      <w:caps/>
      <w:color w:val="BD1B21"/>
      <w:sz w:val="22"/>
      <w:szCs w:val="22"/>
      <w:lang w:bidi="ar-SA"/>
    </w:rPr>
  </w:style>
  <w:style w:type="character" w:customStyle="1" w:styleId="TL-IdentifikaceChar">
    <w:name w:val="TL - Identifikace Char"/>
    <w:link w:val="TL-Identifikace"/>
    <w:locked/>
    <w:rsid w:val="005E492C"/>
    <w:rPr>
      <w:rFonts w:ascii="Arial" w:hAnsi="Arial"/>
      <w:sz w:val="22"/>
      <w:szCs w:val="22"/>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NoSpacingChar">
    <w:name w:val="No Spacing Char"/>
    <w:aliases w:val="Bez zarážky Char"/>
    <w:link w:val="Bezmezer1"/>
    <w:uiPriority w:val="1"/>
    <w:locked/>
    <w:rsid w:val="005E492C"/>
    <w:rPr>
      <w:rFonts w:ascii="Arial" w:hAnsi="Arial"/>
      <w:sz w:val="22"/>
      <w:szCs w:val="22"/>
      <w:lang w:bidi="ar-SA"/>
    </w:rPr>
  </w:style>
  <w:style w:type="paragraph" w:customStyle="1" w:styleId="TL-identifikace-sted">
    <w:name w:val="TL - identifikace - střed"/>
    <w:basedOn w:val="Normln"/>
    <w:link w:val="TL-identifikace-stedChar"/>
    <w:qFormat/>
    <w:rsid w:val="005E492C"/>
    <w:pPr>
      <w:spacing w:after="200"/>
    </w:pPr>
    <w:rPr>
      <w:sz w:val="24"/>
      <w:szCs w:val="20"/>
    </w:rPr>
  </w:style>
  <w:style w:type="paragraph" w:customStyle="1" w:styleId="TL-Identifikace-dole">
    <w:name w:val="TL - Identifikace - dole"/>
    <w:basedOn w:val="Normln"/>
    <w:link w:val="TL-Identifikace-doleChar"/>
    <w:qFormat/>
    <w:rsid w:val="005E492C"/>
    <w:pPr>
      <w:spacing w:after="200"/>
    </w:pPr>
    <w:rPr>
      <w:szCs w:val="20"/>
      <w:lang w:eastAsia="ar-SA"/>
    </w:rPr>
  </w:style>
  <w:style w:type="character" w:customStyle="1" w:styleId="TL-identifikace-stedChar">
    <w:name w:val="TL - identifikace - střed Char"/>
    <w:link w:val="TL-identifikace-sted"/>
    <w:locked/>
    <w:rsid w:val="005E492C"/>
    <w:rPr>
      <w:rFonts w:ascii="Arial" w:hAnsi="Arial"/>
      <w:sz w:val="24"/>
    </w:rPr>
  </w:style>
  <w:style w:type="character" w:customStyle="1" w:styleId="TL-Identifikace-doleChar">
    <w:name w:val="TL - Identifikace - dole Char"/>
    <w:link w:val="TL-Identifikace-dole"/>
    <w:locked/>
    <w:rsid w:val="005E492C"/>
    <w:rPr>
      <w:rFonts w:ascii="Arial" w:hAnsi="Arial"/>
      <w:lang w:eastAsia="ar-SA" w:bidi="ar-SA"/>
    </w:rPr>
  </w:style>
  <w:style w:type="paragraph" w:styleId="Nadpisobsahu">
    <w:name w:val="TOC Heading"/>
    <w:basedOn w:val="Nadpis1"/>
    <w:next w:val="Normln"/>
    <w:uiPriority w:val="71"/>
    <w:qFormat/>
    <w:rsid w:val="007521A1"/>
    <w:pPr>
      <w:keepLines w:val="0"/>
      <w:spacing w:before="240" w:after="60"/>
      <w:outlineLvl w:val="9"/>
    </w:pPr>
    <w:rPr>
      <w:rFonts w:ascii="Cambria" w:eastAsia="Times New Roman" w:hAnsi="Cambria"/>
      <w:color w:val="auto"/>
      <w:kern w:val="32"/>
      <w:szCs w:val="32"/>
    </w:rPr>
  </w:style>
  <w:style w:type="paragraph" w:styleId="Obsah1">
    <w:name w:val="toc 1"/>
    <w:basedOn w:val="Normln"/>
    <w:next w:val="Normln"/>
    <w:autoRedefine/>
    <w:uiPriority w:val="39"/>
    <w:qFormat/>
    <w:rsid w:val="00E921C7"/>
    <w:pPr>
      <w:tabs>
        <w:tab w:val="left" w:pos="660"/>
        <w:tab w:val="right" w:leader="dot" w:pos="9628"/>
      </w:tabs>
      <w:spacing w:after="100" w:line="360" w:lineRule="auto"/>
      <w:jc w:val="both"/>
    </w:pPr>
    <w:rPr>
      <w:rFonts w:cs="Arial"/>
      <w:b/>
      <w:noProof/>
      <w:szCs w:val="20"/>
      <w:lang w:eastAsia="en-US"/>
    </w:rPr>
  </w:style>
  <w:style w:type="paragraph" w:styleId="Obsah2">
    <w:name w:val="toc 2"/>
    <w:basedOn w:val="Normln"/>
    <w:next w:val="Normln"/>
    <w:autoRedefine/>
    <w:uiPriority w:val="39"/>
    <w:rsid w:val="00D142E5"/>
    <w:pPr>
      <w:ind w:left="200"/>
    </w:pPr>
  </w:style>
  <w:style w:type="paragraph" w:styleId="Obsah3">
    <w:name w:val="toc 3"/>
    <w:basedOn w:val="Normln"/>
    <w:next w:val="Normln"/>
    <w:autoRedefine/>
    <w:uiPriority w:val="39"/>
    <w:rsid w:val="00D142E5"/>
    <w:pPr>
      <w:ind w:left="400"/>
    </w:pPr>
  </w:style>
  <w:style w:type="paragraph" w:styleId="Textpoznpodarou">
    <w:name w:val="footnote text"/>
    <w:aliases w:val="Text pozn. pod čarou_martin_ang"/>
    <w:basedOn w:val="Normln"/>
    <w:link w:val="TextpoznpodarouChar"/>
    <w:rsid w:val="00972263"/>
    <w:pPr>
      <w:spacing w:line="240" w:lineRule="auto"/>
    </w:pPr>
    <w:rPr>
      <w:szCs w:val="20"/>
    </w:rPr>
  </w:style>
  <w:style w:type="character" w:customStyle="1" w:styleId="TextpoznpodarouChar">
    <w:name w:val="Text pozn. pod čarou Char"/>
    <w:aliases w:val="Text pozn. pod čarou_martin_ang Char"/>
    <w:basedOn w:val="Standardnpsmoodstavce"/>
    <w:link w:val="Textpoznpodarou"/>
    <w:locked/>
    <w:rsid w:val="00972263"/>
    <w:rPr>
      <w:rFonts w:ascii="Arial" w:hAnsi="Arial" w:cs="Times New Roman"/>
    </w:rPr>
  </w:style>
  <w:style w:type="character" w:styleId="Znakapoznpodarou">
    <w:name w:val="footnote reference"/>
    <w:basedOn w:val="Standardnpsmoodstavce"/>
    <w:rsid w:val="00972263"/>
    <w:rPr>
      <w:rFonts w:cs="Times New Roman"/>
      <w:vertAlign w:val="superscript"/>
    </w:rPr>
  </w:style>
  <w:style w:type="paragraph" w:styleId="Rozvrendokumentu">
    <w:name w:val="Document Map"/>
    <w:basedOn w:val="Normln"/>
    <w:link w:val="RozvrendokumentuChar"/>
    <w:uiPriority w:val="99"/>
    <w:semiHidden/>
    <w:rsid w:val="00D5626D"/>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locked/>
    <w:rsid w:val="00D5626D"/>
    <w:rPr>
      <w:rFonts w:ascii="Tahoma" w:hAnsi="Tahoma" w:cs="Tahoma"/>
      <w:sz w:val="16"/>
      <w:szCs w:val="16"/>
    </w:rPr>
  </w:style>
  <w:style w:type="character" w:styleId="Siln">
    <w:name w:val="Strong"/>
    <w:basedOn w:val="Standardnpsmoodstavce"/>
    <w:uiPriority w:val="22"/>
    <w:qFormat/>
    <w:rsid w:val="00E921C7"/>
    <w:rPr>
      <w:rFonts w:cs="Times New Roman"/>
      <w:b/>
      <w:bCs/>
    </w:rPr>
  </w:style>
  <w:style w:type="paragraph" w:styleId="Odstavecseseznamem">
    <w:name w:val="List Paragraph"/>
    <w:basedOn w:val="Normln"/>
    <w:uiPriority w:val="34"/>
    <w:qFormat/>
    <w:rsid w:val="0046039A"/>
    <w:pPr>
      <w:ind w:left="708"/>
    </w:pPr>
  </w:style>
  <w:style w:type="table" w:styleId="Mkatabulky">
    <w:name w:val="Table Grid"/>
    <w:basedOn w:val="Normlntabulka"/>
    <w:uiPriority w:val="59"/>
    <w:rsid w:val="000779A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1">
    <w:name w:val="Mřížka tabulky1"/>
    <w:uiPriority w:val="59"/>
    <w:rsid w:val="003D476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mezer">
    <w:name w:val="No Spacing"/>
    <w:qFormat/>
    <w:rsid w:val="007D4281"/>
    <w:pPr>
      <w:jc w:val="both"/>
    </w:pPr>
    <w:rPr>
      <w:rFonts w:ascii="Arial" w:eastAsia="Times New Roman" w:hAnsi="Arial"/>
      <w:szCs w:val="24"/>
    </w:rPr>
  </w:style>
  <w:style w:type="paragraph" w:styleId="Normlnweb">
    <w:name w:val="Normal (Web)"/>
    <w:basedOn w:val="Normln"/>
    <w:uiPriority w:val="99"/>
    <w:semiHidden/>
    <w:locked/>
    <w:rsid w:val="005D4336"/>
    <w:pPr>
      <w:spacing w:before="100" w:beforeAutospacing="1" w:after="100" w:afterAutospacing="1" w:line="240" w:lineRule="auto"/>
    </w:pPr>
    <w:rPr>
      <w:rFonts w:ascii="Times New Roman" w:eastAsia="Times New Roman" w:hAnsi="Times New Roman"/>
      <w:sz w:val="24"/>
    </w:rPr>
  </w:style>
  <w:style w:type="paragraph" w:styleId="Zkladntextodsazen">
    <w:name w:val="Body Text Indent"/>
    <w:basedOn w:val="Normln"/>
    <w:link w:val="ZkladntextodsazenChar"/>
    <w:semiHidden/>
    <w:locked/>
    <w:rsid w:val="00943373"/>
    <w:pPr>
      <w:autoSpaceDE w:val="0"/>
      <w:autoSpaceDN w:val="0"/>
      <w:adjustRightInd w:val="0"/>
      <w:spacing w:line="240" w:lineRule="auto"/>
      <w:ind w:left="720" w:hanging="720"/>
    </w:pPr>
    <w:rPr>
      <w:rFonts w:eastAsia="Times New Roman" w:cs="Arial"/>
      <w:szCs w:val="32"/>
    </w:rPr>
  </w:style>
  <w:style w:type="character" w:customStyle="1" w:styleId="ZkladntextodsazenChar">
    <w:name w:val="Základní text odsazený Char"/>
    <w:basedOn w:val="Standardnpsmoodstavce"/>
    <w:link w:val="Zkladntextodsazen"/>
    <w:semiHidden/>
    <w:rsid w:val="00943373"/>
    <w:rPr>
      <w:rFonts w:ascii="Arial" w:eastAsia="Times New Roman" w:hAnsi="Arial" w:cs="Arial"/>
      <w:szCs w:val="32"/>
    </w:rPr>
  </w:style>
</w:styles>
</file>

<file path=word/webSettings.xml><?xml version="1.0" encoding="utf-8"?>
<w:webSettings xmlns:r="http://schemas.openxmlformats.org/officeDocument/2006/relationships" xmlns:w="http://schemas.openxmlformats.org/wordprocessingml/2006/main">
  <w:divs>
    <w:div w:id="891159435">
      <w:marLeft w:val="0"/>
      <w:marRight w:val="0"/>
      <w:marTop w:val="0"/>
      <w:marBottom w:val="0"/>
      <w:divBdr>
        <w:top w:val="none" w:sz="0" w:space="0" w:color="auto"/>
        <w:left w:val="none" w:sz="0" w:space="0" w:color="auto"/>
        <w:bottom w:val="none" w:sz="0" w:space="0" w:color="auto"/>
        <w:right w:val="none" w:sz="0" w:space="0" w:color="auto"/>
      </w:divBdr>
    </w:div>
    <w:div w:id="891159436">
      <w:marLeft w:val="0"/>
      <w:marRight w:val="0"/>
      <w:marTop w:val="0"/>
      <w:marBottom w:val="0"/>
      <w:divBdr>
        <w:top w:val="none" w:sz="0" w:space="0" w:color="auto"/>
        <w:left w:val="none" w:sz="0" w:space="0" w:color="auto"/>
        <w:bottom w:val="none" w:sz="0" w:space="0" w:color="auto"/>
        <w:right w:val="none" w:sz="0" w:space="0" w:color="auto"/>
      </w:divBdr>
    </w:div>
    <w:div w:id="891159437">
      <w:marLeft w:val="0"/>
      <w:marRight w:val="0"/>
      <w:marTop w:val="0"/>
      <w:marBottom w:val="0"/>
      <w:divBdr>
        <w:top w:val="none" w:sz="0" w:space="0" w:color="auto"/>
        <w:left w:val="none" w:sz="0" w:space="0" w:color="auto"/>
        <w:bottom w:val="none" w:sz="0" w:space="0" w:color="auto"/>
        <w:right w:val="none" w:sz="0" w:space="0" w:color="auto"/>
      </w:divBdr>
    </w:div>
    <w:div w:id="891159438">
      <w:marLeft w:val="0"/>
      <w:marRight w:val="0"/>
      <w:marTop w:val="0"/>
      <w:marBottom w:val="0"/>
      <w:divBdr>
        <w:top w:val="none" w:sz="0" w:space="0" w:color="auto"/>
        <w:left w:val="none" w:sz="0" w:space="0" w:color="auto"/>
        <w:bottom w:val="none" w:sz="0" w:space="0" w:color="auto"/>
        <w:right w:val="none" w:sz="0" w:space="0" w:color="auto"/>
      </w:divBdr>
    </w:div>
    <w:div w:id="891159439">
      <w:marLeft w:val="0"/>
      <w:marRight w:val="0"/>
      <w:marTop w:val="0"/>
      <w:marBottom w:val="0"/>
      <w:divBdr>
        <w:top w:val="none" w:sz="0" w:space="0" w:color="auto"/>
        <w:left w:val="none" w:sz="0" w:space="0" w:color="auto"/>
        <w:bottom w:val="none" w:sz="0" w:space="0" w:color="auto"/>
        <w:right w:val="none" w:sz="0" w:space="0" w:color="auto"/>
      </w:divBdr>
    </w:div>
    <w:div w:id="891159440">
      <w:marLeft w:val="0"/>
      <w:marRight w:val="0"/>
      <w:marTop w:val="0"/>
      <w:marBottom w:val="0"/>
      <w:divBdr>
        <w:top w:val="none" w:sz="0" w:space="0" w:color="auto"/>
        <w:left w:val="none" w:sz="0" w:space="0" w:color="auto"/>
        <w:bottom w:val="none" w:sz="0" w:space="0" w:color="auto"/>
        <w:right w:val="none" w:sz="0" w:space="0" w:color="auto"/>
      </w:divBdr>
    </w:div>
    <w:div w:id="891159441">
      <w:marLeft w:val="0"/>
      <w:marRight w:val="0"/>
      <w:marTop w:val="0"/>
      <w:marBottom w:val="0"/>
      <w:divBdr>
        <w:top w:val="none" w:sz="0" w:space="0" w:color="auto"/>
        <w:left w:val="none" w:sz="0" w:space="0" w:color="auto"/>
        <w:bottom w:val="none" w:sz="0" w:space="0" w:color="auto"/>
        <w:right w:val="none" w:sz="0" w:space="0" w:color="auto"/>
      </w:divBdr>
    </w:div>
    <w:div w:id="891159442">
      <w:marLeft w:val="0"/>
      <w:marRight w:val="0"/>
      <w:marTop w:val="0"/>
      <w:marBottom w:val="0"/>
      <w:divBdr>
        <w:top w:val="none" w:sz="0" w:space="0" w:color="auto"/>
        <w:left w:val="none" w:sz="0" w:space="0" w:color="auto"/>
        <w:bottom w:val="none" w:sz="0" w:space="0" w:color="auto"/>
        <w:right w:val="none" w:sz="0" w:space="0" w:color="auto"/>
      </w:divBdr>
    </w:div>
    <w:div w:id="891159443">
      <w:marLeft w:val="0"/>
      <w:marRight w:val="0"/>
      <w:marTop w:val="0"/>
      <w:marBottom w:val="0"/>
      <w:divBdr>
        <w:top w:val="none" w:sz="0" w:space="0" w:color="auto"/>
        <w:left w:val="none" w:sz="0" w:space="0" w:color="auto"/>
        <w:bottom w:val="none" w:sz="0" w:space="0" w:color="auto"/>
        <w:right w:val="none" w:sz="0" w:space="0" w:color="auto"/>
      </w:divBdr>
    </w:div>
    <w:div w:id="891159444">
      <w:marLeft w:val="0"/>
      <w:marRight w:val="0"/>
      <w:marTop w:val="0"/>
      <w:marBottom w:val="0"/>
      <w:divBdr>
        <w:top w:val="none" w:sz="0" w:space="0" w:color="auto"/>
        <w:left w:val="none" w:sz="0" w:space="0" w:color="auto"/>
        <w:bottom w:val="none" w:sz="0" w:space="0" w:color="auto"/>
        <w:right w:val="none" w:sz="0" w:space="0" w:color="auto"/>
      </w:divBdr>
    </w:div>
    <w:div w:id="891159445">
      <w:marLeft w:val="0"/>
      <w:marRight w:val="0"/>
      <w:marTop w:val="0"/>
      <w:marBottom w:val="0"/>
      <w:divBdr>
        <w:top w:val="none" w:sz="0" w:space="0" w:color="auto"/>
        <w:left w:val="none" w:sz="0" w:space="0" w:color="auto"/>
        <w:bottom w:val="none" w:sz="0" w:space="0" w:color="auto"/>
        <w:right w:val="none" w:sz="0" w:space="0" w:color="auto"/>
      </w:divBdr>
    </w:div>
    <w:div w:id="8911594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OVA~1\AppData\Local\Temp\publikace%20bar_vicetematick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877001-BA4A-4F78-8B56-F6A89E7A7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bar_vicetematicke</Template>
  <TotalTime>2275</TotalTime>
  <Pages>11</Pages>
  <Words>4819</Words>
  <Characters>28084</Characters>
  <Application>Microsoft Office Word</Application>
  <DocSecurity>0</DocSecurity>
  <Lines>234</Lines>
  <Paragraphs>65</Paragraphs>
  <ScaleCrop>false</ScaleCrop>
  <HeadingPairs>
    <vt:vector size="2" baseType="variant">
      <vt:variant>
        <vt:lpstr>Název</vt:lpstr>
      </vt:variant>
      <vt:variant>
        <vt:i4>1</vt:i4>
      </vt:variant>
    </vt:vector>
  </HeadingPairs>
  <TitlesOfParts>
    <vt:vector size="1" baseType="lpstr">
      <vt:lpstr/>
    </vt:vector>
  </TitlesOfParts>
  <Company>CSU</Company>
  <LinksUpToDate>false</LinksUpToDate>
  <CharactersWithSpaces>32838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Emilie Jašová</dc:creator>
  <cp:lastModifiedBy>kucera4376</cp:lastModifiedBy>
  <cp:revision>719</cp:revision>
  <cp:lastPrinted>2015-06-19T06:21:00Z</cp:lastPrinted>
  <dcterms:created xsi:type="dcterms:W3CDTF">2015-12-16T13:30:00Z</dcterms:created>
  <dcterms:modified xsi:type="dcterms:W3CDTF">2016-07-28T11:00:00Z</dcterms:modified>
</cp:coreProperties>
</file>