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0" w:rsidRPr="00BC2192" w:rsidRDefault="00647313" w:rsidP="000531D0">
      <w:pPr>
        <w:pStyle w:val="Nadpis1"/>
      </w:pPr>
      <w:bookmarkStart w:id="0" w:name="_Toc414264324"/>
      <w:bookmarkStart w:id="1" w:name="_Toc457389308"/>
      <w:r>
        <w:t>1</w:t>
      </w:r>
      <w:r w:rsidR="000531D0" w:rsidRPr="00BC2192">
        <w:t xml:space="preserve">. </w:t>
      </w:r>
      <w:bookmarkEnd w:id="0"/>
      <w:r w:rsidR="000531D0" w:rsidRPr="00BC2192">
        <w:t>Shrnutí</w:t>
      </w:r>
      <w:bookmarkEnd w:id="1"/>
    </w:p>
    <w:p w:rsidR="000531D0" w:rsidRPr="007E1D89" w:rsidRDefault="00EF542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7E1D89">
        <w:rPr>
          <w:lang w:eastAsia="ar-SA"/>
        </w:rPr>
        <w:t xml:space="preserve">Ekonomika </w:t>
      </w:r>
      <w:r w:rsidR="00FB2EAA" w:rsidRPr="007E1D89">
        <w:rPr>
          <w:lang w:eastAsia="ar-SA"/>
        </w:rPr>
        <w:t>ČR</w:t>
      </w:r>
      <w:r w:rsidR="000531D0" w:rsidRPr="007E1D89">
        <w:rPr>
          <w:lang w:eastAsia="ar-SA"/>
        </w:rPr>
        <w:t xml:space="preserve"> vloni navázala na úspěšný rok 2014 a dále rostla. I díky mimořádným faktorům (dočerpávání peněz z fondů EU, propad cen ropy na světovém trhu) se jí dařilo nejvíce od</w:t>
      </w:r>
      <w:r w:rsidRPr="007E1D89">
        <w:rPr>
          <w:lang w:eastAsia="ar-SA"/>
        </w:rPr>
        <w:t> </w:t>
      </w:r>
      <w:r w:rsidR="000531D0" w:rsidRPr="007E1D89">
        <w:rPr>
          <w:lang w:eastAsia="ar-SA"/>
        </w:rPr>
        <w:t>období konjunktury ve druhé polovině předešlé dekády. Meziroční tempo růstu hrubého domácího produktu</w:t>
      </w:r>
      <w:r w:rsidR="000531D0" w:rsidRPr="007E1D89">
        <w:rPr>
          <w:rStyle w:val="Znakapoznpodarou"/>
          <w:lang w:eastAsia="ar-SA"/>
        </w:rPr>
        <w:footnoteReference w:id="1"/>
      </w:r>
      <w:r w:rsidR="000531D0" w:rsidRPr="007E1D89">
        <w:rPr>
          <w:lang w:eastAsia="ar-SA"/>
        </w:rPr>
        <w:t xml:space="preserve"> (HDP, +4,5 %) bylo nejvyšší za posledních osm let, nárůst hrubé přidané hodnoty (HPH, +3,9</w:t>
      </w:r>
      <w:r w:rsidRPr="007E1D89">
        <w:rPr>
          <w:lang w:eastAsia="ar-SA"/>
        </w:rPr>
        <w:t> </w:t>
      </w:r>
      <w:r w:rsidR="000531D0" w:rsidRPr="007E1D89">
        <w:rPr>
          <w:lang w:eastAsia="ar-SA"/>
        </w:rPr>
        <w:t xml:space="preserve">%) rovněž. V Evropské unii se z hlediska dynamiky HDP mezi úspěšnější </w:t>
      </w:r>
      <w:r w:rsidR="006F489F">
        <w:rPr>
          <w:lang w:eastAsia="ar-SA"/>
        </w:rPr>
        <w:t>ekonomiky řadily pouze Irsko (+26,3</w:t>
      </w:r>
      <w:r w:rsidR="000531D0" w:rsidRPr="007E1D89">
        <w:rPr>
          <w:lang w:eastAsia="ar-SA"/>
        </w:rPr>
        <w:t> %), Malta (+6,4 %) a Lucembursko (+4,8 %). V porovnání s přírůstkem HDP celé Unie (+2,0 %) byl tuzemský růst více než dvojnásobný a projevil se v pokračující reálné konvergenci české ekonomiky k průměrné úrovni tohoto hospodářského celku. Zatímco v roce 2012 se HDP na obyvatele v paritě kupní síly v ČR rovnal 82 % průměru zemí EU, vloni již 85 %. Z no</w:t>
      </w:r>
      <w:r w:rsidR="00D33B78">
        <w:rPr>
          <w:lang w:eastAsia="ar-SA"/>
        </w:rPr>
        <w:t>vějších</w:t>
      </w:r>
      <w:r w:rsidR="000531D0" w:rsidRPr="007E1D89">
        <w:rPr>
          <w:lang w:eastAsia="ar-SA"/>
        </w:rPr>
        <w:t xml:space="preserve"> členských zemí</w:t>
      </w:r>
      <w:r w:rsidR="007E1D89">
        <w:rPr>
          <w:lang w:eastAsia="ar-SA"/>
        </w:rPr>
        <w:t xml:space="preserve"> (vstupujících do EU </w:t>
      </w:r>
      <w:r w:rsidR="00FA5B57">
        <w:rPr>
          <w:lang w:eastAsia="ar-SA"/>
        </w:rPr>
        <w:t>po roce 2000</w:t>
      </w:r>
      <w:r w:rsidR="007E1D89">
        <w:rPr>
          <w:lang w:eastAsia="ar-SA"/>
        </w:rPr>
        <w:t>)</w:t>
      </w:r>
      <w:r w:rsidR="000531D0" w:rsidRPr="007E1D89">
        <w:rPr>
          <w:lang w:eastAsia="ar-SA"/>
        </w:rPr>
        <w:t xml:space="preserve"> dosahovala vyšší ekonomické </w:t>
      </w:r>
      <w:r w:rsidR="007E1D89" w:rsidRPr="007E1D89">
        <w:rPr>
          <w:lang w:eastAsia="ar-SA"/>
        </w:rPr>
        <w:t>výkonnosti</w:t>
      </w:r>
      <w:r w:rsidR="000531D0" w:rsidRPr="007E1D89">
        <w:rPr>
          <w:lang w:eastAsia="ar-SA"/>
        </w:rPr>
        <w:t xml:space="preserve"> jen Malta, v rámci celé osmadvacítky patřila Česku patnáctá příčka. V </w:t>
      </w:r>
      <w:r w:rsidR="007E1D89" w:rsidRPr="007E1D89">
        <w:rPr>
          <w:lang w:eastAsia="ar-SA"/>
        </w:rPr>
        <w:t>obou srovnáních (v rámci nov</w:t>
      </w:r>
      <w:r w:rsidR="00D33B78">
        <w:rPr>
          <w:lang w:eastAsia="ar-SA"/>
        </w:rPr>
        <w:t>ějších</w:t>
      </w:r>
      <w:r w:rsidR="007E1D89" w:rsidRPr="007E1D89">
        <w:rPr>
          <w:lang w:eastAsia="ar-SA"/>
        </w:rPr>
        <w:t xml:space="preserve"> členských zemí i</w:t>
      </w:r>
      <w:r w:rsidR="00D33B78">
        <w:rPr>
          <w:lang w:eastAsia="ar-SA"/>
        </w:rPr>
        <w:t> </w:t>
      </w:r>
      <w:r w:rsidR="007E1D89" w:rsidRPr="007E1D89">
        <w:rPr>
          <w:lang w:eastAsia="ar-SA"/>
        </w:rPr>
        <w:t>celé EU)</w:t>
      </w:r>
      <w:r w:rsidR="005E214F" w:rsidRPr="007E1D89">
        <w:rPr>
          <w:lang w:eastAsia="ar-SA"/>
        </w:rPr>
        <w:t xml:space="preserve"> naše ekonomika potvrdila svoji</w:t>
      </w:r>
      <w:r w:rsidR="000531D0" w:rsidRPr="007E1D89">
        <w:rPr>
          <w:lang w:eastAsia="ar-SA"/>
        </w:rPr>
        <w:t xml:space="preserve"> pozici z roku 2014, která byla dosud historicky nejlepší.</w:t>
      </w:r>
    </w:p>
    <w:p w:rsidR="000531D0" w:rsidRPr="007E1D89" w:rsidRDefault="000531D0" w:rsidP="000531D0">
      <w:pPr>
        <w:pStyle w:val="Textpoznpodarou"/>
        <w:ind w:left="68"/>
        <w:jc w:val="both"/>
        <w:rPr>
          <w:sz w:val="16"/>
          <w:szCs w:val="16"/>
          <w:lang w:eastAsia="ar-SA"/>
        </w:rPr>
      </w:pPr>
    </w:p>
    <w:p w:rsidR="000531D0" w:rsidRPr="00EF5420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EF5420">
        <w:rPr>
          <w:lang w:eastAsia="ar-SA"/>
        </w:rPr>
        <w:t>Na růstu národního hospodářství se v loňském roce – stejně jako v roce 2014 – podílely všechny klíčové složky domácí poptávky</w:t>
      </w:r>
      <w:r w:rsidR="001205E9" w:rsidRPr="00EF5420">
        <w:rPr>
          <w:rStyle w:val="Znakapoznpodarou"/>
          <w:lang w:eastAsia="ar-SA"/>
        </w:rPr>
        <w:footnoteReference w:id="2"/>
      </w:r>
      <w:r w:rsidRPr="00EF5420">
        <w:rPr>
          <w:lang w:eastAsia="ar-SA"/>
        </w:rPr>
        <w:t xml:space="preserve">. V rámci zahraničního obchodu přispěly pozitivně pouze služby, přebytek obchodu se zbožím byl nižší než před rokem. Hlavním zdrojem byly dynamicky rostoucí investice (tvorba hrubého fixního kapitálu, +2,3 </w:t>
      </w:r>
      <w:proofErr w:type="spellStart"/>
      <w:proofErr w:type="gramStart"/>
      <w:r w:rsidRPr="00EF5420">
        <w:rPr>
          <w:lang w:eastAsia="ar-SA"/>
        </w:rPr>
        <w:t>p.b</w:t>
      </w:r>
      <w:proofErr w:type="spellEnd"/>
      <w:r w:rsidRPr="00EF5420">
        <w:rPr>
          <w:lang w:eastAsia="ar-SA"/>
        </w:rPr>
        <w:t>.) a váhově</w:t>
      </w:r>
      <w:proofErr w:type="gramEnd"/>
      <w:r w:rsidRPr="00EF5420">
        <w:rPr>
          <w:lang w:eastAsia="ar-SA"/>
        </w:rPr>
        <w:t xml:space="preserve"> významné výdaje na konečnou spotřebu domácností (+1,5 </w:t>
      </w:r>
      <w:proofErr w:type="spellStart"/>
      <w:r w:rsidRPr="00EF5420">
        <w:rPr>
          <w:lang w:eastAsia="ar-SA"/>
        </w:rPr>
        <w:t>p.b</w:t>
      </w:r>
      <w:proofErr w:type="spellEnd"/>
      <w:r w:rsidRPr="00EF5420">
        <w:rPr>
          <w:lang w:eastAsia="ar-SA"/>
        </w:rPr>
        <w:t xml:space="preserve">.). Strana nabídky byla pozitivně ovlivněna především pro-exportně orientovaným </w:t>
      </w:r>
      <w:r w:rsidRPr="00EF5420">
        <w:rPr>
          <w:spacing w:val="-2"/>
          <w:lang w:eastAsia="ar-SA"/>
        </w:rPr>
        <w:t>zpracovatelským průmyslem (+2,1 </w:t>
      </w:r>
      <w:proofErr w:type="spellStart"/>
      <w:proofErr w:type="gramStart"/>
      <w:r w:rsidRPr="00EF5420">
        <w:rPr>
          <w:spacing w:val="-2"/>
          <w:lang w:eastAsia="ar-SA"/>
        </w:rPr>
        <w:t>p.b</w:t>
      </w:r>
      <w:proofErr w:type="spellEnd"/>
      <w:r w:rsidRPr="00EF5420">
        <w:rPr>
          <w:spacing w:val="-2"/>
          <w:lang w:eastAsia="ar-SA"/>
        </w:rPr>
        <w:t>.) a službami</w:t>
      </w:r>
      <w:proofErr w:type="gramEnd"/>
      <w:r w:rsidRPr="00EF5420">
        <w:rPr>
          <w:spacing w:val="-2"/>
          <w:lang w:eastAsia="ar-SA"/>
        </w:rPr>
        <w:t xml:space="preserve"> (+2,2 </w:t>
      </w:r>
      <w:proofErr w:type="spellStart"/>
      <w:r w:rsidRPr="00EF5420">
        <w:rPr>
          <w:spacing w:val="-2"/>
          <w:lang w:eastAsia="ar-SA"/>
        </w:rPr>
        <w:t>p.b</w:t>
      </w:r>
      <w:proofErr w:type="spellEnd"/>
      <w:r w:rsidRPr="00EF5420">
        <w:rPr>
          <w:spacing w:val="-2"/>
          <w:lang w:eastAsia="ar-SA"/>
        </w:rPr>
        <w:t>.). Z dvaceti hlavních</w:t>
      </w:r>
      <w:r w:rsidRPr="00EF5420">
        <w:rPr>
          <w:lang w:eastAsia="ar-SA"/>
        </w:rPr>
        <w:t xml:space="preserve"> odvětvových uskupení se vloni dařilo čtrnácti oborům, v předchozím roce třinácti. Z odvětví </w:t>
      </w:r>
      <w:r w:rsidR="00DF55AB">
        <w:rPr>
          <w:lang w:eastAsia="ar-SA"/>
        </w:rPr>
        <w:t>služeb se hrubá přidaná hodnota</w:t>
      </w:r>
      <w:r w:rsidRPr="00EF5420">
        <w:rPr>
          <w:lang w:eastAsia="ar-SA"/>
        </w:rPr>
        <w:t xml:space="preserve"> snížila pouze v dopravě a skladování</w:t>
      </w:r>
      <w:r w:rsidRPr="00EF5420">
        <w:rPr>
          <w:lang w:val="en-US" w:eastAsia="ar-SA"/>
        </w:rPr>
        <w:t>;</w:t>
      </w:r>
      <w:r w:rsidRPr="00EF5420">
        <w:rPr>
          <w:lang w:eastAsia="ar-SA"/>
        </w:rPr>
        <w:t xml:space="preserve"> peněžnictví a pojišťovnictví</w:t>
      </w:r>
      <w:r w:rsidRPr="00EF5420">
        <w:rPr>
          <w:lang w:val="en-US" w:eastAsia="ar-SA"/>
        </w:rPr>
        <w:t xml:space="preserve">; </w:t>
      </w:r>
      <w:r w:rsidRPr="00EF5420">
        <w:rPr>
          <w:lang w:eastAsia="ar-SA"/>
        </w:rPr>
        <w:t xml:space="preserve">ostatních </w:t>
      </w:r>
      <w:proofErr w:type="gramStart"/>
      <w:r w:rsidRPr="00EF5420">
        <w:rPr>
          <w:lang w:eastAsia="ar-SA"/>
        </w:rPr>
        <w:t>činnostech</w:t>
      </w:r>
      <w:proofErr w:type="gramEnd"/>
      <w:r w:rsidRPr="00EF5420">
        <w:rPr>
          <w:lang w:eastAsia="ar-SA"/>
        </w:rPr>
        <w:t>. Do poklesu se vrátila těžba a</w:t>
      </w:r>
      <w:r w:rsidR="00EF5420">
        <w:rPr>
          <w:lang w:eastAsia="ar-SA"/>
        </w:rPr>
        <w:t> </w:t>
      </w:r>
      <w:r w:rsidRPr="00EF5420">
        <w:rPr>
          <w:lang w:eastAsia="ar-SA"/>
        </w:rPr>
        <w:t>dobývání, nedařilo se ani energetice.</w:t>
      </w:r>
    </w:p>
    <w:p w:rsidR="000531D0" w:rsidRPr="007E1D89" w:rsidRDefault="000531D0" w:rsidP="000531D0">
      <w:pPr>
        <w:pStyle w:val="Textpoznpodarou"/>
        <w:jc w:val="both"/>
        <w:rPr>
          <w:sz w:val="14"/>
          <w:szCs w:val="14"/>
          <w:lang w:eastAsia="ar-SA"/>
        </w:rPr>
      </w:pPr>
    </w:p>
    <w:p w:rsidR="000531D0" w:rsidRPr="00FB2EAA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FB2EAA">
        <w:rPr>
          <w:spacing w:val="-4"/>
          <w:lang w:eastAsia="ar-SA"/>
        </w:rPr>
        <w:t>Ve struktuře investic, které stouply o 9,0 %, dominovaly z hlediska dynamiky i podílu na hospodářském růstu investice do ostatních budov a staveb. Jejich nárůst o osminu (+12,6 %, nejvyšší od poloviny devadesátých let) souvisel především s dočerpáváním evropských fondů a s tím spojeným mohutným nárůstem investic vládních institucí (+30,1 % nominálně). Objemově nejvýznamnější investice nefinančních podniků, tvořící dlouhodobě zhruba tři pětiny celkových investic, stouply v nominálním vyjádření o 5,4 %.</w:t>
      </w:r>
    </w:p>
    <w:p w:rsidR="000531D0" w:rsidRPr="007E1D89" w:rsidRDefault="000531D0" w:rsidP="000531D0">
      <w:pPr>
        <w:rPr>
          <w:sz w:val="16"/>
          <w:szCs w:val="16"/>
          <w:lang w:eastAsia="ar-SA"/>
        </w:rPr>
      </w:pPr>
    </w:p>
    <w:p w:rsidR="000531D0" w:rsidRPr="007708DF" w:rsidRDefault="00376CBB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7708DF">
        <w:rPr>
          <w:spacing w:val="-2"/>
          <w:lang w:eastAsia="ar-SA"/>
        </w:rPr>
        <w:t>Nárůst počtu zaměstnanců</w:t>
      </w:r>
      <w:r w:rsidR="000531D0" w:rsidRPr="007708DF">
        <w:rPr>
          <w:spacing w:val="-2"/>
          <w:lang w:eastAsia="ar-SA"/>
        </w:rPr>
        <w:t xml:space="preserve"> i průměrné mzdy se odrazily v meziročně vyšším objemu mezd a platů náležících domácnostem (+64,0 mld. korun nominálně)</w:t>
      </w:r>
      <w:r w:rsidR="007708DF" w:rsidRPr="007708DF">
        <w:rPr>
          <w:spacing w:val="-2"/>
          <w:lang w:eastAsia="ar-SA"/>
        </w:rPr>
        <w:t>. Byly tak hlavním faktorem růstu hrubého</w:t>
      </w:r>
      <w:r w:rsidR="000531D0" w:rsidRPr="007708DF">
        <w:rPr>
          <w:spacing w:val="-2"/>
          <w:lang w:eastAsia="ar-SA"/>
        </w:rPr>
        <w:t xml:space="preserve"> disponibilní</w:t>
      </w:r>
      <w:r w:rsidR="007708DF" w:rsidRPr="007708DF">
        <w:rPr>
          <w:spacing w:val="-2"/>
          <w:lang w:eastAsia="ar-SA"/>
        </w:rPr>
        <w:t>ho</w:t>
      </w:r>
      <w:r w:rsidR="000531D0" w:rsidRPr="007708DF">
        <w:rPr>
          <w:spacing w:val="-2"/>
          <w:lang w:eastAsia="ar-SA"/>
        </w:rPr>
        <w:t xml:space="preserve"> důchod</w:t>
      </w:r>
      <w:r w:rsidR="007708DF" w:rsidRPr="007708DF">
        <w:rPr>
          <w:spacing w:val="-2"/>
          <w:lang w:eastAsia="ar-SA"/>
        </w:rPr>
        <w:t>u</w:t>
      </w:r>
      <w:r w:rsidR="000531D0" w:rsidRPr="007708DF">
        <w:rPr>
          <w:spacing w:val="-2"/>
          <w:lang w:eastAsia="ar-SA"/>
        </w:rPr>
        <w:t xml:space="preserve"> domácností </w:t>
      </w:r>
      <w:r w:rsidR="007708DF" w:rsidRPr="007708DF">
        <w:rPr>
          <w:spacing w:val="-2"/>
          <w:lang w:eastAsia="ar-SA"/>
        </w:rPr>
        <w:t>(+</w:t>
      </w:r>
      <w:r w:rsidR="000531D0" w:rsidRPr="007708DF">
        <w:rPr>
          <w:spacing w:val="-2"/>
          <w:lang w:eastAsia="ar-SA"/>
        </w:rPr>
        <w:t>77,4 mld. korun</w:t>
      </w:r>
      <w:r w:rsidR="007708DF" w:rsidRPr="007708DF">
        <w:rPr>
          <w:spacing w:val="-2"/>
          <w:lang w:eastAsia="ar-SA"/>
        </w:rPr>
        <w:t>)</w:t>
      </w:r>
      <w:r w:rsidR="000531D0" w:rsidRPr="007708DF">
        <w:rPr>
          <w:spacing w:val="-2"/>
          <w:lang w:eastAsia="ar-SA"/>
        </w:rPr>
        <w:t>. V reálném vyjádření</w:t>
      </w:r>
      <w:r w:rsidR="005E214F" w:rsidRPr="007708DF">
        <w:rPr>
          <w:spacing w:val="-2"/>
          <w:lang w:eastAsia="ar-SA"/>
        </w:rPr>
        <w:t xml:space="preserve"> (při zohlednění vývoje cen výdajů na konečnou spotřebu domácností)</w:t>
      </w:r>
      <w:r w:rsidR="000531D0" w:rsidRPr="007708DF">
        <w:rPr>
          <w:spacing w:val="-2"/>
          <w:lang w:eastAsia="ar-SA"/>
        </w:rPr>
        <w:t xml:space="preserve"> byl hrubý disponibilní důchod o 3,3 % vyšší než před</w:t>
      </w:r>
      <w:r w:rsidR="00DF55AB" w:rsidRPr="007708DF">
        <w:rPr>
          <w:spacing w:val="-2"/>
          <w:lang w:eastAsia="ar-SA"/>
        </w:rPr>
        <w:t> </w:t>
      </w:r>
      <w:r w:rsidR="000531D0" w:rsidRPr="007708DF">
        <w:rPr>
          <w:spacing w:val="-2"/>
          <w:lang w:eastAsia="ar-SA"/>
        </w:rPr>
        <w:t xml:space="preserve">rokem. Domácnosti se nebály prostředky utrácet, což dokresluje i míra úspor (12,0 %), která meziročně fakticky stagnovala, avšak </w:t>
      </w:r>
      <w:r w:rsidR="007708DF">
        <w:rPr>
          <w:spacing w:val="-2"/>
          <w:lang w:eastAsia="ar-SA"/>
        </w:rPr>
        <w:t>o</w:t>
      </w:r>
      <w:r w:rsidR="000531D0" w:rsidRPr="007708DF">
        <w:rPr>
          <w:spacing w:val="-2"/>
          <w:lang w:eastAsia="ar-SA"/>
        </w:rPr>
        <w:t>proti</w:t>
      </w:r>
      <w:r w:rsidR="007708DF">
        <w:rPr>
          <w:spacing w:val="-2"/>
          <w:lang w:eastAsia="ar-SA"/>
        </w:rPr>
        <w:t xml:space="preserve"> krizovému</w:t>
      </w:r>
      <w:r w:rsidR="000531D0" w:rsidRPr="007708DF">
        <w:rPr>
          <w:spacing w:val="-2"/>
          <w:lang w:eastAsia="ar-SA"/>
        </w:rPr>
        <w:t xml:space="preserve"> roku 2009 (13,5 %) byla výrazně nižší. Výdaje na</w:t>
      </w:r>
      <w:r w:rsidR="00DF55AB" w:rsidRPr="007708DF">
        <w:rPr>
          <w:spacing w:val="-2"/>
          <w:lang w:eastAsia="ar-SA"/>
        </w:rPr>
        <w:t> </w:t>
      </w:r>
      <w:r w:rsidR="000531D0" w:rsidRPr="007708DF">
        <w:rPr>
          <w:spacing w:val="-2"/>
          <w:lang w:eastAsia="ar-SA"/>
        </w:rPr>
        <w:t xml:space="preserve">konečnou spotřebu stouply o 3,1 % – šlo o nejsilnější přírůstek spotřeby domácností od roku 2007, přitom již druhým rokem </w:t>
      </w:r>
      <w:r w:rsidR="000531D0" w:rsidRPr="007708DF">
        <w:rPr>
          <w:spacing w:val="-4"/>
          <w:lang w:eastAsia="ar-SA"/>
        </w:rPr>
        <w:t>se zvyšovaly výdaje na předměty dlouhodobé, střednědobé i krátkodobé spotřeby a</w:t>
      </w:r>
      <w:r w:rsidR="00EF5420" w:rsidRPr="007708DF">
        <w:rPr>
          <w:spacing w:val="-4"/>
          <w:lang w:eastAsia="ar-SA"/>
        </w:rPr>
        <w:t> </w:t>
      </w:r>
      <w:r w:rsidR="000531D0" w:rsidRPr="007708DF">
        <w:rPr>
          <w:spacing w:val="-4"/>
          <w:lang w:eastAsia="ar-SA"/>
        </w:rPr>
        <w:t>rovněž výdaje na</w:t>
      </w:r>
      <w:r w:rsidR="000531D0" w:rsidRPr="007708DF">
        <w:rPr>
          <w:spacing w:val="-2"/>
          <w:lang w:eastAsia="ar-SA"/>
        </w:rPr>
        <w:t xml:space="preserve"> služby.</w:t>
      </w:r>
    </w:p>
    <w:p w:rsidR="00EF5420" w:rsidRPr="007E1D89" w:rsidRDefault="00EF5420" w:rsidP="00EF5420">
      <w:pPr>
        <w:pStyle w:val="Textpoznpodarou"/>
        <w:jc w:val="both"/>
        <w:rPr>
          <w:sz w:val="16"/>
          <w:szCs w:val="16"/>
          <w:lang w:eastAsia="ar-SA"/>
        </w:rPr>
      </w:pPr>
    </w:p>
    <w:p w:rsidR="00FB2EAA" w:rsidRPr="00FB2EAA" w:rsidRDefault="00FB2EAA" w:rsidP="00FB2EA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FB2EAA">
        <w:rPr>
          <w:lang w:eastAsia="ar-SA"/>
        </w:rPr>
        <w:t xml:space="preserve">Na trhu práce převažovaly v roce 2015 pozitivní tendence. Sílící ekonomika </w:t>
      </w:r>
      <w:r w:rsidR="00325B20">
        <w:rPr>
          <w:lang w:eastAsia="ar-SA"/>
        </w:rPr>
        <w:t>vytvářela</w:t>
      </w:r>
      <w:r w:rsidRPr="00FB2EAA">
        <w:rPr>
          <w:lang w:eastAsia="ar-SA"/>
        </w:rPr>
        <w:t xml:space="preserve"> nová pracovní místa, což vyústilo v nejvyšší meziroční růst celkové zaměstnanosti (o 1,4 %) po roce 2008. Práci mělo nejvíce lidí v historii samostatné ČR. Více než 3% tempem rostla zaměstnanost ve zpracovatelském průmyslu, zejména vlivem výroby dopravních prostředků a na ně navázaných oborů. Dařilo se však i</w:t>
      </w:r>
      <w:r w:rsidR="002B7590">
        <w:rPr>
          <w:lang w:eastAsia="ar-SA"/>
        </w:rPr>
        <w:t> </w:t>
      </w:r>
      <w:r w:rsidRPr="00FB2EAA">
        <w:rPr>
          <w:lang w:eastAsia="ar-SA"/>
        </w:rPr>
        <w:t xml:space="preserve">většině odvětví ve službách – profesní, vědecké, technické a administrativní činnosti zaznamenaly v úhrnu nejvyšší růst za posledních osm let. Tendence přechodu </w:t>
      </w:r>
      <w:proofErr w:type="spellStart"/>
      <w:r w:rsidRPr="00FB2EAA">
        <w:rPr>
          <w:lang w:eastAsia="ar-SA"/>
        </w:rPr>
        <w:t>sebezaměstnaných</w:t>
      </w:r>
      <w:proofErr w:type="spellEnd"/>
      <w:r w:rsidRPr="00FB2EAA">
        <w:rPr>
          <w:lang w:eastAsia="ar-SA"/>
        </w:rPr>
        <w:t xml:space="preserve"> do</w:t>
      </w:r>
      <w:r w:rsidR="002B7590">
        <w:rPr>
          <w:lang w:eastAsia="ar-SA"/>
        </w:rPr>
        <w:t> </w:t>
      </w:r>
      <w:r w:rsidRPr="00FB2EAA">
        <w:rPr>
          <w:lang w:eastAsia="ar-SA"/>
        </w:rPr>
        <w:t xml:space="preserve">zaměstnaneckých pozic pokračovala a projevila se nejvíce ve zpracovatelském průmyslu. </w:t>
      </w:r>
    </w:p>
    <w:p w:rsidR="00FB2EAA" w:rsidRPr="007E1D89" w:rsidRDefault="00FB2EAA" w:rsidP="00FB2EAA">
      <w:pPr>
        <w:pStyle w:val="Odstavecseseznamem"/>
        <w:ind w:left="0"/>
        <w:rPr>
          <w:spacing w:val="-2"/>
          <w:sz w:val="16"/>
          <w:szCs w:val="16"/>
          <w:lang w:eastAsia="ar-SA"/>
        </w:rPr>
      </w:pPr>
    </w:p>
    <w:p w:rsidR="00FB2EAA" w:rsidRPr="009A3BB2" w:rsidRDefault="00FB2EAA" w:rsidP="00FB2EAA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9A3BB2">
        <w:rPr>
          <w:spacing w:val="-2"/>
          <w:lang w:eastAsia="ar-SA"/>
        </w:rPr>
        <w:t>Růst hodinové produktivity práce</w:t>
      </w:r>
      <w:r w:rsidR="00B03E79" w:rsidRPr="009A3BB2">
        <w:rPr>
          <w:spacing w:val="-2"/>
          <w:lang w:eastAsia="ar-SA"/>
        </w:rPr>
        <w:t xml:space="preserve"> vyjádřené poměrem </w:t>
      </w:r>
      <w:r w:rsidR="009A3BB2" w:rsidRPr="009A3BB2">
        <w:rPr>
          <w:spacing w:val="-2"/>
          <w:lang w:eastAsia="ar-SA"/>
        </w:rPr>
        <w:t>HPH</w:t>
      </w:r>
      <w:r w:rsidR="00B03E79" w:rsidRPr="009A3BB2">
        <w:rPr>
          <w:spacing w:val="-2"/>
          <w:lang w:eastAsia="ar-SA"/>
        </w:rPr>
        <w:t xml:space="preserve"> a celkového počtu odpracovaných hodin</w:t>
      </w:r>
      <w:r w:rsidRPr="009A3BB2">
        <w:rPr>
          <w:spacing w:val="-2"/>
          <w:lang w:eastAsia="ar-SA"/>
        </w:rPr>
        <w:t xml:space="preserve"> zrychlil na 3,8 % a docílil nejvyššího meziročního tempa za posledních osm let</w:t>
      </w:r>
      <w:r w:rsidR="003E4F5C" w:rsidRPr="009A3BB2">
        <w:rPr>
          <w:spacing w:val="-2"/>
          <w:lang w:eastAsia="ar-SA"/>
        </w:rPr>
        <w:t>.</w:t>
      </w:r>
      <w:r w:rsidRPr="009A3BB2">
        <w:rPr>
          <w:spacing w:val="-2"/>
          <w:lang w:eastAsia="ar-SA"/>
        </w:rPr>
        <w:t xml:space="preserve"> Z významnějších oborů se produktivita snížila jen v energetice, dopravě a skladování. </w:t>
      </w:r>
      <w:r w:rsidR="001606CF" w:rsidRPr="009A3BB2">
        <w:rPr>
          <w:spacing w:val="-2"/>
          <w:lang w:eastAsia="ar-SA"/>
        </w:rPr>
        <w:t>Produktivita (přepočtená</w:t>
      </w:r>
      <w:r w:rsidRPr="009A3BB2">
        <w:rPr>
          <w:spacing w:val="-2"/>
          <w:lang w:eastAsia="ar-SA"/>
        </w:rPr>
        <w:t xml:space="preserve"> dle parity kupní síly) činila 74 % úrovně EU a řadila </w:t>
      </w:r>
      <w:r w:rsidR="009A3BB2" w:rsidRPr="009A3BB2">
        <w:rPr>
          <w:spacing w:val="-2"/>
          <w:lang w:eastAsia="ar-SA"/>
        </w:rPr>
        <w:t>ČR</w:t>
      </w:r>
      <w:r w:rsidRPr="009A3BB2">
        <w:rPr>
          <w:spacing w:val="-2"/>
          <w:lang w:eastAsia="ar-SA"/>
        </w:rPr>
        <w:t xml:space="preserve"> v pořadí členských zemí za</w:t>
      </w:r>
      <w:r w:rsidR="001606CF" w:rsidRPr="009A3BB2">
        <w:rPr>
          <w:spacing w:val="-2"/>
          <w:lang w:eastAsia="ar-SA"/>
        </w:rPr>
        <w:t> Slovensko i Slovinsko</w:t>
      </w:r>
      <w:r w:rsidRPr="009A3BB2">
        <w:rPr>
          <w:spacing w:val="-2"/>
          <w:lang w:eastAsia="ar-SA"/>
        </w:rPr>
        <w:t xml:space="preserve"> na sedmnácté místo.</w:t>
      </w:r>
    </w:p>
    <w:p w:rsidR="00FB2EAA" w:rsidRPr="007E1D89" w:rsidRDefault="00FB2EAA" w:rsidP="00B03E79">
      <w:pPr>
        <w:pStyle w:val="Textpoznpodarou"/>
        <w:ind w:left="68"/>
        <w:jc w:val="both"/>
        <w:rPr>
          <w:sz w:val="16"/>
          <w:szCs w:val="16"/>
          <w:lang w:eastAsia="ar-SA"/>
        </w:rPr>
      </w:pPr>
    </w:p>
    <w:p w:rsidR="00FB2EAA" w:rsidRPr="00AB2FD6" w:rsidRDefault="00FB2EAA" w:rsidP="00FB2EAA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FB2EAA">
        <w:rPr>
          <w:lang w:eastAsia="ar-SA"/>
        </w:rPr>
        <w:t>Obecná míra nezaměstnanosti nadále klesala, na sklonku roku se nacházela nejníže od listopadu 2008 a Česko tak v rámci zemí EU atakovalo pozici země s nejnižší mírou nezaměstnanosti. Nabídka volných pozic prostředni</w:t>
      </w:r>
      <w:r w:rsidR="00205DF4">
        <w:rPr>
          <w:lang w:eastAsia="ar-SA"/>
        </w:rPr>
        <w:t>ctvím úřadů práce překonala 100</w:t>
      </w:r>
      <w:r w:rsidRPr="00FB2EAA">
        <w:rPr>
          <w:lang w:eastAsia="ar-SA"/>
        </w:rPr>
        <w:t xml:space="preserve">tis. hranici, největší šanci na uplatnění měli kvalifikovaní manuální pracovníci, v některých regionech </w:t>
      </w:r>
      <w:r w:rsidR="00963BC7">
        <w:rPr>
          <w:lang w:eastAsia="ar-SA"/>
        </w:rPr>
        <w:t>se</w:t>
      </w:r>
      <w:r w:rsidRPr="00FB2EAA">
        <w:rPr>
          <w:lang w:eastAsia="ar-SA"/>
        </w:rPr>
        <w:t xml:space="preserve"> </w:t>
      </w:r>
      <w:r w:rsidR="00963BC7" w:rsidRPr="00FB2EAA">
        <w:rPr>
          <w:lang w:eastAsia="ar-SA"/>
        </w:rPr>
        <w:t>poměr uchazečů</w:t>
      </w:r>
      <w:r w:rsidR="00963BC7">
        <w:rPr>
          <w:lang w:eastAsia="ar-SA"/>
        </w:rPr>
        <w:t xml:space="preserve"> a</w:t>
      </w:r>
      <w:r w:rsidR="00963BC7" w:rsidRPr="00FB2EAA">
        <w:rPr>
          <w:lang w:eastAsia="ar-SA"/>
        </w:rPr>
        <w:t xml:space="preserve"> </w:t>
      </w:r>
      <w:r w:rsidR="00963BC7">
        <w:rPr>
          <w:lang w:eastAsia="ar-SA"/>
        </w:rPr>
        <w:t>nabízených pozic</w:t>
      </w:r>
      <w:r w:rsidRPr="00FB2EAA">
        <w:rPr>
          <w:lang w:eastAsia="ar-SA"/>
        </w:rPr>
        <w:t xml:space="preserve"> již </w:t>
      </w:r>
      <w:r w:rsidR="00963BC7">
        <w:rPr>
          <w:lang w:eastAsia="ar-SA"/>
        </w:rPr>
        <w:t>blížil jedné</w:t>
      </w:r>
      <w:r w:rsidRPr="00FB2EAA">
        <w:rPr>
          <w:lang w:eastAsia="ar-SA"/>
        </w:rPr>
        <w:t xml:space="preserve">. Nadále existoval významný územní i vzdělanostní (resp. kvalifikační) nesoulad mezi </w:t>
      </w:r>
      <w:r w:rsidRPr="00FB2EAA">
        <w:rPr>
          <w:lang w:eastAsia="ar-SA"/>
        </w:rPr>
        <w:lastRenderedPageBreak/>
        <w:t>nabízenými volnými pozicemi a registrovanými uchazeči o zaměstnání. Déle než dva roky bylo bez</w:t>
      </w:r>
      <w:r w:rsidR="002B7590">
        <w:rPr>
          <w:lang w:eastAsia="ar-SA"/>
        </w:rPr>
        <w:t> </w:t>
      </w:r>
      <w:r w:rsidRPr="00FB2EAA">
        <w:rPr>
          <w:lang w:eastAsia="ar-SA"/>
        </w:rPr>
        <w:t>práce téměř 30 % všech evidovaných uchazečů. Míra nezaměstnanosti osob se základním vzděláním se snižovala jen pomalu a na konci roku stále významně přesahovala 20% hranici</w:t>
      </w:r>
      <w:r w:rsidR="00AB2FD6">
        <w:rPr>
          <w:lang w:eastAsia="ar-SA"/>
        </w:rPr>
        <w:t xml:space="preserve"> </w:t>
      </w:r>
      <w:r w:rsidR="00AB2FD6" w:rsidRPr="00AB2FD6">
        <w:rPr>
          <w:spacing w:val="-4"/>
          <w:lang w:eastAsia="ar-SA"/>
        </w:rPr>
        <w:t>(podíl osob se základním vzděláním na celkové populaci je však v ČR nízký, nedosahuje ani poloviny úrovně EU)</w:t>
      </w:r>
      <w:r w:rsidRPr="00AB2FD6">
        <w:rPr>
          <w:spacing w:val="-4"/>
          <w:lang w:eastAsia="ar-SA"/>
        </w:rPr>
        <w:t>.</w:t>
      </w:r>
    </w:p>
    <w:p w:rsidR="00FB2EAA" w:rsidRPr="00D76BE7" w:rsidRDefault="00FB2EAA" w:rsidP="00FB2EAA">
      <w:pPr>
        <w:pStyle w:val="Textpoznpodarou"/>
        <w:ind w:left="68"/>
        <w:jc w:val="both"/>
        <w:rPr>
          <w:sz w:val="14"/>
          <w:szCs w:val="14"/>
          <w:lang w:eastAsia="ar-SA"/>
        </w:rPr>
      </w:pPr>
    </w:p>
    <w:p w:rsidR="00FB2EAA" w:rsidRPr="00FB2EAA" w:rsidRDefault="00FB2EAA" w:rsidP="00FB2EA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FB2EAA">
        <w:rPr>
          <w:lang w:eastAsia="ar-SA"/>
        </w:rPr>
        <w:t xml:space="preserve">V průběhu roku výrazně stoupl podíl (zejména průmyslových) podniků, které považují nedostatek pracovní síly za bariéru svého růstu. Tato skutečnost se promítla i do dynamiky růstu mezd, které v průběhu roku postupně </w:t>
      </w:r>
      <w:proofErr w:type="gramStart"/>
      <w:r w:rsidRPr="00FB2EAA">
        <w:rPr>
          <w:lang w:eastAsia="ar-SA"/>
        </w:rPr>
        <w:t>zrychlovaly (z 1,7</w:t>
      </w:r>
      <w:proofErr w:type="gramEnd"/>
      <w:r w:rsidRPr="00FB2EAA">
        <w:rPr>
          <w:lang w:eastAsia="ar-SA"/>
        </w:rPr>
        <w:t xml:space="preserve"> % meziročně až na 3,2 % v posledním čtvrtletí). Podobně jako v předchozím roce došlo k nárůstu minimální mzdy, což se odrazilo ve vyšší dynamice výdělků v odvětvích, resp. v regionech s nízkou mzdovou úrovní a následně přispělo ke snížení celkové mzdové diferenciace. Přetrvávající </w:t>
      </w:r>
      <w:proofErr w:type="spellStart"/>
      <w:r w:rsidRPr="00FB2EAA">
        <w:rPr>
          <w:lang w:eastAsia="ar-SA"/>
        </w:rPr>
        <w:t>nízkoinflační</w:t>
      </w:r>
      <w:proofErr w:type="spellEnd"/>
      <w:r w:rsidRPr="00FB2EAA">
        <w:rPr>
          <w:lang w:eastAsia="ar-SA"/>
        </w:rPr>
        <w:t xml:space="preserve"> prostředí udrželo růst reálných mezd (o 2,4 % meziročně) na</w:t>
      </w:r>
      <w:r w:rsidR="002B7590">
        <w:rPr>
          <w:lang w:eastAsia="ar-SA"/>
        </w:rPr>
        <w:t> </w:t>
      </w:r>
      <w:r w:rsidRPr="00FB2EAA">
        <w:rPr>
          <w:lang w:eastAsia="ar-SA"/>
        </w:rPr>
        <w:t>druhé nejvyšší hodnotě po roce 2007.</w:t>
      </w:r>
    </w:p>
    <w:p w:rsidR="000531D0" w:rsidRPr="00D76BE7" w:rsidRDefault="000531D0" w:rsidP="000531D0">
      <w:pPr>
        <w:rPr>
          <w:sz w:val="14"/>
          <w:szCs w:val="14"/>
          <w:lang w:eastAsia="ar-SA"/>
        </w:rPr>
      </w:pPr>
    </w:p>
    <w:p w:rsidR="000531D0" w:rsidRPr="00EF5420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EF5420">
        <w:rPr>
          <w:lang w:eastAsia="ar-SA"/>
        </w:rPr>
        <w:t>Celková cenová hladina se v roce 2015 podle implicitního deflátoru HDP zvýšila o 1,0 %, spotřebitelské ceny byly meziročně vyšší o 0,3 %. V prvním případě šlo o nejslabší růst za poslední čtyři roky, ve druhém dokonce od roku 2003. Utlumený cenový vývoj do Česka pronikal ve velké míře ze zahraničí spolu s dovozem zboží (-1,9 %). Byl rovněž charakteristický pro drtivou většinu zemí EU – více než 1% tempem se spotřebitelské ceny v loňském roce zvyšovaly pouze na Maltě a vyšší než půlprocentní přírůstek si připsaly další tři země. S deflací se potýkaly dvě pětiny všech členských zemí.</w:t>
      </w:r>
    </w:p>
    <w:p w:rsidR="000531D0" w:rsidRPr="00D76BE7" w:rsidRDefault="000531D0" w:rsidP="000531D0">
      <w:pPr>
        <w:rPr>
          <w:sz w:val="14"/>
          <w:szCs w:val="14"/>
          <w:lang w:eastAsia="ar-SA"/>
        </w:rPr>
      </w:pPr>
    </w:p>
    <w:p w:rsidR="000531D0" w:rsidRPr="00FB2EAA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FB2EAA">
        <w:rPr>
          <w:spacing w:val="-2"/>
          <w:lang w:eastAsia="ar-SA"/>
        </w:rPr>
        <w:t>Pokračující pokles cen zemědělských výrobců (vč. ryb) v roce 2015 (-6,0 %) se skrze výrobní řetězec přenesl do cen potravin. Snížily se o 1,1 %, poprvé od roku 2009. Ceny energií (elektrické a tepelné energie, plynu a ostatních paliv) po ojediněle silném poklesu v roce 2014 (-5,2 %) již mírně rostly (+1,2 %), jejich přírůstek nicméně setrval pod průměrem posledních pěti (+2,3 %) i deseti let (+4,8 %). Ceny samotné elektřiny se nadále snižovaly (-0,4 %), ceny plynu a tepelné energie stouply o 3,0, resp.</w:t>
      </w:r>
      <w:r w:rsidR="00172BC8" w:rsidRPr="00FB2EAA">
        <w:rPr>
          <w:spacing w:val="-2"/>
          <w:lang w:eastAsia="ar-SA"/>
        </w:rPr>
        <w:t> </w:t>
      </w:r>
      <w:r w:rsidRPr="00FB2EAA">
        <w:rPr>
          <w:spacing w:val="-2"/>
          <w:lang w:eastAsia="ar-SA"/>
        </w:rPr>
        <w:t>o 1,9 %.</w:t>
      </w:r>
    </w:p>
    <w:p w:rsidR="000531D0" w:rsidRPr="00D76BE7" w:rsidRDefault="000531D0" w:rsidP="000531D0">
      <w:pPr>
        <w:rPr>
          <w:sz w:val="14"/>
          <w:szCs w:val="14"/>
          <w:lang w:eastAsia="ar-SA"/>
        </w:rPr>
      </w:pPr>
    </w:p>
    <w:p w:rsidR="00EF5420" w:rsidRDefault="000531D0" w:rsidP="00EF542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EF5420">
        <w:rPr>
          <w:lang w:eastAsia="ar-SA"/>
        </w:rPr>
        <w:t>V porovnání s rokem 2005 se spotřebitelské ceny v ČR zvýšily o 23,6 %. Většina tohoto růstu se odehrála v průběhu let 2006–2008 (celkově +12,1 %) spolu s rokem 2012 (+3,3 %). Naopak během let 2014 a 2015 tyto ceny narostly jen o 0,7 %. Z jednotlivých oddílů spotřebního koše zaznamenaly nejsilnější zdražení alkoholické nápoje a tabák (+60,9 %), což souviselo s růstem spotřebních daní uvalených na tabák. Následovaly je výdaje na zdraví (+52,9 %) a bydlení, voda, energie a paliva (+44,6</w:t>
      </w:r>
      <w:r w:rsidR="00EF5420">
        <w:rPr>
          <w:lang w:eastAsia="ar-SA"/>
        </w:rPr>
        <w:t> </w:t>
      </w:r>
      <w:r w:rsidRPr="00EF5420">
        <w:rPr>
          <w:lang w:eastAsia="ar-SA"/>
        </w:rPr>
        <w:t>%), kde se rychle zvyšovaly ceny nájemného z bytu (o 72,6 %)</w:t>
      </w:r>
      <w:r w:rsidRPr="00EF5420">
        <w:rPr>
          <w:lang w:val="en-US" w:eastAsia="ar-SA"/>
        </w:rPr>
        <w:t>;</w:t>
      </w:r>
      <w:r w:rsidRPr="00EF5420">
        <w:rPr>
          <w:lang w:eastAsia="ar-SA"/>
        </w:rPr>
        <w:t xml:space="preserve"> vodného a stočného; energií (+59,2 %). Naopak ceny pošt a telekomunikací v tomto období poklesly (díky sílícímu konkurenčn</w:t>
      </w:r>
      <w:r w:rsidR="00EF5420">
        <w:rPr>
          <w:lang w:eastAsia="ar-SA"/>
        </w:rPr>
        <w:t>ímu boji mezi poskytovateli mobilního a internetového</w:t>
      </w:r>
      <w:r w:rsidRPr="00EF5420">
        <w:rPr>
          <w:lang w:eastAsia="ar-SA"/>
        </w:rPr>
        <w:t xml:space="preserve"> připojení) o 20,1 %, za nižší ceny než v roce 2005 se nakupovaly vlivem levných dovozů oděvů ze zahraničí také odívání a obuv (-12,4 </w:t>
      </w:r>
      <w:r w:rsidR="00EF5420">
        <w:rPr>
          <w:lang w:eastAsia="ar-SA"/>
        </w:rPr>
        <w:t>%). O 6,1 % poklesly i ceny bytového</w:t>
      </w:r>
      <w:r w:rsidRPr="00EF5420">
        <w:rPr>
          <w:lang w:eastAsia="ar-SA"/>
        </w:rPr>
        <w:t xml:space="preserve"> vybavení, zařízení domácnosti, oprav.</w:t>
      </w:r>
    </w:p>
    <w:p w:rsidR="00EF5420" w:rsidRPr="00D76BE7" w:rsidRDefault="00EF5420" w:rsidP="00EF5420">
      <w:pPr>
        <w:pStyle w:val="Textpoznpodarou"/>
        <w:jc w:val="both"/>
        <w:rPr>
          <w:sz w:val="14"/>
          <w:szCs w:val="14"/>
          <w:lang w:eastAsia="ar-SA"/>
        </w:rPr>
      </w:pPr>
    </w:p>
    <w:p w:rsidR="000531D0" w:rsidRPr="00EF5420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EF5420">
        <w:rPr>
          <w:lang w:eastAsia="ar-SA"/>
        </w:rPr>
        <w:t>I přes dlouhodobý nárůst spotřebite</w:t>
      </w:r>
      <w:r w:rsidR="00DF55AB">
        <w:rPr>
          <w:lang w:eastAsia="ar-SA"/>
        </w:rPr>
        <w:t>lských cen přetrvávají ceny v České republice</w:t>
      </w:r>
      <w:r w:rsidRPr="00EF5420">
        <w:rPr>
          <w:lang w:eastAsia="ar-SA"/>
        </w:rPr>
        <w:t xml:space="preserve"> stále podstatně nižší</w:t>
      </w:r>
      <w:r w:rsidR="00DF55AB">
        <w:rPr>
          <w:lang w:eastAsia="ar-SA"/>
        </w:rPr>
        <w:t> než v Evropské unii</w:t>
      </w:r>
      <w:r w:rsidRPr="00EF5420">
        <w:rPr>
          <w:lang w:eastAsia="ar-SA"/>
        </w:rPr>
        <w:t xml:space="preserve">. Podle komparativní cenové hladiny skutečné individuální spotřeby dosahovaly ceny v Česku v roce 2015 pouze 59,0 % průměrné úrovně Unie a 54,9 % průměru zemí EU15. V porovnání s rokem 2005 se cenová hladina v Česku přiblížila cenám běžným v Unii o 5,0 </w:t>
      </w:r>
      <w:proofErr w:type="spellStart"/>
      <w:r w:rsidRPr="00EF5420">
        <w:rPr>
          <w:lang w:eastAsia="ar-SA"/>
        </w:rPr>
        <w:t>p.b</w:t>
      </w:r>
      <w:proofErr w:type="spellEnd"/>
      <w:r w:rsidRPr="00EF5420">
        <w:rPr>
          <w:lang w:eastAsia="ar-SA"/>
        </w:rPr>
        <w:t>. a cenám v původní patnáctce o 3,9 </w:t>
      </w:r>
      <w:proofErr w:type="spellStart"/>
      <w:proofErr w:type="gramStart"/>
      <w:r w:rsidRPr="00EF5420">
        <w:rPr>
          <w:lang w:eastAsia="ar-SA"/>
        </w:rPr>
        <w:t>p.b</w:t>
      </w:r>
      <w:proofErr w:type="spellEnd"/>
      <w:r w:rsidRPr="00EF5420">
        <w:rPr>
          <w:lang w:eastAsia="ar-SA"/>
        </w:rPr>
        <w:t>., avšak</w:t>
      </w:r>
      <w:proofErr w:type="gramEnd"/>
      <w:r w:rsidRPr="00EF5420">
        <w:rPr>
          <w:lang w:eastAsia="ar-SA"/>
        </w:rPr>
        <w:t xml:space="preserve"> v samotných letech 2011–2015 se ceny v ČR průměru zemí EU i EU15 bez přestání vzdalovaly.</w:t>
      </w:r>
    </w:p>
    <w:p w:rsidR="000531D0" w:rsidRPr="00D76BE7" w:rsidRDefault="000531D0" w:rsidP="000531D0">
      <w:pPr>
        <w:pStyle w:val="Textpoznpodarou"/>
        <w:ind w:left="68"/>
        <w:jc w:val="both"/>
        <w:rPr>
          <w:sz w:val="14"/>
          <w:szCs w:val="14"/>
          <w:lang w:eastAsia="ar-SA"/>
        </w:rPr>
      </w:pPr>
    </w:p>
    <w:p w:rsidR="000531D0" w:rsidRPr="00FB2EAA" w:rsidRDefault="000531D0" w:rsidP="000531D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FB2EAA">
        <w:rPr>
          <w:spacing w:val="-2"/>
          <w:lang w:eastAsia="ar-SA"/>
        </w:rPr>
        <w:t>Deficit vládních institucí poklesl v roce 2015 na 18,7 mld. korun, v relaci k HDP se snížil na 0,4 %. V obou případech šlo o nejlepší výsledek v historii datované od roku 1995. Příklon k redukci schodků byl v ČR patrný již od roku 2010, podobně jako v </w:t>
      </w:r>
      <w:proofErr w:type="spellStart"/>
      <w:r w:rsidRPr="00FB2EAA">
        <w:rPr>
          <w:spacing w:val="-2"/>
          <w:lang w:eastAsia="ar-SA"/>
        </w:rPr>
        <w:t>eurozóně</w:t>
      </w:r>
      <w:proofErr w:type="spellEnd"/>
      <w:r w:rsidRPr="00FB2EAA">
        <w:rPr>
          <w:spacing w:val="-2"/>
          <w:lang w:eastAsia="ar-SA"/>
        </w:rPr>
        <w:t xml:space="preserve"> i celé EU. Na meziročním zlepšení hospodaření vládních institucí o 64,4 mld. se podílely místní vládní instituce i fondy sociálního zabezpečení, především však výrazný pokles deficitu ústředních vládních institucí o 43,1 mld. Rok 2015 byl příznivý i z pohledu vývoje dluhu. Navzdory jeho nárůstu o 17,1 mld. se míra zadlužení vládních institucí snižovala již druhým rokem. V závěru roku činila 40,3 %, šlo o sedmou nejnižší úroveň v Unii. Česko i nadále plnilo obě fiskální maastrichtská kritéria, spolu s ním mělo takto udržitelné vládní finance ale už jen deset zemí EU.</w:t>
      </w:r>
    </w:p>
    <w:p w:rsidR="000531D0" w:rsidRPr="00D76BE7" w:rsidRDefault="000531D0" w:rsidP="000531D0">
      <w:pPr>
        <w:rPr>
          <w:sz w:val="14"/>
          <w:szCs w:val="14"/>
          <w:lang w:eastAsia="ar-SA"/>
        </w:rPr>
      </w:pPr>
    </w:p>
    <w:p w:rsidR="00AB2FD6" w:rsidRPr="00AB2FD6" w:rsidRDefault="000531D0" w:rsidP="00AB2FD6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EF5420">
        <w:rPr>
          <w:lang w:eastAsia="ar-SA"/>
        </w:rPr>
        <w:t>Vnější nerovnováha ČR charakterizovaná ú</w:t>
      </w:r>
      <w:r w:rsidR="00A87C44">
        <w:rPr>
          <w:lang w:eastAsia="ar-SA"/>
        </w:rPr>
        <w:t>hrnem deficitu prvotních důchodů</w:t>
      </w:r>
      <w:r w:rsidRPr="00EF5420">
        <w:rPr>
          <w:lang w:eastAsia="ar-SA"/>
        </w:rPr>
        <w:t xml:space="preserve"> a běžných transferů přetrvává značná. V roce 2015 došlo k čistému odlivu finančních prostředků v rozsahu 334,7 mld. korun, když v podobě samotného deficitu důchodů z vlastnictví odešlo do zahraničí již 354,2 mld. Hospodářství tratilo na přerozdělení se zahraničím výrazných 7,3 % HDP, meziročně se však tato nerovnováha zlepšila. Podíl hrubého disponibilního důchodu na HDP byl v ČR  podle dostupných údajů sahajících do roku 2014 po Irsku druhý nejnižší již šest let. Celkovou vnější nerovnováhu, danou deficitem běžných transakcí se zahraničím (rozdílem mezi hrubými národními úsporami a tvorbou hrubého kap</w:t>
      </w:r>
      <w:r w:rsidR="00172BC8">
        <w:rPr>
          <w:lang w:eastAsia="ar-SA"/>
        </w:rPr>
        <w:t>itálu, resp. součtem salda zahraničního</w:t>
      </w:r>
      <w:r w:rsidRPr="00EF5420">
        <w:rPr>
          <w:lang w:eastAsia="ar-SA"/>
        </w:rPr>
        <w:t xml:space="preserve"> obchodu, prvotních důchodů a běžných transferů), se tuzemsku dařilo držet pod 100 mld. korun čtvrtým rokem. Vloni Česku na financování tvorby hrubého kapitálu chybělo 55,5 mld.</w:t>
      </w:r>
    </w:p>
    <w:p w:rsidR="00D871DA" w:rsidRPr="00320CDB" w:rsidRDefault="00D871DA" w:rsidP="00320CDB">
      <w:pPr>
        <w:pStyle w:val="Nadpis1"/>
        <w:rPr>
          <w:sz w:val="2"/>
          <w:szCs w:val="2"/>
          <w:lang w:eastAsia="ar-SA"/>
        </w:rPr>
      </w:pPr>
    </w:p>
    <w:sectPr w:rsidR="00D871DA" w:rsidRPr="00320CDB" w:rsidSect="00320CD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B0" w:rsidRDefault="00AB76B0" w:rsidP="00E71A58">
      <w:r>
        <w:separator/>
      </w:r>
    </w:p>
  </w:endnote>
  <w:endnote w:type="continuationSeparator" w:id="0">
    <w:p w:rsidR="00AB76B0" w:rsidRDefault="00AB76B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D85C7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76B0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20CDB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AB76B0">
      <w:rPr>
        <w:rFonts w:ascii="Arial" w:hAnsi="Arial" w:cs="Arial"/>
        <w:sz w:val="16"/>
        <w:szCs w:val="16"/>
      </w:rPr>
      <w:tab/>
      <w:t>2015</w:t>
    </w:r>
    <w:r w:rsidR="00AB76B0">
      <w:tab/>
    </w:r>
    <w:r w:rsidR="00AB76B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D85C7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76B0">
      <w:tab/>
    </w:r>
    <w:r w:rsidR="00AB76B0">
      <w:tab/>
    </w:r>
    <w:r w:rsidR="00AB76B0" w:rsidRPr="00DC5B3B">
      <w:t xml:space="preserve">                              </w:t>
    </w:r>
  </w:p>
  <w:p w:rsidR="00AB76B0" w:rsidRPr="00223E00" w:rsidRDefault="00AB76B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D85C7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D85C70" w:rsidRPr="00223E00">
      <w:rPr>
        <w:rFonts w:ascii="Arial" w:hAnsi="Arial" w:cs="Arial"/>
        <w:sz w:val="16"/>
        <w:szCs w:val="16"/>
      </w:rPr>
      <w:fldChar w:fldCharType="separate"/>
    </w:r>
    <w:r w:rsidR="00320CDB">
      <w:rPr>
        <w:rFonts w:ascii="Arial" w:hAnsi="Arial" w:cs="Arial"/>
        <w:noProof/>
        <w:sz w:val="16"/>
        <w:szCs w:val="16"/>
      </w:rPr>
      <w:t>5</w:t>
    </w:r>
    <w:r w:rsidR="00D85C7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B0" w:rsidRDefault="00AB76B0" w:rsidP="00E71A58">
      <w:r>
        <w:separator/>
      </w:r>
    </w:p>
  </w:footnote>
  <w:footnote w:type="continuationSeparator" w:id="0">
    <w:p w:rsidR="00AB76B0" w:rsidRDefault="00AB76B0" w:rsidP="00E71A58">
      <w:r>
        <w:continuationSeparator/>
      </w:r>
    </w:p>
  </w:footnote>
  <w:footnote w:id="1">
    <w:p w:rsidR="00AB76B0" w:rsidRPr="00E547F8" w:rsidRDefault="00AB76B0" w:rsidP="000531D0">
      <w:pPr>
        <w:pStyle w:val="Textpoznpodarou"/>
        <w:jc w:val="both"/>
        <w:rPr>
          <w:sz w:val="16"/>
          <w:szCs w:val="16"/>
        </w:rPr>
      </w:pPr>
      <w:r w:rsidRPr="00E547F8">
        <w:rPr>
          <w:rStyle w:val="Znakapoznpodarou"/>
          <w:sz w:val="16"/>
          <w:szCs w:val="16"/>
        </w:rPr>
        <w:footnoteRef/>
      </w:r>
      <w:r w:rsidRPr="00E547F8">
        <w:rPr>
          <w:sz w:val="16"/>
          <w:szCs w:val="16"/>
        </w:rPr>
        <w:t xml:space="preserve"> Pokud není uvedeno jinak, jsou data o HDP, hrubé přidané hodnotě a jejich složkách vyjádřena ve stálých cenách.</w:t>
      </w:r>
      <w:r>
        <w:rPr>
          <w:sz w:val="16"/>
          <w:szCs w:val="16"/>
        </w:rPr>
        <w:t xml:space="preserve"> Údaje jsou neočištěné o kalendářní vlivy a byly zveřejněny 30. června 2016.</w:t>
      </w:r>
    </w:p>
  </w:footnote>
  <w:footnote w:id="2">
    <w:p w:rsidR="00AB76B0" w:rsidRPr="008649A8" w:rsidRDefault="00AB76B0" w:rsidP="001205E9">
      <w:pPr>
        <w:pStyle w:val="Textpoznpodarou"/>
        <w:rPr>
          <w:color w:val="4F81BD" w:themeColor="accent1"/>
        </w:rPr>
      </w:pPr>
      <w:r w:rsidRPr="00E547F8">
        <w:rPr>
          <w:rStyle w:val="Znakapoznpodarou"/>
          <w:sz w:val="16"/>
          <w:szCs w:val="16"/>
        </w:rPr>
        <w:footnoteRef/>
      </w:r>
      <w:r w:rsidRPr="00E547F8">
        <w:rPr>
          <w:sz w:val="16"/>
          <w:szCs w:val="16"/>
        </w:rPr>
        <w:t xml:space="preserve"> Jde o rozklad změny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DC5B3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3A28D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45pt;height:16.9pt;visibility:visible;mso-wrap-style:square" o:bullet="t">
        <v:imagedata r:id="rId1" o:title=""/>
      </v:shape>
    </w:pict>
  </w:numPicBullet>
  <w:numPicBullet w:numPicBulletId="1">
    <w:pict>
      <v:shape id="_x0000_i1027" type="#_x0000_t75" style="width:35.05pt;height:18.15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23E"/>
    <w:rsid w:val="00000FA7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7D0"/>
    <w:rsid w:val="00091237"/>
    <w:rsid w:val="0009191B"/>
    <w:rsid w:val="000920EC"/>
    <w:rsid w:val="00092208"/>
    <w:rsid w:val="00092505"/>
    <w:rsid w:val="00092C9A"/>
    <w:rsid w:val="00095CD8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11D3"/>
    <w:rsid w:val="000C12F5"/>
    <w:rsid w:val="000C2FAB"/>
    <w:rsid w:val="000C3408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67B2"/>
    <w:rsid w:val="000F67E3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642"/>
    <w:rsid w:val="00173AF4"/>
    <w:rsid w:val="00173CB0"/>
    <w:rsid w:val="00174CE8"/>
    <w:rsid w:val="00175351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4198"/>
    <w:rsid w:val="001B44BC"/>
    <w:rsid w:val="001B4CCF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830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3055"/>
    <w:rsid w:val="001F31BC"/>
    <w:rsid w:val="001F31F5"/>
    <w:rsid w:val="001F378E"/>
    <w:rsid w:val="001F3C79"/>
    <w:rsid w:val="001F3E68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DF4"/>
    <w:rsid w:val="0020609C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E0D"/>
    <w:rsid w:val="00251D59"/>
    <w:rsid w:val="00252602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5CD3"/>
    <w:rsid w:val="00286220"/>
    <w:rsid w:val="0028686A"/>
    <w:rsid w:val="00286E66"/>
    <w:rsid w:val="002870B7"/>
    <w:rsid w:val="002919B5"/>
    <w:rsid w:val="00293441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2D0"/>
    <w:rsid w:val="002D54BF"/>
    <w:rsid w:val="002D5579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7E31"/>
    <w:rsid w:val="00320214"/>
    <w:rsid w:val="003209D6"/>
    <w:rsid w:val="00320CDB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1F7E"/>
    <w:rsid w:val="00352E57"/>
    <w:rsid w:val="003541B0"/>
    <w:rsid w:val="0035457E"/>
    <w:rsid w:val="00355885"/>
    <w:rsid w:val="0035605E"/>
    <w:rsid w:val="00356106"/>
    <w:rsid w:val="0035612B"/>
    <w:rsid w:val="00357449"/>
    <w:rsid w:val="0036238B"/>
    <w:rsid w:val="003651A4"/>
    <w:rsid w:val="00365680"/>
    <w:rsid w:val="0036572A"/>
    <w:rsid w:val="003657F3"/>
    <w:rsid w:val="00366D4D"/>
    <w:rsid w:val="00367038"/>
    <w:rsid w:val="00370963"/>
    <w:rsid w:val="0037144E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663"/>
    <w:rsid w:val="003E133F"/>
    <w:rsid w:val="003E49F6"/>
    <w:rsid w:val="003E4F5C"/>
    <w:rsid w:val="003E699C"/>
    <w:rsid w:val="003E69F3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C30"/>
    <w:rsid w:val="00452819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874"/>
    <w:rsid w:val="00485230"/>
    <w:rsid w:val="004859B2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A7F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FDD"/>
    <w:rsid w:val="00525137"/>
    <w:rsid w:val="005251DD"/>
    <w:rsid w:val="005263D4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45E0"/>
    <w:rsid w:val="00554865"/>
    <w:rsid w:val="00554E57"/>
    <w:rsid w:val="00561B39"/>
    <w:rsid w:val="00562749"/>
    <w:rsid w:val="00562DE9"/>
    <w:rsid w:val="005638A5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9C7"/>
    <w:rsid w:val="006153E3"/>
    <w:rsid w:val="006167AB"/>
    <w:rsid w:val="00617D13"/>
    <w:rsid w:val="00617D2D"/>
    <w:rsid w:val="00617D83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025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D042D"/>
    <w:rsid w:val="006D06EF"/>
    <w:rsid w:val="006D142E"/>
    <w:rsid w:val="006D3290"/>
    <w:rsid w:val="006D4497"/>
    <w:rsid w:val="006D4E6F"/>
    <w:rsid w:val="006D61F6"/>
    <w:rsid w:val="006D6D7D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4048"/>
    <w:rsid w:val="007A45B1"/>
    <w:rsid w:val="007A4606"/>
    <w:rsid w:val="007A5AC8"/>
    <w:rsid w:val="007B010B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3E3E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4FCE"/>
    <w:rsid w:val="008F5301"/>
    <w:rsid w:val="008F6967"/>
    <w:rsid w:val="008F6A0C"/>
    <w:rsid w:val="008F6F38"/>
    <w:rsid w:val="008F7019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306BE"/>
    <w:rsid w:val="00930C07"/>
    <w:rsid w:val="00932E61"/>
    <w:rsid w:val="00937B11"/>
    <w:rsid w:val="00940F1F"/>
    <w:rsid w:val="00941250"/>
    <w:rsid w:val="00941C48"/>
    <w:rsid w:val="00942546"/>
    <w:rsid w:val="00943373"/>
    <w:rsid w:val="0094427A"/>
    <w:rsid w:val="00944380"/>
    <w:rsid w:val="009459C5"/>
    <w:rsid w:val="0094626C"/>
    <w:rsid w:val="0095013A"/>
    <w:rsid w:val="00950754"/>
    <w:rsid w:val="00953AEF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95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96686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4A8"/>
    <w:rsid w:val="009C3705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7B52"/>
    <w:rsid w:val="009F7D77"/>
    <w:rsid w:val="00A004D2"/>
    <w:rsid w:val="00A015EA"/>
    <w:rsid w:val="00A10D66"/>
    <w:rsid w:val="00A1155A"/>
    <w:rsid w:val="00A12BA8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4F8"/>
    <w:rsid w:val="00A42883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015E"/>
    <w:rsid w:val="00A711B0"/>
    <w:rsid w:val="00A716EC"/>
    <w:rsid w:val="00A721FB"/>
    <w:rsid w:val="00A727BA"/>
    <w:rsid w:val="00A72D4B"/>
    <w:rsid w:val="00A732AE"/>
    <w:rsid w:val="00A73CF4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02F7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B0274"/>
    <w:rsid w:val="00BB1CFD"/>
    <w:rsid w:val="00BB2C53"/>
    <w:rsid w:val="00BB32DA"/>
    <w:rsid w:val="00BB3A54"/>
    <w:rsid w:val="00BB4D26"/>
    <w:rsid w:val="00BB4E21"/>
    <w:rsid w:val="00BB6FED"/>
    <w:rsid w:val="00BB7746"/>
    <w:rsid w:val="00BC22EB"/>
    <w:rsid w:val="00BC682B"/>
    <w:rsid w:val="00BC6B04"/>
    <w:rsid w:val="00BC6D27"/>
    <w:rsid w:val="00BD186B"/>
    <w:rsid w:val="00BD1995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20CF"/>
    <w:rsid w:val="00BE3381"/>
    <w:rsid w:val="00BE3F09"/>
    <w:rsid w:val="00BE627A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2BDA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75FB"/>
    <w:rsid w:val="00C60696"/>
    <w:rsid w:val="00C60943"/>
    <w:rsid w:val="00C60EEF"/>
    <w:rsid w:val="00C60FC9"/>
    <w:rsid w:val="00C6121D"/>
    <w:rsid w:val="00C615F1"/>
    <w:rsid w:val="00C61627"/>
    <w:rsid w:val="00C6331A"/>
    <w:rsid w:val="00C64E60"/>
    <w:rsid w:val="00C657A4"/>
    <w:rsid w:val="00C6736C"/>
    <w:rsid w:val="00C71A1D"/>
    <w:rsid w:val="00C71EC4"/>
    <w:rsid w:val="00C73B18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024"/>
    <w:rsid w:val="00C90CF4"/>
    <w:rsid w:val="00C91C19"/>
    <w:rsid w:val="00C929A0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F88"/>
    <w:rsid w:val="00D6210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2462"/>
    <w:rsid w:val="00D85C70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E009B"/>
    <w:rsid w:val="00DE0C31"/>
    <w:rsid w:val="00DE2ED9"/>
    <w:rsid w:val="00DE319A"/>
    <w:rsid w:val="00DE5291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0DD"/>
    <w:rsid w:val="00E06A2A"/>
    <w:rsid w:val="00E07F05"/>
    <w:rsid w:val="00E1136D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0A1"/>
    <w:rsid w:val="00E34985"/>
    <w:rsid w:val="00E34E4A"/>
    <w:rsid w:val="00E365B3"/>
    <w:rsid w:val="00E366BB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69C7"/>
    <w:rsid w:val="00E571F2"/>
    <w:rsid w:val="00E57429"/>
    <w:rsid w:val="00E61EA8"/>
    <w:rsid w:val="00E6374E"/>
    <w:rsid w:val="00E63C99"/>
    <w:rsid w:val="00E64EA1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46A"/>
    <w:rsid w:val="00F273D4"/>
    <w:rsid w:val="00F307DD"/>
    <w:rsid w:val="00F318FC"/>
    <w:rsid w:val="00F31F76"/>
    <w:rsid w:val="00F325A3"/>
    <w:rsid w:val="00F3364D"/>
    <w:rsid w:val="00F359A1"/>
    <w:rsid w:val="00F35ACD"/>
    <w:rsid w:val="00F365BF"/>
    <w:rsid w:val="00F36BF8"/>
    <w:rsid w:val="00F375BA"/>
    <w:rsid w:val="00F37760"/>
    <w:rsid w:val="00F403D1"/>
    <w:rsid w:val="00F41CC8"/>
    <w:rsid w:val="00F43921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6AEE-93D2-4BA6-99EB-3E76441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2275</TotalTime>
  <Pages>2</Pages>
  <Words>1582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719</cp:revision>
  <cp:lastPrinted>2015-06-19T06:21:00Z</cp:lastPrinted>
  <dcterms:created xsi:type="dcterms:W3CDTF">2015-12-16T13:30:00Z</dcterms:created>
  <dcterms:modified xsi:type="dcterms:W3CDTF">2016-07-28T10:56:00Z</dcterms:modified>
</cp:coreProperties>
</file>