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Default="007D4281" w:rsidP="004150A4">
      <w:pPr>
        <w:pStyle w:val="Nadpis1"/>
        <w:numPr>
          <w:ilvl w:val="0"/>
          <w:numId w:val="6"/>
        </w:numPr>
        <w:jc w:val="both"/>
      </w:pPr>
      <w:bookmarkStart w:id="0" w:name="_Toc454185152"/>
      <w:r>
        <w:t>Ceny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C11DAF" w:rsidRPr="00103124" w:rsidTr="0002434F">
        <w:tc>
          <w:tcPr>
            <w:tcW w:w="1054" w:type="pct"/>
          </w:tcPr>
          <w:p w:rsidR="00C11DAF" w:rsidRPr="00804D97" w:rsidRDefault="00C11DAF" w:rsidP="000243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04D97">
              <w:rPr>
                <w:sz w:val="16"/>
                <w:szCs w:val="16"/>
              </w:rPr>
              <w:t>Celková cenová hladina vzrostla v meziročním srovnání nejrychleji od 1. čtvrtletí 2015 díky vyšším směnným relacím</w:t>
            </w:r>
          </w:p>
        </w:tc>
        <w:tc>
          <w:tcPr>
            <w:tcW w:w="143" w:type="pct"/>
          </w:tcPr>
          <w:p w:rsidR="00C11DAF" w:rsidRPr="00804D97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804D97" w:rsidRDefault="00C11DAF" w:rsidP="0002434F">
            <w:pPr>
              <w:pStyle w:val="Textpoznpodarou"/>
              <w:jc w:val="both"/>
            </w:pPr>
            <w:r w:rsidRPr="00804D97">
              <w:t xml:space="preserve">Celková cenová hladina narostla v 1. čtvrtletí 2016 podle implicitního deflátoru </w:t>
            </w:r>
            <w:r w:rsidRPr="00804D97">
              <w:rPr>
                <w:spacing w:val="-2"/>
              </w:rPr>
              <w:t>HDP</w:t>
            </w:r>
            <w:r w:rsidRPr="00804D97">
              <w:rPr>
                <w:rStyle w:val="Znakapoznpodarou"/>
              </w:rPr>
              <w:footnoteReference w:id="1"/>
            </w:r>
            <w:r w:rsidRPr="00804D97">
              <w:rPr>
                <w:spacing w:val="-2"/>
              </w:rPr>
              <w:t xml:space="preserve"> nejrychleji od počátku předchozího roku. Stoupla meziročně o 1,1</w:t>
            </w:r>
            <w:r w:rsidRPr="00804D97">
              <w:t xml:space="preserve"> %, přitom zdrojem jejího zrychlení byly především směnné relace v zahraničním obchodě (dosáhly hodnoty 101,2 % a byly nejvyšší za posledních šest čtvrtletí). Ve směru silnějšího růstu celkové cenové hladiny působil mírně i opětovný růst cen zboží a služeb spotřebovávaných domácnostmi (ve 4. čtvrtletí 2015 tyto ceny meziročně stagnovaly, v 1. čtvrtletí se zvýšily o 0,2 %) a nepatrně vyšší růst cen produktů nakupovaných vládními institucemi. Ceny investic (tvorby hrubého fixního </w:t>
            </w:r>
            <w:r w:rsidRPr="00804D97">
              <w:rPr>
                <w:spacing w:val="-2"/>
              </w:rPr>
              <w:t xml:space="preserve">kapitálu) </w:t>
            </w:r>
            <w:r w:rsidRPr="00804D97">
              <w:rPr>
                <w:spacing w:val="-4"/>
              </w:rPr>
              <w:t>si zachovaly umírněnou dynamiku z posledních třech měsíců 2015 (0,3</w:t>
            </w:r>
            <w:r w:rsidRPr="00804D97">
              <w:t xml:space="preserve"> %).</w:t>
            </w:r>
          </w:p>
          <w:p w:rsidR="00C11DAF" w:rsidRPr="00804D97" w:rsidRDefault="00C11DAF" w:rsidP="0002434F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>Meziroční růst spotřebitelských cen zůstal slabý i v 1. čtvrtletí 2016, …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>Spotřebitelské ceny se v 1. čtvrtletí 2016 zvýšily v meziročním srovnání o 0,5 %. Jejich meziroční dynamika nepřekročila 1% hranici již devět čtvrtletí a pod cílem České národní banky (ČNB) stanoveném na úrovni 2 % setrvávala dokonce třináct čtvrtletí. Míra inflace vyjádřená přírůstkem průměrného indexu spotřebitelských cen za posledních dvanáct měsíců oproti průměru předchozích dvanácti měsíců se v lednu, únoru i březnu letošního roku rovnala 0,4 %.</w:t>
            </w:r>
          </w:p>
          <w:p w:rsidR="00C11DAF" w:rsidRPr="00C11DAF" w:rsidRDefault="00C11DAF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>…když cena ropy na světovém trhu byla nejnižší od počátku roku 2004 a k utlumenému cenovému vývoji v ČR přispívaly nadále i deflace zpracovatelů v </w:t>
            </w:r>
            <w:proofErr w:type="spellStart"/>
            <w:r w:rsidRPr="00103124">
              <w:rPr>
                <w:sz w:val="16"/>
                <w:szCs w:val="16"/>
              </w:rPr>
              <w:t>eurozóně</w:t>
            </w:r>
            <w:proofErr w:type="spellEnd"/>
            <w:r w:rsidRPr="00103124">
              <w:rPr>
                <w:sz w:val="16"/>
                <w:szCs w:val="16"/>
              </w:rPr>
              <w:t xml:space="preserve"> a klesající ceny zemědělských výrobců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  <w:rPr>
                <w:spacing w:val="-4"/>
              </w:rPr>
            </w:pPr>
            <w:r w:rsidRPr="00103124">
              <w:rPr>
                <w:spacing w:val="-4"/>
              </w:rPr>
              <w:t xml:space="preserve">Zdrojem trvajícího nevýrazného růstu spotřebitelských cen v České republice jsou především nízké ceny ropy. Barel ropy Brent se v 1. čtvrtletí 2016 obchodoval na světových trzích v průměru za 33,7 amerických dolarů, což byla nejnižší cena od počátku roku 2004. Meziroční pokles ceny této komodity nicméně začal vyprchávat (z 50,7 % ve 3. čtvrtletí 2015 přes 43 % v posledním čtvrtletí 2015 na 37,5 % v 1. čtvrtletí 2016), když </w:t>
            </w:r>
            <w:r>
              <w:rPr>
                <w:spacing w:val="-4"/>
              </w:rPr>
              <w:t>se v něm začala projevovat</w:t>
            </w:r>
            <w:r w:rsidRPr="00103124">
              <w:rPr>
                <w:spacing w:val="-4"/>
              </w:rPr>
              <w:t> nižší</w:t>
            </w:r>
            <w:r>
              <w:rPr>
                <w:spacing w:val="-4"/>
              </w:rPr>
              <w:t xml:space="preserve"> základna</w:t>
            </w:r>
            <w:r w:rsidRPr="00103124">
              <w:rPr>
                <w:spacing w:val="-4"/>
              </w:rPr>
              <w:t>. V korunové</w:t>
            </w:r>
            <w:r w:rsidR="00A41D07">
              <w:rPr>
                <w:spacing w:val="-4"/>
              </w:rPr>
              <w:t>m</w:t>
            </w:r>
            <w:r w:rsidRPr="00103124">
              <w:rPr>
                <w:spacing w:val="-4"/>
              </w:rPr>
              <w:t xml:space="preserve"> vyjádření, při meziroční stagnaci kurzu koruny k dolaru v 1. čtvrtletí 2016, byly ceny ropy Brent nižší rovněž o 37,5 %. K utlumenému cenovému vývoji v tuzemské ekonomice přispívají rovněž deflační tendence ve zpracovatelském průmyslu v </w:t>
            </w:r>
            <w:proofErr w:type="spellStart"/>
            <w:r w:rsidRPr="00103124">
              <w:rPr>
                <w:spacing w:val="-4"/>
              </w:rPr>
              <w:t>eurozóně</w:t>
            </w:r>
            <w:proofErr w:type="spellEnd"/>
            <w:r w:rsidRPr="00103124">
              <w:rPr>
                <w:spacing w:val="-4"/>
              </w:rPr>
              <w:t xml:space="preserve"> (vyvolané právě nízkými cenami ropy) a dlouhodobý pokles cen zemědělských výrobců prosakující prostřednictvím výrobního řetězce do cen potravin. 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 xml:space="preserve">Bez zahrnutí topných olejů, pohonných hmot a olejů byla meziroční dynamika spotřebitelských cen silnější o 0,4 </w:t>
            </w:r>
            <w:proofErr w:type="spellStart"/>
            <w:proofErr w:type="gramStart"/>
            <w:r w:rsidRPr="00103124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</w:t>
            </w:r>
            <w:r w:rsidRPr="00103124">
              <w:rPr>
                <w:sz w:val="16"/>
                <w:szCs w:val="16"/>
              </w:rPr>
              <w:t>b</w:t>
            </w:r>
            <w:proofErr w:type="spellEnd"/>
            <w:r w:rsidRPr="00103124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 xml:space="preserve">Na stále výrazný vliv nízkých cen ropy na vývoj spotřebitelských cen v Česku poukazuje meziroční růst celkového indexu bez topných olejů, pohonných hmot a olejů. V 1. čtvrtletí dosáhl 0,9 % a v porovnání s nárůstem celkového indexu byl vyšší o 0,4 </w:t>
            </w:r>
            <w:proofErr w:type="spellStart"/>
            <w:proofErr w:type="gramStart"/>
            <w:r w:rsidRPr="00103124">
              <w:t>p.b</w:t>
            </w:r>
            <w:proofErr w:type="spellEnd"/>
            <w:r w:rsidRPr="00103124">
              <w:t>.</w:t>
            </w:r>
            <w:proofErr w:type="gramEnd"/>
            <w:r w:rsidRPr="00103124">
              <w:t xml:space="preserve"> Podobné to bylo s dopadem nižších cen potravin – dynamika celkového indexu bez potravin a nealkoholických nápojů činila rovněž 0,9 %.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>Ze tří nejvýznamnějších oddílů spotřebního koše se ceny v meziročním srovnání i nadále zvyšovaly jen v případě bydlení, vody, energie a paliv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 xml:space="preserve">Pokud jde o meziroční cenový vývoj ve třech nejvýznamnějších oddílech spotřebního koše, v 1. čtvrtletí 2016 narostly (stejně jako ve všech čtyřech čtvrtletích loňského roku) pouze ceny bydlení, vody, energií a paliv (o 0,9 %). Proti průměrnému přírůstku v roce 2015 zaostala dynamika cen energií, když ceny plynných paliv přešly z meziročního růstu o 3 % do poklesu o 0,5 % a ceny tepelné energie zpomalily z růstu o 1,9 % na 0,6 %. Naopak ceny nájemného z bytu a rovněž ceny imputovaného nájemného za bydlení v 1. čtvrtletí 2016 v porovnání s průměrnou dynamikou v roce 2015 mírně zrychlily. Ceny v oddílu potraviny a nealkoholické nápoje poklesly v 1. čtvrtletí letošního roku o 1,7 % meziročně, tj. ve stejném rozsahu jako samotné ceny potravin. Levnější byly především mléko, sýry a vejce (o 10,9 %) a dále z váhově důležitých skupin maso (o 2,1 %) a pekárenské výrobky a obiloviny (o 1 %). </w:t>
            </w:r>
            <w:r>
              <w:t>P</w:t>
            </w:r>
            <w:r w:rsidRPr="00103124">
              <w:t xml:space="preserve">okles cen ve třetím nejvýznamnějším oddílu spotřebního koše – ve výdajích na dopravu – se zmírnil z průměrného meziročního poklesu o 4,2 % v roce 2015 na 2,7 % v 1. čtvrtletí. Kromě menšího poklesu cen pohonných hmot se </w:t>
            </w:r>
            <w:r w:rsidRPr="00103124">
              <w:rPr>
                <w:spacing w:val="-4"/>
              </w:rPr>
              <w:t>v něm projevoval silnější růst cen dopravních prostředků pořizovaných</w:t>
            </w:r>
            <w:r w:rsidRPr="00103124">
              <w:t xml:space="preserve"> domácnostmi.</w:t>
            </w:r>
          </w:p>
          <w:p w:rsidR="00C11DAF" w:rsidRPr="00C11DAF" w:rsidRDefault="00C11DAF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6046A7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6046A7">
              <w:rPr>
                <w:sz w:val="16"/>
                <w:szCs w:val="16"/>
              </w:rPr>
              <w:t>Meziroční vývoj nabídkových i realizovaných cen bytů je silný. Ukazuje, že ceny nemovitostí v ČR se zvyšují rychle</w:t>
            </w:r>
          </w:p>
        </w:tc>
        <w:tc>
          <w:tcPr>
            <w:tcW w:w="143" w:type="pct"/>
          </w:tcPr>
          <w:p w:rsidR="00C11DAF" w:rsidRPr="006046A7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6046A7" w:rsidRDefault="00C11DAF" w:rsidP="0002434F">
            <w:pPr>
              <w:pStyle w:val="Textpoznpodarou"/>
              <w:jc w:val="both"/>
            </w:pPr>
            <w:r w:rsidRPr="006046A7">
              <w:t xml:space="preserve">Přetrvávající nízké úrokové sazby z úvěrů na bydlení, velmi nízká míra nezaměstnanosti, pokračující růst průměrné mzdy a vysoká spotřebitelská důvěra jsou katalyzátorem pro rychlý růst cen nemovitostí. Nabídkové ceny bytů stouply v 1. čtvrtletí 2016 o 10,2 % meziročně a šlo o nejsilnější růst cen od konce roku 2008. Je přitom zajímavé, že zatímco zhruba do poloviny roku 2015 se nabídkové ceny zvyšovaly výrazněji v Praze než v regionech mimo metropoli, od 3. čtvrtletí </w:t>
            </w:r>
            <w:r w:rsidRPr="006046A7">
              <w:lastRenderedPageBreak/>
              <w:t>je cenový vývoj v Praze i mimo Prahu již obdobný. Také meziroční vývoj realizovaných cen bytů naznačuje, že ceny nemovitostí v Česku rychle rostou. Ceny starších bytů v Praze stouply v 1. čtvrtletí o 5,7 % a v regionech mimo hlavní město dokonce o 9,3 %. Realizované ceny nových bytů, které jsou sledované pouze za Prahu, byly meziročně vyšší o 3,7 %.</w:t>
            </w:r>
          </w:p>
          <w:p w:rsidR="00C11DAF" w:rsidRPr="006046A7" w:rsidRDefault="00C11DAF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lastRenderedPageBreak/>
              <w:t>Déle než</w:t>
            </w:r>
            <w:r>
              <w:rPr>
                <w:sz w:val="16"/>
                <w:szCs w:val="16"/>
              </w:rPr>
              <w:t xml:space="preserve"> jeden rok ceny klesaly</w:t>
            </w:r>
            <w:r w:rsidRPr="00103124">
              <w:rPr>
                <w:sz w:val="16"/>
                <w:szCs w:val="16"/>
              </w:rPr>
              <w:t xml:space="preserve"> v šesti zemích Evrops</w:t>
            </w:r>
            <w:r>
              <w:rPr>
                <w:sz w:val="16"/>
                <w:szCs w:val="16"/>
              </w:rPr>
              <w:t>ké unie. Na Slovensku se snižovaly</w:t>
            </w:r>
            <w:r w:rsidRPr="00103124">
              <w:rPr>
                <w:sz w:val="16"/>
                <w:szCs w:val="16"/>
              </w:rPr>
              <w:t xml:space="preserve"> již devět čtvrtletí a</w:t>
            </w:r>
            <w:r w:rsidR="00F053EA">
              <w:rPr>
                <w:sz w:val="16"/>
                <w:szCs w:val="16"/>
              </w:rPr>
              <w:t xml:space="preserve"> v</w:t>
            </w:r>
            <w:r w:rsidRPr="00103124">
              <w:rPr>
                <w:sz w:val="16"/>
                <w:szCs w:val="16"/>
              </w:rPr>
              <w:t> Bulharsku jedenáct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  <w:rPr>
                <w:spacing w:val="-2"/>
              </w:rPr>
            </w:pPr>
            <w:r w:rsidRPr="00103124">
              <w:t xml:space="preserve">Podle harmonizovaného indexu spotřebitelských cen se ceny v Česku zvýšily </w:t>
            </w:r>
            <w:r w:rsidRPr="006A19EE">
              <w:rPr>
                <w:spacing w:val="-2"/>
              </w:rPr>
              <w:t>v 1. čtvrtletí 2016 proti stejnému období předchozího roku o 0,4 %. Stejný</w:t>
            </w:r>
            <w:r w:rsidRPr="00103124">
              <w:t xml:space="preserve"> přírůstek </w:t>
            </w:r>
            <w:r w:rsidRPr="006A19EE">
              <w:rPr>
                <w:spacing w:val="-2"/>
              </w:rPr>
              <w:t>si připsaly i další tři ekonomiky Unie a vyšší už pouze pět členských zemí</w:t>
            </w:r>
            <w:r w:rsidRPr="00103124">
              <w:t xml:space="preserve">. S deflací se v tomto období potýkalo dvanáct zemí osmadvacítky, </w:t>
            </w:r>
            <w:r>
              <w:t>přitom v </w:t>
            </w:r>
            <w:r w:rsidRPr="006A19EE">
              <w:rPr>
                <w:spacing w:val="-4"/>
              </w:rPr>
              <w:t>některých byla patrná</w:t>
            </w:r>
            <w:r>
              <w:rPr>
                <w:spacing w:val="-4"/>
              </w:rPr>
              <w:t xml:space="preserve"> již</w:t>
            </w:r>
            <w:r w:rsidRPr="006A19EE">
              <w:rPr>
                <w:spacing w:val="-4"/>
              </w:rPr>
              <w:t xml:space="preserve"> dlouhodobě – déle než jeden rok spotřebitelské ceny</w:t>
            </w:r>
            <w:r w:rsidRPr="00103124">
              <w:t xml:space="preserve"> klesaly v polovině těchto zemí, na Slovensku dokonce již devět čtvrtletí a v Bulharsku jedenáct. </w:t>
            </w:r>
            <w:r w:rsidRPr="00103124">
              <w:rPr>
                <w:spacing w:val="-4"/>
              </w:rPr>
              <w:t>Ceny v </w:t>
            </w:r>
            <w:proofErr w:type="spellStart"/>
            <w:r w:rsidRPr="00103124">
              <w:rPr>
                <w:spacing w:val="-4"/>
              </w:rPr>
              <w:t>eurozóně</w:t>
            </w:r>
            <w:proofErr w:type="spellEnd"/>
            <w:r w:rsidRPr="00103124">
              <w:rPr>
                <w:spacing w:val="-4"/>
              </w:rPr>
              <w:t xml:space="preserve"> i celé EU zůstaly v 1. čtvrtletí letošního roku stejné jako před</w:t>
            </w:r>
            <w:r w:rsidRPr="00103124">
              <w:t xml:space="preserve"> rokem.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>Ceny průmyslových výrobců se v Česku snižují v meziročním srovnání již devět čtvrtletí a intenzita jejich poklesu se stále zvětšuje. V 1. čtvrtletí 2016 byly nižší už o 4 %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 xml:space="preserve">V cenách průmyslových výrobců se na počátku letošního roku kromě nízkých cen ropy začaly významně projevovat prohlubující se meziroční cenové poklesy v energetice a v těžbě a dobývání. Zatímco ceny ve zpracovatelském průmyslu poklesly o 4 % a tedy jen nepatrně více než odpovídalo průměru za celý rok 2015, dodávky elektřiny, plynu, páry a klimatizovaného vzduchu byly meziročně nižší o 4,1 % a ceny v těžbě a dobývání o 6,4 %. V případě energetiky se jednalo </w:t>
            </w:r>
            <w:r w:rsidRPr="00103124">
              <w:rPr>
                <w:spacing w:val="-2"/>
              </w:rPr>
              <w:t>o nejhlubší pokles cen od konce roku 2014, v těžbě a dobývání od 3. čtvrtletí</w:t>
            </w:r>
            <w:r w:rsidRPr="00103124">
              <w:t xml:space="preserve"> 2009.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>Kromě Malty se ceny ve zpracovatelském průmyslu snižují v celé Unii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  <w:rPr>
                <w:spacing w:val="-2"/>
              </w:rPr>
            </w:pPr>
            <w:r w:rsidRPr="00103124">
              <w:rPr>
                <w:spacing w:val="-2"/>
              </w:rPr>
              <w:t>Klesající ceny zpracovatelů jsou charakteristickým jevem prakticky pro celou Evropskou unii. V průběhu let 2013 až 2015 se deflační vývoj v této části ekonomiky rozšířil do dvaceti sedmi zemí evropského hospodářského celku. Vzdoruje mu pouze Malta. V</w:t>
            </w:r>
            <w:r>
              <w:rPr>
                <w:spacing w:val="-2"/>
              </w:rPr>
              <w:t xml:space="preserve"> zemích platících eurem i celé </w:t>
            </w:r>
            <w:r w:rsidRPr="00103124">
              <w:rPr>
                <w:spacing w:val="-2"/>
              </w:rPr>
              <w:t>U</w:t>
            </w:r>
            <w:r>
              <w:rPr>
                <w:spacing w:val="-2"/>
              </w:rPr>
              <w:t>nii</w:t>
            </w:r>
            <w:r w:rsidRPr="00103124">
              <w:rPr>
                <w:spacing w:val="-2"/>
              </w:rPr>
              <w:t xml:space="preserve"> se ceny ve zpracovatelském </w:t>
            </w:r>
            <w:r w:rsidRPr="00103124">
              <w:rPr>
                <w:spacing w:val="-6"/>
              </w:rPr>
              <w:t xml:space="preserve">průmyslu snížily v prvních třech měsících letošního roku </w:t>
            </w:r>
            <w:r w:rsidRPr="00103124">
              <w:rPr>
                <w:spacing w:val="-2"/>
              </w:rPr>
              <w:t>meziročně</w:t>
            </w:r>
            <w:r w:rsidRPr="00103124">
              <w:rPr>
                <w:spacing w:val="-6"/>
              </w:rPr>
              <w:t xml:space="preserve"> v průměru o 2,7 %</w:t>
            </w:r>
            <w:r w:rsidRPr="00103124">
              <w:rPr>
                <w:spacing w:val="-2"/>
              </w:rPr>
              <w:t>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>Nadbytek produkce prasat a mléka v Evropě stlačuje jejich ceny i nadále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 xml:space="preserve">Po mírném meziročním růstu cen zemědělských výrobců (vč. ryb) na sklonku </w:t>
            </w:r>
            <w:r w:rsidRPr="00103124">
              <w:rPr>
                <w:spacing w:val="-2"/>
              </w:rPr>
              <w:t>loňského roku, ke kterému došlo poprvé po osmi čtvrtletích, se ceny</w:t>
            </w:r>
            <w:r w:rsidRPr="00103124">
              <w:t xml:space="preserve"> v zemědělství začaly opět snižovat. V 1. čtvrtletí 2016 poklesly o 2,9 %. Ceny rostlinné výroby si udržely pozitivní tempo růstu, avšak zpomalily na 3,9 %, a právě tento vývoj byl příčinou opětovného poklesu cen zemědělských výrobců. Ceny živočišné výroby </w:t>
            </w:r>
            <w:r w:rsidRPr="00103124">
              <w:rPr>
                <w:spacing w:val="-2"/>
              </w:rPr>
              <w:t>byly v porovnání se stejným obdobím předchozího roku nižší o 9,5 %.</w:t>
            </w:r>
            <w:r w:rsidRPr="00103124">
              <w:t xml:space="preserve"> Hospodářská zvířata se vykupovala za ceny nižší o 3,6 % (z toho jatečná prasata o 7,4 %) a živočišné výrobky byly levnější o 15,2 % (z toho mléko o 15,9 %). Průměrná cena jednoho litru mléka dosahovala v tomto období 7,30 korun a v porovnání s průměrnou cenou v roce 2014 (9,50 korun) byla nižší o 23,2 %.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>Růst cen stavebních prací pokračuje a spolu s ním se nadále snižují ceny materiálových vstupů i celkové náklady stavební výroby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>Ceny stavebních prací potvrdily v 1. čtvrtletí letošního roku meziroční růst započatý již ve 2. čtvrtletí 2014 a zvýšily se o 1,3 %. Ceny bytových budov stouply o 1,1 %, ceny nebytových budov a inženýrských děl byly v meziročním srovnání vyšší shodně o 1,3 %. Z pohledu stavebních firem se jevilo příznivě, že stejně jako v loňském roce docházelo při růstu cen stavebních prací ke snižování cen materiálových vstupů (v 1. čtvrtletí 2016 o 1,4 %) a rovněž celkových nákladů stavební výroby (také o 1,4 %).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>Ceny tržních služeb se v meziročním srovnání mírně snižují už tři čtvrtletí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rPr>
                <w:spacing w:val="-2"/>
              </w:rPr>
              <w:t>Ceny tržních služeb v podnikatelské sféře se v 1. čtvrtletí 2016 snížily oproti stejnému období předchozího roku o 0,1 % a cenový vývoj v tomto segmentu tak odpovídal mírné deflaci již třetí čtvrtletí. Levnější pohonné hmoty se odrážely v nižších cenách pozemní a potrubní dopravy (1,3 %), podstatnou měrou se na poklesu cen tržních služeb podílely i snižující se ceny neživotního pojištění (3,1 %). Hlubší deflaci bránil především silný nárůst cen architektonických a inženýrských služeb (o 3,3 %) související s loňskou nízkou srovnávací základnou.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Meziroční k</w:t>
            </w:r>
            <w:r w:rsidRPr="00103124">
              <w:rPr>
                <w:sz w:val="16"/>
                <w:szCs w:val="16"/>
              </w:rPr>
              <w:t xml:space="preserve">urzový vývoj české koruny </w:t>
            </w:r>
            <w:r>
              <w:rPr>
                <w:sz w:val="16"/>
                <w:szCs w:val="16"/>
              </w:rPr>
              <w:t xml:space="preserve">působil </w:t>
            </w:r>
            <w:r w:rsidRPr="00103124">
              <w:rPr>
                <w:sz w:val="16"/>
                <w:szCs w:val="16"/>
              </w:rPr>
              <w:t>v 1.</w:t>
            </w:r>
            <w:r>
              <w:rPr>
                <w:sz w:val="16"/>
                <w:szCs w:val="16"/>
              </w:rPr>
              <w:t> </w:t>
            </w:r>
            <w:r w:rsidRPr="00103124">
              <w:rPr>
                <w:sz w:val="16"/>
                <w:szCs w:val="16"/>
              </w:rPr>
              <w:t>čtvrtletí 2016 především ve směru poklesu cen vývozu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>Vůči euru posílila česká koruna v 1. čtvrtletí 2016  o 2,1 % meziročně, americký dolar se na devizovém trhu obchodoval na stejné hladině jako před rokem. Kurzový vývoj tak tlačil na pokles cen vývozu i dovozu, avšak vzhledem k výraznějšímu zastoupení eurových obchodů na vývozu v porovnání s dovozem byl jeho vliv větší právě na aktivní straně zahraničního obchodu České republiky.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>Ceny vývozu zboží nižší o 4,2 %, …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 xml:space="preserve">Ceny vývozu zboží poklesly v 1. čtvrtletí 2016 o 4,2 % meziročně, nejvýrazněji od prvních tří měsíců roku 2010. Levnější byly všechny třídy SITC s výjimkou </w:t>
            </w:r>
            <w:r w:rsidRPr="00103124">
              <w:rPr>
                <w:spacing w:val="-2"/>
              </w:rPr>
              <w:lastRenderedPageBreak/>
              <w:t>nápojů a tabáku a živočišných a rostlinných olejů. Exportní ceny strojů a</w:t>
            </w:r>
            <w:r w:rsidRPr="00103124">
              <w:t xml:space="preserve"> dopravních prostředků poklesly o 2,6 % (z toho samotných silničních vozidel také o 2,6 %), polotovarů o 6,1 % a průmyslového spotřebního zboží o 1,9 %. Pokles cen ropy a ropných produktů a rovněž elektrické energie podstatně srážel vývozní ceny minerálních paliv (19 %).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lastRenderedPageBreak/>
              <w:t>…dovozní ceny</w:t>
            </w:r>
            <w:r>
              <w:rPr>
                <w:sz w:val="16"/>
                <w:szCs w:val="16"/>
              </w:rPr>
              <w:t xml:space="preserve"> se</w:t>
            </w:r>
            <w:r w:rsidRPr="00103124">
              <w:rPr>
                <w:sz w:val="16"/>
                <w:szCs w:val="16"/>
              </w:rPr>
              <w:t xml:space="preserve"> propadly dokonce o</w:t>
            </w:r>
            <w:r>
              <w:rPr>
                <w:sz w:val="16"/>
                <w:szCs w:val="16"/>
              </w:rPr>
              <w:t> </w:t>
            </w:r>
            <w:r w:rsidRPr="00103124">
              <w:rPr>
                <w:sz w:val="16"/>
                <w:szCs w:val="16"/>
              </w:rPr>
              <w:t>5,6</w:t>
            </w:r>
            <w:r>
              <w:rPr>
                <w:sz w:val="16"/>
                <w:szCs w:val="16"/>
              </w:rPr>
              <w:t> </w:t>
            </w:r>
            <w:r w:rsidRPr="00103124">
              <w:rPr>
                <w:sz w:val="16"/>
                <w:szCs w:val="16"/>
              </w:rPr>
              <w:t>%. V prvním případě se jednalo o nejsilnější pokles cen za posledních šest let, ve druhém za šest let a čtvrt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>Dovozní ceny zboží</w:t>
            </w:r>
            <w:r>
              <w:t xml:space="preserve"> se</w:t>
            </w:r>
            <w:r w:rsidRPr="00103124">
              <w:t xml:space="preserve"> propadly podle dat z prvních tří měsíců roku 2016 proti stejnému období loňského roku o 5,6 %. Šlo o nejhlubší pokles cen dovozu od posledního čtvrtletí 2009. Za nižší ceny se do České republiky dovážela minerální paliva (jejich ceny klesly téměř o třetinu) a rovněž všechny další komodity tříděné podle nomenklatury SITC kromě živočišných a rostlinných olejů. Mezi posledním čtvrtletím loňského roku a 1. čtvrtletím 2016 se meziroční pokles dovozních cen prohloubil o 1,8 </w:t>
            </w:r>
            <w:proofErr w:type="spellStart"/>
            <w:proofErr w:type="gramStart"/>
            <w:r w:rsidRPr="00103124">
              <w:t>p.b</w:t>
            </w:r>
            <w:proofErr w:type="spellEnd"/>
            <w:r w:rsidRPr="00103124">
              <w:t>. – zčásti</w:t>
            </w:r>
            <w:proofErr w:type="gramEnd"/>
            <w:r w:rsidRPr="00103124">
              <w:t xml:space="preserve"> v důsledku hlubšího poklesu cen minerálních paliv a polotovarů, zčásti vlivem započatého poklesu cen strojů </w:t>
            </w:r>
            <w:r w:rsidRPr="00103124">
              <w:rPr>
                <w:spacing w:val="-4"/>
              </w:rPr>
              <w:t>a dopravních prostředků, průmyslového spotřebního zboží a potravin a živých</w:t>
            </w:r>
            <w:r w:rsidRPr="00103124">
              <w:t xml:space="preserve"> zvířat.</w:t>
            </w:r>
          </w:p>
          <w:p w:rsidR="00C11DAF" w:rsidRPr="00103124" w:rsidRDefault="00C11DAF" w:rsidP="0002434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11DAF" w:rsidRPr="00103124" w:rsidTr="0002434F">
        <w:tc>
          <w:tcPr>
            <w:tcW w:w="1054" w:type="pct"/>
          </w:tcPr>
          <w:p w:rsidR="00C11DAF" w:rsidRPr="00103124" w:rsidRDefault="00C11DAF" w:rsidP="0002434F">
            <w:pPr>
              <w:spacing w:line="240" w:lineRule="auto"/>
              <w:rPr>
                <w:sz w:val="16"/>
                <w:szCs w:val="16"/>
              </w:rPr>
            </w:pPr>
            <w:r w:rsidRPr="00103124">
              <w:rPr>
                <w:sz w:val="16"/>
                <w:szCs w:val="16"/>
              </w:rPr>
              <w:t xml:space="preserve">Směnné relace v zahraničním obchodě se zbožím přetrvaly pozitivní i na počátku nového roku </w:t>
            </w:r>
          </w:p>
        </w:tc>
        <w:tc>
          <w:tcPr>
            <w:tcW w:w="143" w:type="pct"/>
          </w:tcPr>
          <w:p w:rsidR="00C11DAF" w:rsidRPr="00103124" w:rsidRDefault="00C11DAF" w:rsidP="0002434F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C11DAF" w:rsidRPr="00103124" w:rsidRDefault="00C11DAF" w:rsidP="0002434F">
            <w:pPr>
              <w:pStyle w:val="Textpoznpodarou"/>
              <w:jc w:val="both"/>
            </w:pPr>
            <w:r w:rsidRPr="00103124">
              <w:t>Silnější meziroční snížení cen dovozu zboží v porovnání s poklesem cen vývozu se odrazilo v pozitivních směnných relacích. Dosáhly hodnoty 101,5 % a v kladném pásmu se pohybovaly druhé čtvrtletí. Pokud jde o jednotlivé třídy SITC, na kladných směnných relacích participoval zejména obchod s minerálními palivy. Při meziročně stabilním kurzu kor</w:t>
            </w:r>
            <w:r w:rsidR="00C53CDB">
              <w:t>uny by směnné relace byly</w:t>
            </w:r>
            <w:r w:rsidRPr="00103124">
              <w:t xml:space="preserve"> mírně vyšší, dosáhly by hodnoty 101,8 %.</w:t>
            </w:r>
          </w:p>
        </w:tc>
      </w:tr>
    </w:tbl>
    <w:p w:rsidR="00ED3A94" w:rsidRPr="004150A4" w:rsidRDefault="00ED3A94" w:rsidP="007C605B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05"/>
        <w:gridCol w:w="3822"/>
        <w:gridCol w:w="1135"/>
        <w:gridCol w:w="3792"/>
      </w:tblGrid>
      <w:tr w:rsidR="00C11DAF" w:rsidRPr="00103124" w:rsidTr="0002434F">
        <w:tc>
          <w:tcPr>
            <w:tcW w:w="560" w:type="pct"/>
          </w:tcPr>
          <w:p w:rsidR="00C11DAF" w:rsidRPr="00103124" w:rsidRDefault="00C11DAF" w:rsidP="0002434F">
            <w:pPr>
              <w:pStyle w:val="Textpoznpodarou"/>
            </w:pPr>
            <w:r w:rsidRPr="00103124">
              <w:t>Graf č. 11</w:t>
            </w:r>
          </w:p>
        </w:tc>
        <w:tc>
          <w:tcPr>
            <w:tcW w:w="1940" w:type="pct"/>
          </w:tcPr>
          <w:p w:rsidR="00C11DAF" w:rsidRPr="00103124" w:rsidRDefault="00C11DAF" w:rsidP="0002434F">
            <w:pPr>
              <w:pStyle w:val="Textpoznpodarou"/>
            </w:pPr>
            <w:r w:rsidRPr="00103124">
              <w:rPr>
                <w:b/>
              </w:rPr>
              <w:t>Spotřebitelské ceny jednotlivých typů domácností</w:t>
            </w:r>
            <w:r w:rsidRPr="00103124">
              <w:t xml:space="preserve"> (y/y v %)</w:t>
            </w:r>
          </w:p>
        </w:tc>
        <w:tc>
          <w:tcPr>
            <w:tcW w:w="576" w:type="pct"/>
          </w:tcPr>
          <w:p w:rsidR="00C11DAF" w:rsidRPr="00103124" w:rsidRDefault="00C11DAF" w:rsidP="0002434F">
            <w:pPr>
              <w:pStyle w:val="Textpoznpodarou"/>
            </w:pPr>
            <w:r w:rsidRPr="00103124">
              <w:t>Graf č. 12</w:t>
            </w:r>
          </w:p>
        </w:tc>
        <w:tc>
          <w:tcPr>
            <w:tcW w:w="1924" w:type="pct"/>
          </w:tcPr>
          <w:p w:rsidR="00C11DAF" w:rsidRPr="00103124" w:rsidRDefault="00C11DAF" w:rsidP="0002434F">
            <w:pPr>
              <w:pStyle w:val="Textpoznpodarou"/>
            </w:pPr>
            <w:r w:rsidRPr="00103124">
              <w:rPr>
                <w:b/>
              </w:rPr>
              <w:t>Ceny ve vybraných oddílech indexu spotřebitelských cen</w:t>
            </w:r>
            <w:r w:rsidRPr="00103124">
              <w:t xml:space="preserve"> (y/y v %)</w:t>
            </w:r>
          </w:p>
        </w:tc>
      </w:tr>
      <w:tr w:rsidR="00C11DAF" w:rsidRPr="00103124" w:rsidTr="0002434F">
        <w:tc>
          <w:tcPr>
            <w:tcW w:w="2499" w:type="pct"/>
            <w:gridSpan w:val="2"/>
          </w:tcPr>
          <w:p w:rsidR="00C11DAF" w:rsidRPr="00103124" w:rsidRDefault="004150A4" w:rsidP="0002434F">
            <w:pPr>
              <w:pStyle w:val="Textpoznpodarou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36.65pt;height:187.2pt;visibility:visible;mso-wrap-style:square">
                  <v:imagedata r:id="rId8" o:title=""/>
                </v:shape>
              </w:pict>
            </w:r>
          </w:p>
        </w:tc>
        <w:tc>
          <w:tcPr>
            <w:tcW w:w="2501" w:type="pct"/>
            <w:gridSpan w:val="2"/>
          </w:tcPr>
          <w:p w:rsidR="00C11DAF" w:rsidRPr="00103124" w:rsidRDefault="004150A4" w:rsidP="0002434F">
            <w:pPr>
              <w:pStyle w:val="Textpoznpodarou"/>
              <w:jc w:val="both"/>
            </w:pPr>
            <w:r>
              <w:rPr>
                <w:noProof/>
              </w:rPr>
              <w:pict>
                <v:shape id="_x0000_i1036" type="#_x0000_t75" style="width:236.65pt;height:187.2pt;visibility:visible;mso-wrap-style:square">
                  <v:imagedata r:id="rId9" o:title=""/>
                </v:shape>
              </w:pict>
            </w:r>
          </w:p>
        </w:tc>
      </w:tr>
      <w:tr w:rsidR="00C11DAF" w:rsidRPr="00103124" w:rsidTr="0002434F">
        <w:tc>
          <w:tcPr>
            <w:tcW w:w="5000" w:type="pct"/>
            <w:gridSpan w:val="4"/>
          </w:tcPr>
          <w:p w:rsidR="00C11DAF" w:rsidRPr="00103124" w:rsidRDefault="00C11DAF" w:rsidP="0002434F">
            <w:pPr>
              <w:pStyle w:val="Textpoznpodarou"/>
              <w:jc w:val="right"/>
              <w:rPr>
                <w:noProof/>
              </w:rPr>
            </w:pPr>
            <w:r w:rsidRPr="00103124">
              <w:rPr>
                <w:sz w:val="18"/>
                <w:szCs w:val="18"/>
              </w:rPr>
              <w:t>Zdroj: ČSÚ</w:t>
            </w:r>
          </w:p>
        </w:tc>
      </w:tr>
    </w:tbl>
    <w:p w:rsidR="00ED3A94" w:rsidRPr="00C11DAF" w:rsidRDefault="00ED3A94" w:rsidP="007C605B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03"/>
        <w:gridCol w:w="3812"/>
        <w:gridCol w:w="712"/>
        <w:gridCol w:w="4227"/>
      </w:tblGrid>
      <w:tr w:rsidR="00C11DAF" w:rsidRPr="00103124" w:rsidTr="0002434F">
        <w:tc>
          <w:tcPr>
            <w:tcW w:w="560" w:type="pct"/>
          </w:tcPr>
          <w:p w:rsidR="00C11DAF" w:rsidRPr="001E73A5" w:rsidRDefault="00C11DAF" w:rsidP="0002434F">
            <w:pPr>
              <w:pStyle w:val="Textpoznpodarou"/>
              <w:rPr>
                <w:lang w:eastAsia="en-US"/>
              </w:rPr>
            </w:pPr>
            <w:r w:rsidRPr="001E73A5">
              <w:rPr>
                <w:lang w:eastAsia="en-US"/>
              </w:rPr>
              <w:t>Graf č. 13</w:t>
            </w:r>
          </w:p>
        </w:tc>
        <w:tc>
          <w:tcPr>
            <w:tcW w:w="1940" w:type="pct"/>
          </w:tcPr>
          <w:p w:rsidR="00C11DAF" w:rsidRPr="00103124" w:rsidRDefault="00C11DAF" w:rsidP="0002434F">
            <w:pPr>
              <w:pStyle w:val="Textpoznpodarou"/>
              <w:rPr>
                <w:color w:val="FF0000"/>
                <w:lang w:eastAsia="en-US"/>
              </w:rPr>
            </w:pPr>
            <w:r w:rsidRPr="001E73A5">
              <w:rPr>
                <w:b/>
                <w:lang w:eastAsia="en-US"/>
              </w:rPr>
              <w:t>Deflátory</w:t>
            </w:r>
            <w:r w:rsidRPr="001E73A5">
              <w:rPr>
                <w:lang w:eastAsia="en-US"/>
              </w:rPr>
              <w:t xml:space="preserve"> (bez očištění o sezónní a kalendářní vlivy, y/y v %)</w:t>
            </w:r>
          </w:p>
        </w:tc>
        <w:tc>
          <w:tcPr>
            <w:tcW w:w="360" w:type="pct"/>
          </w:tcPr>
          <w:p w:rsidR="00C11DAF" w:rsidRPr="00103124" w:rsidRDefault="00C11DAF" w:rsidP="0002434F">
            <w:pPr>
              <w:pStyle w:val="Textpoznpodarou"/>
              <w:rPr>
                <w:lang w:eastAsia="en-US"/>
              </w:rPr>
            </w:pPr>
            <w:r w:rsidRPr="00103124">
              <w:rPr>
                <w:lang w:eastAsia="en-US"/>
              </w:rPr>
              <w:t>Graf č. 14</w:t>
            </w:r>
          </w:p>
        </w:tc>
        <w:tc>
          <w:tcPr>
            <w:tcW w:w="2140" w:type="pct"/>
          </w:tcPr>
          <w:p w:rsidR="00C11DAF" w:rsidRPr="00103124" w:rsidRDefault="00C11DAF" w:rsidP="0002434F">
            <w:pPr>
              <w:pStyle w:val="Textpoznpodarou"/>
              <w:rPr>
                <w:lang w:eastAsia="en-US"/>
              </w:rPr>
            </w:pPr>
            <w:r w:rsidRPr="00103124">
              <w:rPr>
                <w:b/>
                <w:lang w:eastAsia="en-US"/>
              </w:rPr>
              <w:t>Ceny výrobců</w:t>
            </w:r>
            <w:r w:rsidRPr="00103124">
              <w:rPr>
                <w:lang w:eastAsia="en-US"/>
              </w:rPr>
              <w:t xml:space="preserve"> (y/y v %, ceny zemědělských výrobců na pravé ose, ostatní na levé ose)</w:t>
            </w:r>
          </w:p>
        </w:tc>
      </w:tr>
      <w:tr w:rsidR="00C11DAF" w:rsidRPr="00103124" w:rsidTr="0002434F">
        <w:tc>
          <w:tcPr>
            <w:tcW w:w="2500" w:type="pct"/>
            <w:gridSpan w:val="2"/>
          </w:tcPr>
          <w:p w:rsidR="00C11DAF" w:rsidRPr="00103124" w:rsidRDefault="004150A4" w:rsidP="0002434F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37" type="#_x0000_t75" style="width:236.65pt;height:187.2pt;visibility:visible;mso-wrap-style:square">
                  <v:imagedata r:id="rId10" o:title=""/>
                </v:shape>
              </w:pict>
            </w:r>
          </w:p>
        </w:tc>
        <w:tc>
          <w:tcPr>
            <w:tcW w:w="2500" w:type="pct"/>
            <w:gridSpan w:val="2"/>
          </w:tcPr>
          <w:p w:rsidR="00C11DAF" w:rsidRPr="00103124" w:rsidRDefault="004150A4" w:rsidP="0002434F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38" type="#_x0000_t75" style="width:237.9pt;height:187.2pt;visibility:visible;mso-wrap-style:square">
                  <v:imagedata r:id="rId11" o:title=""/>
                </v:shape>
              </w:pict>
            </w:r>
          </w:p>
        </w:tc>
      </w:tr>
      <w:tr w:rsidR="00C11DAF" w:rsidRPr="00103124" w:rsidTr="0002434F">
        <w:tc>
          <w:tcPr>
            <w:tcW w:w="5000" w:type="pct"/>
            <w:gridSpan w:val="4"/>
          </w:tcPr>
          <w:p w:rsidR="00C11DAF" w:rsidRPr="00103124" w:rsidRDefault="00C11DAF" w:rsidP="0002434F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103124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ED3A94" w:rsidRPr="00C11DAF" w:rsidRDefault="00ED3A94" w:rsidP="004150A4">
      <w:pPr>
        <w:rPr>
          <w:sz w:val="2"/>
          <w:szCs w:val="2"/>
        </w:rPr>
      </w:pPr>
    </w:p>
    <w:sectPr w:rsidR="00ED3A94" w:rsidRPr="00C11DAF" w:rsidSect="004150A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85" w:rsidRDefault="00270785" w:rsidP="00E71A58">
      <w:r>
        <w:separator/>
      </w:r>
    </w:p>
  </w:endnote>
  <w:endnote w:type="continuationSeparator" w:id="0">
    <w:p w:rsidR="00270785" w:rsidRDefault="0027078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124F7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02434F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150A4">
      <w:rPr>
        <w:rFonts w:ascii="Arial" w:hAnsi="Arial" w:cs="Arial"/>
        <w:noProof/>
        <w:sz w:val="16"/>
        <w:szCs w:val="16"/>
      </w:rPr>
      <w:t>16</w:t>
    </w:r>
    <w:r w:rsidRPr="005A21E0">
      <w:rPr>
        <w:rFonts w:ascii="Arial" w:hAnsi="Arial" w:cs="Arial"/>
        <w:sz w:val="16"/>
        <w:szCs w:val="16"/>
      </w:rPr>
      <w:fldChar w:fldCharType="end"/>
    </w:r>
    <w:r w:rsidR="0002434F">
      <w:rPr>
        <w:rFonts w:ascii="Arial" w:hAnsi="Arial" w:cs="Arial"/>
        <w:sz w:val="16"/>
        <w:szCs w:val="16"/>
      </w:rPr>
      <w:tab/>
      <w:t>2016</w:t>
    </w:r>
    <w:r w:rsidR="0002434F">
      <w:tab/>
    </w:r>
    <w:r w:rsidR="0002434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124F7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02434F">
      <w:tab/>
    </w:r>
    <w:r w:rsidR="0002434F">
      <w:tab/>
    </w:r>
    <w:r w:rsidR="0002434F" w:rsidRPr="00DC5B3B">
      <w:t xml:space="preserve">                              </w:t>
    </w:r>
  </w:p>
  <w:p w:rsidR="0002434F" w:rsidRPr="00223E00" w:rsidRDefault="0002434F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124F79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24F79" w:rsidRPr="00223E00">
      <w:rPr>
        <w:rFonts w:ascii="Arial" w:hAnsi="Arial" w:cs="Arial"/>
        <w:sz w:val="16"/>
        <w:szCs w:val="16"/>
      </w:rPr>
      <w:fldChar w:fldCharType="separate"/>
    </w:r>
    <w:r w:rsidR="004150A4">
      <w:rPr>
        <w:rFonts w:ascii="Arial" w:hAnsi="Arial" w:cs="Arial"/>
        <w:noProof/>
        <w:sz w:val="16"/>
        <w:szCs w:val="16"/>
      </w:rPr>
      <w:t>15</w:t>
    </w:r>
    <w:r w:rsidR="00124F79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85" w:rsidRDefault="00270785" w:rsidP="00E71A58">
      <w:r>
        <w:separator/>
      </w:r>
    </w:p>
  </w:footnote>
  <w:footnote w:type="continuationSeparator" w:id="0">
    <w:p w:rsidR="00270785" w:rsidRDefault="00270785" w:rsidP="00E71A58">
      <w:r>
        <w:continuationSeparator/>
      </w:r>
    </w:p>
  </w:footnote>
  <w:footnote w:id="1">
    <w:p w:rsidR="0002434F" w:rsidRPr="00481C00" w:rsidRDefault="0002434F" w:rsidP="00C11DAF">
      <w:pPr>
        <w:pStyle w:val="Textpoznpodarou"/>
        <w:jc w:val="both"/>
        <w:rPr>
          <w:sz w:val="16"/>
          <w:szCs w:val="16"/>
        </w:rPr>
      </w:pPr>
      <w:r w:rsidRPr="00804D97">
        <w:rPr>
          <w:rStyle w:val="Znakapoznpodarou"/>
          <w:sz w:val="16"/>
          <w:szCs w:val="16"/>
        </w:rPr>
        <w:footnoteRef/>
      </w:r>
      <w:r w:rsidRPr="00804D97">
        <w:rPr>
          <w:sz w:val="16"/>
          <w:szCs w:val="16"/>
        </w:rPr>
        <w:t xml:space="preserve"> Bez očištění o sezónní a kalendářní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05A0"/>
    <w:multiLevelType w:val="hybridMultilevel"/>
    <w:tmpl w:val="2112F77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4F79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23BE"/>
    <w:rsid w:val="00414CE5"/>
    <w:rsid w:val="004150A4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D07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47D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7B52"/>
    <w:rsid w:val="009F7D77"/>
    <w:rsid w:val="00A004D2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DFF"/>
    <w:rsid w:val="00AF128B"/>
    <w:rsid w:val="00AF1AEA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40DD"/>
    <w:rsid w:val="00D04E1B"/>
    <w:rsid w:val="00D0547B"/>
    <w:rsid w:val="00D076DB"/>
    <w:rsid w:val="00D07EFF"/>
    <w:rsid w:val="00D1067C"/>
    <w:rsid w:val="00D136D4"/>
    <w:rsid w:val="00D13830"/>
    <w:rsid w:val="00D13ECF"/>
    <w:rsid w:val="00D142E5"/>
    <w:rsid w:val="00D148CD"/>
    <w:rsid w:val="00D1611E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97ED2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0ADA-D303-47DF-A1E8-A7BCE383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1049</TotalTime>
  <Pages>3</Pages>
  <Words>1913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403</cp:revision>
  <cp:lastPrinted>2015-06-19T06:21:00Z</cp:lastPrinted>
  <dcterms:created xsi:type="dcterms:W3CDTF">2015-12-16T13:30:00Z</dcterms:created>
  <dcterms:modified xsi:type="dcterms:W3CDTF">2016-06-20T11:00:00Z</dcterms:modified>
</cp:coreProperties>
</file>