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Pr="00F4591F" w:rsidRDefault="00576A3E" w:rsidP="00A267F1">
      <w:pPr>
        <w:pStyle w:val="Nadpis1"/>
        <w:numPr>
          <w:ilvl w:val="0"/>
          <w:numId w:val="6"/>
        </w:numPr>
        <w:jc w:val="both"/>
      </w:pPr>
      <w:bookmarkStart w:id="0" w:name="_Toc454185150"/>
      <w:r>
        <w:t>Výkonnost odvětví</w:t>
      </w:r>
      <w:bookmarkEnd w:id="0"/>
    </w:p>
    <w:tbl>
      <w:tblPr>
        <w:tblW w:w="4999" w:type="pct"/>
        <w:tblCellMar>
          <w:left w:w="28" w:type="dxa"/>
          <w:right w:w="28" w:type="dxa"/>
        </w:tblCellMar>
        <w:tblLook w:val="04A0"/>
      </w:tblPr>
      <w:tblGrid>
        <w:gridCol w:w="2113"/>
        <w:gridCol w:w="281"/>
        <w:gridCol w:w="7298"/>
      </w:tblGrid>
      <w:tr w:rsidR="000E1EEA" w:rsidRPr="007E61CB" w:rsidTr="0002434F">
        <w:tc>
          <w:tcPr>
            <w:tcW w:w="1090" w:type="pct"/>
          </w:tcPr>
          <w:p w:rsidR="000E1EEA" w:rsidRDefault="000E1EEA" w:rsidP="0002434F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  <w:r w:rsidRPr="00EF20EA">
              <w:rPr>
                <w:color w:val="0D0D0D" w:themeColor="text1" w:themeTint="F2"/>
                <w:sz w:val="16"/>
                <w:szCs w:val="16"/>
              </w:rPr>
              <w:t>Meziroč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ní tempo růstu hrubé přidané hodnoty (HPH) sláblo již druhé čtvrtletí </w:t>
            </w:r>
          </w:p>
          <w:p w:rsidR="000E1EEA" w:rsidRPr="00EF20EA" w:rsidRDefault="000E1EEA" w:rsidP="0002434F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v řadě</w:t>
            </w:r>
          </w:p>
        </w:tc>
        <w:tc>
          <w:tcPr>
            <w:tcW w:w="145" w:type="pct"/>
          </w:tcPr>
          <w:p w:rsidR="000E1EEA" w:rsidRDefault="000E1EEA" w:rsidP="0002434F">
            <w:pPr>
              <w:pStyle w:val="Textpoznpodarou"/>
              <w:jc w:val="both"/>
            </w:pPr>
          </w:p>
        </w:tc>
        <w:tc>
          <w:tcPr>
            <w:tcW w:w="3765" w:type="pct"/>
          </w:tcPr>
          <w:p w:rsidR="000E1EEA" w:rsidRPr="00B50A6B" w:rsidRDefault="000E1EEA" w:rsidP="0002434F">
            <w:pPr>
              <w:spacing w:line="240" w:lineRule="auto"/>
              <w:jc w:val="both"/>
              <w:rPr>
                <w:color w:val="0D0D0D" w:themeColor="text1" w:themeTint="F2"/>
                <w:szCs w:val="20"/>
              </w:rPr>
            </w:pPr>
            <w:r w:rsidRPr="00B50A6B">
              <w:rPr>
                <w:spacing w:val="-4"/>
                <w:szCs w:val="20"/>
              </w:rPr>
              <w:t xml:space="preserve">Výkon všech odvětví ekonomiky, zachycený </w:t>
            </w:r>
            <w:r>
              <w:rPr>
                <w:spacing w:val="-4"/>
                <w:szCs w:val="20"/>
              </w:rPr>
              <w:t>v nich vytvořenou hrubou přidanou hodnotou</w:t>
            </w:r>
            <w:r w:rsidRPr="00B50A6B">
              <w:rPr>
                <w:spacing w:val="-4"/>
                <w:szCs w:val="20"/>
              </w:rPr>
              <w:t xml:space="preserve"> (HPH)</w:t>
            </w:r>
            <w:r>
              <w:rPr>
                <w:rStyle w:val="Znakapoznpodarou"/>
                <w:spacing w:val="-4"/>
                <w:szCs w:val="20"/>
              </w:rPr>
              <w:footnoteReference w:id="1"/>
            </w:r>
            <w:r w:rsidRPr="00B50A6B">
              <w:rPr>
                <w:spacing w:val="-4"/>
                <w:szCs w:val="20"/>
              </w:rPr>
              <w:t>, byl v prvních třech měsících roku meziročně o 3 % vyšší. Navzdory slábnutí tempa šlo stále o pátou nejvyšší hodnotu ze zemí EU</w:t>
            </w:r>
            <w:r w:rsidRPr="00B50A6B">
              <w:rPr>
                <w:rStyle w:val="Znakapoznpodarou"/>
                <w:spacing w:val="-4"/>
                <w:szCs w:val="20"/>
              </w:rPr>
              <w:footnoteReference w:id="2"/>
            </w:r>
            <w:r w:rsidRPr="00B50A6B">
              <w:rPr>
                <w:spacing w:val="-4"/>
                <w:szCs w:val="20"/>
              </w:rPr>
              <w:t>. V </w:t>
            </w:r>
            <w:proofErr w:type="spellStart"/>
            <w:r w:rsidRPr="00B50A6B">
              <w:rPr>
                <w:spacing w:val="-4"/>
                <w:szCs w:val="20"/>
              </w:rPr>
              <w:t>mezičtvrtletním</w:t>
            </w:r>
            <w:proofErr w:type="spellEnd"/>
            <w:r w:rsidRPr="00B50A6B">
              <w:rPr>
                <w:spacing w:val="-4"/>
                <w:szCs w:val="20"/>
              </w:rPr>
              <w:t xml:space="preserve"> vyjádření pokračoval růst již podvanácté v řadě, jeho tempo (0,5 %) však bylo proti průměrné úrovni všech čtvrtletí roku 2015 poloviční. Citelné oslabení </w:t>
            </w:r>
            <w:proofErr w:type="spellStart"/>
            <w:r w:rsidRPr="00B50A6B">
              <w:rPr>
                <w:spacing w:val="-4"/>
                <w:szCs w:val="20"/>
              </w:rPr>
              <w:t>mezičtvrtletní</w:t>
            </w:r>
            <w:proofErr w:type="spellEnd"/>
            <w:r w:rsidRPr="00B50A6B">
              <w:rPr>
                <w:spacing w:val="-4"/>
                <w:szCs w:val="20"/>
              </w:rPr>
              <w:t xml:space="preserve"> dynamiky (proti úrovni z druhé poloviny roku 2015) se na úrovni celé Unie neprojevilo, bylo však viditelné u některých států, které dočerpávaly prostředky z EU na konci programovacího období (Polsko, Maďarsko, Slovensko, </w:t>
            </w:r>
            <w:r>
              <w:rPr>
                <w:spacing w:val="-4"/>
                <w:szCs w:val="20"/>
              </w:rPr>
              <w:t>p</w:t>
            </w:r>
            <w:r w:rsidRPr="00B50A6B">
              <w:rPr>
                <w:spacing w:val="-4"/>
                <w:szCs w:val="20"/>
              </w:rPr>
              <w:t xml:space="preserve">obaltské státy). Zatímco v Česku </w:t>
            </w:r>
            <w:r>
              <w:rPr>
                <w:spacing w:val="-4"/>
                <w:szCs w:val="20"/>
              </w:rPr>
              <w:t>tradičně táhne</w:t>
            </w:r>
            <w:r w:rsidRPr="00B50A6B">
              <w:rPr>
                <w:spacing w:val="-4"/>
                <w:szCs w:val="20"/>
              </w:rPr>
              <w:t xml:space="preserve"> růst HPH</w:t>
            </w:r>
            <w:r>
              <w:rPr>
                <w:color w:val="0D0D0D" w:themeColor="text1" w:themeTint="F2"/>
                <w:szCs w:val="20"/>
              </w:rPr>
              <w:t xml:space="preserve"> zpracovatelský průmysl, v </w:t>
            </w:r>
            <w:r w:rsidRPr="00B50A6B">
              <w:rPr>
                <w:color w:val="0D0D0D" w:themeColor="text1" w:themeTint="F2"/>
                <w:szCs w:val="20"/>
              </w:rPr>
              <w:t>EU ale tuto roli plní seskupení odvětví obchod, doprava, ubytování a pohostinství</w:t>
            </w:r>
            <w:r>
              <w:rPr>
                <w:color w:val="0D0D0D" w:themeColor="text1" w:themeTint="F2"/>
                <w:szCs w:val="20"/>
              </w:rPr>
              <w:t>.</w:t>
            </w:r>
          </w:p>
          <w:p w:rsidR="000E1EEA" w:rsidRPr="00B07C2A" w:rsidRDefault="000E1EEA" w:rsidP="0002434F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0E1EEA" w:rsidRPr="00A51B62" w:rsidTr="0002434F">
        <w:tc>
          <w:tcPr>
            <w:tcW w:w="1090" w:type="pct"/>
          </w:tcPr>
          <w:p w:rsidR="000E1EEA" w:rsidRDefault="000E1EEA" w:rsidP="0002434F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Na růstu HPH participovala všechna klíčová odvětví ekonomiky, samotný zpracovatelský průmysl se na něm podílel však téměř 60 %</w:t>
            </w:r>
          </w:p>
          <w:p w:rsidR="000E1EEA" w:rsidRPr="000A4ACC" w:rsidRDefault="000E1EEA" w:rsidP="0002434F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5" w:type="pct"/>
          </w:tcPr>
          <w:p w:rsidR="000E1EEA" w:rsidRDefault="000E1EEA" w:rsidP="0002434F">
            <w:pPr>
              <w:pStyle w:val="Textpoznpodarou"/>
              <w:jc w:val="both"/>
            </w:pPr>
          </w:p>
        </w:tc>
        <w:tc>
          <w:tcPr>
            <w:tcW w:w="3765" w:type="pct"/>
          </w:tcPr>
          <w:p w:rsidR="000E1EEA" w:rsidRPr="003B4035" w:rsidRDefault="000E1EEA" w:rsidP="0002434F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Pokračoval silný růst přidané hodnoty ve zpracovatelském průmyslu (</w:t>
            </w:r>
            <w:proofErr w:type="gramStart"/>
            <w:r>
              <w:rPr>
                <w:spacing w:val="-4"/>
              </w:rPr>
              <w:t>meziročně  o 6,4</w:t>
            </w:r>
            <w:proofErr w:type="gramEnd"/>
            <w:r>
              <w:rPr>
                <w:spacing w:val="-4"/>
              </w:rPr>
              <w:t xml:space="preserve"> %, po 7,3 % za celý rok 2015), který se na zvýšení výkonu všech odvětví ekonomiky podílel téměř z 60 %. Silná zahraniční poptávka se v tomto odvětví na konci roku 2015 plně odrazila v rekordním růstu odpracované doby </w:t>
            </w:r>
            <w:r w:rsidRPr="009E7B1B">
              <w:rPr>
                <w:spacing w:val="-4"/>
              </w:rPr>
              <w:t xml:space="preserve">(o 8,2 % a téměř </w:t>
            </w:r>
            <w:r w:rsidRPr="00D93A98">
              <w:rPr>
                <w:spacing w:val="-4"/>
              </w:rPr>
              <w:t>6 % v 1. čtvrtletí 2016), na počátku roku se silně meziročně zvýšila i zaměstnanost</w:t>
            </w:r>
            <w:r>
              <w:rPr>
                <w:rStyle w:val="Znakapoznpodarou"/>
                <w:spacing w:val="-5"/>
              </w:rPr>
              <w:footnoteReference w:id="3"/>
            </w:r>
            <w:r>
              <w:rPr>
                <w:spacing w:val="-4"/>
              </w:rPr>
              <w:t xml:space="preserve"> (o 3,5 %, v předchozím čtvrtletí o 2,1 %). Lze předpokládat, že zčásti k tomu přispěl také převod dříve zapojených agenturních pracovníků do kmenových stavů. </w:t>
            </w:r>
          </w:p>
          <w:p w:rsidR="000E1EEA" w:rsidRPr="00B07C2A" w:rsidRDefault="000E1EEA" w:rsidP="0002434F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0E1EEA" w:rsidTr="0002434F">
        <w:tc>
          <w:tcPr>
            <w:tcW w:w="1090" w:type="pct"/>
          </w:tcPr>
          <w:p w:rsidR="000E1EEA" w:rsidRPr="00DA1318" w:rsidRDefault="000E1EEA" w:rsidP="000243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Hluboký pokles výkonu stavebnictví proti konci roku 2015 doprovázený stabilizací počtu zaměstnanců</w:t>
            </w:r>
          </w:p>
        </w:tc>
        <w:tc>
          <w:tcPr>
            <w:tcW w:w="145" w:type="pct"/>
          </w:tcPr>
          <w:p w:rsidR="000E1EEA" w:rsidRPr="009E7B1B" w:rsidRDefault="000E1EEA" w:rsidP="0002434F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E1EEA" w:rsidRPr="009E7B1B" w:rsidRDefault="000E1EEA" w:rsidP="0002434F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HPH ve stavebnictví se navzdory některým nepříznivým očekáváním v 1. čtvrtletí těsně udržela v růstovém pásmu. Proti vysoké základně z konce loňského roku však výkon o 4,1 % oslabil, šlo o ne</w:t>
            </w:r>
            <w:r w:rsidR="002F663A">
              <w:rPr>
                <w:spacing w:val="-4"/>
              </w:rPr>
              <w:t>j</w:t>
            </w:r>
            <w:r>
              <w:rPr>
                <w:spacing w:val="-4"/>
              </w:rPr>
              <w:t xml:space="preserve">hlubší pokles za posledních 16 čtvrtletí. Zaměstnanost klesala již šestý rok v řadě, na rozdíl od předchozích let však již výhradně vlivem redukce počtů </w:t>
            </w:r>
            <w:proofErr w:type="spellStart"/>
            <w:r>
              <w:rPr>
                <w:spacing w:val="-4"/>
              </w:rPr>
              <w:t>sebezaměstnaných</w:t>
            </w:r>
            <w:proofErr w:type="spellEnd"/>
            <w:r>
              <w:rPr>
                <w:spacing w:val="-4"/>
              </w:rPr>
              <w:t xml:space="preserve"> osob (meziročně o více než 5 %).</w:t>
            </w:r>
          </w:p>
          <w:p w:rsidR="000E1EEA" w:rsidRPr="00B07C2A" w:rsidRDefault="000E1EEA" w:rsidP="0002434F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0E1EEA" w:rsidTr="0002434F">
        <w:tc>
          <w:tcPr>
            <w:tcW w:w="1090" w:type="pct"/>
          </w:tcPr>
          <w:p w:rsidR="000E1EEA" w:rsidRDefault="000E1EEA" w:rsidP="000243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Obchod, doprava, ubytování a pohostinství se na příspěvku celého sektoru služeb k růstu HPH v celé ekonomice podílely polovinou…</w:t>
            </w:r>
          </w:p>
          <w:p w:rsidR="000E1EEA" w:rsidRPr="000F401E" w:rsidRDefault="000E1EEA" w:rsidP="000243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0E1EEA" w:rsidRPr="005A16AE" w:rsidRDefault="000E1EEA" w:rsidP="0002434F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765" w:type="pct"/>
          </w:tcPr>
          <w:p w:rsidR="000E1EEA" w:rsidRPr="00643A80" w:rsidRDefault="000E1EEA" w:rsidP="0002434F">
            <w:pPr>
              <w:pStyle w:val="Textpoznpodarou"/>
              <w:jc w:val="both"/>
              <w:rPr>
                <w:color w:val="000000" w:themeColor="text1"/>
                <w:spacing w:val="-6"/>
              </w:rPr>
            </w:pPr>
            <w:r w:rsidRPr="00643A80">
              <w:rPr>
                <w:color w:val="000000" w:themeColor="text1"/>
                <w:spacing w:val="-6"/>
              </w:rPr>
              <w:t>Terciární sektor táhl</w:t>
            </w:r>
            <w:r w:rsidR="00643A80" w:rsidRPr="00643A80">
              <w:rPr>
                <w:color w:val="000000" w:themeColor="text1"/>
                <w:spacing w:val="-6"/>
              </w:rPr>
              <w:t xml:space="preserve">a skupina </w:t>
            </w:r>
            <w:r w:rsidRPr="00643A80">
              <w:rPr>
                <w:color w:val="000000" w:themeColor="text1"/>
                <w:spacing w:val="-6"/>
              </w:rPr>
              <w:t xml:space="preserve">odvětví </w:t>
            </w:r>
            <w:r w:rsidRPr="00643A80">
              <w:rPr>
                <w:color w:val="0D0D0D" w:themeColor="text1" w:themeTint="F2"/>
                <w:spacing w:val="-6"/>
              </w:rPr>
              <w:t xml:space="preserve">obchod, doprava, ubytování a pohostinství. Vysoký meziroční růst HPH (o 3,8 %, nejvyšší od konce roku 2010) rezonoval s posílením počtu zaměstnanců (+2,5 %, nejvyšším od konjunktury). Tato odvětví profitovala z pozitivních nálad spotřebitelů podpořených vysokým růstem zaměstnanosti i reálných mezd, jakož i četnějších </w:t>
            </w:r>
            <w:r w:rsidR="00643A80">
              <w:rPr>
                <w:color w:val="0D0D0D" w:themeColor="text1" w:themeTint="F2"/>
                <w:spacing w:val="-6"/>
              </w:rPr>
              <w:t>příjezdů domácích i </w:t>
            </w:r>
            <w:proofErr w:type="spellStart"/>
            <w:r w:rsidR="00643A80">
              <w:rPr>
                <w:color w:val="0D0D0D" w:themeColor="text1" w:themeTint="F2"/>
                <w:spacing w:val="-6"/>
              </w:rPr>
              <w:t>zahr</w:t>
            </w:r>
            <w:proofErr w:type="spellEnd"/>
            <w:r w:rsidR="00643A80">
              <w:rPr>
                <w:color w:val="0D0D0D" w:themeColor="text1" w:themeTint="F2"/>
                <w:spacing w:val="-6"/>
              </w:rPr>
              <w:t>.</w:t>
            </w:r>
            <w:r w:rsidRPr="00643A80">
              <w:rPr>
                <w:color w:val="0D0D0D" w:themeColor="text1" w:themeTint="F2"/>
                <w:spacing w:val="-6"/>
              </w:rPr>
              <w:t xml:space="preserve"> </w:t>
            </w:r>
            <w:proofErr w:type="gramStart"/>
            <w:r w:rsidRPr="00643A80">
              <w:rPr>
                <w:color w:val="0D0D0D" w:themeColor="text1" w:themeTint="F2"/>
                <w:spacing w:val="-6"/>
              </w:rPr>
              <w:t>hostů</w:t>
            </w:r>
            <w:proofErr w:type="gramEnd"/>
            <w:r w:rsidRPr="00643A80">
              <w:rPr>
                <w:color w:val="0D0D0D" w:themeColor="text1" w:themeTint="F2"/>
                <w:spacing w:val="-6"/>
              </w:rPr>
              <w:t xml:space="preserve">. </w:t>
            </w:r>
          </w:p>
          <w:p w:rsidR="000E1EEA" w:rsidRPr="00B07C2A" w:rsidRDefault="000E1EEA" w:rsidP="0002434F">
            <w:pPr>
              <w:pStyle w:val="Textpoznpodarou"/>
              <w:jc w:val="both"/>
              <w:rPr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0E1EEA" w:rsidTr="0002434F">
        <w:tc>
          <w:tcPr>
            <w:tcW w:w="1090" w:type="pct"/>
          </w:tcPr>
          <w:p w:rsidR="000E1EEA" w:rsidRDefault="000E1EEA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…</w:t>
            </w:r>
            <w:r w:rsidRPr="005D14EE">
              <w:rPr>
                <w:color w:val="000000" w:themeColor="text1"/>
                <w:sz w:val="16"/>
                <w:szCs w:val="16"/>
              </w:rPr>
              <w:t>růst HPH v ostatních službách na počátku roku zpomalil, s výjimkou činností v oblasti nemovitostí</w:t>
            </w:r>
          </w:p>
          <w:p w:rsidR="000E1EEA" w:rsidRDefault="000E1EEA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0E1EEA" w:rsidRPr="005D14EE" w:rsidRDefault="000E1EEA" w:rsidP="0002434F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  <w:r w:rsidRPr="005D14EE">
              <w:rPr>
                <w:color w:val="000000" w:themeColor="text1"/>
                <w:spacing w:val="-4"/>
                <w:sz w:val="16"/>
                <w:szCs w:val="16"/>
              </w:rPr>
              <w:t>Meziročně rostoucí počty zaměstnan</w:t>
            </w:r>
            <w:r>
              <w:rPr>
                <w:color w:val="000000" w:themeColor="text1"/>
                <w:spacing w:val="-4"/>
                <w:sz w:val="16"/>
                <w:szCs w:val="16"/>
              </w:rPr>
              <w:t>ců a</w:t>
            </w:r>
            <w:r w:rsidRPr="005D14EE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pacing w:val="-4"/>
                <w:sz w:val="16"/>
                <w:szCs w:val="16"/>
              </w:rPr>
              <w:t xml:space="preserve">také </w:t>
            </w:r>
            <w:proofErr w:type="spellStart"/>
            <w:r w:rsidRPr="005D14EE">
              <w:rPr>
                <w:color w:val="000000" w:themeColor="text1"/>
                <w:spacing w:val="-4"/>
                <w:sz w:val="16"/>
                <w:szCs w:val="16"/>
              </w:rPr>
              <w:t>sebezaměstnaných</w:t>
            </w:r>
            <w:proofErr w:type="spellEnd"/>
            <w:r w:rsidRPr="005D14EE">
              <w:rPr>
                <w:color w:val="000000" w:themeColor="text1"/>
                <w:spacing w:val="-4"/>
                <w:sz w:val="16"/>
                <w:szCs w:val="16"/>
              </w:rPr>
              <w:t xml:space="preserve"> osob vyústily v nejvyšší růst pracovníků v profesních, vědeckých, technických </w:t>
            </w:r>
          </w:p>
          <w:p w:rsidR="000E1EEA" w:rsidRPr="005D14EE" w:rsidRDefault="000E1EEA" w:rsidP="0002434F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color w:val="000000" w:themeColor="text1"/>
                <w:spacing w:val="-4"/>
                <w:sz w:val="16"/>
                <w:szCs w:val="16"/>
              </w:rPr>
              <w:t xml:space="preserve">a administrativních </w:t>
            </w:r>
            <w:proofErr w:type="gramStart"/>
            <w:r>
              <w:rPr>
                <w:color w:val="000000" w:themeColor="text1"/>
                <w:spacing w:val="-4"/>
                <w:sz w:val="16"/>
                <w:szCs w:val="16"/>
              </w:rPr>
              <w:t>činnostech</w:t>
            </w:r>
            <w:proofErr w:type="gramEnd"/>
          </w:p>
          <w:p w:rsidR="000E1EEA" w:rsidRPr="00F3262E" w:rsidRDefault="000E1EEA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5" w:type="pct"/>
          </w:tcPr>
          <w:p w:rsidR="000E1EEA" w:rsidRPr="00F3262E" w:rsidRDefault="000E1EEA" w:rsidP="0002434F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3765" w:type="pct"/>
          </w:tcPr>
          <w:p w:rsidR="000E1EEA" w:rsidRPr="008D59A9" w:rsidRDefault="000E1EEA" w:rsidP="0002434F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  <w:r w:rsidRPr="008D59A9">
              <w:rPr>
                <w:color w:val="0D0D0D" w:themeColor="text1" w:themeTint="F2"/>
                <w:spacing w:val="-4"/>
              </w:rPr>
              <w:t>Na růstu HPH v celé ekonomice se podílela i všechna ostatní významnější odvětví služeb, na rozdíl od roku 2015</w:t>
            </w:r>
            <w:r>
              <w:rPr>
                <w:color w:val="0D0D0D" w:themeColor="text1" w:themeTint="F2"/>
                <w:spacing w:val="-4"/>
              </w:rPr>
              <w:t xml:space="preserve"> se jejich vliv podstatně snížil</w:t>
            </w:r>
            <w:r w:rsidRPr="008D59A9">
              <w:rPr>
                <w:color w:val="0D0D0D" w:themeColor="text1" w:themeTint="F2"/>
                <w:spacing w:val="-4"/>
              </w:rPr>
              <w:t>. Výjimku představovaly činnosti v oblasti nemovitostí, kde zvýraznění meziročního růstu HPH (</w:t>
            </w:r>
            <w:r>
              <w:rPr>
                <w:color w:val="0D0D0D" w:themeColor="text1" w:themeTint="F2"/>
                <w:spacing w:val="-4"/>
              </w:rPr>
              <w:t>3 % v 1.</w:t>
            </w:r>
            <w:r w:rsidRPr="008D59A9">
              <w:rPr>
                <w:color w:val="0D0D0D" w:themeColor="text1" w:themeTint="F2"/>
                <w:spacing w:val="-4"/>
              </w:rPr>
              <w:t> čtvrtletí oproti 1,6 % za celý rok 2015) dokládá pozvolné posilování realitní</w:t>
            </w:r>
            <w:r>
              <w:rPr>
                <w:color w:val="0D0D0D" w:themeColor="text1" w:themeTint="F2"/>
                <w:spacing w:val="-4"/>
              </w:rPr>
              <w:t>ho trhu</w:t>
            </w:r>
            <w:r w:rsidRPr="008D59A9">
              <w:rPr>
                <w:color w:val="0D0D0D" w:themeColor="text1" w:themeTint="F2"/>
                <w:spacing w:val="-4"/>
              </w:rPr>
              <w:t xml:space="preserve">. V profesních, vědeckých, technických a administrativních činnostech dynamika </w:t>
            </w:r>
            <w:r>
              <w:rPr>
                <w:color w:val="0D0D0D" w:themeColor="text1" w:themeTint="F2"/>
                <w:spacing w:val="-4"/>
              </w:rPr>
              <w:t>HPH naopak zvolnila (na +2,6 %) T</w:t>
            </w:r>
            <w:r w:rsidRPr="008D59A9">
              <w:rPr>
                <w:color w:val="0D0D0D" w:themeColor="text1" w:themeTint="F2"/>
                <w:spacing w:val="-4"/>
              </w:rPr>
              <w:t>y v předchozích pěti letech ale patřily mezi nejdynamičtěji rostoucí odvětví služeb, což se postupně projevilo i na zaměstnanosti, jež v 1. čtvrtletí 2016 posílila o téměř 5 % (nejvíce od konjunktury).</w:t>
            </w:r>
            <w:r>
              <w:rPr>
                <w:color w:val="0D0D0D" w:themeColor="text1" w:themeTint="F2"/>
                <w:spacing w:val="-4"/>
              </w:rPr>
              <w:t xml:space="preserve"> </w:t>
            </w:r>
            <w:r w:rsidRPr="008D59A9">
              <w:rPr>
                <w:color w:val="0D0D0D" w:themeColor="text1" w:themeTint="F2"/>
                <w:spacing w:val="-4"/>
              </w:rPr>
              <w:t>V peněžnictví a pojišťovnictví HPH na počátku roku rostla o 3,5 %. Váhově významné veřejné služby</w:t>
            </w:r>
            <w:r w:rsidRPr="008D59A9">
              <w:rPr>
                <w:rStyle w:val="Znakapoznpodarou"/>
                <w:color w:val="0D0D0D" w:themeColor="text1" w:themeTint="F2"/>
                <w:spacing w:val="-4"/>
              </w:rPr>
              <w:footnoteReference w:id="4"/>
            </w:r>
            <w:r w:rsidRPr="008D59A9">
              <w:rPr>
                <w:color w:val="0D0D0D" w:themeColor="text1" w:themeTint="F2"/>
                <w:spacing w:val="-4"/>
              </w:rPr>
              <w:t>, kde se HPH na rozdí</w:t>
            </w:r>
            <w:r>
              <w:rPr>
                <w:color w:val="0D0D0D" w:themeColor="text1" w:themeTint="F2"/>
                <w:spacing w:val="-4"/>
              </w:rPr>
              <w:t>l od finančního sektoru</w:t>
            </w:r>
            <w:r w:rsidRPr="008D59A9">
              <w:rPr>
                <w:color w:val="0D0D0D" w:themeColor="text1" w:themeTint="F2"/>
                <w:spacing w:val="-4"/>
              </w:rPr>
              <w:t xml:space="preserve"> vyvíjí bez výrazných výkyvů, </w:t>
            </w:r>
            <w:r>
              <w:rPr>
                <w:color w:val="0D0D0D" w:themeColor="text1" w:themeTint="F2"/>
                <w:spacing w:val="-4"/>
              </w:rPr>
              <w:t>vykázaly 1% růst, hlavně</w:t>
            </w:r>
            <w:r w:rsidRPr="008D59A9">
              <w:rPr>
                <w:color w:val="0D0D0D" w:themeColor="text1" w:themeTint="F2"/>
                <w:spacing w:val="-4"/>
              </w:rPr>
              <w:t xml:space="preserve"> vlivem nízkého růstu objemu </w:t>
            </w:r>
            <w:r>
              <w:rPr>
                <w:color w:val="0D0D0D" w:themeColor="text1" w:themeTint="F2"/>
                <w:spacing w:val="-4"/>
              </w:rPr>
              <w:t>vyplacených platů</w:t>
            </w:r>
            <w:r w:rsidRPr="008D59A9">
              <w:rPr>
                <w:color w:val="0D0D0D" w:themeColor="text1" w:themeTint="F2"/>
                <w:spacing w:val="-4"/>
              </w:rPr>
              <w:t xml:space="preserve"> ve školství.</w:t>
            </w:r>
          </w:p>
          <w:p w:rsidR="000E1EEA" w:rsidRPr="003F1E23" w:rsidRDefault="000E1EEA" w:rsidP="0002434F">
            <w:pPr>
              <w:pStyle w:val="Textpoznpodarou"/>
              <w:jc w:val="both"/>
              <w:rPr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0E1EEA" w:rsidTr="0002434F">
        <w:tc>
          <w:tcPr>
            <w:tcW w:w="1090" w:type="pct"/>
          </w:tcPr>
          <w:p w:rsidR="000E1EEA" w:rsidRPr="00DA1318" w:rsidRDefault="000E1EEA" w:rsidP="000243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Meziroční tempo růstu průmyslové produkce (proti výsledku za celý rok 2015) mírně oslabilo </w:t>
            </w:r>
          </w:p>
        </w:tc>
        <w:tc>
          <w:tcPr>
            <w:tcW w:w="145" w:type="pct"/>
          </w:tcPr>
          <w:p w:rsidR="000E1EEA" w:rsidRDefault="000E1EEA" w:rsidP="0002434F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E1EEA" w:rsidRPr="005D14EE" w:rsidRDefault="000E1EEA" w:rsidP="00070A0C">
            <w:pPr>
              <w:pStyle w:val="Textpoznpodarou"/>
              <w:jc w:val="both"/>
              <w:rPr>
                <w:spacing w:val="-4"/>
                <w:sz w:val="10"/>
                <w:szCs w:val="10"/>
              </w:rPr>
            </w:pPr>
            <w:r>
              <w:rPr>
                <w:color w:val="000000" w:themeColor="text1"/>
                <w:spacing w:val="-4"/>
              </w:rPr>
              <w:t>Výkon průmyslu (měřený</w:t>
            </w:r>
            <w:r w:rsidRPr="008D59A9">
              <w:rPr>
                <w:color w:val="000000" w:themeColor="text1"/>
                <w:spacing w:val="-4"/>
              </w:rPr>
              <w:t xml:space="preserve"> indexem</w:t>
            </w:r>
            <w:r w:rsidR="005F0976">
              <w:rPr>
                <w:color w:val="000000" w:themeColor="text1"/>
                <w:spacing w:val="-4"/>
              </w:rPr>
              <w:t xml:space="preserve"> průmyslové</w:t>
            </w:r>
            <w:r w:rsidRPr="008D59A9">
              <w:rPr>
                <w:color w:val="000000" w:themeColor="text1"/>
                <w:spacing w:val="-4"/>
              </w:rPr>
              <w:t xml:space="preserve"> produkce)</w:t>
            </w:r>
            <w:r w:rsidRPr="008D59A9">
              <w:rPr>
                <w:color w:val="000000" w:themeColor="text1"/>
                <w:spacing w:val="-4"/>
                <w:vertAlign w:val="superscript"/>
              </w:rPr>
              <w:footnoteReference w:id="5"/>
            </w:r>
            <w:r w:rsidRPr="008D59A9">
              <w:rPr>
                <w:color w:val="000000" w:themeColor="text1"/>
                <w:spacing w:val="-4"/>
              </w:rPr>
              <w:t xml:space="preserve"> v 1. čtvrtletí meziročně posílil </w:t>
            </w:r>
            <w:r>
              <w:rPr>
                <w:color w:val="000000" w:themeColor="text1"/>
                <w:spacing w:val="-4"/>
              </w:rPr>
              <w:t xml:space="preserve">o </w:t>
            </w:r>
            <w:r w:rsidRPr="008D59A9">
              <w:rPr>
                <w:color w:val="000000" w:themeColor="text1"/>
                <w:spacing w:val="-4"/>
              </w:rPr>
              <w:t>2,9</w:t>
            </w:r>
            <w:r w:rsidRPr="008D59A9">
              <w:rPr>
                <w:color w:val="0D0D0D" w:themeColor="text1" w:themeTint="F2"/>
                <w:spacing w:val="-4"/>
              </w:rPr>
              <w:t> </w:t>
            </w:r>
            <w:r w:rsidRPr="008D59A9">
              <w:rPr>
                <w:color w:val="000000" w:themeColor="text1"/>
                <w:spacing w:val="-4"/>
              </w:rPr>
              <w:t xml:space="preserve">% (resp. 3,4 % po očištění o kalendářní vlivy). Ve vztahu </w:t>
            </w:r>
            <w:r>
              <w:rPr>
                <w:color w:val="000000" w:themeColor="text1"/>
                <w:spacing w:val="-4"/>
              </w:rPr>
              <w:t xml:space="preserve">k </w:t>
            </w:r>
            <w:r w:rsidRPr="008D59A9">
              <w:rPr>
                <w:color w:val="000000" w:themeColor="text1"/>
                <w:spacing w:val="-4"/>
              </w:rPr>
              <w:t xml:space="preserve">výsledkům z roku 2015 jeho růst mírně zpomalil. </w:t>
            </w:r>
            <w:r>
              <w:rPr>
                <w:color w:val="000000" w:themeColor="text1"/>
                <w:spacing w:val="-4"/>
              </w:rPr>
              <w:t xml:space="preserve">Proti 4. </w:t>
            </w:r>
            <w:r w:rsidRPr="008D59A9">
              <w:rPr>
                <w:color w:val="000000" w:themeColor="text1"/>
                <w:spacing w:val="-4"/>
              </w:rPr>
              <w:t xml:space="preserve">čtvrtletí </w:t>
            </w:r>
            <w:r>
              <w:rPr>
                <w:color w:val="000000" w:themeColor="text1"/>
                <w:spacing w:val="-4"/>
              </w:rPr>
              <w:t xml:space="preserve">2015 </w:t>
            </w:r>
            <w:r w:rsidRPr="008D59A9">
              <w:rPr>
                <w:color w:val="000000" w:themeColor="text1"/>
                <w:spacing w:val="-4"/>
              </w:rPr>
              <w:t>byla produkce o 1,9</w:t>
            </w:r>
            <w:r w:rsidRPr="008D59A9">
              <w:rPr>
                <w:color w:val="0D0D0D" w:themeColor="text1" w:themeTint="F2"/>
                <w:spacing w:val="-4"/>
              </w:rPr>
              <w:t> </w:t>
            </w:r>
            <w:r w:rsidRPr="008D59A9">
              <w:rPr>
                <w:color w:val="000000" w:themeColor="text1"/>
                <w:spacing w:val="-4"/>
              </w:rPr>
              <w:t xml:space="preserve">% vyšší (po </w:t>
            </w:r>
            <w:proofErr w:type="spellStart"/>
            <w:r>
              <w:rPr>
                <w:color w:val="000000" w:themeColor="text1"/>
                <w:spacing w:val="-4"/>
              </w:rPr>
              <w:t>mezičtvrtletní</w:t>
            </w:r>
            <w:proofErr w:type="spellEnd"/>
            <w:r>
              <w:rPr>
                <w:color w:val="000000" w:themeColor="text1"/>
                <w:spacing w:val="-4"/>
              </w:rPr>
              <w:t xml:space="preserve"> </w:t>
            </w:r>
            <w:r w:rsidRPr="008D59A9">
              <w:rPr>
                <w:color w:val="000000" w:themeColor="text1"/>
                <w:spacing w:val="-4"/>
              </w:rPr>
              <w:t>stagnac</w:t>
            </w:r>
            <w:r>
              <w:rPr>
                <w:color w:val="000000" w:themeColor="text1"/>
                <w:spacing w:val="-4"/>
              </w:rPr>
              <w:t>i</w:t>
            </w:r>
            <w:r w:rsidRPr="008D59A9">
              <w:rPr>
                <w:color w:val="000000" w:themeColor="text1"/>
                <w:spacing w:val="-4"/>
              </w:rPr>
              <w:t xml:space="preserve"> v druhé polovině loňského roku). Celé odvětví táhl </w:t>
            </w:r>
            <w:r w:rsidRPr="0002292C">
              <w:rPr>
                <w:color w:val="000000" w:themeColor="text1"/>
                <w:spacing w:val="-6"/>
              </w:rPr>
              <w:t>stejně jako v předchozích třech letech</w:t>
            </w:r>
            <w:r w:rsidR="0002292C" w:rsidRPr="0002292C">
              <w:rPr>
                <w:color w:val="000000" w:themeColor="text1"/>
                <w:spacing w:val="-6"/>
              </w:rPr>
              <w:t xml:space="preserve"> téměř</w:t>
            </w:r>
            <w:r w:rsidRPr="0002292C">
              <w:rPr>
                <w:color w:val="000000" w:themeColor="text1"/>
                <w:spacing w:val="-6"/>
              </w:rPr>
              <w:t xml:space="preserve"> výhradně zpracovatelský průmysl (+4,2</w:t>
            </w:r>
            <w:r w:rsidRPr="008D59A9">
              <w:rPr>
                <w:color w:val="000000" w:themeColor="text1"/>
                <w:spacing w:val="-4"/>
              </w:rPr>
              <w:t xml:space="preserve"> %</w:t>
            </w:r>
            <w:r>
              <w:rPr>
                <w:color w:val="000000" w:themeColor="text1"/>
                <w:spacing w:val="-4"/>
              </w:rPr>
              <w:t xml:space="preserve"> meziročně</w:t>
            </w:r>
            <w:r w:rsidR="009558A6">
              <w:rPr>
                <w:color w:val="000000" w:themeColor="text1"/>
                <w:spacing w:val="-4"/>
              </w:rPr>
              <w:t>). Pokles p</w:t>
            </w:r>
            <w:r w:rsidRPr="008D59A9">
              <w:rPr>
                <w:color w:val="000000" w:themeColor="text1"/>
                <w:spacing w:val="-4"/>
              </w:rPr>
              <w:t>rodukce v těžbě, poznamenané</w:t>
            </w:r>
            <w:r>
              <w:rPr>
                <w:color w:val="000000" w:themeColor="text1"/>
                <w:spacing w:val="-4"/>
              </w:rPr>
              <w:t xml:space="preserve"> vleklým</w:t>
            </w:r>
            <w:r w:rsidRPr="008D59A9">
              <w:rPr>
                <w:color w:val="000000" w:themeColor="text1"/>
                <w:spacing w:val="-4"/>
              </w:rPr>
              <w:t xml:space="preserve"> útlumem těžby zejména černého uhlí</w:t>
            </w:r>
            <w:r w:rsidR="009558A6">
              <w:rPr>
                <w:color w:val="000000" w:themeColor="text1"/>
                <w:spacing w:val="-4"/>
              </w:rPr>
              <w:t>, se zastavil</w:t>
            </w:r>
            <w:r w:rsidRPr="008D59A9">
              <w:rPr>
                <w:color w:val="000000" w:themeColor="text1"/>
                <w:spacing w:val="-4"/>
              </w:rPr>
              <w:t>. Důvodem však nebyla zlepšená situace odvětví, nýbrž velmi nízká srovnávací základna (na počátku roku 2015 propadl</w:t>
            </w:r>
            <w:r>
              <w:rPr>
                <w:color w:val="000000" w:themeColor="text1"/>
                <w:spacing w:val="-4"/>
              </w:rPr>
              <w:t>a produkce meziročně o</w:t>
            </w:r>
            <w:r w:rsidRPr="008D59A9">
              <w:rPr>
                <w:color w:val="000000" w:themeColor="text1"/>
                <w:spacing w:val="-4"/>
              </w:rPr>
              <w:t xml:space="preserve"> desetinu). S dlouhodobými (ve srovnání s těžbou však jen mírnými) poklesy produkce se potýkala rovněž energetika, kde měla přetrvávající neplánovaná omezení výrobních kapacit negativní dopad na produkci elektřiny. Na počátku roku se výkon energetiky snížil o dalších 4,6 % </w:t>
            </w:r>
            <w:r w:rsidRPr="00C73B8B">
              <w:rPr>
                <w:color w:val="000000" w:themeColor="text1"/>
                <w:spacing w:val="-5"/>
              </w:rPr>
              <w:t>(</w:t>
            </w:r>
            <w:proofErr w:type="spellStart"/>
            <w:r w:rsidRPr="00C73B8B">
              <w:rPr>
                <w:color w:val="000000" w:themeColor="text1"/>
                <w:spacing w:val="-5"/>
              </w:rPr>
              <w:t>mezičtvrtletně</w:t>
            </w:r>
            <w:proofErr w:type="spellEnd"/>
            <w:r w:rsidRPr="00C73B8B">
              <w:rPr>
                <w:color w:val="000000" w:themeColor="text1"/>
                <w:spacing w:val="-5"/>
              </w:rPr>
              <w:t xml:space="preserve"> se ale její poklesy zastavily).</w:t>
            </w:r>
          </w:p>
        </w:tc>
      </w:tr>
      <w:tr w:rsidR="000E1EEA" w:rsidTr="0002434F">
        <w:trPr>
          <w:trHeight w:val="269"/>
        </w:trPr>
        <w:tc>
          <w:tcPr>
            <w:tcW w:w="1090" w:type="pct"/>
          </w:tcPr>
          <w:p w:rsidR="000E1EEA" w:rsidRDefault="000E1EEA" w:rsidP="000243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Nebýt dynamického růstu odvětví výroby dopravních prostředků, produkce v celém průmyslu by v meziročním vyjádření pouze stagnovala</w:t>
            </w:r>
          </w:p>
        </w:tc>
        <w:tc>
          <w:tcPr>
            <w:tcW w:w="145" w:type="pct"/>
          </w:tcPr>
          <w:p w:rsidR="000E1EEA" w:rsidRPr="00636F97" w:rsidRDefault="000E1EEA" w:rsidP="0002434F">
            <w:pPr>
              <w:rPr>
                <w:spacing w:val="-4"/>
                <w:szCs w:val="20"/>
              </w:rPr>
            </w:pPr>
          </w:p>
        </w:tc>
        <w:tc>
          <w:tcPr>
            <w:tcW w:w="3765" w:type="pct"/>
          </w:tcPr>
          <w:p w:rsidR="000E1EEA" w:rsidRPr="00C00806" w:rsidRDefault="000E1EEA" w:rsidP="0002434F">
            <w:pPr>
              <w:pStyle w:val="Textpoznpodarou"/>
              <w:jc w:val="both"/>
              <w:rPr>
                <w:spacing w:val="-4"/>
              </w:rPr>
            </w:pPr>
            <w:r w:rsidRPr="00C00806">
              <w:rPr>
                <w:spacing w:val="-4"/>
              </w:rPr>
              <w:t xml:space="preserve">Klíčové postavení mezi průmyslovými obory patří tradičně výrobě dopravních prostředků (tvoří téměř čtvrtinu jeho produkce). Samotná výroba motorových vozidel vzrostla v 1. čtvrtletí o téměř 14 % a udržela tak vysoká meziroční tempa z roku 2015. Tržby byly vyšší o </w:t>
            </w:r>
            <w:r>
              <w:rPr>
                <w:spacing w:val="-4"/>
              </w:rPr>
              <w:t>10,7 %, a to jak domácí,</w:t>
            </w:r>
            <w:r w:rsidRPr="00C00806">
              <w:rPr>
                <w:spacing w:val="-4"/>
              </w:rPr>
              <w:t xml:space="preserve"> tak i z přímého vývozu. Rekordní hodnoty dosáhlo i fyzické množství vyrobených osobních automobilů</w:t>
            </w:r>
            <w:r w:rsidRPr="00C00806">
              <w:rPr>
                <w:rStyle w:val="Znakapoznpodarou"/>
                <w:spacing w:val="-4"/>
              </w:rPr>
              <w:footnoteReference w:id="6"/>
            </w:r>
            <w:r w:rsidRPr="00C00806">
              <w:rPr>
                <w:spacing w:val="-4"/>
              </w:rPr>
              <w:t xml:space="preserve">. Navzdory relativně vysoké loňské základně vykázali nadprůměrný růst produkce i výrobci ostatních (především kolejových) dopravních vozidel (+7,7 %). Důležitost výroby dopravních prostředků ještě v 1. čtvrtletí zvýraznil fakt, že nebýt tohoto odvětví, meziroční růst produkce celého průmyslu by byl nulový. Dařilo se i klíčovému subdodavatelskému odboru – </w:t>
            </w:r>
            <w:r>
              <w:rPr>
                <w:spacing w:val="-4"/>
              </w:rPr>
              <w:t>výrobě</w:t>
            </w:r>
            <w:r w:rsidRPr="00663BB3">
              <w:rPr>
                <w:spacing w:val="-4"/>
              </w:rPr>
              <w:t xml:space="preserve"> pryžových a plastových výrobků </w:t>
            </w:r>
            <w:r w:rsidRPr="00C00806">
              <w:rPr>
                <w:spacing w:val="-4"/>
              </w:rPr>
              <w:t>(+4,5 %), růst produkce a zejmé</w:t>
            </w:r>
            <w:r>
              <w:rPr>
                <w:spacing w:val="-4"/>
              </w:rPr>
              <w:t>na celkových tržeb (+1,3 %) však</w:t>
            </w:r>
            <w:r w:rsidRPr="00C00806">
              <w:rPr>
                <w:spacing w:val="-4"/>
              </w:rPr>
              <w:t xml:space="preserve"> zpomaloval. To bylo ještě více patrné u výroby elektrických zařízení, k</w:t>
            </w:r>
            <w:r>
              <w:rPr>
                <w:spacing w:val="-4"/>
              </w:rPr>
              <w:t>de se tržby</w:t>
            </w:r>
            <w:r w:rsidRPr="00C00806">
              <w:rPr>
                <w:spacing w:val="-4"/>
              </w:rPr>
              <w:t xml:space="preserve"> poprvé po deseti čtvrtletích meziročně snížily. Stabilní byl naopak dosud vývoj produkce ve váhově významných odvětví</w:t>
            </w:r>
            <w:r>
              <w:rPr>
                <w:spacing w:val="-4"/>
              </w:rPr>
              <w:t>ch</w:t>
            </w:r>
            <w:r w:rsidRPr="00C00806">
              <w:rPr>
                <w:spacing w:val="-4"/>
              </w:rPr>
              <w:t xml:space="preserve"> kovovýroby (+6,2 %) a strojírenství (+2,4 %). Z menších odvětví se dařilo především výrobcům nábytku (jejichž produkce za tři roky vzrostla o čtvrtinu), textilnímu a také oděvnímu průmyslu, který se vloni po deseti letech vymanil z recese. </w:t>
            </w:r>
          </w:p>
          <w:p w:rsidR="000E1EEA" w:rsidRPr="00070A0C" w:rsidRDefault="000E1EEA" w:rsidP="0002434F">
            <w:pPr>
              <w:pStyle w:val="Textpoznpodarou"/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0E1EEA" w:rsidTr="0002434F">
        <w:tc>
          <w:tcPr>
            <w:tcW w:w="1090" w:type="pct"/>
          </w:tcPr>
          <w:p w:rsidR="000E1EEA" w:rsidRDefault="000E1EEA" w:rsidP="0002434F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B507F7">
              <w:rPr>
                <w:spacing w:val="-4"/>
                <w:sz w:val="16"/>
                <w:szCs w:val="16"/>
              </w:rPr>
              <w:t>Z významnějších zpr</w:t>
            </w:r>
            <w:r>
              <w:rPr>
                <w:spacing w:val="-4"/>
                <w:sz w:val="16"/>
                <w:szCs w:val="16"/>
              </w:rPr>
              <w:t>acovatelských oborů klesala produkce jen v hutnictví (vlivem přebytku oceli na evropských trzích), chemickém průmyslu (vlivem</w:t>
            </w:r>
            <w:r w:rsidRPr="00B507F7">
              <w:rPr>
                <w:spacing w:val="-4"/>
                <w:sz w:val="16"/>
                <w:szCs w:val="16"/>
              </w:rPr>
              <w:t xml:space="preserve"> havárií výrobních zařízení) </w:t>
            </w:r>
          </w:p>
          <w:p w:rsidR="000E1EEA" w:rsidRPr="0036070D" w:rsidRDefault="000E1EEA" w:rsidP="0002434F">
            <w:pPr>
              <w:spacing w:line="240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a poprvé po osmi čtvrtletích i potravinářství</w:t>
            </w:r>
          </w:p>
          <w:p w:rsidR="000E1EEA" w:rsidRPr="00CC67DF" w:rsidRDefault="000E1EEA" w:rsidP="0002434F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45" w:type="pct"/>
          </w:tcPr>
          <w:p w:rsidR="000E1EEA" w:rsidRDefault="000E1EEA" w:rsidP="0002434F">
            <w:pPr>
              <w:pStyle w:val="Textpoznpodarou"/>
              <w:jc w:val="both"/>
            </w:pPr>
          </w:p>
        </w:tc>
        <w:tc>
          <w:tcPr>
            <w:tcW w:w="3765" w:type="pct"/>
          </w:tcPr>
          <w:p w:rsidR="000E1EEA" w:rsidRPr="00C00806" w:rsidRDefault="000E1EEA" w:rsidP="0002434F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C00806">
              <w:rPr>
                <w:color w:val="000000" w:themeColor="text1"/>
                <w:spacing w:val="-4"/>
              </w:rPr>
              <w:t>Obtížím naopak čelil chemický průmysl, jehož produkce vinou havárií propadla v meziročním vyjádření již třetí čtvrtletí v řadě (naposledy o téměř 15 %). Šlo také o jediný zpracovatelský obor, jehož produkce svou úroveň z počátku roku 2013 (dno poslední recese ekonomiky) dosud nepřekonala. Čtyři čtvrtletí klesá i výkon v hutnictví a slévárens</w:t>
            </w:r>
            <w:r>
              <w:rPr>
                <w:color w:val="000000" w:themeColor="text1"/>
                <w:spacing w:val="-4"/>
              </w:rPr>
              <w:t xml:space="preserve">tví (na počátku roku o dalších </w:t>
            </w:r>
            <w:r w:rsidRPr="00C00806">
              <w:rPr>
                <w:color w:val="000000" w:themeColor="text1"/>
                <w:spacing w:val="-4"/>
              </w:rPr>
              <w:t xml:space="preserve">6,1 %). S negativními důsledky přetlaku nabídky oceli na evropských trzích se však loni i letos potýkala i většina </w:t>
            </w:r>
            <w:r>
              <w:rPr>
                <w:color w:val="000000" w:themeColor="text1"/>
                <w:spacing w:val="-4"/>
              </w:rPr>
              <w:t>významných producentů, hlavně</w:t>
            </w:r>
            <w:r w:rsidRPr="00C00806">
              <w:rPr>
                <w:color w:val="000000" w:themeColor="text1"/>
                <w:spacing w:val="-4"/>
              </w:rPr>
              <w:t xml:space="preserve"> ve Francii a Velké Británii </w:t>
            </w:r>
            <w:r>
              <w:rPr>
                <w:color w:val="000000" w:themeColor="text1"/>
                <w:spacing w:val="-4"/>
              </w:rPr>
              <w:t>(celé odvětví silně rostlo jen</w:t>
            </w:r>
            <w:r w:rsidRPr="00C00806">
              <w:rPr>
                <w:color w:val="000000" w:themeColor="text1"/>
                <w:spacing w:val="-4"/>
              </w:rPr>
              <w:t xml:space="preserve"> ve Švédsku).</w:t>
            </w:r>
            <w:r>
              <w:rPr>
                <w:color w:val="000000" w:themeColor="text1"/>
                <w:spacing w:val="-4"/>
              </w:rPr>
              <w:t xml:space="preserve"> Ve</w:t>
            </w:r>
            <w:r w:rsidRPr="00C00806">
              <w:rPr>
                <w:color w:val="000000" w:themeColor="text1"/>
                <w:spacing w:val="-4"/>
              </w:rPr>
              <w:t xml:space="preserve"> výrobě </w:t>
            </w:r>
            <w:r w:rsidRPr="00C00806">
              <w:rPr>
                <w:color w:val="000000"/>
                <w:spacing w:val="-4"/>
              </w:rPr>
              <w:t>počítačů, elektronických a optických přístrojů produkce stagnovala, k citelnému zpomalení po intenzivním růstu v letech 2013 a 201</w:t>
            </w:r>
            <w:r w:rsidRPr="00B67D90">
              <w:rPr>
                <w:color w:val="000000"/>
                <w:spacing w:val="-4"/>
              </w:rPr>
              <w:t>4</w:t>
            </w:r>
            <w:r w:rsidRPr="00C00806">
              <w:rPr>
                <w:color w:val="000000"/>
                <w:spacing w:val="-4"/>
              </w:rPr>
              <w:t xml:space="preserve"> však docházelo již v předchozím roce. Poprvé po osmi čtvrtletích </w:t>
            </w:r>
            <w:r>
              <w:rPr>
                <w:color w:val="000000"/>
                <w:spacing w:val="-4"/>
              </w:rPr>
              <w:t xml:space="preserve">se </w:t>
            </w:r>
            <w:r w:rsidRPr="00C00806">
              <w:rPr>
                <w:color w:val="000000"/>
                <w:spacing w:val="-4"/>
              </w:rPr>
              <w:t>zastavil růst produkce v objemově významném a vnitřně diverzifikovaném potravinářském průmyslu. I mělký meziroční pokles (o 3,5 %) znamenal v tomto stabilním, především na domácí trh orientovaném odvětví, nejhorší výsledek od konce roku 2011.</w:t>
            </w:r>
          </w:p>
          <w:p w:rsidR="000E1EEA" w:rsidRPr="00070A0C" w:rsidRDefault="000E1EEA" w:rsidP="0002434F">
            <w:pPr>
              <w:pStyle w:val="Textpoznpodarou"/>
              <w:jc w:val="both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</w:tr>
      <w:tr w:rsidR="000E1EEA" w:rsidTr="0002434F">
        <w:tc>
          <w:tcPr>
            <w:tcW w:w="1090" w:type="pct"/>
          </w:tcPr>
          <w:p w:rsidR="000E1EEA" w:rsidRDefault="000E1EEA" w:rsidP="000243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Úrovně produkce z vrcholu konjunktury stále nedosáhla polovina zpracovatelských oborů, u producentů motorových vozidel již však byla o téměř dvě třetiny vyšší</w:t>
            </w:r>
          </w:p>
        </w:tc>
        <w:tc>
          <w:tcPr>
            <w:tcW w:w="145" w:type="pct"/>
          </w:tcPr>
          <w:p w:rsidR="000E1EEA" w:rsidRDefault="000E1EEA" w:rsidP="0002434F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E1EEA" w:rsidRPr="00E0259A" w:rsidRDefault="000E1EEA" w:rsidP="0002434F">
            <w:pPr>
              <w:pStyle w:val="Textpoznpodarou"/>
              <w:jc w:val="both"/>
              <w:rPr>
                <w:spacing w:val="-4"/>
              </w:rPr>
            </w:pPr>
            <w:r w:rsidRPr="00E0259A">
              <w:rPr>
                <w:spacing w:val="-4"/>
              </w:rPr>
              <w:t>Přestože l</w:t>
            </w:r>
            <w:r>
              <w:rPr>
                <w:spacing w:val="-4"/>
              </w:rPr>
              <w:t xml:space="preserve">etošní výše produkce v celém zpracovatelském průmyslu </w:t>
            </w:r>
            <w:r w:rsidRPr="00E0259A">
              <w:rPr>
                <w:spacing w:val="-4"/>
              </w:rPr>
              <w:t xml:space="preserve">převýšila hodnotu z vrcholu konjunktury (1. </w:t>
            </w:r>
            <w:r>
              <w:rPr>
                <w:spacing w:val="-4"/>
              </w:rPr>
              <w:t>č</w:t>
            </w:r>
            <w:r w:rsidRPr="00E0259A">
              <w:rPr>
                <w:spacing w:val="-4"/>
              </w:rPr>
              <w:t>tvrtletí 2008)</w:t>
            </w:r>
            <w:r>
              <w:rPr>
                <w:spacing w:val="-4"/>
              </w:rPr>
              <w:t xml:space="preserve"> o téměř 12 %, polovina jeho odvětví této mety zatím nedosáhla. Z významnějších oborů šlo hlavně o hutnictví (-21 %), chemický průmysl (-18 %), v menší míře i potravinářství (-5 %) a také strojírenství. Hluboko pod předkrizovou úrovní zůstávají i menší </w:t>
            </w:r>
            <w:proofErr w:type="gramStart"/>
            <w:r>
              <w:rPr>
                <w:spacing w:val="-4"/>
              </w:rPr>
              <w:t>obory –  průmysl</w:t>
            </w:r>
            <w:proofErr w:type="gramEnd"/>
            <w:r>
              <w:rPr>
                <w:spacing w:val="-4"/>
              </w:rPr>
              <w:t xml:space="preserve"> skla, keramiky, porcelánu a stavebních hmot, textilní a oděvní průmysl nebo výrobci nápojů. </w:t>
            </w:r>
          </w:p>
          <w:p w:rsidR="000E1EEA" w:rsidRPr="00070A0C" w:rsidRDefault="000E1EEA" w:rsidP="0002434F">
            <w:pPr>
              <w:pStyle w:val="Textpoznpodarou"/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0E1EEA" w:rsidTr="0002434F">
        <w:tc>
          <w:tcPr>
            <w:tcW w:w="1090" w:type="pct"/>
          </w:tcPr>
          <w:p w:rsidR="000E1EEA" w:rsidRDefault="000E1EEA" w:rsidP="000243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Růst nových zakázek na počátku roku výrazně zpomalil, dosáhl nejnižšího tempa od 3. čtvrtletí 2013</w:t>
            </w:r>
          </w:p>
          <w:p w:rsidR="000E1EEA" w:rsidRDefault="000E1EEA" w:rsidP="0002434F">
            <w:pPr>
              <w:spacing w:line="240" w:lineRule="auto"/>
              <w:rPr>
                <w:sz w:val="16"/>
                <w:szCs w:val="16"/>
              </w:rPr>
            </w:pPr>
          </w:p>
          <w:p w:rsidR="000E1EEA" w:rsidRDefault="000E1EEA" w:rsidP="0002434F">
            <w:pPr>
              <w:spacing w:line="240" w:lineRule="auto"/>
              <w:rPr>
                <w:sz w:val="16"/>
                <w:szCs w:val="16"/>
              </w:rPr>
            </w:pPr>
          </w:p>
          <w:p w:rsidR="000E1EEA" w:rsidRDefault="000E1EEA" w:rsidP="000243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poloviny roku 2015 pociťují průmyslové podniky nedostatek pracovní síly jako barieru růstu stále častěji…</w:t>
            </w:r>
          </w:p>
          <w:p w:rsidR="000E1EEA" w:rsidRDefault="000E1EEA" w:rsidP="0002434F">
            <w:pPr>
              <w:spacing w:line="240" w:lineRule="auto"/>
              <w:rPr>
                <w:sz w:val="16"/>
                <w:szCs w:val="16"/>
              </w:rPr>
            </w:pPr>
          </w:p>
          <w:p w:rsidR="000E1EEA" w:rsidRDefault="000E1EEA" w:rsidP="000243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…jejich podíl byl na počátku 2. čtvrtletí nejvyšší od konjunktury</w:t>
            </w:r>
          </w:p>
          <w:p w:rsidR="000E1EEA" w:rsidRPr="000B1183" w:rsidRDefault="000E1EEA" w:rsidP="000243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0E1EEA" w:rsidRDefault="000E1EEA" w:rsidP="0002434F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E1EEA" w:rsidRPr="00FE16E6" w:rsidRDefault="000E1EEA" w:rsidP="0002434F">
            <w:pPr>
              <w:pStyle w:val="Textpoznpodarou"/>
              <w:jc w:val="both"/>
              <w:rPr>
                <w:color w:val="000000"/>
                <w:spacing w:val="-4"/>
              </w:rPr>
            </w:pPr>
            <w:r>
              <w:rPr>
                <w:spacing w:val="-4"/>
              </w:rPr>
              <w:t>Po úspěšném loňském roce příliv nových zakázek do průmyslu citelně zpomalil. Hodnota zahraničních objednávek byla v 1. čtvrtletí meziročně vyšší o 1,8 %, nejméně od ukončení poslední recese</w:t>
            </w:r>
            <w:r>
              <w:rPr>
                <w:rStyle w:val="Znakapoznpodarou"/>
                <w:spacing w:val="-4"/>
              </w:rPr>
              <w:footnoteReference w:id="7"/>
            </w:r>
            <w:r>
              <w:rPr>
                <w:spacing w:val="-4"/>
              </w:rPr>
              <w:t xml:space="preserve">. Zpomalení se nedotklo pouze klíčových oborů – výroby motorových vozidel (+10 %) a strojírenství (+5 %). </w:t>
            </w:r>
            <w:r>
              <w:rPr>
                <w:color w:val="000000" w:themeColor="text1"/>
                <w:spacing w:val="-4"/>
              </w:rPr>
              <w:t>Nálada podnikatelů v průmyslu však zůstává mírně pozitivní. Sezónně očištěná salda indikátorů důvěry dosahují stabilních hodnot již dva a půl roku, byť proti loňské úrovni po celé jarní období nepatrně zaostávala. Růst výrobní činnosti v příštích třech měsících v květnu očekávala pětina průmyslových podniků, u zaměstnanosti sedmina. Nedostatek pracovní síly považovalo na počátku 2. čtvrtletí 2016 za hlavní bariéru růstu 17 % podniků, před rokem pouze 7 % (ale na vrcholu konjunktury více než čtvrtina). Tento trend lze ale vypozorovat téměř ve všech novějších členských státech EU, především v Polsku a Maďarsku. Dynamika za</w:t>
            </w:r>
            <w:r w:rsidR="00F10B64">
              <w:rPr>
                <w:color w:val="000000" w:themeColor="text1"/>
                <w:spacing w:val="-4"/>
              </w:rPr>
              <w:t>městnanosti i mezd nadále sílila</w:t>
            </w:r>
            <w:r>
              <w:rPr>
                <w:color w:val="000000" w:themeColor="text1"/>
                <w:spacing w:val="-4"/>
              </w:rPr>
              <w:t>. Na počátku roku vzrostl průměrný evidenční počet zaměstnanců (v</w:t>
            </w:r>
            <w:r w:rsidR="00A711B0">
              <w:rPr>
                <w:color w:val="000000" w:themeColor="text1"/>
                <w:spacing w:val="-4"/>
              </w:rPr>
              <w:t> </w:t>
            </w:r>
            <w:proofErr w:type="spellStart"/>
            <w:r w:rsidR="00A711B0">
              <w:rPr>
                <w:color w:val="000000" w:themeColor="text1"/>
                <w:spacing w:val="-4"/>
              </w:rPr>
              <w:t>prům</w:t>
            </w:r>
            <w:proofErr w:type="spellEnd"/>
            <w:r w:rsidR="00A711B0">
              <w:rPr>
                <w:color w:val="000000" w:themeColor="text1"/>
                <w:spacing w:val="-4"/>
              </w:rPr>
              <w:t>.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 xml:space="preserve">podnicích </w:t>
            </w:r>
            <w:r w:rsidR="00A711B0">
              <w:rPr>
                <w:color w:val="000000" w:themeColor="text1"/>
                <w:spacing w:val="-4"/>
              </w:rPr>
              <w:t>v ČR) meziročně</w:t>
            </w:r>
            <w:r>
              <w:rPr>
                <w:color w:val="000000" w:themeColor="text1"/>
                <w:spacing w:val="-4"/>
              </w:rPr>
              <w:t xml:space="preserve"> </w:t>
            </w:r>
            <w:r w:rsidRPr="00A711B0">
              <w:rPr>
                <w:color w:val="000000" w:themeColor="text1"/>
                <w:spacing w:val="-5"/>
              </w:rPr>
              <w:t>o</w:t>
            </w:r>
            <w:r w:rsidR="00A711B0" w:rsidRPr="00A711B0">
              <w:rPr>
                <w:color w:val="000000" w:themeColor="text1"/>
                <w:spacing w:val="-5"/>
              </w:rPr>
              <w:t xml:space="preserve"> 2,9</w:t>
            </w:r>
            <w:r w:rsidRPr="00A711B0">
              <w:rPr>
                <w:color w:val="000000" w:themeColor="text1"/>
                <w:spacing w:val="-5"/>
              </w:rPr>
              <w:t xml:space="preserve"> % (více</w:t>
            </w:r>
            <w:r w:rsidR="00A711B0" w:rsidRPr="00A711B0">
              <w:rPr>
                <w:color w:val="000000" w:themeColor="text1"/>
                <w:spacing w:val="-5"/>
              </w:rPr>
              <w:t xml:space="preserve"> než dvojnásobným tempem v </w:t>
            </w:r>
            <w:r w:rsidRPr="00A711B0">
              <w:rPr>
                <w:color w:val="000000" w:themeColor="text1"/>
                <w:spacing w:val="-5"/>
              </w:rPr>
              <w:t>automobilovém průmyslu</w:t>
            </w:r>
            <w:r w:rsidR="00A711B0" w:rsidRPr="00A711B0">
              <w:rPr>
                <w:color w:val="000000" w:themeColor="text1"/>
                <w:spacing w:val="-5"/>
              </w:rPr>
              <w:t xml:space="preserve"> a ve výrobě PC, elektronických a optických přístrojů</w:t>
            </w:r>
            <w:r w:rsidRPr="00A711B0">
              <w:rPr>
                <w:color w:val="000000" w:themeColor="text1"/>
                <w:spacing w:val="-5"/>
              </w:rPr>
              <w:t>).</w:t>
            </w:r>
            <w:r w:rsidRPr="00B41BB6">
              <w:rPr>
                <w:color w:val="000000" w:themeColor="text1"/>
                <w:spacing w:val="-5"/>
              </w:rPr>
              <w:t xml:space="preserve"> </w:t>
            </w:r>
          </w:p>
          <w:p w:rsidR="000E1EEA" w:rsidRPr="00070A0C" w:rsidRDefault="000E1EEA" w:rsidP="0002434F">
            <w:pPr>
              <w:pStyle w:val="Textpoznpodarou"/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0E1EEA" w:rsidTr="0002434F">
        <w:tc>
          <w:tcPr>
            <w:tcW w:w="1090" w:type="pct"/>
          </w:tcPr>
          <w:p w:rsidR="000E1EEA" w:rsidRDefault="000E1EEA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Silný meziroční pokles stavební produkce byl ovlivněn především nepříznivým vývojem v pozemním stavitelství</w:t>
            </w:r>
          </w:p>
          <w:p w:rsidR="000E1EEA" w:rsidRDefault="000E1EEA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1B7231" w:rsidRDefault="001B7231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1B7231" w:rsidRDefault="001B7231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1B7231" w:rsidRDefault="001B7231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1B7231" w:rsidRDefault="001B7231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1B7231" w:rsidRPr="001B7231" w:rsidRDefault="001B7231" w:rsidP="0002434F">
            <w:pPr>
              <w:spacing w:line="240" w:lineRule="auto"/>
              <w:rPr>
                <w:color w:val="000000" w:themeColor="text1"/>
                <w:sz w:val="14"/>
                <w:szCs w:val="14"/>
              </w:rPr>
            </w:pPr>
          </w:p>
          <w:p w:rsidR="000E1EEA" w:rsidRPr="0032604E" w:rsidRDefault="000E1EEA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Výkon celého stavebnictví se nacházel na předloňské úrovni, proti počátku roku 2008 byl ale o 31 % slabší </w:t>
            </w:r>
          </w:p>
        </w:tc>
        <w:tc>
          <w:tcPr>
            <w:tcW w:w="145" w:type="pct"/>
          </w:tcPr>
          <w:p w:rsidR="000E1EEA" w:rsidRDefault="000E1EEA" w:rsidP="0002434F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E1EEA" w:rsidRPr="00B05778" w:rsidRDefault="000E1EEA" w:rsidP="0002434F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spacing w:val="-4"/>
              </w:rPr>
              <w:t xml:space="preserve">Stavební produkce se po silném růstu z předchozích dvou let v prvních třech měsících roku 2016 opět vrátila k hlubším poklesům, když meziročně oslabila o téměř 9 % (resp. o 7,6 % </w:t>
            </w:r>
            <w:r w:rsidRPr="008D59A9">
              <w:rPr>
                <w:color w:val="000000" w:themeColor="text1"/>
                <w:spacing w:val="-4"/>
              </w:rPr>
              <w:t>po očištění o kalendářní vlivy</w:t>
            </w:r>
            <w:r>
              <w:rPr>
                <w:color w:val="000000" w:themeColor="text1"/>
                <w:spacing w:val="-4"/>
              </w:rPr>
              <w:t xml:space="preserve">). Bezmála z 90 % se na tom podílelo objemově významnější pozemní stavitelství (-9,7 %), výkon inženýrského stavitelství </w:t>
            </w:r>
            <w:r>
              <w:rPr>
                <w:color w:val="000000" w:themeColor="text1"/>
                <w:spacing w:val="-4"/>
              </w:rPr>
              <w:lastRenderedPageBreak/>
              <w:t xml:space="preserve">se snižoval mírněji (- 6%). Obrat v celém odvětví naznačovaly již ve druhé polovině loňského roku výsledky konjunkturních šetření, meziroční snížení hodnoty nových zakázek a především prohlubující se </w:t>
            </w:r>
            <w:proofErr w:type="spellStart"/>
            <w:r>
              <w:rPr>
                <w:color w:val="000000" w:themeColor="text1"/>
                <w:spacing w:val="-4"/>
              </w:rPr>
              <w:t>mezičtvrtletní</w:t>
            </w:r>
            <w:proofErr w:type="spellEnd"/>
            <w:r>
              <w:rPr>
                <w:color w:val="000000" w:themeColor="text1"/>
                <w:spacing w:val="-4"/>
              </w:rPr>
              <w:t xml:space="preserve"> pokles stavební produkce. Na letošních výsledcích se negativně podepsal očekávaný pokles veřejných investic do dopravních staveb (loňský 17% růst produkce v inženýrském stavitelství byl nejvyšší v dvanáctileté řadě), ale také do určité míry i překvapivě opatrný rozvoj nové bytové výstavby podobně jako nerezidenčních nemovitostí. Letošní produkce stavebnictví byla srovnatelná s počátkem roku 2014 (v inženýrském stavitelství o 8 % vyšší).</w:t>
            </w:r>
          </w:p>
          <w:p w:rsidR="000E1EEA" w:rsidRPr="00C60943" w:rsidRDefault="000E1EEA" w:rsidP="0002434F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0E1EEA" w:rsidTr="0002434F">
        <w:tc>
          <w:tcPr>
            <w:tcW w:w="1090" w:type="pct"/>
          </w:tcPr>
          <w:p w:rsidR="000E1EEA" w:rsidRDefault="000E1EEA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Nové zakázky na inženýrské stavby meziročně o 11 % oslabily</w:t>
            </w:r>
          </w:p>
          <w:p w:rsidR="000E1EEA" w:rsidRDefault="000E1EEA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0E1EEA" w:rsidRDefault="000E1EEA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0E1EEA" w:rsidRDefault="000E1EEA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0E1EEA" w:rsidRPr="0032604E" w:rsidRDefault="000E1EEA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Stavebnictví na počátku roku chyběly větší stavby, průměrná hodnota nově uzavřené zakázky klesla pod 3 mil. korun – na nejnižší úroveň za posledních dvanáct čtvrtletí </w:t>
            </w:r>
          </w:p>
        </w:tc>
        <w:tc>
          <w:tcPr>
            <w:tcW w:w="145" w:type="pct"/>
          </w:tcPr>
          <w:p w:rsidR="000E1EEA" w:rsidRDefault="000E1EEA" w:rsidP="0002434F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E1EEA" w:rsidRPr="00C23B45" w:rsidRDefault="000E1EEA" w:rsidP="0002434F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Hodnota nových zakázek (stavebních podniků s 50 a více zaměstnanci) meziročně poklesla o 6,2 %, téměř výhradně vlivem nižších objednávek na inženýrské stavby. Pokles průměrné hodnoty nově uzavřené zakázky (na 2,9 mil. korun, nejníže za posledních 12 čtvrtletí) nepřímo indikuje absenci větších staveb. Mírně optimističtější </w:t>
            </w:r>
            <w:r w:rsidRPr="0083102D">
              <w:rPr>
                <w:spacing w:val="-6"/>
              </w:rPr>
              <w:t>vyhlídky může naznačovat</w:t>
            </w:r>
            <w:r w:rsidR="0083102D">
              <w:rPr>
                <w:spacing w:val="-6"/>
              </w:rPr>
              <w:t xml:space="preserve"> průměrná</w:t>
            </w:r>
            <w:r w:rsidRPr="0083102D">
              <w:rPr>
                <w:spacing w:val="-6"/>
              </w:rPr>
              <w:t xml:space="preserve"> orientační hodnota stavebních povolení. Ta v 1</w:t>
            </w:r>
            <w:r>
              <w:rPr>
                <w:spacing w:val="-4"/>
              </w:rPr>
              <w:t>.</w:t>
            </w:r>
            <w:r w:rsidR="0083102D">
              <w:rPr>
                <w:spacing w:val="-4"/>
              </w:rPr>
              <w:t> </w:t>
            </w:r>
            <w:r>
              <w:rPr>
                <w:spacing w:val="-4"/>
              </w:rPr>
              <w:t xml:space="preserve">čtvrtletí mírně rostla (na 3,2 mil. korun) zásluhou nebytových staveb, kde se </w:t>
            </w:r>
            <w:proofErr w:type="spellStart"/>
            <w:r>
              <w:rPr>
                <w:spacing w:val="-4"/>
              </w:rPr>
              <w:t>mezičtvrtletně</w:t>
            </w:r>
            <w:proofErr w:type="spellEnd"/>
            <w:r>
              <w:rPr>
                <w:spacing w:val="-4"/>
              </w:rPr>
              <w:t xml:space="preserve"> zvýšila již potřetí v řadě (na 5,6 mil. korun). Celková zásoba práce ve formě dosud nerealizovaných stavebních zakázek se meziročně zredukovala o osminu (na 140 mld. korun), především vlivem intenzivní realizace veřejných zakázek </w:t>
            </w:r>
            <w:r w:rsidRPr="0083102D">
              <w:rPr>
                <w:spacing w:val="-6"/>
              </w:rPr>
              <w:t>na konci loňského roku v souvislosti s končícím programovacím obdobím EU</w:t>
            </w:r>
            <w:r>
              <w:rPr>
                <w:spacing w:val="-4"/>
              </w:rPr>
              <w:t>. Vytíženým stavebním firmám se zřejmě nedostávalo kapacit na zakázky v zahraničí, jejichž hodnota se za posledních šest čtvrtletí snížila o téměř polovinu, v celkové zásobě práce však tyto zak</w:t>
            </w:r>
            <w:r w:rsidR="0083102D">
              <w:rPr>
                <w:spacing w:val="-4"/>
              </w:rPr>
              <w:t>ázky na konci března tvořily ne</w:t>
            </w:r>
            <w:r>
              <w:rPr>
                <w:spacing w:val="-4"/>
              </w:rPr>
              <w:t>zanedbatelných 14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spacing w:val="-4"/>
              </w:rPr>
              <w:t>%.</w:t>
            </w:r>
          </w:p>
          <w:p w:rsidR="000E1EEA" w:rsidRPr="00C60943" w:rsidRDefault="000E1EEA" w:rsidP="0002434F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0E1EEA" w:rsidTr="0002434F">
        <w:trPr>
          <w:cantSplit/>
          <w:trHeight w:val="203"/>
        </w:trPr>
        <w:tc>
          <w:tcPr>
            <w:tcW w:w="1090" w:type="pct"/>
          </w:tcPr>
          <w:p w:rsidR="000E1EEA" w:rsidRPr="00FD73C6" w:rsidRDefault="000E1EEA" w:rsidP="00F10B6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Navzdory relativně příznivým klimatickým podmínkám se </w:t>
            </w:r>
            <w:r w:rsidR="00F10B64">
              <w:rPr>
                <w:sz w:val="16"/>
                <w:szCs w:val="16"/>
              </w:rPr>
              <w:t xml:space="preserve">proti loňskému historickému minimu </w:t>
            </w:r>
            <w:r>
              <w:rPr>
                <w:sz w:val="16"/>
                <w:szCs w:val="16"/>
              </w:rPr>
              <w:t>počet zahájených bytů na počátku roku navýšil jen o 2 %</w:t>
            </w:r>
          </w:p>
        </w:tc>
        <w:tc>
          <w:tcPr>
            <w:tcW w:w="145" w:type="pct"/>
          </w:tcPr>
          <w:p w:rsidR="000E1EEA" w:rsidRDefault="000E1EEA" w:rsidP="0002434F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E1EEA" w:rsidRPr="00E84204" w:rsidRDefault="000E1EEA" w:rsidP="0002434F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Na trh s residenčními nemovitostmi působí nejen rostoucí disponibilní příjmy domácností, které v prostředí historicky nejnižších úrokových sazeb stimulují další růst úvěrů na bydlení, ale také přítomnost velkého množství neobsazených bytů postavených s vyššími náklady v době konjunktury, kdy byl objem bytové výstavby proti současnosti téměř dvojnásobný. Počet zahájených bytů se v 1. čtvrtletí navýšil </w:t>
            </w:r>
            <w:r w:rsidRPr="00314110">
              <w:rPr>
                <w:spacing w:val="-5"/>
              </w:rPr>
              <w:t>o pouhá 2 %, na počátku loňského roku byl přitom objem výstavby nejnižší od poloviny 90. let. Počet dokončených bytů (6,2 tis.) stagnoval, když mírný růst u rodinných domů byl zcela kompenzován meziročně nižší výstavbou bytových domů.</w:t>
            </w:r>
            <w:r>
              <w:rPr>
                <w:spacing w:val="-4"/>
              </w:rPr>
              <w:t xml:space="preserve"> </w:t>
            </w:r>
          </w:p>
          <w:p w:rsidR="000E1EEA" w:rsidRPr="00C60943" w:rsidRDefault="000E1EEA" w:rsidP="0002434F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0E1EEA" w:rsidRPr="00A51B62" w:rsidTr="0002434F">
        <w:trPr>
          <w:cantSplit/>
          <w:trHeight w:val="250"/>
        </w:trPr>
        <w:tc>
          <w:tcPr>
            <w:tcW w:w="1090" w:type="pct"/>
          </w:tcPr>
          <w:p w:rsidR="000E1EEA" w:rsidRDefault="000E1EEA" w:rsidP="0002434F">
            <w:pPr>
              <w:spacing w:line="240" w:lineRule="auto"/>
              <w:rPr>
                <w:sz w:val="16"/>
                <w:szCs w:val="16"/>
              </w:rPr>
            </w:pPr>
            <w:r w:rsidRPr="00312EF3">
              <w:rPr>
                <w:sz w:val="16"/>
                <w:szCs w:val="16"/>
              </w:rPr>
              <w:t>Trend</w:t>
            </w:r>
            <w:r>
              <w:rPr>
                <w:sz w:val="16"/>
                <w:szCs w:val="16"/>
              </w:rPr>
              <w:t xml:space="preserve"> postupné</w:t>
            </w:r>
            <w:r w:rsidR="00032E0C">
              <w:rPr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 xml:space="preserve"> zlepšování negativního salda důvěry podnikatelů ve stavebnictví se na počátku roku zastavil, v květnu klesl na nejnižší úroveň za posledních devatenáct měsíců</w:t>
            </w:r>
          </w:p>
          <w:p w:rsidR="000E1EEA" w:rsidRPr="00312EF3" w:rsidRDefault="000E1EEA" w:rsidP="000243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0E1EEA" w:rsidRDefault="000E1EEA" w:rsidP="0002434F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E1EEA" w:rsidRPr="00C50631" w:rsidRDefault="000E1EEA" w:rsidP="0002434F">
            <w:pPr>
              <w:pStyle w:val="Textpoznpodarou"/>
              <w:jc w:val="both"/>
              <w:rPr>
                <w:color w:val="000000" w:themeColor="text1"/>
                <w:spacing w:val="-5"/>
              </w:rPr>
            </w:pPr>
            <w:r w:rsidRPr="00C50631">
              <w:rPr>
                <w:color w:val="000000" w:themeColor="text1"/>
                <w:spacing w:val="-5"/>
              </w:rPr>
              <w:t>Sezó</w:t>
            </w:r>
            <w:r w:rsidR="006C53C7">
              <w:rPr>
                <w:color w:val="000000" w:themeColor="text1"/>
                <w:spacing w:val="-5"/>
              </w:rPr>
              <w:t>n</w:t>
            </w:r>
            <w:r w:rsidRPr="00C50631">
              <w:rPr>
                <w:color w:val="000000" w:themeColor="text1"/>
                <w:spacing w:val="-5"/>
              </w:rPr>
              <w:t xml:space="preserve">ně očištěné saldo důvěry podnikatelů ve stavebnictví setrvává dlouhodobě v negativním pásmu. Dva roky trvající tendence mírného zlepšování se na počátku roku 2016 zastavily, všechny jarní měsíce byla hodnota salda důvěry meziročně nižší a v květnu dokonce dosáhla devatenáctiměsíčního minima. Nedostatečnou poptávku jako bariéru růstu uvedlo a v květnu dle sezónně očištěných dat více než 61 % podniků (oproti 53 % na počátku roku), téměř dvojnásobně více než v celé EU. Pokles průměrného evidenčního počtu zaměstnanců se dle podnikových statistik po sedmi letech téměř zastavil, loňský nadprůměrný růst mezd se v 1. čtvrtletí vrátil k tempu </w:t>
            </w:r>
            <w:r w:rsidRPr="00C50631">
              <w:rPr>
                <w:color w:val="000000" w:themeColor="text1"/>
                <w:spacing w:val="-6"/>
              </w:rPr>
              <w:t>(4,6</w:t>
            </w:r>
            <w:r>
              <w:rPr>
                <w:spacing w:val="-4"/>
              </w:rPr>
              <w:t> </w:t>
            </w:r>
            <w:r w:rsidRPr="00C50631">
              <w:rPr>
                <w:color w:val="000000" w:themeColor="text1"/>
                <w:spacing w:val="-6"/>
              </w:rPr>
              <w:t xml:space="preserve">%) </w:t>
            </w:r>
            <w:r w:rsidRPr="00C50631">
              <w:rPr>
                <w:color w:val="000000" w:themeColor="text1"/>
                <w:spacing w:val="-5"/>
              </w:rPr>
              <w:t>blízkému v</w:t>
            </w:r>
            <w:r>
              <w:rPr>
                <w:color w:val="000000" w:themeColor="text1"/>
                <w:spacing w:val="-5"/>
              </w:rPr>
              <w:t> celé ekonomice (absolutní výše</w:t>
            </w:r>
            <w:r w:rsidRPr="00C50631">
              <w:rPr>
                <w:color w:val="000000" w:themeColor="text1"/>
                <w:spacing w:val="-5"/>
              </w:rPr>
              <w:t xml:space="preserve"> mezd zůstala nižší). Ve větších stavebních podnicích však byla výše mezd i jejich dynamika podstatně vyšší.</w:t>
            </w:r>
          </w:p>
          <w:p w:rsidR="000E1EEA" w:rsidRPr="00C60943" w:rsidRDefault="000E1EEA" w:rsidP="0002434F">
            <w:pPr>
              <w:pStyle w:val="Textpoznpodarou"/>
              <w:jc w:val="both"/>
              <w:rPr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0E1EEA" w:rsidRPr="00BE4405" w:rsidTr="0002434F">
        <w:trPr>
          <w:trHeight w:val="250"/>
        </w:trPr>
        <w:tc>
          <w:tcPr>
            <w:tcW w:w="1090" w:type="pct"/>
          </w:tcPr>
          <w:p w:rsidR="000E1EEA" w:rsidRDefault="000E1EEA" w:rsidP="0002434F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  <w:r w:rsidRPr="006E73E1">
              <w:rPr>
                <w:color w:val="000000" w:themeColor="text1"/>
                <w:spacing w:val="-4"/>
                <w:sz w:val="16"/>
                <w:szCs w:val="16"/>
              </w:rPr>
              <w:t>Za zpomalením růstu tržeb ve službách stály zejména profesní, vědecké a technické činnosti</w:t>
            </w:r>
          </w:p>
          <w:p w:rsidR="000E1EEA" w:rsidRDefault="000E1EEA" w:rsidP="0002434F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0E1EEA" w:rsidRDefault="000E1EEA" w:rsidP="0002434F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0E1EEA" w:rsidRDefault="000E1EEA" w:rsidP="0002434F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0E1EEA" w:rsidRDefault="000E1EEA" w:rsidP="0002434F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color w:val="000000" w:themeColor="text1"/>
                <w:spacing w:val="-4"/>
                <w:sz w:val="16"/>
                <w:szCs w:val="16"/>
              </w:rPr>
              <w:t xml:space="preserve">Stabilní více než 5% růst si udržují administrativní </w:t>
            </w:r>
          </w:p>
          <w:p w:rsidR="000E1EEA" w:rsidRDefault="000E1EEA" w:rsidP="0002434F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color w:val="000000" w:themeColor="text1"/>
                <w:spacing w:val="-4"/>
                <w:sz w:val="16"/>
                <w:szCs w:val="16"/>
              </w:rPr>
              <w:t xml:space="preserve">a podpůrné činnosti a také pohostinství, ubytování </w:t>
            </w:r>
          </w:p>
          <w:p w:rsidR="000E1EEA" w:rsidRPr="006E73E1" w:rsidRDefault="000E1EEA" w:rsidP="0002434F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color w:val="000000" w:themeColor="text1"/>
                <w:spacing w:val="-4"/>
                <w:sz w:val="16"/>
                <w:szCs w:val="16"/>
              </w:rPr>
              <w:t>a stravování, které profitovalo z rychlého růstu příjezdů domácích i zahraničních hostů</w:t>
            </w:r>
          </w:p>
        </w:tc>
        <w:tc>
          <w:tcPr>
            <w:tcW w:w="145" w:type="pct"/>
          </w:tcPr>
          <w:p w:rsidR="000E1EEA" w:rsidRPr="00F3262E" w:rsidRDefault="000E1EEA" w:rsidP="0002434F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3765" w:type="pct"/>
          </w:tcPr>
          <w:p w:rsidR="000E1EEA" w:rsidRPr="00CD4481" w:rsidRDefault="000E1EEA" w:rsidP="006936AD">
            <w:pPr>
              <w:pStyle w:val="Textpoznpodarou"/>
              <w:jc w:val="both"/>
              <w:rPr>
                <w:color w:val="000000" w:themeColor="text1"/>
                <w:spacing w:val="-2"/>
                <w:sz w:val="14"/>
                <w:szCs w:val="14"/>
              </w:rPr>
            </w:pPr>
            <w:r w:rsidRPr="006046C4">
              <w:rPr>
                <w:color w:val="000000" w:themeColor="text1"/>
                <w:spacing w:val="-4"/>
              </w:rPr>
              <w:t>Tržby ve vybraných službách</w:t>
            </w:r>
            <w:r w:rsidRPr="006046C4">
              <w:rPr>
                <w:color w:val="000000" w:themeColor="text1"/>
                <w:spacing w:val="-4"/>
                <w:vertAlign w:val="superscript"/>
              </w:rPr>
              <w:footnoteReference w:id="8"/>
            </w:r>
            <w:r>
              <w:rPr>
                <w:color w:val="000000" w:themeColor="text1"/>
                <w:spacing w:val="-4"/>
              </w:rPr>
              <w:t xml:space="preserve"> se zvýšily o 1 %. O zpomalení růstu služeb oproti celému roku 2015 (+3 %) se nejvíce přičinily p</w:t>
            </w:r>
            <w:r w:rsidRPr="006E73E1">
              <w:rPr>
                <w:color w:val="000000" w:themeColor="text1"/>
                <w:spacing w:val="-4"/>
              </w:rPr>
              <w:t>rofesní, vědecké a technické činnosti</w:t>
            </w:r>
            <w:r>
              <w:rPr>
                <w:color w:val="000000" w:themeColor="text1"/>
                <w:spacing w:val="-4"/>
              </w:rPr>
              <w:t>, jejichž loňský 3% celoroční růst představoval doposud v celém období od konjunktury pouze jednorázové vybočení, neboť v 1. čtvrtletí 2016 meziročně o 3,1 % poklesly (hlavně vlivem a</w:t>
            </w:r>
            <w:r w:rsidRPr="00F17E8F">
              <w:rPr>
                <w:color w:val="000000" w:themeColor="text1"/>
                <w:spacing w:val="-4"/>
              </w:rPr>
              <w:t>rchi</w:t>
            </w:r>
            <w:r>
              <w:rPr>
                <w:color w:val="000000" w:themeColor="text1"/>
                <w:spacing w:val="-4"/>
              </w:rPr>
              <w:t>tektonických a inženýrských činností). V dopravě a skladování tržby (podobně jako v celém loňském roce) stagnovaly, když 2% růst ve skladování stačil vykompenzovat 1% snížení váhově významnější pozemní</w:t>
            </w:r>
            <w:r w:rsidR="006936AD">
              <w:rPr>
                <w:color w:val="000000" w:themeColor="text1"/>
                <w:spacing w:val="-4"/>
              </w:rPr>
              <w:t xml:space="preserve"> a potrubní dopravy</w:t>
            </w:r>
            <w:r>
              <w:rPr>
                <w:color w:val="000000" w:themeColor="text1"/>
                <w:spacing w:val="-4"/>
              </w:rPr>
              <w:t>. Vyšší meziroční základna se promítla ve slabším růstu i v i</w:t>
            </w:r>
            <w:r w:rsidRPr="000213F4">
              <w:rPr>
                <w:color w:val="000000" w:themeColor="text1"/>
                <w:spacing w:val="-4"/>
              </w:rPr>
              <w:t>nformační</w:t>
            </w:r>
            <w:r>
              <w:rPr>
                <w:color w:val="000000" w:themeColor="text1"/>
                <w:spacing w:val="-4"/>
              </w:rPr>
              <w:t>ch</w:t>
            </w:r>
            <w:r w:rsidRPr="000213F4">
              <w:rPr>
                <w:color w:val="000000" w:themeColor="text1"/>
                <w:spacing w:val="-4"/>
              </w:rPr>
              <w:t xml:space="preserve"> a</w:t>
            </w:r>
            <w:r w:rsidR="006936AD">
              <w:rPr>
                <w:color w:val="000000" w:themeColor="text1"/>
                <w:spacing w:val="-4"/>
              </w:rPr>
              <w:t> </w:t>
            </w:r>
            <w:r w:rsidRPr="000213F4">
              <w:rPr>
                <w:color w:val="000000" w:themeColor="text1"/>
                <w:spacing w:val="-4"/>
              </w:rPr>
              <w:t>komunikační</w:t>
            </w:r>
            <w:r>
              <w:rPr>
                <w:color w:val="000000" w:themeColor="text1"/>
                <w:spacing w:val="-4"/>
              </w:rPr>
              <w:t>ch činnostech (1,6 %).</w:t>
            </w:r>
            <w:r w:rsidRPr="000213F4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>Vysoké tempo růstu si naopak udržují administrativní a </w:t>
            </w:r>
            <w:r w:rsidRPr="008C6029">
              <w:rPr>
                <w:color w:val="000000" w:themeColor="text1"/>
                <w:spacing w:val="-4"/>
              </w:rPr>
              <w:t>podpůrné činnosti</w:t>
            </w:r>
            <w:r>
              <w:rPr>
                <w:color w:val="000000" w:themeColor="text1"/>
                <w:spacing w:val="-4"/>
              </w:rPr>
              <w:t xml:space="preserve"> (5 %), kde pokračoval dvouciferný růst u</w:t>
            </w:r>
            <w:r w:rsidR="006936AD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 xml:space="preserve">pracovních agentur, dařilo se však oborům napříč celému odvětví, vyjma </w:t>
            </w:r>
            <w:r w:rsidR="006936AD">
              <w:rPr>
                <w:color w:val="000000" w:themeColor="text1"/>
                <w:spacing w:val="-4"/>
              </w:rPr>
              <w:t>činností cestovních agentur, kanceláří a jiných rezervačních a souvisejících činností (-8,6</w:t>
            </w:r>
            <w:r>
              <w:rPr>
                <w:color w:val="000000" w:themeColor="text1"/>
                <w:spacing w:val="-4"/>
              </w:rPr>
              <w:t xml:space="preserve"> %), jejichž tržby propad</w:t>
            </w:r>
            <w:r w:rsidR="006936AD">
              <w:rPr>
                <w:color w:val="000000" w:themeColor="text1"/>
                <w:spacing w:val="-4"/>
              </w:rPr>
              <w:t>ly oproti 1. čtvrtletí 2012 o 22,9</w:t>
            </w:r>
            <w:r>
              <w:rPr>
                <w:color w:val="000000" w:themeColor="text1"/>
                <w:spacing w:val="-4"/>
              </w:rPr>
              <w:t> %. Podobně jako v roce 2015 se nadále dařilo ubytování, stravování a pohostinství, když počet přenocování domácích i zahraničních hostů byl v 1. čtvrtletí meziročně shodně o 12 % vyšší. Tržby v sektoru služeb v úhrnu zatím nepřekonaly úroveň vrcholu konjunktury, proti 1. čtvrtletí 2008 byly stále o 4,6 % nižší. Tuto hranici již překonaly pozemní doprava, skladování, ubytování, informační,</w:t>
            </w:r>
            <w:r w:rsidRPr="00A45ED9">
              <w:rPr>
                <w:color w:val="000000" w:themeColor="text1"/>
                <w:spacing w:val="-4"/>
              </w:rPr>
              <w:t xml:space="preserve"> komunikační </w:t>
            </w:r>
            <w:r>
              <w:rPr>
                <w:color w:val="000000" w:themeColor="text1"/>
                <w:spacing w:val="-4"/>
              </w:rPr>
              <w:t>a také a</w:t>
            </w:r>
            <w:r w:rsidRPr="00A45ED9">
              <w:rPr>
                <w:color w:val="000000" w:themeColor="text1"/>
                <w:spacing w:val="-4"/>
              </w:rPr>
              <w:t>dministrativní a podpůrné činnosti</w:t>
            </w:r>
            <w:r>
              <w:rPr>
                <w:color w:val="000000" w:themeColor="text1"/>
                <w:spacing w:val="-4"/>
              </w:rPr>
              <w:t>.</w:t>
            </w:r>
          </w:p>
        </w:tc>
      </w:tr>
      <w:tr w:rsidR="000E1EEA" w:rsidRPr="00BE4405" w:rsidTr="0002434F">
        <w:trPr>
          <w:cantSplit/>
          <w:trHeight w:val="250"/>
        </w:trPr>
        <w:tc>
          <w:tcPr>
            <w:tcW w:w="1090" w:type="pct"/>
          </w:tcPr>
          <w:p w:rsidR="000E1EEA" w:rsidRPr="005E6B0B" w:rsidRDefault="000E1EEA" w:rsidP="0002434F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color w:val="000000" w:themeColor="text1"/>
                <w:spacing w:val="-4"/>
                <w:sz w:val="16"/>
                <w:szCs w:val="16"/>
              </w:rPr>
              <w:lastRenderedPageBreak/>
              <w:t>Vysoký</w:t>
            </w:r>
            <w:r w:rsidRPr="005E6B0B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pacing w:val="-4"/>
                <w:sz w:val="16"/>
                <w:szCs w:val="16"/>
              </w:rPr>
              <w:t xml:space="preserve">růst </w:t>
            </w:r>
            <w:r w:rsidRPr="005E6B0B">
              <w:rPr>
                <w:color w:val="000000" w:themeColor="text1"/>
                <w:spacing w:val="-4"/>
                <w:sz w:val="16"/>
                <w:szCs w:val="16"/>
              </w:rPr>
              <w:t>maloobchodních tržeb pokračoval</w:t>
            </w:r>
            <w:r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5E6B0B">
              <w:rPr>
                <w:color w:val="000000" w:themeColor="text1"/>
                <w:spacing w:val="-4"/>
                <w:sz w:val="16"/>
                <w:szCs w:val="16"/>
              </w:rPr>
              <w:t>i </w:t>
            </w:r>
            <w:r>
              <w:rPr>
                <w:color w:val="000000" w:themeColor="text1"/>
                <w:spacing w:val="-4"/>
                <w:sz w:val="16"/>
                <w:szCs w:val="16"/>
              </w:rPr>
              <w:t>v</w:t>
            </w:r>
            <w:r w:rsidRPr="005E6B0B">
              <w:rPr>
                <w:color w:val="000000" w:themeColor="text1"/>
                <w:spacing w:val="-4"/>
                <w:sz w:val="16"/>
                <w:szCs w:val="16"/>
              </w:rPr>
              <w:t xml:space="preserve"> 1. čtvrtletí, </w:t>
            </w:r>
            <w:r>
              <w:rPr>
                <w:color w:val="000000" w:themeColor="text1"/>
                <w:spacing w:val="-4"/>
                <w:sz w:val="16"/>
                <w:szCs w:val="16"/>
              </w:rPr>
              <w:t xml:space="preserve">vedle příznivého spotřebitelského klimatu byl podpořen i předsunutými Velikonocemi </w:t>
            </w:r>
          </w:p>
          <w:p w:rsidR="000E1EEA" w:rsidRDefault="000E1EEA" w:rsidP="0002434F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0E1EEA" w:rsidRDefault="000E1EEA" w:rsidP="0002434F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0E1EEA" w:rsidRDefault="000E1EEA" w:rsidP="0002434F">
            <w:pPr>
              <w:pStyle w:val="Textpoznpodarou"/>
              <w:rPr>
                <w:sz w:val="16"/>
                <w:szCs w:val="16"/>
              </w:rPr>
            </w:pPr>
            <w:r w:rsidRPr="005E6B0B">
              <w:rPr>
                <w:color w:val="000000" w:themeColor="text1"/>
                <w:spacing w:val="-4"/>
                <w:sz w:val="16"/>
                <w:szCs w:val="16"/>
              </w:rPr>
              <w:t xml:space="preserve">Tržby s počítačovým a komunikačním zařízením ve specializovaných prodejnách se snížily poprvé </w:t>
            </w:r>
            <w:r w:rsidR="006936AD">
              <w:rPr>
                <w:color w:val="000000" w:themeColor="text1"/>
                <w:spacing w:val="-4"/>
                <w:sz w:val="16"/>
                <w:szCs w:val="16"/>
              </w:rPr>
              <w:t>od 4. čtvrtletí 2009</w:t>
            </w:r>
            <w:r w:rsidRPr="005E6B0B">
              <w:rPr>
                <w:color w:val="000000" w:themeColor="text1"/>
                <w:spacing w:val="-4"/>
                <w:sz w:val="16"/>
                <w:szCs w:val="16"/>
              </w:rPr>
              <w:t>, proti počátku roku 2011 však byly o více</w:t>
            </w:r>
            <w:r w:rsidR="00D433F5">
              <w:rPr>
                <w:color w:val="000000" w:themeColor="text1"/>
                <w:spacing w:val="-4"/>
                <w:sz w:val="16"/>
                <w:szCs w:val="16"/>
              </w:rPr>
              <w:t xml:space="preserve"> než</w:t>
            </w:r>
            <w:r w:rsidRPr="005E6B0B">
              <w:rPr>
                <w:color w:val="000000" w:themeColor="text1"/>
                <w:spacing w:val="-4"/>
                <w:sz w:val="16"/>
                <w:szCs w:val="16"/>
              </w:rPr>
              <w:t xml:space="preserve"> tři čtvrtiny vyšší</w:t>
            </w:r>
          </w:p>
          <w:p w:rsidR="000E1EEA" w:rsidRPr="005E6B0B" w:rsidRDefault="000E1EEA" w:rsidP="0002434F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0E1EEA" w:rsidRPr="00BF497A" w:rsidRDefault="000E1EEA" w:rsidP="0002434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</w:tcPr>
          <w:p w:rsidR="000E1EEA" w:rsidRPr="005A16AE" w:rsidRDefault="000E1EEA" w:rsidP="0002434F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765" w:type="pct"/>
          </w:tcPr>
          <w:p w:rsidR="000E1EEA" w:rsidRPr="00203F25" w:rsidRDefault="000E1EEA" w:rsidP="0002434F">
            <w:pPr>
              <w:spacing w:line="240" w:lineRule="auto"/>
              <w:jc w:val="both"/>
              <w:rPr>
                <w:color w:val="000000" w:themeColor="text1"/>
                <w:spacing w:val="-4"/>
              </w:rPr>
            </w:pPr>
            <w:r w:rsidRPr="00203F25">
              <w:rPr>
                <w:color w:val="000000" w:themeColor="text1"/>
                <w:spacing w:val="-4"/>
              </w:rPr>
              <w:t>Rekordní výše zaměstnanosti</w:t>
            </w:r>
            <w:r w:rsidR="005D7C4B">
              <w:rPr>
                <w:color w:val="000000" w:themeColor="text1"/>
                <w:spacing w:val="-4"/>
              </w:rPr>
              <w:t>,</w:t>
            </w:r>
            <w:r w:rsidRPr="00203F25">
              <w:rPr>
                <w:color w:val="000000" w:themeColor="text1"/>
                <w:spacing w:val="-4"/>
              </w:rPr>
              <w:t xml:space="preserve"> doprovázená vysokým růstem reálných mezd</w:t>
            </w:r>
            <w:r w:rsidR="005D7C4B">
              <w:rPr>
                <w:color w:val="000000" w:themeColor="text1"/>
                <w:spacing w:val="-4"/>
              </w:rPr>
              <w:t>, se promítla</w:t>
            </w:r>
            <w:r w:rsidRPr="00203F25">
              <w:rPr>
                <w:color w:val="000000" w:themeColor="text1"/>
                <w:spacing w:val="-4"/>
              </w:rPr>
              <w:t xml:space="preserve"> do optimistických nálad spotřebitelů. Sezóně očištěné saldo důvěry dosáhlo na počátk</w:t>
            </w:r>
            <w:r>
              <w:rPr>
                <w:color w:val="000000" w:themeColor="text1"/>
                <w:spacing w:val="-4"/>
              </w:rPr>
              <w:t xml:space="preserve">u roku nejvyšší hodnoty </w:t>
            </w:r>
            <w:r w:rsidRPr="006B4FFB">
              <w:rPr>
                <w:color w:val="000000" w:themeColor="text1"/>
                <w:spacing w:val="-6"/>
              </w:rPr>
              <w:t>(+7,5 bodu)</w:t>
            </w:r>
            <w:r w:rsidRPr="00203F25">
              <w:rPr>
                <w:color w:val="000000" w:themeColor="text1"/>
                <w:spacing w:val="-4"/>
              </w:rPr>
              <w:t xml:space="preserve"> v historii </w:t>
            </w:r>
            <w:r>
              <w:rPr>
                <w:color w:val="000000" w:themeColor="text1"/>
                <w:spacing w:val="-4"/>
              </w:rPr>
              <w:t>sledování. Vysoký</w:t>
            </w:r>
            <w:r w:rsidRPr="00203F25">
              <w:rPr>
                <w:color w:val="000000" w:themeColor="text1"/>
                <w:spacing w:val="-4"/>
              </w:rPr>
              <w:t xml:space="preserve"> růst udržely i maloobchodní </w:t>
            </w:r>
            <w:r w:rsidRPr="00203F25">
              <w:rPr>
                <w:color w:val="000000" w:themeColor="text1"/>
                <w:spacing w:val="-4"/>
                <w:szCs w:val="20"/>
              </w:rPr>
              <w:t>tržby (</w:t>
            </w:r>
            <w:r w:rsidRPr="00203F25">
              <w:rPr>
                <w:spacing w:val="-4"/>
                <w:szCs w:val="20"/>
              </w:rPr>
              <w:t>bez motoristického segmentu)</w:t>
            </w:r>
            <w:r w:rsidRPr="00203F25">
              <w:rPr>
                <w:color w:val="000000" w:themeColor="text1"/>
                <w:spacing w:val="-4"/>
                <w:szCs w:val="20"/>
              </w:rPr>
              <w:t>,</w:t>
            </w:r>
            <w:r w:rsidRPr="00203F25">
              <w:rPr>
                <w:color w:val="000000" w:themeColor="text1"/>
                <w:spacing w:val="-4"/>
              </w:rPr>
              <w:t xml:space="preserve"> jejichž meziroční dynamika atakovala hodnoty z vrcholu konjunktury. V 1. čtvrtletí posílily o 6,9 % (po očištění o kalendářní vlivy o 5,5 %). K růstu maloobchodu tradičně nejvíce přispěl prodej </w:t>
            </w:r>
            <w:proofErr w:type="spellStart"/>
            <w:r w:rsidRPr="00203F25">
              <w:rPr>
                <w:color w:val="000000" w:themeColor="text1"/>
                <w:spacing w:val="-6"/>
              </w:rPr>
              <w:t>nepotravinářského</w:t>
            </w:r>
            <w:proofErr w:type="spellEnd"/>
            <w:r w:rsidRPr="00203F25">
              <w:rPr>
                <w:color w:val="000000" w:themeColor="text1"/>
                <w:spacing w:val="-6"/>
              </w:rPr>
              <w:t xml:space="preserve"> zboží (s růstem tržeb o 6,3 %). Tržby prodejců potravin sílily o 7,2 %</w:t>
            </w:r>
            <w:r w:rsidRPr="00203F25">
              <w:rPr>
                <w:color w:val="000000" w:themeColor="text1"/>
                <w:spacing w:val="-4"/>
              </w:rPr>
              <w:t xml:space="preserve"> (nejvíce od roku 2003), byly však ovlivněny přestupným rokem i předsunutými Velikonocemi (po očištění o kalendářní vlivy rostly o 5</w:t>
            </w:r>
            <w:r>
              <w:rPr>
                <w:color w:val="000000" w:themeColor="text1"/>
                <w:spacing w:val="-4"/>
              </w:rPr>
              <w:t xml:space="preserve"> </w:t>
            </w:r>
            <w:r w:rsidRPr="00203F25">
              <w:rPr>
                <w:color w:val="000000" w:themeColor="text1"/>
                <w:spacing w:val="-4"/>
              </w:rPr>
              <w:t>% a stále silněji než v úhrnu za celý rok 2015)</w:t>
            </w:r>
            <w:r>
              <w:rPr>
                <w:color w:val="000000" w:themeColor="text1"/>
                <w:spacing w:val="-4"/>
              </w:rPr>
              <w:t>. Ze specializovaných prodejen se tržby nejvíce zvýšily u výrobků</w:t>
            </w:r>
            <w:r w:rsidRPr="00EB2DF8">
              <w:rPr>
                <w:color w:val="000000" w:themeColor="text1"/>
                <w:spacing w:val="-4"/>
              </w:rPr>
              <w:t xml:space="preserve"> pro kulturu a rekreaci</w:t>
            </w:r>
            <w:r>
              <w:rPr>
                <w:color w:val="000000" w:themeColor="text1"/>
                <w:spacing w:val="-4"/>
              </w:rPr>
              <w:t xml:space="preserve"> (meziročně o 9,5 %, za tři roky o téměř čtvrtinu), vylepšily se však i</w:t>
            </w:r>
            <w:r w:rsidRPr="00203F25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 xml:space="preserve">v ostatních segmentech, vyjma </w:t>
            </w:r>
            <w:r w:rsidRPr="00114FC0">
              <w:rPr>
                <w:color w:val="000000" w:themeColor="text1"/>
                <w:spacing w:val="-2"/>
              </w:rPr>
              <w:t>prodejů počítačových a komunikačních zařízení</w:t>
            </w:r>
            <w:r>
              <w:rPr>
                <w:color w:val="000000" w:themeColor="text1"/>
                <w:spacing w:val="-2"/>
              </w:rPr>
              <w:t>. Tržby u čerpacích stanic posílily o 8,2 % (shodně jako za celý rok 2015).</w:t>
            </w:r>
            <w:r w:rsidRPr="00114FC0">
              <w:rPr>
                <w:color w:val="000000" w:themeColor="text1"/>
                <w:spacing w:val="-2"/>
              </w:rPr>
              <w:t xml:space="preserve"> Poptávku stimulovaly nízké ceny PHM (i ve srovnání se sousedními státy), zčásti i</w:t>
            </w:r>
            <w:r w:rsidRPr="00114FC0">
              <w:rPr>
                <w:color w:val="0D0D0D" w:themeColor="text1" w:themeTint="F2"/>
                <w:spacing w:val="-2"/>
              </w:rPr>
              <w:t> </w:t>
            </w:r>
            <w:r w:rsidRPr="00114FC0">
              <w:rPr>
                <w:color w:val="000000" w:themeColor="text1"/>
                <w:spacing w:val="-2"/>
              </w:rPr>
              <w:t>vyšší přepravní nároky v</w:t>
            </w:r>
            <w:r>
              <w:rPr>
                <w:color w:val="000000" w:themeColor="text1"/>
                <w:spacing w:val="-2"/>
              </w:rPr>
              <w:t> </w:t>
            </w:r>
            <w:r w:rsidRPr="00114FC0">
              <w:rPr>
                <w:color w:val="000000" w:themeColor="text1"/>
                <w:spacing w:val="-2"/>
              </w:rPr>
              <w:t>souvislosti</w:t>
            </w:r>
            <w:r>
              <w:rPr>
                <w:color w:val="000000" w:themeColor="text1"/>
                <w:spacing w:val="-2"/>
              </w:rPr>
              <w:t xml:space="preserve"> s</w:t>
            </w:r>
            <w:r w:rsidRPr="00114FC0">
              <w:rPr>
                <w:color w:val="000000" w:themeColor="text1"/>
                <w:spacing w:val="-2"/>
              </w:rPr>
              <w:t xml:space="preserve"> růstem ekonomiky i zahraničního obchodu.</w:t>
            </w:r>
            <w:r>
              <w:rPr>
                <w:color w:val="000000" w:themeColor="text1"/>
                <w:spacing w:val="-2"/>
              </w:rPr>
              <w:t xml:space="preserve"> </w:t>
            </w:r>
          </w:p>
          <w:p w:rsidR="000E1EEA" w:rsidRPr="00CD4481" w:rsidRDefault="000E1EEA" w:rsidP="0002434F">
            <w:pPr>
              <w:spacing w:line="240" w:lineRule="auto"/>
              <w:jc w:val="both"/>
              <w:rPr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0E1EEA" w:rsidTr="0002434F">
        <w:trPr>
          <w:cantSplit/>
          <w:trHeight w:val="203"/>
        </w:trPr>
        <w:tc>
          <w:tcPr>
            <w:tcW w:w="1090" w:type="pct"/>
          </w:tcPr>
          <w:p w:rsidR="000E1EEA" w:rsidRPr="00FD73C6" w:rsidRDefault="000E1EEA" w:rsidP="0002434F">
            <w:pPr>
              <w:spacing w:line="240" w:lineRule="auto"/>
              <w:rPr>
                <w:sz w:val="16"/>
                <w:szCs w:val="16"/>
              </w:rPr>
            </w:pPr>
            <w:r w:rsidRPr="00114531">
              <w:rPr>
                <w:color w:val="000000" w:themeColor="text1"/>
                <w:spacing w:val="-4"/>
                <w:sz w:val="16"/>
                <w:szCs w:val="16"/>
              </w:rPr>
              <w:t>Růst maloobchodních tržeb ČR</w:t>
            </w:r>
            <w:r>
              <w:rPr>
                <w:color w:val="000000" w:themeColor="text1"/>
                <w:spacing w:val="-4"/>
                <w:sz w:val="16"/>
                <w:szCs w:val="16"/>
              </w:rPr>
              <w:t xml:space="preserve"> byl za první tři letošní měsíce mezi státy EU osmý ne</w:t>
            </w:r>
            <w:r w:rsidR="006936AD">
              <w:rPr>
                <w:color w:val="000000" w:themeColor="text1"/>
                <w:spacing w:val="-4"/>
                <w:sz w:val="16"/>
                <w:szCs w:val="16"/>
              </w:rPr>
              <w:t>jvyšší, v roce 2015 dokonce šestý</w:t>
            </w:r>
            <w:r>
              <w:rPr>
                <w:color w:val="000000" w:themeColor="text1"/>
                <w:spacing w:val="-4"/>
                <w:sz w:val="16"/>
                <w:szCs w:val="16"/>
              </w:rPr>
              <w:t xml:space="preserve"> nejvyšší</w:t>
            </w:r>
          </w:p>
        </w:tc>
        <w:tc>
          <w:tcPr>
            <w:tcW w:w="145" w:type="pct"/>
          </w:tcPr>
          <w:p w:rsidR="000E1EEA" w:rsidRDefault="000E1EEA" w:rsidP="0002434F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E1EEA" w:rsidRPr="006200F4" w:rsidRDefault="000E1EEA" w:rsidP="0002434F">
            <w:pPr>
              <w:pStyle w:val="Textpoznpodarou"/>
              <w:jc w:val="both"/>
              <w:rPr>
                <w:spacing w:val="-5"/>
              </w:rPr>
            </w:pPr>
            <w:r w:rsidRPr="006200F4">
              <w:rPr>
                <w:color w:val="000000" w:themeColor="text1"/>
                <w:spacing w:val="-5"/>
              </w:rPr>
              <w:t>Maloobchodní tržby</w:t>
            </w:r>
            <w:r w:rsidRPr="006200F4">
              <w:rPr>
                <w:rStyle w:val="Znakapoznpodarou"/>
                <w:color w:val="000000" w:themeColor="text1"/>
                <w:spacing w:val="-5"/>
              </w:rPr>
              <w:footnoteReference w:id="9"/>
            </w:r>
            <w:r w:rsidRPr="006200F4">
              <w:rPr>
                <w:color w:val="000000" w:themeColor="text1"/>
                <w:spacing w:val="-5"/>
              </w:rPr>
              <w:t xml:space="preserve"> v ČR se oproti EU (+2,8 %) zvyšovaly téměř dvojnásobným tempem. Dvouciferný růst vykázaly Rumunsko a Lucembursko, vyšší dynamiku než ČR měly i Irsko (6,4 %) či Polsko (5,8 %), jen o 1,1 % vzrostly na Slovensku. Meziročně nižší tržby </w:t>
            </w:r>
            <w:r>
              <w:rPr>
                <w:color w:val="000000" w:themeColor="text1"/>
                <w:spacing w:val="-5"/>
              </w:rPr>
              <w:t>by</w:t>
            </w:r>
            <w:r w:rsidRPr="006200F4">
              <w:rPr>
                <w:color w:val="000000" w:themeColor="text1"/>
                <w:spacing w:val="-5"/>
              </w:rPr>
              <w:t>ly jen v Dánsku a stejně jako v roce 2015 i v Belgii a Řecku.</w:t>
            </w:r>
          </w:p>
        </w:tc>
      </w:tr>
    </w:tbl>
    <w:p w:rsidR="00ED3A94" w:rsidRDefault="00ED3A94" w:rsidP="00FE16E6">
      <w:pPr>
        <w:pStyle w:val="Textpoznpodarou"/>
        <w:jc w:val="both"/>
      </w:pPr>
    </w:p>
    <w:tbl>
      <w:tblPr>
        <w:tblW w:w="5059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35"/>
        <w:gridCol w:w="4180"/>
        <w:gridCol w:w="783"/>
        <w:gridCol w:w="4110"/>
      </w:tblGrid>
      <w:tr w:rsidR="000E1EEA" w:rsidTr="0002434F">
        <w:tc>
          <w:tcPr>
            <w:tcW w:w="375" w:type="pct"/>
          </w:tcPr>
          <w:p w:rsidR="000E1EEA" w:rsidRDefault="000E1EEA" w:rsidP="0002434F">
            <w:pPr>
              <w:spacing w:line="240" w:lineRule="auto"/>
            </w:pPr>
            <w:r>
              <w:t>Graf č. 5</w:t>
            </w:r>
          </w:p>
        </w:tc>
        <w:tc>
          <w:tcPr>
            <w:tcW w:w="2131" w:type="pct"/>
          </w:tcPr>
          <w:p w:rsidR="000E1EEA" w:rsidRPr="001D04BA" w:rsidRDefault="000E1EEA" w:rsidP="0002434F">
            <w:pPr>
              <w:pStyle w:val="Textpoznpodarou"/>
              <w:rPr>
                <w:b/>
              </w:rPr>
            </w:pPr>
            <w:r w:rsidRPr="001D04BA">
              <w:rPr>
                <w:b/>
              </w:rPr>
              <w:t>Produkce v průmyslu a</w:t>
            </w:r>
            <w:r>
              <w:rPr>
                <w:b/>
              </w:rPr>
              <w:t xml:space="preserve"> ve</w:t>
            </w:r>
            <w:r w:rsidRPr="001D04BA">
              <w:rPr>
                <w:b/>
              </w:rPr>
              <w:t xml:space="preserve"> vyb</w:t>
            </w:r>
            <w:r>
              <w:rPr>
                <w:b/>
              </w:rPr>
              <w:t>raných zpracovatelských odvětvích</w:t>
            </w:r>
          </w:p>
          <w:p w:rsidR="000E1EEA" w:rsidRDefault="000E1EEA" w:rsidP="0002434F">
            <w:pPr>
              <w:pStyle w:val="Textpoznpodarou"/>
              <w:rPr>
                <w:b/>
              </w:rPr>
            </w:pPr>
            <w:r>
              <w:t>(reálně, y/y</w:t>
            </w:r>
            <w:r w:rsidRPr="001D04BA">
              <w:t xml:space="preserve"> v %)</w:t>
            </w:r>
          </w:p>
        </w:tc>
        <w:tc>
          <w:tcPr>
            <w:tcW w:w="399" w:type="pct"/>
          </w:tcPr>
          <w:p w:rsidR="000E1EEA" w:rsidRDefault="000E1EEA" w:rsidP="0002434F">
            <w:pPr>
              <w:spacing w:line="240" w:lineRule="auto"/>
            </w:pPr>
            <w:r>
              <w:t>Graf č. 6</w:t>
            </w:r>
          </w:p>
        </w:tc>
        <w:tc>
          <w:tcPr>
            <w:tcW w:w="2095" w:type="pct"/>
          </w:tcPr>
          <w:p w:rsidR="000E1EEA" w:rsidRDefault="000E1EEA" w:rsidP="0002434F">
            <w:pPr>
              <w:spacing w:line="240" w:lineRule="auto"/>
              <w:rPr>
                <w:b/>
              </w:rPr>
            </w:pPr>
            <w:r w:rsidRPr="004B22DA">
              <w:rPr>
                <w:b/>
                <w:spacing w:val="-2"/>
              </w:rPr>
              <w:t>Nové zakázky v automobilovém průmyslu</w:t>
            </w:r>
            <w:r>
              <w:rPr>
                <w:b/>
              </w:rPr>
              <w:t xml:space="preserve">, v průmyslu </w:t>
            </w:r>
            <w:proofErr w:type="gramStart"/>
            <w:r>
              <w:rPr>
                <w:b/>
              </w:rPr>
              <w:t xml:space="preserve">celkem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b.c</w:t>
            </w:r>
            <w:proofErr w:type="spellEnd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, y/y v %) </w:t>
            </w:r>
            <w:r w:rsidRPr="006B4FFB">
              <w:rPr>
                <w:b/>
              </w:rPr>
              <w:t>a</w:t>
            </w:r>
            <w:r>
              <w:rPr>
                <w:b/>
              </w:rPr>
              <w:t xml:space="preserve"> saldo indikátoru důvěry v průmyslu </w:t>
            </w:r>
            <w:r w:rsidRPr="00C1711F">
              <w:t>(pravá osa)</w:t>
            </w:r>
          </w:p>
        </w:tc>
      </w:tr>
      <w:tr w:rsidR="000E1EEA" w:rsidTr="0002434F">
        <w:tc>
          <w:tcPr>
            <w:tcW w:w="2506" w:type="pct"/>
            <w:gridSpan w:val="2"/>
          </w:tcPr>
          <w:p w:rsidR="000E1EEA" w:rsidRPr="00D07B05" w:rsidRDefault="00A267F1" w:rsidP="0002434F">
            <w:pPr>
              <w:pStyle w:val="Textpoznpodarou"/>
              <w:jc w:val="both"/>
              <w:rPr>
                <w:sz w:val="6"/>
                <w:szCs w:val="6"/>
              </w:rPr>
            </w:pPr>
            <w:r w:rsidRPr="00A246D0">
              <w:rPr>
                <w:sz w:val="6"/>
                <w:szCs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41.05pt;height:180.95pt">
                  <v:imagedata r:id="rId8" o:title=""/>
                </v:shape>
              </w:pict>
            </w:r>
          </w:p>
        </w:tc>
        <w:tc>
          <w:tcPr>
            <w:tcW w:w="2494" w:type="pct"/>
            <w:gridSpan w:val="2"/>
          </w:tcPr>
          <w:p w:rsidR="000E1EEA" w:rsidRDefault="00A267F1" w:rsidP="0002434F">
            <w:pPr>
              <w:pStyle w:val="Textpoznpodarou"/>
              <w:jc w:val="both"/>
            </w:pPr>
            <w:r>
              <w:pict>
                <v:shape id="_x0000_i1030" type="#_x0000_t75" style="width:239.15pt;height:180.95pt">
                  <v:imagedata r:id="rId9" o:title=""/>
                </v:shape>
              </w:pict>
            </w:r>
          </w:p>
        </w:tc>
      </w:tr>
    </w:tbl>
    <w:p w:rsidR="00ED3A94" w:rsidRDefault="00ED3A94" w:rsidP="00FE16E6">
      <w:pPr>
        <w:pStyle w:val="Textpoznpodarou"/>
        <w:jc w:val="both"/>
      </w:pPr>
    </w:p>
    <w:tbl>
      <w:tblPr>
        <w:tblW w:w="5059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35"/>
        <w:gridCol w:w="4180"/>
        <w:gridCol w:w="783"/>
        <w:gridCol w:w="4110"/>
      </w:tblGrid>
      <w:tr w:rsidR="000E1EEA" w:rsidTr="0002434F">
        <w:tc>
          <w:tcPr>
            <w:tcW w:w="375" w:type="pct"/>
          </w:tcPr>
          <w:p w:rsidR="000E1EEA" w:rsidRDefault="000E1EEA" w:rsidP="0002434F">
            <w:pPr>
              <w:spacing w:line="240" w:lineRule="auto"/>
            </w:pPr>
            <w:r>
              <w:t>Graf č. 7</w:t>
            </w:r>
          </w:p>
        </w:tc>
        <w:tc>
          <w:tcPr>
            <w:tcW w:w="2131" w:type="pct"/>
          </w:tcPr>
          <w:p w:rsidR="000E1EEA" w:rsidRDefault="000E1EEA" w:rsidP="0002434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Stavební produkce, hodnota nových zakázek </w:t>
            </w:r>
            <w:r>
              <w:rPr>
                <w:bCs/>
              </w:rPr>
              <w:t xml:space="preserve">(y/y v %) </w:t>
            </w:r>
            <w:r w:rsidRPr="006B4FFB">
              <w:rPr>
                <w:b/>
              </w:rPr>
              <w:t>a</w:t>
            </w:r>
            <w:r>
              <w:rPr>
                <w:b/>
              </w:rPr>
              <w:t xml:space="preserve"> saldo indikátoru </w:t>
            </w:r>
          </w:p>
          <w:p w:rsidR="000E1EEA" w:rsidRDefault="000E1EEA" w:rsidP="0002434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důvěry ve stavebnictví </w:t>
            </w:r>
            <w:r w:rsidRPr="00C1711F">
              <w:t>(pravá osa)</w:t>
            </w:r>
          </w:p>
        </w:tc>
        <w:tc>
          <w:tcPr>
            <w:tcW w:w="399" w:type="pct"/>
          </w:tcPr>
          <w:p w:rsidR="000E1EEA" w:rsidRDefault="000E1EEA" w:rsidP="0002434F">
            <w:pPr>
              <w:spacing w:line="240" w:lineRule="auto"/>
            </w:pPr>
            <w:r>
              <w:t>Graf č. 8</w:t>
            </w:r>
          </w:p>
        </w:tc>
        <w:tc>
          <w:tcPr>
            <w:tcW w:w="2095" w:type="pct"/>
          </w:tcPr>
          <w:p w:rsidR="000E1EEA" w:rsidRDefault="000E1EEA" w:rsidP="0002434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Tržby v maloobchodě vč. motoristického segmentu </w:t>
            </w:r>
            <w:r>
              <w:rPr>
                <w:bCs/>
              </w:rPr>
              <w:t xml:space="preserve">(reálně, y/y v %) </w:t>
            </w:r>
            <w:r>
              <w:rPr>
                <w:b/>
              </w:rPr>
              <w:t xml:space="preserve">saldo indikátoru důvěry spotřebitelů </w:t>
            </w:r>
            <w:r w:rsidRPr="00C1711F">
              <w:t>(pravá osa)</w:t>
            </w:r>
          </w:p>
        </w:tc>
      </w:tr>
      <w:tr w:rsidR="000E1EEA" w:rsidTr="0002434F">
        <w:tc>
          <w:tcPr>
            <w:tcW w:w="2506" w:type="pct"/>
            <w:gridSpan w:val="2"/>
          </w:tcPr>
          <w:p w:rsidR="000E1EEA" w:rsidRPr="00B00F42" w:rsidRDefault="00A267F1" w:rsidP="0002434F">
            <w:pPr>
              <w:pStyle w:val="Textpoznpodarou"/>
              <w:jc w:val="both"/>
              <w:rPr>
                <w:sz w:val="6"/>
                <w:szCs w:val="6"/>
              </w:rPr>
            </w:pPr>
            <w:r w:rsidRPr="00A246D0">
              <w:rPr>
                <w:sz w:val="6"/>
                <w:szCs w:val="6"/>
              </w:rPr>
              <w:pict>
                <v:shape id="_x0000_i1031" type="#_x0000_t75" style="width:242.3pt;height:179.7pt">
                  <v:imagedata r:id="rId10" o:title=""/>
                </v:shape>
              </w:pict>
            </w:r>
          </w:p>
        </w:tc>
        <w:tc>
          <w:tcPr>
            <w:tcW w:w="2494" w:type="pct"/>
            <w:gridSpan w:val="2"/>
          </w:tcPr>
          <w:p w:rsidR="000E1EEA" w:rsidRDefault="00A267F1" w:rsidP="0002434F">
            <w:pPr>
              <w:pStyle w:val="Textpoznpodarou"/>
              <w:jc w:val="both"/>
            </w:pPr>
            <w:r>
              <w:pict>
                <v:shape id="_x0000_i1032" type="#_x0000_t75" style="width:239.15pt;height:179.7pt">
                  <v:imagedata r:id="rId11" o:title=""/>
                </v:shape>
              </w:pict>
            </w:r>
          </w:p>
        </w:tc>
      </w:tr>
      <w:tr w:rsidR="000E1EEA" w:rsidTr="0002434F">
        <w:trPr>
          <w:trHeight w:val="58"/>
        </w:trPr>
        <w:tc>
          <w:tcPr>
            <w:tcW w:w="5000" w:type="pct"/>
            <w:gridSpan w:val="4"/>
          </w:tcPr>
          <w:p w:rsidR="000E1EEA" w:rsidRDefault="000E1EEA" w:rsidP="0002434F">
            <w:pPr>
              <w:pStyle w:val="Zhlav"/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*očištěno od vlivu počtu pracovních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dnů                                                                                                                 </w:t>
            </w:r>
            <w:r w:rsidRPr="000F401E">
              <w:rPr>
                <w:rFonts w:ascii="Arial" w:hAnsi="Arial" w:cs="Arial"/>
                <w:sz w:val="18"/>
                <w:szCs w:val="18"/>
                <w:lang w:eastAsia="cs-CZ"/>
              </w:rPr>
              <w:t>Zdroj</w:t>
            </w:r>
            <w:proofErr w:type="gramEnd"/>
            <w:r w:rsidRPr="000F401E">
              <w:rPr>
                <w:rFonts w:ascii="Arial" w:hAnsi="Arial" w:cs="Arial"/>
                <w:sz w:val="18"/>
                <w:szCs w:val="18"/>
                <w:lang w:eastAsia="cs-CZ"/>
              </w:rPr>
              <w:t>: ČSÚ</w:t>
            </w:r>
          </w:p>
        </w:tc>
      </w:tr>
    </w:tbl>
    <w:p w:rsidR="00ED3A94" w:rsidRPr="000E1EEA" w:rsidRDefault="00ED3A94" w:rsidP="00FE16E6">
      <w:pPr>
        <w:pStyle w:val="Textpoznpodarou"/>
        <w:jc w:val="both"/>
        <w:rPr>
          <w:sz w:val="2"/>
          <w:szCs w:val="2"/>
        </w:rPr>
      </w:pPr>
    </w:p>
    <w:sectPr w:rsidR="00ED3A94" w:rsidRPr="000E1EEA" w:rsidSect="00A267F1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85" w:rsidRDefault="00270785" w:rsidP="00E71A58">
      <w:r>
        <w:separator/>
      </w:r>
    </w:p>
  </w:endnote>
  <w:endnote w:type="continuationSeparator" w:id="0">
    <w:p w:rsidR="00270785" w:rsidRDefault="0027078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Default="00A246D0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02434F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A267F1">
      <w:rPr>
        <w:rFonts w:ascii="Arial" w:hAnsi="Arial" w:cs="Arial"/>
        <w:noProof/>
        <w:sz w:val="16"/>
        <w:szCs w:val="16"/>
      </w:rPr>
      <w:t>10</w:t>
    </w:r>
    <w:r w:rsidRPr="005A21E0">
      <w:rPr>
        <w:rFonts w:ascii="Arial" w:hAnsi="Arial" w:cs="Arial"/>
        <w:sz w:val="16"/>
        <w:szCs w:val="16"/>
      </w:rPr>
      <w:fldChar w:fldCharType="end"/>
    </w:r>
    <w:r w:rsidR="0002434F">
      <w:rPr>
        <w:rFonts w:ascii="Arial" w:hAnsi="Arial" w:cs="Arial"/>
        <w:sz w:val="16"/>
        <w:szCs w:val="16"/>
      </w:rPr>
      <w:tab/>
      <w:t>2016</w:t>
    </w:r>
    <w:r w:rsidR="0002434F">
      <w:tab/>
    </w:r>
    <w:r w:rsidR="0002434F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Default="00A246D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02434F">
      <w:tab/>
    </w:r>
    <w:r w:rsidR="0002434F">
      <w:tab/>
    </w:r>
    <w:r w:rsidR="0002434F" w:rsidRPr="00DC5B3B">
      <w:t xml:space="preserve">                              </w:t>
    </w:r>
  </w:p>
  <w:p w:rsidR="0002434F" w:rsidRPr="00223E00" w:rsidRDefault="0002434F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A246D0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A246D0" w:rsidRPr="00223E00">
      <w:rPr>
        <w:rFonts w:ascii="Arial" w:hAnsi="Arial" w:cs="Arial"/>
        <w:sz w:val="16"/>
        <w:szCs w:val="16"/>
      </w:rPr>
      <w:fldChar w:fldCharType="separate"/>
    </w:r>
    <w:r w:rsidR="00A267F1">
      <w:rPr>
        <w:rFonts w:ascii="Arial" w:hAnsi="Arial" w:cs="Arial"/>
        <w:noProof/>
        <w:sz w:val="16"/>
        <w:szCs w:val="16"/>
      </w:rPr>
      <w:t>11</w:t>
    </w:r>
    <w:r w:rsidR="00A246D0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85" w:rsidRDefault="00270785" w:rsidP="00E71A58">
      <w:r>
        <w:separator/>
      </w:r>
    </w:p>
  </w:footnote>
  <w:footnote w:type="continuationSeparator" w:id="0">
    <w:p w:rsidR="00270785" w:rsidRDefault="00270785" w:rsidP="00E71A58">
      <w:r>
        <w:continuationSeparator/>
      </w:r>
    </w:p>
  </w:footnote>
  <w:footnote w:id="1">
    <w:p w:rsidR="0002434F" w:rsidRPr="000A747C" w:rsidRDefault="0002434F" w:rsidP="000E1EEA">
      <w:pPr>
        <w:pStyle w:val="Textpoznpodarou"/>
        <w:rPr>
          <w:sz w:val="16"/>
          <w:szCs w:val="16"/>
        </w:rPr>
      </w:pPr>
      <w:r w:rsidRPr="000A747C">
        <w:rPr>
          <w:rStyle w:val="Znakapoznpodarou"/>
          <w:sz w:val="16"/>
          <w:szCs w:val="16"/>
        </w:rPr>
        <w:footnoteRef/>
      </w:r>
      <w:r w:rsidRPr="000A747C">
        <w:rPr>
          <w:sz w:val="16"/>
          <w:szCs w:val="16"/>
        </w:rPr>
        <w:t xml:space="preserve"> Údaje o HPH jsou vyjádřeny ve stálých cenách a v očištění o sezónní a kalendářní vlivy.</w:t>
      </w:r>
    </w:p>
  </w:footnote>
  <w:footnote w:id="2">
    <w:p w:rsidR="0002434F" w:rsidRPr="00EE6E60" w:rsidRDefault="0002434F" w:rsidP="000E1EEA">
      <w:pPr>
        <w:pStyle w:val="Textpoznpodarou"/>
        <w:rPr>
          <w:sz w:val="16"/>
          <w:szCs w:val="16"/>
        </w:rPr>
      </w:pPr>
      <w:r w:rsidRPr="00F53243">
        <w:rPr>
          <w:rStyle w:val="Znakapoznpodarou"/>
          <w:sz w:val="16"/>
          <w:szCs w:val="16"/>
        </w:rPr>
        <w:footnoteRef/>
      </w:r>
      <w:r w:rsidRPr="00F53243">
        <w:rPr>
          <w:sz w:val="16"/>
          <w:szCs w:val="16"/>
        </w:rPr>
        <w:t xml:space="preserve"> Mezi státy nejsou obsaženy údaje za Irsko, Lucembursko, Maltu a Slovensko.</w:t>
      </w:r>
    </w:p>
  </w:footnote>
  <w:footnote w:id="3">
    <w:p w:rsidR="0002434F" w:rsidRDefault="0002434F" w:rsidP="000E1EEA">
      <w:pPr>
        <w:pStyle w:val="Textpoznpodarou"/>
      </w:pPr>
      <w:r w:rsidRPr="00C73B8B">
        <w:rPr>
          <w:rStyle w:val="Znakapoznpodarou"/>
          <w:sz w:val="16"/>
          <w:szCs w:val="16"/>
        </w:rPr>
        <w:footnoteRef/>
      </w:r>
      <w:r w:rsidRPr="00C73B8B">
        <w:rPr>
          <w:sz w:val="16"/>
          <w:szCs w:val="16"/>
        </w:rPr>
        <w:t xml:space="preserve"> </w:t>
      </w:r>
      <w:r w:rsidRPr="00B4223A">
        <w:rPr>
          <w:sz w:val="16"/>
          <w:szCs w:val="16"/>
        </w:rPr>
        <w:t xml:space="preserve">Pokud není uvedeno </w:t>
      </w:r>
      <w:r>
        <w:rPr>
          <w:sz w:val="16"/>
          <w:szCs w:val="16"/>
        </w:rPr>
        <w:t>jinak, jde o údaje</w:t>
      </w:r>
      <w:r w:rsidRPr="00B4223A">
        <w:rPr>
          <w:sz w:val="16"/>
          <w:szCs w:val="16"/>
        </w:rPr>
        <w:t xml:space="preserve"> v pojetí národních účtů v očištění o sezónní vlivy.</w:t>
      </w:r>
    </w:p>
  </w:footnote>
  <w:footnote w:id="4">
    <w:p w:rsidR="0002434F" w:rsidRPr="00092C9A" w:rsidRDefault="0002434F" w:rsidP="000E1EEA">
      <w:pPr>
        <w:pStyle w:val="Textpoznpodarou"/>
        <w:rPr>
          <w:sz w:val="16"/>
          <w:szCs w:val="16"/>
        </w:rPr>
      </w:pPr>
      <w:r w:rsidRPr="00092C9A">
        <w:rPr>
          <w:rStyle w:val="Znakapoznpodarou"/>
          <w:sz w:val="16"/>
          <w:szCs w:val="16"/>
        </w:rPr>
        <w:footnoteRef/>
      </w:r>
      <w:r w:rsidRPr="00092C9A">
        <w:rPr>
          <w:sz w:val="16"/>
          <w:szCs w:val="16"/>
        </w:rPr>
        <w:t xml:space="preserve"> Sestávají se z dílčích odvětví: Veřejná správa a obrana, vzdělávání, zdravotní a sociální péče.</w:t>
      </w:r>
    </w:p>
  </w:footnote>
  <w:footnote w:id="5">
    <w:p w:rsidR="0002434F" w:rsidRPr="00EF6BE3" w:rsidRDefault="0002434F" w:rsidP="000E1EEA">
      <w:pPr>
        <w:pStyle w:val="Textpoznpodarou"/>
        <w:rPr>
          <w:sz w:val="16"/>
          <w:szCs w:val="16"/>
        </w:rPr>
      </w:pPr>
      <w:r w:rsidRPr="00092C9A">
        <w:rPr>
          <w:rStyle w:val="Znakapoznpodarou"/>
          <w:sz w:val="16"/>
          <w:szCs w:val="16"/>
        </w:rPr>
        <w:footnoteRef/>
      </w:r>
      <w:r w:rsidRPr="00092C9A">
        <w:rPr>
          <w:sz w:val="16"/>
          <w:szCs w:val="16"/>
        </w:rPr>
        <w:t xml:space="preserve"> Zahrnující odvětví dle CZ-NACE: B (Těžba a dobývání), C (Zpracovatelský průmysl), D (Energetika).</w:t>
      </w:r>
    </w:p>
  </w:footnote>
  <w:footnote w:id="6">
    <w:p w:rsidR="0002434F" w:rsidRPr="00826F9B" w:rsidRDefault="0002434F" w:rsidP="000E1EEA">
      <w:pPr>
        <w:pStyle w:val="Textpoznpodarou"/>
        <w:jc w:val="both"/>
        <w:rPr>
          <w:sz w:val="16"/>
          <w:szCs w:val="16"/>
        </w:rPr>
      </w:pPr>
      <w:r w:rsidRPr="00826F9B">
        <w:rPr>
          <w:rStyle w:val="Znakapoznpodarou"/>
          <w:sz w:val="16"/>
          <w:szCs w:val="16"/>
        </w:rPr>
        <w:footnoteRef/>
      </w:r>
      <w:r w:rsidRPr="00826F9B">
        <w:rPr>
          <w:sz w:val="16"/>
          <w:szCs w:val="16"/>
        </w:rPr>
        <w:t xml:space="preserve"> Podle údajů Sdružení automobilového průmyslu bylo v Česku během prvních třech měsíců </w:t>
      </w:r>
      <w:r>
        <w:rPr>
          <w:sz w:val="16"/>
          <w:szCs w:val="16"/>
        </w:rPr>
        <w:t xml:space="preserve">roku </w:t>
      </w:r>
      <w:r w:rsidRPr="00826F9B">
        <w:rPr>
          <w:sz w:val="16"/>
          <w:szCs w:val="16"/>
        </w:rPr>
        <w:t xml:space="preserve">vyrobeno téměř 350 tis. </w:t>
      </w:r>
      <w:r>
        <w:rPr>
          <w:sz w:val="16"/>
          <w:szCs w:val="16"/>
        </w:rPr>
        <w:t>o</w:t>
      </w:r>
      <w:r w:rsidRPr="00826F9B">
        <w:rPr>
          <w:sz w:val="16"/>
          <w:szCs w:val="16"/>
        </w:rPr>
        <w:t>sobních automobilů. Dařilo se i výrobcům ostatních druhů motorových vozidel.</w:t>
      </w:r>
    </w:p>
  </w:footnote>
  <w:footnote w:id="7">
    <w:p w:rsidR="0002434F" w:rsidRPr="0000444F" w:rsidRDefault="0002434F" w:rsidP="000E1EEA">
      <w:pPr>
        <w:pStyle w:val="Textpoznpodarou"/>
        <w:jc w:val="both"/>
        <w:rPr>
          <w:sz w:val="16"/>
          <w:szCs w:val="16"/>
        </w:rPr>
      </w:pPr>
      <w:r w:rsidRPr="0000444F">
        <w:rPr>
          <w:rStyle w:val="Znakapoznpodarou"/>
          <w:sz w:val="16"/>
          <w:szCs w:val="16"/>
        </w:rPr>
        <w:footnoteRef/>
      </w:r>
      <w:r w:rsidRPr="0000444F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Pr="0000444F">
        <w:rPr>
          <w:sz w:val="16"/>
          <w:szCs w:val="16"/>
        </w:rPr>
        <w:t>ptimističtější vyhlídky nabídly dosud nejaktuálnější dubnové údaje.</w:t>
      </w:r>
      <w:r>
        <w:rPr>
          <w:sz w:val="16"/>
          <w:szCs w:val="16"/>
        </w:rPr>
        <w:t xml:space="preserve"> Podle nich hodnota zahraničních zakázek zrychlila na 17 %. Za</w:t>
      </w:r>
      <w:r w:rsidRPr="00826F9B">
        <w:rPr>
          <w:sz w:val="16"/>
          <w:szCs w:val="16"/>
        </w:rPr>
        <w:t> </w:t>
      </w:r>
      <w:r>
        <w:rPr>
          <w:sz w:val="16"/>
          <w:szCs w:val="16"/>
        </w:rPr>
        <w:t>lepším výsledkem ale stála z rozhodující části opět výroba motorových vozidel.</w:t>
      </w:r>
    </w:p>
  </w:footnote>
  <w:footnote w:id="8">
    <w:p w:rsidR="0002434F" w:rsidRPr="00092C9A" w:rsidRDefault="0002434F" w:rsidP="000E1EEA">
      <w:pPr>
        <w:pStyle w:val="Textpoznpodarou"/>
        <w:rPr>
          <w:sz w:val="16"/>
          <w:szCs w:val="16"/>
        </w:rPr>
      </w:pPr>
      <w:r w:rsidRPr="00092C9A">
        <w:rPr>
          <w:rStyle w:val="Znakapoznpodarou"/>
          <w:sz w:val="16"/>
          <w:szCs w:val="16"/>
        </w:rPr>
        <w:footnoteRef/>
      </w:r>
      <w:r w:rsidRPr="00092C9A">
        <w:rPr>
          <w:sz w:val="16"/>
          <w:szCs w:val="16"/>
        </w:rPr>
        <w:t xml:space="preserve"> Nezahrnují </w:t>
      </w:r>
      <w:r>
        <w:rPr>
          <w:sz w:val="16"/>
          <w:szCs w:val="16"/>
        </w:rPr>
        <w:t>obchod</w:t>
      </w:r>
      <w:r w:rsidRPr="00092C9A">
        <w:rPr>
          <w:sz w:val="16"/>
          <w:szCs w:val="16"/>
        </w:rPr>
        <w:t>, pe</w:t>
      </w:r>
      <w:r>
        <w:rPr>
          <w:sz w:val="16"/>
          <w:szCs w:val="16"/>
        </w:rPr>
        <w:t>něžnictví a pojišťovnictví, vědu a výzkum a také veřejné služ</w:t>
      </w:r>
      <w:r w:rsidRPr="00092C9A">
        <w:rPr>
          <w:sz w:val="16"/>
          <w:szCs w:val="16"/>
        </w:rPr>
        <w:t>b</w:t>
      </w:r>
      <w:r>
        <w:rPr>
          <w:sz w:val="16"/>
          <w:szCs w:val="16"/>
        </w:rPr>
        <w:t>y</w:t>
      </w:r>
      <w:r w:rsidRPr="00092C9A">
        <w:rPr>
          <w:sz w:val="16"/>
          <w:szCs w:val="16"/>
        </w:rPr>
        <w:t>.</w:t>
      </w:r>
    </w:p>
  </w:footnote>
  <w:footnote w:id="9">
    <w:p w:rsidR="0002434F" w:rsidRPr="00EF2F5C" w:rsidRDefault="0002434F" w:rsidP="000E1EEA">
      <w:pPr>
        <w:pStyle w:val="Textpoznpodarou"/>
        <w:jc w:val="both"/>
        <w:rPr>
          <w:spacing w:val="-4"/>
        </w:rPr>
      </w:pPr>
      <w:r w:rsidRPr="00EF2F5C">
        <w:rPr>
          <w:rStyle w:val="Znakapoznpodarou"/>
          <w:sz w:val="16"/>
          <w:szCs w:val="16"/>
        </w:rPr>
        <w:footnoteRef/>
      </w:r>
      <w:r w:rsidRPr="00EF2F5C">
        <w:rPr>
          <w:sz w:val="16"/>
          <w:szCs w:val="16"/>
        </w:rPr>
        <w:t xml:space="preserve"> Zahrnuje maloobchod</w:t>
      </w:r>
      <w:r w:rsidRPr="00092C9A">
        <w:rPr>
          <w:sz w:val="16"/>
          <w:szCs w:val="16"/>
        </w:rPr>
        <w:t xml:space="preserve"> bez motoristického segment</w:t>
      </w:r>
      <w:r>
        <w:rPr>
          <w:sz w:val="16"/>
          <w:szCs w:val="16"/>
        </w:rPr>
        <w:t>u</w:t>
      </w:r>
      <w:r w:rsidRPr="00092C9A">
        <w:rPr>
          <w:sz w:val="16"/>
          <w:szCs w:val="16"/>
        </w:rPr>
        <w:t xml:space="preserve">, údaj </w:t>
      </w:r>
      <w:r>
        <w:rPr>
          <w:sz w:val="16"/>
          <w:szCs w:val="16"/>
        </w:rPr>
        <w:t xml:space="preserve">je </w:t>
      </w:r>
      <w:r w:rsidRPr="00092C9A">
        <w:rPr>
          <w:sz w:val="16"/>
          <w:szCs w:val="16"/>
        </w:rPr>
        <w:t xml:space="preserve">očištěný o </w:t>
      </w:r>
      <w:r>
        <w:rPr>
          <w:sz w:val="16"/>
          <w:szCs w:val="16"/>
        </w:rPr>
        <w:t>kalendářní vlivy.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Pr="00D766EF" w:rsidRDefault="0002434F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Pr="00D766EF" w:rsidRDefault="0002434F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FCB"/>
    <w:multiLevelType w:val="hybridMultilevel"/>
    <w:tmpl w:val="6AF0F2C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667"/>
    <w:rsid w:val="0004075D"/>
    <w:rsid w:val="000411E1"/>
    <w:rsid w:val="00043E05"/>
    <w:rsid w:val="0004694F"/>
    <w:rsid w:val="000500DC"/>
    <w:rsid w:val="00052052"/>
    <w:rsid w:val="00052172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7663"/>
    <w:rsid w:val="000C11D3"/>
    <w:rsid w:val="000C12F5"/>
    <w:rsid w:val="000C3408"/>
    <w:rsid w:val="000C5C0F"/>
    <w:rsid w:val="000C5D56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67FB2"/>
    <w:rsid w:val="001707DE"/>
    <w:rsid w:val="00170B04"/>
    <w:rsid w:val="00170F47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3110"/>
    <w:rsid w:val="001B4198"/>
    <w:rsid w:val="001B44BC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D59"/>
    <w:rsid w:val="00252602"/>
    <w:rsid w:val="00252FDC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6DEC"/>
    <w:rsid w:val="00377200"/>
    <w:rsid w:val="0038034A"/>
    <w:rsid w:val="00380E04"/>
    <w:rsid w:val="00380E6C"/>
    <w:rsid w:val="00383227"/>
    <w:rsid w:val="00384D8F"/>
    <w:rsid w:val="00385D98"/>
    <w:rsid w:val="00385EC5"/>
    <w:rsid w:val="0038658E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5D7A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0DE5"/>
    <w:rsid w:val="0041175D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B5836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67B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F0976"/>
    <w:rsid w:val="005F26CE"/>
    <w:rsid w:val="005F4057"/>
    <w:rsid w:val="005F4088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5492"/>
    <w:rsid w:val="00726043"/>
    <w:rsid w:val="0072704A"/>
    <w:rsid w:val="00730AE8"/>
    <w:rsid w:val="007315DA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06D07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281A"/>
    <w:rsid w:val="008559FE"/>
    <w:rsid w:val="00857339"/>
    <w:rsid w:val="00860706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46E6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7815"/>
    <w:rsid w:val="008C7A07"/>
    <w:rsid w:val="008D0171"/>
    <w:rsid w:val="008D13EA"/>
    <w:rsid w:val="008D2671"/>
    <w:rsid w:val="008D2A16"/>
    <w:rsid w:val="008D2ECF"/>
    <w:rsid w:val="008D347D"/>
    <w:rsid w:val="008D3F3D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40B"/>
    <w:rsid w:val="009256C5"/>
    <w:rsid w:val="00926283"/>
    <w:rsid w:val="009306BE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370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FC3"/>
    <w:rsid w:val="009F41C4"/>
    <w:rsid w:val="009F5846"/>
    <w:rsid w:val="009F7B52"/>
    <w:rsid w:val="009F7D77"/>
    <w:rsid w:val="00A004D2"/>
    <w:rsid w:val="00A015EA"/>
    <w:rsid w:val="00A10D66"/>
    <w:rsid w:val="00A12BA8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46D0"/>
    <w:rsid w:val="00A24F8C"/>
    <w:rsid w:val="00A262BF"/>
    <w:rsid w:val="00A267F1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D48"/>
    <w:rsid w:val="00A46DE0"/>
    <w:rsid w:val="00A4778A"/>
    <w:rsid w:val="00A47C94"/>
    <w:rsid w:val="00A504C0"/>
    <w:rsid w:val="00A5067F"/>
    <w:rsid w:val="00A517C1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4628"/>
    <w:rsid w:val="00A94954"/>
    <w:rsid w:val="00A96463"/>
    <w:rsid w:val="00A97E3F"/>
    <w:rsid w:val="00AA09D3"/>
    <w:rsid w:val="00AA23FB"/>
    <w:rsid w:val="00AA42AB"/>
    <w:rsid w:val="00AA559A"/>
    <w:rsid w:val="00AA5F10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DFF"/>
    <w:rsid w:val="00AF128B"/>
    <w:rsid w:val="00AF1AEA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186B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422D"/>
    <w:rsid w:val="00C476C5"/>
    <w:rsid w:val="00C503B0"/>
    <w:rsid w:val="00C511C2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617A"/>
    <w:rsid w:val="00CE6E3C"/>
    <w:rsid w:val="00CF25D2"/>
    <w:rsid w:val="00CF28C2"/>
    <w:rsid w:val="00CF42BD"/>
    <w:rsid w:val="00CF51EC"/>
    <w:rsid w:val="00CF6A9D"/>
    <w:rsid w:val="00CF6CD7"/>
    <w:rsid w:val="00CF75EC"/>
    <w:rsid w:val="00D0037A"/>
    <w:rsid w:val="00D0061E"/>
    <w:rsid w:val="00D00DAF"/>
    <w:rsid w:val="00D017EC"/>
    <w:rsid w:val="00D01CDA"/>
    <w:rsid w:val="00D040DD"/>
    <w:rsid w:val="00D04E1B"/>
    <w:rsid w:val="00D0547B"/>
    <w:rsid w:val="00D076DB"/>
    <w:rsid w:val="00D07EFF"/>
    <w:rsid w:val="00D1067C"/>
    <w:rsid w:val="00D136D4"/>
    <w:rsid w:val="00D13830"/>
    <w:rsid w:val="00D13ECF"/>
    <w:rsid w:val="00D142E5"/>
    <w:rsid w:val="00D148CD"/>
    <w:rsid w:val="00D1611E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5DC2"/>
    <w:rsid w:val="00D766EF"/>
    <w:rsid w:val="00D76C03"/>
    <w:rsid w:val="00D77F8D"/>
    <w:rsid w:val="00D8119B"/>
    <w:rsid w:val="00D82462"/>
    <w:rsid w:val="00D868CE"/>
    <w:rsid w:val="00D86DAE"/>
    <w:rsid w:val="00D90116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350B"/>
    <w:rsid w:val="00DC3790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57AD"/>
    <w:rsid w:val="00DE009B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63A8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39E4"/>
    <w:rsid w:val="00E569C7"/>
    <w:rsid w:val="00E571F2"/>
    <w:rsid w:val="00E57429"/>
    <w:rsid w:val="00E61EA8"/>
    <w:rsid w:val="00E64EA1"/>
    <w:rsid w:val="00E669C7"/>
    <w:rsid w:val="00E70510"/>
    <w:rsid w:val="00E71262"/>
    <w:rsid w:val="00E71A58"/>
    <w:rsid w:val="00E737F6"/>
    <w:rsid w:val="00E7568F"/>
    <w:rsid w:val="00E764AE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273D4"/>
    <w:rsid w:val="00F307DD"/>
    <w:rsid w:val="00F318FC"/>
    <w:rsid w:val="00F31F76"/>
    <w:rsid w:val="00F325A3"/>
    <w:rsid w:val="00F3364D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3243"/>
    <w:rsid w:val="00F541ED"/>
    <w:rsid w:val="00F54B31"/>
    <w:rsid w:val="00F54FD3"/>
    <w:rsid w:val="00F55605"/>
    <w:rsid w:val="00F57CD7"/>
    <w:rsid w:val="00F62F02"/>
    <w:rsid w:val="00F6339F"/>
    <w:rsid w:val="00F63DDE"/>
    <w:rsid w:val="00F63FB7"/>
    <w:rsid w:val="00F64726"/>
    <w:rsid w:val="00F6561A"/>
    <w:rsid w:val="00F70309"/>
    <w:rsid w:val="00F7078A"/>
    <w:rsid w:val="00F70E45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310A"/>
    <w:rsid w:val="00F95117"/>
    <w:rsid w:val="00F97ED2"/>
    <w:rsid w:val="00FA05D7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1C1CA-BA18-4090-8D30-6EC6D483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1049</TotalTime>
  <Pages>4</Pages>
  <Words>2692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403</cp:revision>
  <cp:lastPrinted>2015-06-19T06:21:00Z</cp:lastPrinted>
  <dcterms:created xsi:type="dcterms:W3CDTF">2015-12-16T13:30:00Z</dcterms:created>
  <dcterms:modified xsi:type="dcterms:W3CDTF">2016-06-20T10:58:00Z</dcterms:modified>
</cp:coreProperties>
</file>