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Pr="00F4591F" w:rsidRDefault="00576A3E" w:rsidP="00C5028E">
      <w:pPr>
        <w:pStyle w:val="Nadpis1"/>
        <w:numPr>
          <w:ilvl w:val="0"/>
          <w:numId w:val="7"/>
        </w:numPr>
        <w:jc w:val="both"/>
      </w:pPr>
      <w:bookmarkStart w:id="0" w:name="_Toc454185150"/>
      <w:r>
        <w:t>Výkonnost odvětví</w:t>
      </w:r>
      <w:bookmarkEnd w:id="0"/>
    </w:p>
    <w:tbl>
      <w:tblPr>
        <w:tblW w:w="4999" w:type="pct"/>
        <w:tblCellMar>
          <w:left w:w="28" w:type="dxa"/>
          <w:right w:w="28" w:type="dxa"/>
        </w:tblCellMar>
        <w:tblLook w:val="04A0"/>
      </w:tblPr>
      <w:tblGrid>
        <w:gridCol w:w="2113"/>
        <w:gridCol w:w="281"/>
        <w:gridCol w:w="7298"/>
      </w:tblGrid>
      <w:tr w:rsidR="00080AA8" w:rsidRPr="007E61CB" w:rsidTr="00AF5D62">
        <w:tc>
          <w:tcPr>
            <w:tcW w:w="1090" w:type="pct"/>
          </w:tcPr>
          <w:p w:rsidR="00080AA8" w:rsidRPr="00EF20EA" w:rsidRDefault="00080AA8" w:rsidP="00AF5D62">
            <w:pPr>
              <w:spacing w:line="240" w:lineRule="auto"/>
              <w:rPr>
                <w:color w:val="0D0D0D" w:themeColor="text1" w:themeTint="F2"/>
                <w:sz w:val="16"/>
                <w:szCs w:val="16"/>
              </w:rPr>
            </w:pPr>
            <w:r w:rsidRPr="00EF20EA">
              <w:rPr>
                <w:color w:val="0D0D0D" w:themeColor="text1" w:themeTint="F2"/>
                <w:sz w:val="16"/>
                <w:szCs w:val="16"/>
              </w:rPr>
              <w:t>Meziroč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ní tempo růstu hrubé přidané hodnoty (HPH) ve srovnání s mimořádným rokem 2015 zvolnilo, </w:t>
            </w:r>
            <w:proofErr w:type="spellStart"/>
            <w:r>
              <w:rPr>
                <w:color w:val="0D0D0D" w:themeColor="text1" w:themeTint="F2"/>
                <w:sz w:val="16"/>
                <w:szCs w:val="16"/>
              </w:rPr>
              <w:t>mezikvartální</w:t>
            </w:r>
            <w:proofErr w:type="spellEnd"/>
            <w:r>
              <w:rPr>
                <w:color w:val="0D0D0D" w:themeColor="text1" w:themeTint="F2"/>
                <w:sz w:val="16"/>
                <w:szCs w:val="16"/>
              </w:rPr>
              <w:t xml:space="preserve"> růst však nadále pokračoval, v samotném 2. čtvrtletí byl ještě zvýrazněn  </w:t>
            </w:r>
          </w:p>
        </w:tc>
        <w:tc>
          <w:tcPr>
            <w:tcW w:w="145" w:type="pct"/>
          </w:tcPr>
          <w:p w:rsidR="00080AA8" w:rsidRDefault="00080AA8" w:rsidP="00AF5D62">
            <w:pPr>
              <w:pStyle w:val="Textpoznpodarou"/>
              <w:jc w:val="both"/>
            </w:pPr>
          </w:p>
        </w:tc>
        <w:tc>
          <w:tcPr>
            <w:tcW w:w="3765" w:type="pct"/>
          </w:tcPr>
          <w:p w:rsidR="00080AA8" w:rsidRDefault="00080AA8" w:rsidP="00AF5D62">
            <w:pPr>
              <w:pStyle w:val="Textpoznpodarou"/>
              <w:jc w:val="both"/>
              <w:rPr>
                <w:spacing w:val="-4"/>
              </w:rPr>
            </w:pPr>
            <w:r w:rsidRPr="00B50A6B">
              <w:rPr>
                <w:spacing w:val="-4"/>
              </w:rPr>
              <w:t xml:space="preserve">Výkon všech odvětví ekonomiky, zachycený </w:t>
            </w:r>
            <w:r>
              <w:rPr>
                <w:spacing w:val="-4"/>
              </w:rPr>
              <w:t>v nich vytvořenou hrubou přidanou hodnotou</w:t>
            </w:r>
            <w:r w:rsidRPr="00B50A6B">
              <w:rPr>
                <w:spacing w:val="-4"/>
              </w:rPr>
              <w:t xml:space="preserve"> (HPH)</w:t>
            </w:r>
            <w:r>
              <w:rPr>
                <w:rStyle w:val="Znakapoznpodarou"/>
                <w:spacing w:val="-4"/>
              </w:rPr>
              <w:footnoteReference w:id="1"/>
            </w:r>
            <w:r w:rsidRPr="00B50A6B">
              <w:rPr>
                <w:spacing w:val="-4"/>
              </w:rPr>
              <w:t>,</w:t>
            </w:r>
            <w:r>
              <w:rPr>
                <w:spacing w:val="-4"/>
              </w:rPr>
              <w:t xml:space="preserve"> se meziročně zvýšil o 2,7 % – shodně v 1. i 2. letošním čtvrtletí. Ve srovnání se silným loňským růstem (v prvních třech čtvrtletích vždy převyšujícím 4 %) šlo o mírnější tempa související s postupným vyprcháváním mimořádných růstových faktorů. V </w:t>
            </w:r>
            <w:proofErr w:type="spellStart"/>
            <w:r>
              <w:rPr>
                <w:spacing w:val="-4"/>
              </w:rPr>
              <w:t>mezičtvrletním</w:t>
            </w:r>
            <w:proofErr w:type="spellEnd"/>
            <w:r>
              <w:rPr>
                <w:spacing w:val="-4"/>
              </w:rPr>
              <w:t xml:space="preserve"> vyjádření růst HPH viditelně zpomalil již na sklonku minulého roku (na 0,3 %). Vývoj během 1. pololetí 2016 však postupně přinesl náznak pozitivního obratu, neboť ve 2. čtvrtletí rostla HPH o významných 0,9 %. </w:t>
            </w:r>
            <w:proofErr w:type="spellStart"/>
            <w:r>
              <w:rPr>
                <w:spacing w:val="-4"/>
              </w:rPr>
              <w:t>Mezikvartální</w:t>
            </w:r>
            <w:proofErr w:type="spellEnd"/>
            <w:r>
              <w:rPr>
                <w:spacing w:val="-4"/>
              </w:rPr>
              <w:t xml:space="preserve"> růst HPH přetrvával již třinácté čtvrtletí v řadě. </w:t>
            </w:r>
          </w:p>
          <w:p w:rsidR="00080AA8" w:rsidRPr="00074761" w:rsidRDefault="00080AA8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80AA8" w:rsidRPr="00A51B62" w:rsidTr="00AF5D62">
        <w:tc>
          <w:tcPr>
            <w:tcW w:w="1090" w:type="pct"/>
          </w:tcPr>
          <w:p w:rsidR="00080AA8" w:rsidRPr="000A4ACC" w:rsidRDefault="00080AA8" w:rsidP="00AF5D62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Díky silné zahraniční poptávce udržel zpracovatelský průmysl dominantní pozici, bez něj by HPH v celé ekonomce rostla pouze polovičním tempem</w:t>
            </w:r>
          </w:p>
        </w:tc>
        <w:tc>
          <w:tcPr>
            <w:tcW w:w="145" w:type="pct"/>
          </w:tcPr>
          <w:p w:rsidR="00080AA8" w:rsidRDefault="00080AA8" w:rsidP="00AF5D62">
            <w:pPr>
              <w:pStyle w:val="Textpoznpodarou"/>
              <w:jc w:val="both"/>
            </w:pPr>
          </w:p>
        </w:tc>
        <w:tc>
          <w:tcPr>
            <w:tcW w:w="3765" w:type="pct"/>
          </w:tcPr>
          <w:p w:rsidR="00080AA8" w:rsidRPr="00386C92" w:rsidRDefault="00080AA8" w:rsidP="00AF5D62">
            <w:pPr>
              <w:pStyle w:val="Textpoznpodarou"/>
              <w:jc w:val="both"/>
              <w:rPr>
                <w:spacing w:val="-4"/>
              </w:rPr>
            </w:pPr>
            <w:r w:rsidRPr="00386C92">
              <w:rPr>
                <w:spacing w:val="-4"/>
              </w:rPr>
              <w:t>K růstu celkové přidané hodnoty tradičně nejvíce přispěl zpracovatelský průmysl. Ten se letos na meziročně příznivějším výsledku všech odvětví podílel z poloviny (obdobn</w:t>
            </w:r>
            <w:r>
              <w:rPr>
                <w:spacing w:val="-4"/>
              </w:rPr>
              <w:t>ě dominantní roli si udržuje</w:t>
            </w:r>
            <w:r w:rsidRPr="00386C92">
              <w:rPr>
                <w:spacing w:val="-4"/>
              </w:rPr>
              <w:t xml:space="preserve"> od poloviny roku 2014). HPH ve zpracovatelském průmyslu byla proti nebývale vysoké loňské základně v obou letoš</w:t>
            </w:r>
            <w:r>
              <w:rPr>
                <w:spacing w:val="-4"/>
              </w:rPr>
              <w:t>ních čtvrtletích o</w:t>
            </w:r>
            <w:r w:rsidRPr="00386C92">
              <w:rPr>
                <w:spacing w:val="-4"/>
              </w:rPr>
              <w:t> 4,8 % vyšší, čímž výrazně předčila dynamiku většiny ostatních odvětví.</w:t>
            </w:r>
            <w:r>
              <w:rPr>
                <w:spacing w:val="-4"/>
              </w:rPr>
              <w:t xml:space="preserve"> Silná poptávka (</w:t>
            </w:r>
            <w:r w:rsidRPr="00386C92">
              <w:rPr>
                <w:spacing w:val="-4"/>
              </w:rPr>
              <w:t>v tradičních exportních odvětvích) se odrazila ve vyšší zaměstnanosti</w:t>
            </w:r>
            <w:r w:rsidRPr="00386C92">
              <w:rPr>
                <w:rStyle w:val="Znakapoznpodarou"/>
                <w:spacing w:val="-4"/>
              </w:rPr>
              <w:footnoteReference w:id="2"/>
            </w:r>
            <w:r w:rsidRPr="00386C92">
              <w:rPr>
                <w:spacing w:val="-4"/>
              </w:rPr>
              <w:t xml:space="preserve"> </w:t>
            </w:r>
            <w:r>
              <w:rPr>
                <w:spacing w:val="-4"/>
              </w:rPr>
              <w:t>(ta</w:t>
            </w:r>
            <w:r w:rsidRPr="00386C92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letos </w:t>
            </w:r>
            <w:r w:rsidRPr="00386C92">
              <w:rPr>
                <w:spacing w:val="-4"/>
              </w:rPr>
              <w:t>podobně jako v loňském 1. pololetí rostla mírně nad 3 %, v obou případe</w:t>
            </w:r>
            <w:r>
              <w:rPr>
                <w:spacing w:val="-4"/>
              </w:rPr>
              <w:t>ch dvojnásobným tempem ve srovnání s celou ekonomikou</w:t>
            </w:r>
            <w:r w:rsidRPr="00386C92">
              <w:rPr>
                <w:spacing w:val="-4"/>
              </w:rPr>
              <w:t xml:space="preserve">). Podniky se snažily </w:t>
            </w:r>
            <w:r w:rsidR="00DC2A9F">
              <w:rPr>
                <w:spacing w:val="-4"/>
              </w:rPr>
              <w:t>pokrýt růst zakázek</w:t>
            </w:r>
            <w:r w:rsidRPr="00386C92">
              <w:rPr>
                <w:spacing w:val="-4"/>
              </w:rPr>
              <w:t xml:space="preserve"> i intenzivnějším v</w:t>
            </w:r>
            <w:r>
              <w:rPr>
                <w:spacing w:val="-4"/>
              </w:rPr>
              <w:t>yužitím stávající pracovní síly. P</w:t>
            </w:r>
            <w:r w:rsidRPr="00386C92">
              <w:rPr>
                <w:spacing w:val="-4"/>
              </w:rPr>
              <w:t xml:space="preserve">očet odpracovaných hodin vzrostl </w:t>
            </w:r>
            <w:r w:rsidR="00B47AC6">
              <w:rPr>
                <w:spacing w:val="-4"/>
              </w:rPr>
              <w:t xml:space="preserve">(po sezónním očištění) </w:t>
            </w:r>
            <w:r w:rsidRPr="00386C92">
              <w:rPr>
                <w:spacing w:val="-4"/>
              </w:rPr>
              <w:t xml:space="preserve">v 1. pololetí proti loňské úrovni o </w:t>
            </w:r>
            <w:r w:rsidR="00AA34FE">
              <w:rPr>
                <w:spacing w:val="-4"/>
              </w:rPr>
              <w:t>nebývalých</w:t>
            </w:r>
            <w:r w:rsidR="00B47AC6">
              <w:rPr>
                <w:spacing w:val="-4"/>
              </w:rPr>
              <w:t xml:space="preserve"> </w:t>
            </w:r>
            <w:r w:rsidR="00DC2A9F">
              <w:rPr>
                <w:spacing w:val="-4"/>
              </w:rPr>
              <w:t>6,1</w:t>
            </w:r>
            <w:r w:rsidR="00DC2A9F" w:rsidRPr="00386C92">
              <w:rPr>
                <w:spacing w:val="-4"/>
              </w:rPr>
              <w:t> </w:t>
            </w:r>
            <w:r w:rsidRPr="00386C92">
              <w:rPr>
                <w:spacing w:val="-4"/>
              </w:rPr>
              <w:t>%.</w:t>
            </w:r>
          </w:p>
          <w:p w:rsidR="00080AA8" w:rsidRPr="00074761" w:rsidRDefault="00080AA8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80AA8" w:rsidTr="00AF5D62">
        <w:tc>
          <w:tcPr>
            <w:tcW w:w="1090" w:type="pct"/>
          </w:tcPr>
          <w:p w:rsidR="00080AA8" w:rsidRPr="00DA1318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 vyšší přidané hodnotě v zemědělství letos přispěla také dobrá úroda základních obilovin i olejnin </w:t>
            </w:r>
          </w:p>
        </w:tc>
        <w:tc>
          <w:tcPr>
            <w:tcW w:w="145" w:type="pct"/>
          </w:tcPr>
          <w:p w:rsidR="00080AA8" w:rsidRPr="009E7B1B" w:rsidRDefault="00080AA8" w:rsidP="00AF5D62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80AA8" w:rsidRPr="003C445A" w:rsidRDefault="00080AA8" w:rsidP="00AF5D62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Dařilo se i odvětví zemědělství, lesnictví a rybářství, které táhla především rostlinná produkce. </w:t>
            </w:r>
            <w:r w:rsidR="00AA34FE">
              <w:rPr>
                <w:spacing w:val="-4"/>
              </w:rPr>
              <w:t>Projevil se zde vliv dobré letošní úrody základních obilovin i olejnin.</w:t>
            </w:r>
            <w:r>
              <w:rPr>
                <w:spacing w:val="-4"/>
              </w:rPr>
              <w:t xml:space="preserve"> HPH v celém odvětví meziročně posílila o 5,1 % a zaznamenala růst již třetí rok po sobě. </w:t>
            </w:r>
          </w:p>
          <w:p w:rsidR="00080AA8" w:rsidRPr="00074761" w:rsidRDefault="00080AA8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80AA8" w:rsidTr="00AF5D62">
        <w:tc>
          <w:tcPr>
            <w:tcW w:w="1090" w:type="pct"/>
          </w:tcPr>
          <w:p w:rsidR="00080AA8" w:rsidRPr="008130D1" w:rsidRDefault="00080AA8" w:rsidP="00AF5D62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8130D1">
              <w:rPr>
                <w:spacing w:val="-4"/>
                <w:sz w:val="16"/>
                <w:szCs w:val="16"/>
              </w:rPr>
              <w:t xml:space="preserve">Přidaná hodnota ve stavebnictví </w:t>
            </w:r>
            <w:proofErr w:type="spellStart"/>
            <w:r w:rsidRPr="008130D1">
              <w:rPr>
                <w:spacing w:val="-4"/>
                <w:sz w:val="16"/>
                <w:szCs w:val="16"/>
              </w:rPr>
              <w:t>mezičtvrtletně</w:t>
            </w:r>
            <w:proofErr w:type="spellEnd"/>
            <w:r w:rsidRPr="008130D1">
              <w:rPr>
                <w:spacing w:val="-4"/>
                <w:sz w:val="16"/>
                <w:szCs w:val="16"/>
              </w:rPr>
              <w:t xml:space="preserve"> klesala již potřetí v řadě, po odeznění „dopingového efektu“ evropských dotací se odvětví letos potýkalo s nedostatkem významnějších veřejných zakázek</w:t>
            </w:r>
          </w:p>
        </w:tc>
        <w:tc>
          <w:tcPr>
            <w:tcW w:w="145" w:type="pct"/>
          </w:tcPr>
          <w:p w:rsidR="00080AA8" w:rsidRPr="005A16AE" w:rsidRDefault="00080AA8" w:rsidP="00AF5D62">
            <w:pPr>
              <w:rPr>
                <w:color w:val="000000" w:themeColor="text1"/>
                <w:szCs w:val="16"/>
              </w:rPr>
            </w:pPr>
          </w:p>
        </w:tc>
        <w:tc>
          <w:tcPr>
            <w:tcW w:w="3765" w:type="pct"/>
          </w:tcPr>
          <w:p w:rsidR="00080AA8" w:rsidRPr="00397CE1" w:rsidRDefault="00080AA8" w:rsidP="00AF5D62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397CE1">
              <w:rPr>
                <w:color w:val="000000" w:themeColor="text1"/>
                <w:spacing w:val="-4"/>
              </w:rPr>
              <w:t xml:space="preserve">Jediným významnějším </w:t>
            </w:r>
            <w:r>
              <w:rPr>
                <w:color w:val="000000" w:themeColor="text1"/>
                <w:spacing w:val="-4"/>
              </w:rPr>
              <w:t>odvětvím, které letos nepřispívalo k růstu přidané hodnoty, bylo stavebnictví. V </w:t>
            </w:r>
            <w:proofErr w:type="spellStart"/>
            <w:r>
              <w:rPr>
                <w:color w:val="000000" w:themeColor="text1"/>
                <w:spacing w:val="-4"/>
              </w:rPr>
              <w:t>mezičtvrtletním</w:t>
            </w:r>
            <w:proofErr w:type="spellEnd"/>
            <w:r>
              <w:rPr>
                <w:color w:val="000000" w:themeColor="text1"/>
                <w:spacing w:val="-4"/>
              </w:rPr>
              <w:t xml:space="preserve"> srovnání se HPH snížila již na konci loňského roku, od té doby se poklesy prohlubovaly – až na -4,7 % ve 2. čtvrtletí (což se promítlo i v meziročním srovnání, když HPH poklesla poprvé po dvanácti čtvrtletích). Ještě slabšímu výsledku zabránil relativně příznivější vývoj v </w:t>
            </w:r>
            <w:proofErr w:type="spellStart"/>
            <w:r>
              <w:rPr>
                <w:color w:val="000000" w:themeColor="text1"/>
                <w:spacing w:val="-4"/>
              </w:rPr>
              <w:t>mezispotřebě</w:t>
            </w:r>
            <w:proofErr w:type="spellEnd"/>
            <w:r>
              <w:rPr>
                <w:color w:val="000000" w:themeColor="text1"/>
                <w:spacing w:val="-4"/>
              </w:rPr>
              <w:t>, neboť samotná produkce ve stavebnictví doznala letos v porovnání s HPH hlubších poklesů. Výkony stavebnictví se negativně projevily v oblasti zaměstnanosti.</w:t>
            </w:r>
          </w:p>
          <w:p w:rsidR="00080AA8" w:rsidRPr="00074761" w:rsidRDefault="00080AA8" w:rsidP="00AF5D62">
            <w:pPr>
              <w:pStyle w:val="Textpoznpodarou"/>
              <w:jc w:val="both"/>
              <w:rPr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080AA8" w:rsidTr="00AF5D62">
        <w:tc>
          <w:tcPr>
            <w:tcW w:w="1090" w:type="pct"/>
          </w:tcPr>
          <w:p w:rsidR="00080AA8" w:rsidRPr="00386D68" w:rsidRDefault="00080AA8" w:rsidP="00AF5D62">
            <w:pPr>
              <w:spacing w:line="240" w:lineRule="auto"/>
              <w:rPr>
                <w:color w:val="000000" w:themeColor="text1"/>
                <w:spacing w:val="-2"/>
                <w:sz w:val="16"/>
                <w:szCs w:val="16"/>
              </w:rPr>
            </w:pPr>
            <w:r w:rsidRPr="00386D68">
              <w:rPr>
                <w:spacing w:val="-2"/>
                <w:sz w:val="16"/>
                <w:szCs w:val="16"/>
              </w:rPr>
              <w:t>Terciární sektor přispěl letos k meziročně vyšší HPH 1,6 </w:t>
            </w:r>
            <w:proofErr w:type="spellStart"/>
            <w:proofErr w:type="gramStart"/>
            <w:r w:rsidRPr="00386D68">
              <w:rPr>
                <w:spacing w:val="-2"/>
                <w:sz w:val="16"/>
                <w:szCs w:val="16"/>
              </w:rPr>
              <w:t>p.b</w:t>
            </w:r>
            <w:proofErr w:type="spellEnd"/>
            <w:r w:rsidRPr="00386D68">
              <w:rPr>
                <w:spacing w:val="-2"/>
                <w:sz w:val="16"/>
                <w:szCs w:val="16"/>
              </w:rPr>
              <w:t>., o celou</w:t>
            </w:r>
            <w:proofErr w:type="gramEnd"/>
            <w:r w:rsidRPr="00386D68">
              <w:rPr>
                <w:spacing w:val="-2"/>
                <w:sz w:val="16"/>
                <w:szCs w:val="16"/>
              </w:rPr>
              <w:t xml:space="preserve"> třetinu z</w:t>
            </w:r>
            <w:r w:rsidR="00DC2A9F">
              <w:rPr>
                <w:spacing w:val="-2"/>
                <w:sz w:val="16"/>
                <w:szCs w:val="16"/>
              </w:rPr>
              <w:t> </w:t>
            </w:r>
            <w:r w:rsidRPr="00386D68">
              <w:rPr>
                <w:spacing w:val="-2"/>
                <w:sz w:val="16"/>
                <w:szCs w:val="16"/>
              </w:rPr>
              <w:t>toho</w:t>
            </w:r>
            <w:r w:rsidR="00DC2A9F">
              <w:rPr>
                <w:spacing w:val="-2"/>
                <w:sz w:val="16"/>
                <w:szCs w:val="16"/>
              </w:rPr>
              <w:t>to</w:t>
            </w:r>
            <w:r w:rsidRPr="00386D68">
              <w:rPr>
                <w:spacing w:val="-2"/>
                <w:sz w:val="16"/>
                <w:szCs w:val="16"/>
              </w:rPr>
              <w:t xml:space="preserve"> příspěvku se zasloužilo </w:t>
            </w:r>
            <w:r>
              <w:rPr>
                <w:spacing w:val="-2"/>
                <w:sz w:val="16"/>
                <w:szCs w:val="16"/>
              </w:rPr>
              <w:t xml:space="preserve">váhově významné </w:t>
            </w:r>
            <w:r w:rsidRPr="00386D68">
              <w:rPr>
                <w:spacing w:val="-2"/>
                <w:sz w:val="16"/>
                <w:szCs w:val="16"/>
              </w:rPr>
              <w:t xml:space="preserve">odvětví obchod, doprava, ubytování a pohostinství </w:t>
            </w:r>
          </w:p>
        </w:tc>
        <w:tc>
          <w:tcPr>
            <w:tcW w:w="145" w:type="pct"/>
          </w:tcPr>
          <w:p w:rsidR="00080AA8" w:rsidRPr="00F3262E" w:rsidRDefault="00080AA8" w:rsidP="00AF5D62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3765" w:type="pct"/>
          </w:tcPr>
          <w:p w:rsidR="00080AA8" w:rsidRPr="006763DB" w:rsidRDefault="00080AA8" w:rsidP="00AF5D62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>
              <w:rPr>
                <w:color w:val="000000" w:themeColor="text1"/>
                <w:spacing w:val="-4"/>
              </w:rPr>
              <w:t>Přidaná hodnota v sektoru služeb vzrostla v 1.</w:t>
            </w:r>
            <w:r w:rsidR="00DC2A9F">
              <w:rPr>
                <w:color w:val="000000" w:themeColor="text1"/>
                <w:spacing w:val="-4"/>
              </w:rPr>
              <w:t xml:space="preserve"> pololetí o 2,6 % meziročně (ve </w:t>
            </w:r>
            <w:r>
              <w:rPr>
                <w:color w:val="000000" w:themeColor="text1"/>
                <w:spacing w:val="-4"/>
              </w:rPr>
              <w:t>stejném loňském období činil růst 3,6 %). V rámci hlavních odvětví služeb byla růstová tempa vcelku vyrovnaná. Jen mírně vybočovaly profesní</w:t>
            </w:r>
            <w:r>
              <w:rPr>
                <w:color w:val="0D0D0D" w:themeColor="text1" w:themeTint="F2"/>
                <w:spacing w:val="-4"/>
              </w:rPr>
              <w:t>, vědecké, technické</w:t>
            </w:r>
            <w:r w:rsidRPr="008D59A9">
              <w:rPr>
                <w:color w:val="0D0D0D" w:themeColor="text1" w:themeTint="F2"/>
                <w:spacing w:val="-4"/>
              </w:rPr>
              <w:t xml:space="preserve"> a administrati</w:t>
            </w:r>
            <w:r>
              <w:rPr>
                <w:color w:val="0D0D0D" w:themeColor="text1" w:themeTint="F2"/>
                <w:spacing w:val="-4"/>
              </w:rPr>
              <w:t>vní</w:t>
            </w:r>
            <w:r w:rsidRPr="008D59A9">
              <w:rPr>
                <w:color w:val="0D0D0D" w:themeColor="text1" w:themeTint="F2"/>
                <w:spacing w:val="-4"/>
              </w:rPr>
              <w:t xml:space="preserve"> činnost</w:t>
            </w:r>
            <w:r>
              <w:rPr>
                <w:color w:val="0D0D0D" w:themeColor="text1" w:themeTint="F2"/>
                <w:spacing w:val="-4"/>
              </w:rPr>
              <w:t>i, které docílily 3,5% růstu HPH i při meziročním poklesu produkce (</w:t>
            </w:r>
            <w:proofErr w:type="spellStart"/>
            <w:r>
              <w:rPr>
                <w:color w:val="0D0D0D" w:themeColor="text1" w:themeTint="F2"/>
                <w:spacing w:val="-4"/>
              </w:rPr>
              <w:t>mezispotřeba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se totiž snižovala ještě vyšším tempem). Více než 3% zvýšení HPH dosáhlo i peněžnictví a pojišťovnictví a naznačilo tak, že loňský pokles HPH (doprovázený výraznější redukcí zaměstnanosti) byl jen přechodným výkyvem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3"/>
            </w:r>
            <w:r>
              <w:rPr>
                <w:color w:val="0D0D0D" w:themeColor="text1" w:themeTint="F2"/>
                <w:spacing w:val="-4"/>
              </w:rPr>
              <w:t>.  Dlouhodobě se rozvíjí i informační a komunikační činnosti, což je v posledních čtyřech letech reflektováno i nadprůměrnou dynamikou tvorby nových pracovních míst (nejen zaměstnaneckého charakteru). Střídměji letos posilovala HPH ve váhově významných odvětvích s dominancí státu</w:t>
            </w:r>
            <w:r w:rsidRPr="008D59A9"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>
              <w:rPr>
                <w:color w:val="0D0D0D" w:themeColor="text1" w:themeTint="F2"/>
                <w:spacing w:val="-4"/>
              </w:rPr>
              <w:t xml:space="preserve"> (+1,9 %), v pozad</w:t>
            </w:r>
            <w:r w:rsidRPr="008D59A9">
              <w:rPr>
                <w:color w:val="0D0D0D" w:themeColor="text1" w:themeTint="F2"/>
                <w:spacing w:val="-4"/>
              </w:rPr>
              <w:t>í</w:t>
            </w:r>
            <w:r>
              <w:rPr>
                <w:color w:val="0D0D0D" w:themeColor="text1" w:themeTint="F2"/>
                <w:spacing w:val="-4"/>
              </w:rPr>
              <w:t xml:space="preserve"> figuroval nízký růst</w:t>
            </w:r>
            <w:r w:rsidRPr="008D59A9">
              <w:rPr>
                <w:color w:val="0D0D0D" w:themeColor="text1" w:themeTint="F2"/>
                <w:spacing w:val="-4"/>
              </w:rPr>
              <w:t xml:space="preserve"> objemu </w:t>
            </w:r>
            <w:r>
              <w:rPr>
                <w:color w:val="0D0D0D" w:themeColor="text1" w:themeTint="F2"/>
                <w:spacing w:val="-4"/>
              </w:rPr>
              <w:t>vyplacených platů</w:t>
            </w:r>
            <w:r w:rsidRPr="008D59A9">
              <w:rPr>
                <w:color w:val="0D0D0D" w:themeColor="text1" w:themeTint="F2"/>
                <w:spacing w:val="-4"/>
              </w:rPr>
              <w:t xml:space="preserve"> ve školství.</w:t>
            </w:r>
            <w:r>
              <w:rPr>
                <w:color w:val="0D0D0D" w:themeColor="text1" w:themeTint="F2"/>
                <w:spacing w:val="-4"/>
              </w:rPr>
              <w:t xml:space="preserve"> </w:t>
            </w:r>
            <w:r w:rsidRPr="006B1E38">
              <w:rPr>
                <w:color w:val="000000" w:themeColor="text1"/>
                <w:spacing w:val="-4"/>
              </w:rPr>
              <w:t>Odvětví obchod, doprava, ubytování a pohostinství mohlo těžit z pozitivních nálad spotřebitelů (podpořených vysokým růstem zaměstnanosti i reálných mezd), z růstu poptávky po nákladní dopravě, jakož i četnějších příjezdů domácích i zahraničních hostů.</w:t>
            </w:r>
            <w:r>
              <w:rPr>
                <w:color w:val="000000" w:themeColor="text1"/>
                <w:spacing w:val="-4"/>
              </w:rPr>
              <w:t xml:space="preserve"> Jeho letošní výsledky kopírovaly růstová tempa přidané hodnoty i zaměstnanosti dosažená v celé ekonomice. </w:t>
            </w:r>
          </w:p>
          <w:p w:rsidR="00080AA8" w:rsidRPr="00074761" w:rsidRDefault="00080AA8" w:rsidP="00AF5D62">
            <w:pPr>
              <w:pStyle w:val="Textpoznpodarou"/>
              <w:jc w:val="both"/>
              <w:rPr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080AA8" w:rsidTr="00AF5D62">
        <w:tc>
          <w:tcPr>
            <w:tcW w:w="1090" w:type="pct"/>
          </w:tcPr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Meziroční dynamika průmyslové produkce byla ve 2. čtvrtletí významně ovlivněna vyšším počtem pracovních dní </w:t>
            </w: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</w:p>
          <w:p w:rsidR="00080AA8" w:rsidRPr="00DA1318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Stagnace produkce v energetice, jakož i dlouhodobý útlum v těžbě a dobývání v první polovině roku pokračovaly</w:t>
            </w:r>
          </w:p>
        </w:tc>
        <w:tc>
          <w:tcPr>
            <w:tcW w:w="145" w:type="pct"/>
          </w:tcPr>
          <w:p w:rsidR="00080AA8" w:rsidRDefault="00080AA8" w:rsidP="00AF5D62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80AA8" w:rsidRDefault="00080AA8" w:rsidP="00AF5D62">
            <w:pPr>
              <w:pStyle w:val="Textpoznpodarou"/>
              <w:jc w:val="both"/>
              <w:rPr>
                <w:spacing w:val="-4"/>
              </w:rPr>
            </w:pPr>
            <w:r>
              <w:rPr>
                <w:color w:val="000000" w:themeColor="text1"/>
                <w:spacing w:val="-4"/>
              </w:rPr>
              <w:t>Výkon průmyslu (měřený</w:t>
            </w:r>
            <w:r w:rsidRPr="008D59A9">
              <w:rPr>
                <w:color w:val="000000" w:themeColor="text1"/>
                <w:spacing w:val="-4"/>
              </w:rPr>
              <w:t xml:space="preserve"> indexem</w:t>
            </w:r>
            <w:r>
              <w:rPr>
                <w:color w:val="000000" w:themeColor="text1"/>
                <w:spacing w:val="-4"/>
              </w:rPr>
              <w:t xml:space="preserve"> průmyslové</w:t>
            </w:r>
            <w:r w:rsidRPr="008D59A9">
              <w:rPr>
                <w:color w:val="000000" w:themeColor="text1"/>
                <w:spacing w:val="-4"/>
              </w:rPr>
              <w:t xml:space="preserve"> produkce)</w:t>
            </w:r>
            <w:r w:rsidRPr="008D59A9">
              <w:rPr>
                <w:color w:val="000000" w:themeColor="text1"/>
                <w:spacing w:val="-4"/>
                <w:vertAlign w:val="superscript"/>
              </w:rPr>
              <w:footnoteReference w:id="5"/>
            </w:r>
            <w:r>
              <w:rPr>
                <w:color w:val="000000" w:themeColor="text1"/>
                <w:spacing w:val="-4"/>
              </w:rPr>
              <w:t xml:space="preserve"> v 1. pololetí</w:t>
            </w:r>
            <w:r w:rsidRPr="008D59A9">
              <w:rPr>
                <w:color w:val="000000" w:themeColor="text1"/>
                <w:spacing w:val="-4"/>
              </w:rPr>
              <w:t xml:space="preserve"> meziročně posílil </w:t>
            </w:r>
            <w:r>
              <w:rPr>
                <w:color w:val="000000" w:themeColor="text1"/>
                <w:spacing w:val="-4"/>
              </w:rPr>
              <w:t>o 4</w:t>
            </w:r>
            <w:r w:rsidRPr="008D59A9">
              <w:rPr>
                <w:color w:val="000000" w:themeColor="text1"/>
                <w:spacing w:val="-4"/>
              </w:rPr>
              <w:t>,</w:t>
            </w:r>
            <w:r>
              <w:rPr>
                <w:color w:val="000000" w:themeColor="text1"/>
                <w:spacing w:val="-4"/>
              </w:rPr>
              <w:t>3</w:t>
            </w:r>
            <w:r w:rsidRPr="008D59A9">
              <w:rPr>
                <w:color w:val="0D0D0D" w:themeColor="text1" w:themeTint="F2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% (resp. 2,9</w:t>
            </w:r>
            <w:r w:rsidRPr="008D59A9">
              <w:rPr>
                <w:color w:val="000000" w:themeColor="text1"/>
                <w:spacing w:val="-4"/>
              </w:rPr>
              <w:t xml:space="preserve"> % po očištění o kalendářní vlivy).</w:t>
            </w:r>
            <w:r>
              <w:rPr>
                <w:color w:val="000000" w:themeColor="text1"/>
                <w:spacing w:val="-4"/>
              </w:rPr>
              <w:t xml:space="preserve"> </w:t>
            </w:r>
            <w:r>
              <w:rPr>
                <w:spacing w:val="-4"/>
              </w:rPr>
              <w:t>Kalendářní vlivy ovlivnily zejména produkci ve 2. čtvrtletí, které mělo letos ve srovnání se stejným obdobím loňského roku o tři pracovní dny více. Rozdíl mezi očištěnou</w:t>
            </w:r>
            <w:r w:rsidR="00DC2A9F">
              <w:rPr>
                <w:spacing w:val="-4"/>
              </w:rPr>
              <w:t xml:space="preserve"> (+2,3 %) a neočištěnou </w:t>
            </w:r>
            <w:r w:rsidR="00DC2A9F">
              <w:rPr>
                <w:spacing w:val="-4"/>
              </w:rPr>
              <w:lastRenderedPageBreak/>
              <w:t>produkcí</w:t>
            </w:r>
            <w:r>
              <w:rPr>
                <w:spacing w:val="-4"/>
              </w:rPr>
              <w:t xml:space="preserve"> (+5,7 %) byl významný a v podobném rozsahu naposledy viditelný ve 3.</w:t>
            </w:r>
            <w:r w:rsidRPr="006B1E38">
              <w:rPr>
                <w:color w:val="000000" w:themeColor="text1"/>
                <w:spacing w:val="-4"/>
              </w:rPr>
              <w:t> </w:t>
            </w:r>
            <w:r>
              <w:rPr>
                <w:spacing w:val="-4"/>
              </w:rPr>
              <w:t xml:space="preserve">čtvrtletí 2008. Projevil se také vliv vyšší loňské základny, kdy výkon průmyslu úspěšně atakoval 5% tempa. Podstatné bylo, že </w:t>
            </w:r>
            <w:proofErr w:type="spellStart"/>
            <w:r>
              <w:rPr>
                <w:spacing w:val="-4"/>
              </w:rPr>
              <w:t>mezičtvrtletní</w:t>
            </w:r>
            <w:proofErr w:type="spellEnd"/>
            <w:r>
              <w:rPr>
                <w:spacing w:val="-4"/>
              </w:rPr>
              <w:t xml:space="preserve"> tempa významnější zpomalení růstu zatím neindikovala. K meziročně vyšší průmyslové produkci přispěl výhradně zpracovatelský průmysl (růst samotného odvětví dosáhl 5,4 %). Produkce energetiky, jež se stále potýkala s dopady dlouhodobých neplánovaných odstávek výrobních zařízení, fakticky stagnovala (podobně jako v 1. loňském pololetí). Řízený útlum v současnosti málo rentabilní těžby černého uhlí se odrazil v produkci celého těž</w:t>
            </w:r>
            <w:r w:rsidR="00DC2A9F">
              <w:rPr>
                <w:spacing w:val="-4"/>
              </w:rPr>
              <w:t>ebního průmyslu – v 2. čtvrtlet</w:t>
            </w:r>
            <w:r>
              <w:rPr>
                <w:spacing w:val="-4"/>
              </w:rPr>
              <w:t>í se proti úrovni z pr</w:t>
            </w:r>
            <w:r w:rsidR="00DC2A9F">
              <w:rPr>
                <w:spacing w:val="-4"/>
              </w:rPr>
              <w:t xml:space="preserve">vních třech měsíců roku 2016 </w:t>
            </w:r>
            <w:r>
              <w:rPr>
                <w:spacing w:val="-4"/>
              </w:rPr>
              <w:t xml:space="preserve">redukovala o téměř desetinu. Za posledních pět let (resp. proti 1. pololetí 2011) propadla produkce v těžbě uhlí o 31 </w:t>
            </w:r>
            <w:r w:rsidR="00DC2A9F">
              <w:rPr>
                <w:spacing w:val="-4"/>
              </w:rPr>
              <w:t>%, což korespondovalo s kontextem</w:t>
            </w:r>
            <w:r>
              <w:rPr>
                <w:spacing w:val="-4"/>
              </w:rPr>
              <w:t xml:space="preserve"> zemí EU</w:t>
            </w:r>
            <w:r>
              <w:rPr>
                <w:rStyle w:val="Znakapoznpodarou"/>
                <w:spacing w:val="-4"/>
              </w:rPr>
              <w:footnoteReference w:id="6"/>
            </w:r>
            <w:r>
              <w:rPr>
                <w:spacing w:val="-4"/>
              </w:rPr>
              <w:t xml:space="preserve">. </w:t>
            </w:r>
          </w:p>
          <w:p w:rsidR="00080AA8" w:rsidRPr="00074761" w:rsidRDefault="00080AA8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80AA8" w:rsidTr="00AF5D62">
        <w:trPr>
          <w:trHeight w:val="269"/>
        </w:trPr>
        <w:tc>
          <w:tcPr>
            <w:tcW w:w="1090" w:type="pct"/>
          </w:tcPr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Meziroční růst produkce i tržeb ve výrobě motorových vozidel dosahoval dvouciferných hodnot…</w:t>
            </w: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Pr="008415CB">
              <w:rPr>
                <w:spacing w:val="-2"/>
                <w:sz w:val="16"/>
                <w:szCs w:val="16"/>
              </w:rPr>
              <w:t xml:space="preserve">dlouhodobě dominantní postavení tohoto odvětví v rámci průmyslu bylo letos ještě umocněno, bez něj by celková průmyslová produkce rostla o 3 </w:t>
            </w:r>
            <w:proofErr w:type="spellStart"/>
            <w:proofErr w:type="gramStart"/>
            <w:r w:rsidRPr="008415CB">
              <w:rPr>
                <w:spacing w:val="-2"/>
                <w:sz w:val="16"/>
                <w:szCs w:val="16"/>
              </w:rPr>
              <w:t>p.b</w:t>
            </w:r>
            <w:proofErr w:type="spellEnd"/>
            <w:r w:rsidRPr="008415CB"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 xml:space="preserve"> méně</w:t>
            </w:r>
            <w:proofErr w:type="gramEnd"/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" w:type="pct"/>
          </w:tcPr>
          <w:p w:rsidR="00080AA8" w:rsidRPr="00636F97" w:rsidRDefault="00080AA8" w:rsidP="00AF5D62">
            <w:pPr>
              <w:rPr>
                <w:spacing w:val="-4"/>
                <w:szCs w:val="20"/>
              </w:rPr>
            </w:pPr>
          </w:p>
        </w:tc>
        <w:tc>
          <w:tcPr>
            <w:tcW w:w="3765" w:type="pct"/>
          </w:tcPr>
          <w:p w:rsidR="00080AA8" w:rsidRPr="00E61A0D" w:rsidRDefault="00080AA8" w:rsidP="00AF5D62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Výroba motorových vozidel</w:t>
            </w:r>
            <w:r w:rsidRPr="00C00806">
              <w:rPr>
                <w:spacing w:val="-4"/>
              </w:rPr>
              <w:t xml:space="preserve"> (tvoří</w:t>
            </w:r>
            <w:r>
              <w:rPr>
                <w:spacing w:val="-4"/>
              </w:rPr>
              <w:t xml:space="preserve">cí téměř čtvrtinu </w:t>
            </w:r>
            <w:r w:rsidRPr="00C00806">
              <w:rPr>
                <w:spacing w:val="-4"/>
              </w:rPr>
              <w:t>produkce</w:t>
            </w:r>
            <w:r>
              <w:rPr>
                <w:spacing w:val="-4"/>
              </w:rPr>
              <w:t xml:space="preserve"> celého průmyslu</w:t>
            </w:r>
            <w:r w:rsidRPr="00C00806">
              <w:rPr>
                <w:spacing w:val="-4"/>
              </w:rPr>
              <w:t>)</w:t>
            </w:r>
            <w:r>
              <w:rPr>
                <w:spacing w:val="-4"/>
              </w:rPr>
              <w:t xml:space="preserve"> vzrostla v 1. pololetí o 16 % meziročně, od konce poslední recese (1. čtvrtletí 2013) se navýšila již o 53 %</w:t>
            </w:r>
            <w:r>
              <w:rPr>
                <w:rStyle w:val="Znakapoznpodarou"/>
                <w:spacing w:val="-4"/>
              </w:rPr>
              <w:footnoteReference w:id="7"/>
            </w:r>
            <w:r>
              <w:rPr>
                <w:spacing w:val="-4"/>
              </w:rPr>
              <w:t xml:space="preserve">. </w:t>
            </w:r>
            <w:proofErr w:type="gramStart"/>
            <w:r>
              <w:rPr>
                <w:spacing w:val="-4"/>
              </w:rPr>
              <w:t xml:space="preserve">Tržby (v </w:t>
            </w:r>
            <w:proofErr w:type="spellStart"/>
            <w:r>
              <w:rPr>
                <w:spacing w:val="-4"/>
              </w:rPr>
              <w:t>b.c</w:t>
            </w:r>
            <w:proofErr w:type="spellEnd"/>
            <w:r>
              <w:rPr>
                <w:spacing w:val="-4"/>
              </w:rPr>
              <w:t>.</w:t>
            </w:r>
            <w:proofErr w:type="gramEnd"/>
            <w:r>
              <w:rPr>
                <w:spacing w:val="-4"/>
              </w:rPr>
              <w:t xml:space="preserve">) </w:t>
            </w:r>
            <w:r w:rsidRPr="00C00806">
              <w:rPr>
                <w:spacing w:val="-4"/>
              </w:rPr>
              <w:t xml:space="preserve">byly vyšší </w:t>
            </w:r>
            <w:r>
              <w:rPr>
                <w:spacing w:val="-4"/>
              </w:rPr>
              <w:t xml:space="preserve">meziročně </w:t>
            </w:r>
            <w:r w:rsidRPr="00C00806">
              <w:rPr>
                <w:spacing w:val="-4"/>
              </w:rPr>
              <w:t xml:space="preserve">o </w:t>
            </w:r>
            <w:r>
              <w:rPr>
                <w:spacing w:val="-4"/>
              </w:rPr>
              <w:t>13 %, a to jak domácí, tak i </w:t>
            </w:r>
            <w:r w:rsidRPr="00C00806">
              <w:rPr>
                <w:spacing w:val="-4"/>
              </w:rPr>
              <w:t>z přímého vývozu. Rekordní hodnoty dosáhlo i fyzické množství vyrobených osobních automobilů</w:t>
            </w:r>
            <w:r w:rsidRPr="00C00806">
              <w:rPr>
                <w:rStyle w:val="Znakapoznpodarou"/>
                <w:spacing w:val="-4"/>
              </w:rPr>
              <w:footnoteReference w:id="8"/>
            </w:r>
            <w:r w:rsidRPr="00C00806">
              <w:rPr>
                <w:spacing w:val="-4"/>
              </w:rPr>
              <w:t xml:space="preserve">. </w:t>
            </w:r>
            <w:r>
              <w:rPr>
                <w:spacing w:val="-4"/>
              </w:rPr>
              <w:t xml:space="preserve">Nadprůměrné tempo produkce zaznamenaly i výrobci ostatních </w:t>
            </w:r>
            <w:r w:rsidRPr="00C00806">
              <w:rPr>
                <w:spacing w:val="-4"/>
              </w:rPr>
              <w:t>(především ko</w:t>
            </w:r>
            <w:r>
              <w:rPr>
                <w:spacing w:val="-4"/>
              </w:rPr>
              <w:t xml:space="preserve">lejových) dopravních vozidel (+5,4 %), zejména vlivem vyšší domácí poptávky. Hlavní subdodavatelské obory automobilového průmyslu na úspěšný loňský rok plně nenavázaly (např. ve výrobě elektrických zařízení meziroční růst zvolnil na 2,7 % a tržby z vývozu i na domácím trhu dokonce nepatrně poklesly). Stabilní byl naopak </w:t>
            </w:r>
            <w:r w:rsidRPr="00C00806">
              <w:rPr>
                <w:spacing w:val="-4"/>
              </w:rPr>
              <w:t>vývoj produkce ve váhově významných odvětví</w:t>
            </w:r>
            <w:r>
              <w:rPr>
                <w:spacing w:val="-4"/>
              </w:rPr>
              <w:t>ch kovovýroby (+7,2 %) a strojírenství (+2,3</w:t>
            </w:r>
            <w:r w:rsidRPr="00C00806">
              <w:rPr>
                <w:spacing w:val="-4"/>
              </w:rPr>
              <w:t xml:space="preserve"> %). Z men</w:t>
            </w:r>
            <w:r>
              <w:rPr>
                <w:spacing w:val="-4"/>
              </w:rPr>
              <w:t xml:space="preserve">ších odvětví se dařilo </w:t>
            </w:r>
            <w:r w:rsidRPr="00C00806">
              <w:rPr>
                <w:spacing w:val="-4"/>
              </w:rPr>
              <w:t>výrobcům nábytku (jejichž produk</w:t>
            </w:r>
            <w:r>
              <w:rPr>
                <w:spacing w:val="-4"/>
              </w:rPr>
              <w:t>ce za tři roky vzrostla o pětinu) či</w:t>
            </w:r>
            <w:r w:rsidRPr="00C00806">
              <w:rPr>
                <w:spacing w:val="-4"/>
              </w:rPr>
              <w:t xml:space="preserve"> </w:t>
            </w:r>
            <w:r>
              <w:rPr>
                <w:spacing w:val="-4"/>
              </w:rPr>
              <w:t>tiskárenství (těžící z vyšší tuzem</w:t>
            </w:r>
            <w:r w:rsidR="009010E3">
              <w:rPr>
                <w:spacing w:val="-4"/>
              </w:rPr>
              <w:t>ské poptávky). Pokračovalo mírné oživení dlouhodobě utlumeného</w:t>
            </w:r>
            <w:r>
              <w:rPr>
                <w:spacing w:val="-4"/>
              </w:rPr>
              <w:t xml:space="preserve"> oděvního průmyslu. Produkce v textilním průmyslu se již přiblížila úrovni 1. pololetí konjunkturního roku 2008 (této „mety“ stále polovina zpracovatelských oborů nedosáhla).</w:t>
            </w:r>
          </w:p>
          <w:p w:rsidR="00080AA8" w:rsidRPr="00074761" w:rsidRDefault="00080AA8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80AA8" w:rsidTr="00AF5D62">
        <w:tc>
          <w:tcPr>
            <w:tcW w:w="1090" w:type="pct"/>
          </w:tcPr>
          <w:p w:rsidR="00080AA8" w:rsidRDefault="00080AA8" w:rsidP="00AF5D62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B507F7">
              <w:rPr>
                <w:spacing w:val="-4"/>
                <w:sz w:val="16"/>
                <w:szCs w:val="16"/>
              </w:rPr>
              <w:t>Z významnějších zpr</w:t>
            </w:r>
            <w:r>
              <w:rPr>
                <w:spacing w:val="-4"/>
                <w:sz w:val="16"/>
                <w:szCs w:val="16"/>
              </w:rPr>
              <w:t>acovatelských oborů klesala produkce jen v hutnictví (vlivem přebytku oceli na evropských trzích), chemickém průmyslu (vlivem</w:t>
            </w:r>
            <w:r w:rsidRPr="00B507F7">
              <w:rPr>
                <w:spacing w:val="-4"/>
                <w:sz w:val="16"/>
                <w:szCs w:val="16"/>
              </w:rPr>
              <w:t xml:space="preserve"> havárií výrobních zařízení) </w:t>
            </w:r>
          </w:p>
          <w:p w:rsidR="00080AA8" w:rsidRPr="0036070D" w:rsidRDefault="00080AA8" w:rsidP="00AF5D62">
            <w:pPr>
              <w:spacing w:line="240" w:lineRule="auto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a poprvé po osmi čtvrtletích i potravinářství</w:t>
            </w:r>
          </w:p>
          <w:p w:rsidR="00080AA8" w:rsidRPr="00CC67DF" w:rsidRDefault="00080AA8" w:rsidP="00AF5D62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</w:tc>
        <w:tc>
          <w:tcPr>
            <w:tcW w:w="145" w:type="pct"/>
          </w:tcPr>
          <w:p w:rsidR="00080AA8" w:rsidRDefault="00080AA8" w:rsidP="00AF5D62">
            <w:pPr>
              <w:pStyle w:val="Textpoznpodarou"/>
              <w:jc w:val="both"/>
            </w:pPr>
          </w:p>
        </w:tc>
        <w:tc>
          <w:tcPr>
            <w:tcW w:w="3765" w:type="pct"/>
          </w:tcPr>
          <w:p w:rsidR="00080AA8" w:rsidRPr="003A7FF8" w:rsidRDefault="00080AA8" w:rsidP="00AF5D62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3A7FF8">
              <w:rPr>
                <w:color w:val="000000" w:themeColor="text1"/>
                <w:spacing w:val="-4"/>
              </w:rPr>
              <w:t>Navzdory celkově příznivému vývoj</w:t>
            </w:r>
            <w:r>
              <w:rPr>
                <w:color w:val="000000" w:themeColor="text1"/>
                <w:spacing w:val="-4"/>
              </w:rPr>
              <w:t>i</w:t>
            </w:r>
            <w:r w:rsidRPr="003A7FF8">
              <w:rPr>
                <w:color w:val="000000" w:themeColor="text1"/>
                <w:spacing w:val="-4"/>
              </w:rPr>
              <w:t xml:space="preserve"> stále existovaly zpracovatelské obory, </w:t>
            </w:r>
            <w:r>
              <w:rPr>
                <w:color w:val="000000" w:themeColor="text1"/>
                <w:spacing w:val="-4"/>
              </w:rPr>
              <w:t xml:space="preserve">které se potýkaly s problémy. </w:t>
            </w:r>
            <w:r w:rsidR="00AA34FE">
              <w:rPr>
                <w:color w:val="000000" w:themeColor="text1"/>
                <w:spacing w:val="-4"/>
              </w:rPr>
              <w:t xml:space="preserve">Odstávky některých provozů </w:t>
            </w:r>
            <w:r>
              <w:rPr>
                <w:color w:val="000000" w:themeColor="text1"/>
                <w:spacing w:val="-4"/>
              </w:rPr>
              <w:t>již rok omezují výrobní kapacity v chemickém průmyslu, jeho letošní produkce meziročně propadla o sedminu. Šlo</w:t>
            </w:r>
            <w:r w:rsidRPr="00C00806">
              <w:rPr>
                <w:color w:val="000000" w:themeColor="text1"/>
                <w:spacing w:val="-4"/>
              </w:rPr>
              <w:t xml:space="preserve"> </w:t>
            </w:r>
            <w:r>
              <w:rPr>
                <w:color w:val="000000" w:themeColor="text1"/>
                <w:spacing w:val="-4"/>
              </w:rPr>
              <w:t xml:space="preserve">(společně s váhově </w:t>
            </w:r>
            <w:r w:rsidRPr="007A14BF">
              <w:rPr>
                <w:color w:val="000000" w:themeColor="text1"/>
                <w:spacing w:val="-4"/>
              </w:rPr>
              <w:t>slabým dřevozpracujícím</w:t>
            </w:r>
            <w:r>
              <w:rPr>
                <w:color w:val="000000" w:themeColor="text1"/>
                <w:spacing w:val="-4"/>
              </w:rPr>
              <w:t xml:space="preserve"> průmyslem) </w:t>
            </w:r>
            <w:r w:rsidRPr="00C00806">
              <w:rPr>
                <w:color w:val="000000" w:themeColor="text1"/>
                <w:spacing w:val="-4"/>
              </w:rPr>
              <w:t xml:space="preserve">o jediný zpracovatelský obor, jehož produkce svou úroveň z počátku roku 2013 (dno poslední recese ekonomiky) dosud nepřekonala. </w:t>
            </w:r>
            <w:r w:rsidR="009010E3">
              <w:rPr>
                <w:color w:val="000000" w:themeColor="text1"/>
                <w:spacing w:val="-4"/>
              </w:rPr>
              <w:t xml:space="preserve">Produkce letos klesla i v </w:t>
            </w:r>
            <w:r>
              <w:rPr>
                <w:color w:val="000000" w:themeColor="text1"/>
                <w:spacing w:val="-4"/>
              </w:rPr>
              <w:t>hutnictví a slévárenství. S </w:t>
            </w:r>
            <w:r w:rsidRPr="00C00806">
              <w:rPr>
                <w:color w:val="000000" w:themeColor="text1"/>
                <w:spacing w:val="-4"/>
              </w:rPr>
              <w:t>negativními důsledky přetlaku nabídky oceli na evrops</w:t>
            </w:r>
            <w:r>
              <w:rPr>
                <w:color w:val="000000" w:themeColor="text1"/>
                <w:spacing w:val="-4"/>
              </w:rPr>
              <w:t>kých trzích se v posledních měsících</w:t>
            </w:r>
            <w:r w:rsidRPr="00C00806">
              <w:rPr>
                <w:color w:val="000000" w:themeColor="text1"/>
                <w:spacing w:val="-4"/>
              </w:rPr>
              <w:t xml:space="preserve"> potýkala i většina </w:t>
            </w:r>
            <w:r>
              <w:rPr>
                <w:color w:val="000000" w:themeColor="text1"/>
                <w:spacing w:val="-4"/>
              </w:rPr>
              <w:t>evropských významných producentů.</w:t>
            </w:r>
            <w:r w:rsidRPr="00C00806">
              <w:rPr>
                <w:color w:val="000000"/>
                <w:spacing w:val="-4"/>
              </w:rPr>
              <w:t xml:space="preserve"> Poprvé po osmi čtvrtletích </w:t>
            </w:r>
            <w:r>
              <w:rPr>
                <w:color w:val="000000"/>
                <w:spacing w:val="-4"/>
              </w:rPr>
              <w:t xml:space="preserve">se </w:t>
            </w:r>
            <w:r w:rsidRPr="00C00806">
              <w:rPr>
                <w:color w:val="000000"/>
                <w:spacing w:val="-4"/>
              </w:rPr>
              <w:t xml:space="preserve">zastavil </w:t>
            </w:r>
            <w:r>
              <w:rPr>
                <w:color w:val="000000"/>
                <w:spacing w:val="-4"/>
              </w:rPr>
              <w:t xml:space="preserve">mírný </w:t>
            </w:r>
            <w:r w:rsidRPr="00C00806">
              <w:rPr>
                <w:color w:val="000000"/>
                <w:spacing w:val="-4"/>
              </w:rPr>
              <w:t>růst produkce v objemově významném a potravinářském průmysl</w:t>
            </w:r>
            <w:r>
              <w:rPr>
                <w:color w:val="000000"/>
                <w:spacing w:val="-4"/>
              </w:rPr>
              <w:t>u. I mělký meziroční pokles (o</w:t>
            </w:r>
            <w:r>
              <w:rPr>
                <w:color w:val="000000" w:themeColor="text1"/>
                <w:spacing w:val="-4"/>
              </w:rPr>
              <w:t> </w:t>
            </w:r>
            <w:r>
              <w:rPr>
                <w:color w:val="000000"/>
                <w:spacing w:val="-4"/>
              </w:rPr>
              <w:t>2,2</w:t>
            </w:r>
            <w:r>
              <w:rPr>
                <w:color w:val="000000" w:themeColor="text1"/>
                <w:spacing w:val="-4"/>
              </w:rPr>
              <w:t> </w:t>
            </w:r>
            <w:r w:rsidR="009010E3">
              <w:rPr>
                <w:color w:val="000000"/>
                <w:spacing w:val="-4"/>
              </w:rPr>
              <w:t>%) znamenal v tomto stabilním</w:t>
            </w:r>
            <w:r w:rsidRPr="00C00806">
              <w:rPr>
                <w:color w:val="000000"/>
                <w:spacing w:val="-4"/>
              </w:rPr>
              <w:t xml:space="preserve"> </w:t>
            </w:r>
            <w:r w:rsidR="009010E3">
              <w:rPr>
                <w:color w:val="000000"/>
                <w:spacing w:val="-4"/>
              </w:rPr>
              <w:t>(</w:t>
            </w:r>
            <w:r w:rsidRPr="00C00806">
              <w:rPr>
                <w:color w:val="000000"/>
                <w:spacing w:val="-4"/>
              </w:rPr>
              <w:t xml:space="preserve">především na </w:t>
            </w:r>
            <w:r w:rsidR="009010E3">
              <w:rPr>
                <w:color w:val="000000"/>
                <w:spacing w:val="-4"/>
              </w:rPr>
              <w:t>domácí trh orientovaném) odvětví</w:t>
            </w:r>
            <w:r w:rsidRPr="00C00806">
              <w:rPr>
                <w:color w:val="000000"/>
                <w:spacing w:val="-4"/>
              </w:rPr>
              <w:t xml:space="preserve"> nejhorší výsledek od konce roku 2011.</w:t>
            </w:r>
          </w:p>
          <w:p w:rsidR="00080AA8" w:rsidRPr="00074761" w:rsidRDefault="00080AA8" w:rsidP="00AF5D62">
            <w:pPr>
              <w:pStyle w:val="Textpoznpodarou"/>
              <w:jc w:val="both"/>
              <w:rPr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080AA8" w:rsidTr="00AF5D62">
        <w:tc>
          <w:tcPr>
            <w:tcW w:w="1090" w:type="pct"/>
          </w:tcPr>
          <w:p w:rsidR="00080AA8" w:rsidRDefault="00080AA8" w:rsidP="00AF5D62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7964B6">
              <w:rPr>
                <w:spacing w:val="-2"/>
                <w:sz w:val="16"/>
                <w:szCs w:val="16"/>
              </w:rPr>
              <w:t xml:space="preserve">Výrazné zrychlení tempa růstu nových zakázek </w:t>
            </w:r>
            <w:proofErr w:type="gramStart"/>
            <w:r>
              <w:rPr>
                <w:spacing w:val="-2"/>
                <w:sz w:val="16"/>
                <w:szCs w:val="16"/>
              </w:rPr>
              <w:t>ve</w:t>
            </w:r>
            <w:proofErr w:type="gramEnd"/>
            <w:r>
              <w:rPr>
                <w:spacing w:val="-2"/>
                <w:sz w:val="16"/>
                <w:szCs w:val="16"/>
              </w:rPr>
              <w:t xml:space="preserve"> </w:t>
            </w:r>
          </w:p>
          <w:p w:rsidR="00080AA8" w:rsidRDefault="00080AA8" w:rsidP="00AF5D62">
            <w:pPr>
              <w:spacing w:line="240" w:lineRule="auto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2. čtvrtletí </w:t>
            </w:r>
            <w:r w:rsidRPr="007964B6">
              <w:rPr>
                <w:spacing w:val="-2"/>
                <w:sz w:val="16"/>
                <w:szCs w:val="16"/>
              </w:rPr>
              <w:t>ve výrobě motorových vozidel, v ostatních odvětvích však byla dynamika slabá (strojírenství), či hodnota zakázek dokonce klesala (chemický průmysl, hutnictví)</w:t>
            </w:r>
          </w:p>
          <w:p w:rsidR="00080AA8" w:rsidRDefault="00080AA8" w:rsidP="00AF5D62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spacing w:val="-2"/>
                <w:sz w:val="16"/>
                <w:szCs w:val="16"/>
              </w:rPr>
            </w:pPr>
          </w:p>
          <w:p w:rsidR="00080AA8" w:rsidRPr="00BC5795" w:rsidRDefault="00080AA8" w:rsidP="00AF5D62">
            <w:pPr>
              <w:spacing w:line="240" w:lineRule="auto"/>
              <w:rPr>
                <w:spacing w:val="-2"/>
                <w:sz w:val="16"/>
                <w:szCs w:val="16"/>
              </w:rPr>
            </w:pPr>
            <w:r w:rsidRPr="00BC5795">
              <w:rPr>
                <w:spacing w:val="-2"/>
                <w:sz w:val="16"/>
                <w:szCs w:val="16"/>
              </w:rPr>
              <w:t>Od poloviny roku 2015 pociťují průmyslové podniky nedostatek pracovní síly jako barieru růstu stále častěji</w:t>
            </w:r>
          </w:p>
        </w:tc>
        <w:tc>
          <w:tcPr>
            <w:tcW w:w="145" w:type="pct"/>
          </w:tcPr>
          <w:p w:rsidR="00080AA8" w:rsidRDefault="00080AA8" w:rsidP="00AF5D62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80AA8" w:rsidRPr="00A13ED4" w:rsidRDefault="00080AA8" w:rsidP="00AF5D62">
            <w:pPr>
              <w:pStyle w:val="Textpoznpodarou"/>
              <w:jc w:val="both"/>
              <w:rPr>
                <w:color w:val="000000" w:themeColor="text1"/>
                <w:spacing w:val="-5"/>
              </w:rPr>
            </w:pPr>
            <w:r>
              <w:rPr>
                <w:spacing w:val="-4"/>
              </w:rPr>
              <w:t xml:space="preserve">Slušné krátkodobé vyhlídky průmyslu indukuje vývoj nových zakázek. Tempo růstu jejich hodnoty na počátku roku sice citelně zpomalilo (na 0,9 % meziročně, tj. nejnižší tempo od konce recese), ve 2. čtvrtletí ale těsně prolomilo 10% hranici. Přispěla k tomu rozhodující měrou výroba motorových vozidel (v 1. čtvrtletí činil růst 11 %, ve 2. čtvrtletí 30 %). Během 1. pololetí přetrvávala mírně pozitivní nálada podnikatelů v průmyslu. </w:t>
            </w:r>
            <w:r>
              <w:rPr>
                <w:color w:val="000000" w:themeColor="text1"/>
                <w:spacing w:val="-4"/>
              </w:rPr>
              <w:t xml:space="preserve">Sezónně očištěná salda indikátorů důvěry dosahují stabilních hodnot již dva a půl roku. </w:t>
            </w:r>
            <w:r w:rsidR="00241446">
              <w:rPr>
                <w:color w:val="000000" w:themeColor="text1"/>
                <w:spacing w:val="-4"/>
              </w:rPr>
              <w:t>V srpnu očekávalo r</w:t>
            </w:r>
            <w:r>
              <w:rPr>
                <w:color w:val="000000" w:themeColor="text1"/>
                <w:spacing w:val="-4"/>
              </w:rPr>
              <w:t>ůst u výrobní činn</w:t>
            </w:r>
            <w:r w:rsidR="00241446">
              <w:rPr>
                <w:color w:val="000000" w:themeColor="text1"/>
                <w:spacing w:val="-4"/>
              </w:rPr>
              <w:t xml:space="preserve">osti v příštích třech měsících </w:t>
            </w:r>
            <w:r>
              <w:rPr>
                <w:color w:val="000000" w:themeColor="text1"/>
                <w:spacing w:val="-4"/>
              </w:rPr>
              <w:t>22</w:t>
            </w:r>
            <w:r>
              <w:rPr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 xml:space="preserve">% průmyslových podniků, u zaměstnanosti 16 %, v obou případech byly hodnoty proti srpnu 2015 mírně vyšší. Výrazně naopak zrychlil podíl podniků, které považují nedostatek pracovní síly za bariéru </w:t>
            </w:r>
            <w:r w:rsidRPr="001805D6">
              <w:rPr>
                <w:color w:val="000000" w:themeColor="text1"/>
                <w:spacing w:val="-4"/>
              </w:rPr>
              <w:t>růstu. Na počátku 3. čtvrtletí 2016 šlo již o 19 % firem, o rok dříve jen 8 %. Dynamika zaměstnanosti i mezd mírně sílila. Na počátku roku vzrostl dle podnikových statistik průměrný evidenční počet zaměstnanců (v průmyslových</w:t>
            </w:r>
            <w:r w:rsidRPr="001805D6">
              <w:rPr>
                <w:color w:val="0D0D0D" w:themeColor="text1" w:themeTint="F2"/>
                <w:spacing w:val="-4"/>
              </w:rPr>
              <w:t xml:space="preserve"> </w:t>
            </w:r>
            <w:r w:rsidRPr="001805D6">
              <w:rPr>
                <w:color w:val="000000" w:themeColor="text1"/>
                <w:spacing w:val="-4"/>
              </w:rPr>
              <w:t>podnicích v</w:t>
            </w:r>
            <w:r w:rsidRPr="001805D6">
              <w:rPr>
                <w:spacing w:val="-4"/>
              </w:rPr>
              <w:t> </w:t>
            </w:r>
            <w:r w:rsidRPr="001805D6">
              <w:rPr>
                <w:color w:val="000000" w:themeColor="text1"/>
                <w:spacing w:val="-4"/>
              </w:rPr>
              <w:t xml:space="preserve">ČR) meziročně o 2,7 %, z toho ve výrobě motorových vozidel více o 6,5 %. Zaměstnanecká místa redukovalo hutnictví, těžba a energetika. Průměrné mzdy se </w:t>
            </w:r>
            <w:r>
              <w:rPr>
                <w:color w:val="000000" w:themeColor="text1"/>
                <w:spacing w:val="-4"/>
              </w:rPr>
              <w:t xml:space="preserve">(ve vazbě na posun hranice minimální mzdy) </w:t>
            </w:r>
            <w:r w:rsidRPr="001805D6">
              <w:rPr>
                <w:color w:val="000000" w:themeColor="text1"/>
                <w:spacing w:val="-4"/>
              </w:rPr>
              <w:t xml:space="preserve">relativně nejvíce zvýšily v oborech </w:t>
            </w:r>
            <w:r>
              <w:rPr>
                <w:color w:val="000000" w:themeColor="text1"/>
                <w:spacing w:val="-4"/>
              </w:rPr>
              <w:t>s nízkou úrovní výdělků (oděvní, kožedělný, dřevozpracující, nábytkářský průmysl), navzdory výpadku kapacit ale i v chemickém průmyslu.</w:t>
            </w:r>
          </w:p>
          <w:p w:rsidR="00080AA8" w:rsidRPr="00A918F2" w:rsidRDefault="00080AA8" w:rsidP="00AF5D62">
            <w:pPr>
              <w:pStyle w:val="Textpoznpodarou"/>
              <w:jc w:val="both"/>
              <w:rPr>
                <w:spacing w:val="-4"/>
                <w:sz w:val="6"/>
                <w:szCs w:val="6"/>
              </w:rPr>
            </w:pPr>
          </w:p>
        </w:tc>
      </w:tr>
      <w:tr w:rsidR="00080AA8" w:rsidTr="00AF5D62">
        <w:tc>
          <w:tcPr>
            <w:tcW w:w="1090" w:type="pct"/>
          </w:tcPr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 stavební produkci negativně působil pokles veřejných výdajů na dopravní stavby, ale i pomalý rozvoj v oblasti bytové výstavby</w:t>
            </w: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</w:p>
          <w:p w:rsidR="00080AA8" w:rsidRPr="000B1183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Výkon stavebnictví se nacházel na předloňské úrovni, proti 1. polovině roku 2008 byl však o čtvrtinu nižší</w:t>
            </w:r>
          </w:p>
        </w:tc>
        <w:tc>
          <w:tcPr>
            <w:tcW w:w="145" w:type="pct"/>
          </w:tcPr>
          <w:p w:rsidR="00080AA8" w:rsidRDefault="00080AA8" w:rsidP="00AF5D62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80AA8" w:rsidRPr="00AA34FE" w:rsidRDefault="00080AA8" w:rsidP="00AF5D62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P</w:t>
            </w:r>
            <w:r w:rsidRPr="002259EC">
              <w:rPr>
                <w:spacing w:val="-4"/>
              </w:rPr>
              <w:t xml:space="preserve">rodukce </w:t>
            </w:r>
            <w:r>
              <w:rPr>
                <w:spacing w:val="-4"/>
              </w:rPr>
              <w:t xml:space="preserve">ve stavebnictví </w:t>
            </w:r>
            <w:r w:rsidRPr="002259EC">
              <w:rPr>
                <w:spacing w:val="-4"/>
              </w:rPr>
              <w:t>se</w:t>
            </w:r>
            <w:r>
              <w:rPr>
                <w:spacing w:val="-4"/>
              </w:rPr>
              <w:t xml:space="preserve"> po silném růstu z předchozích dvou let letos opět vrátila k hlubším meziročním poklesům</w:t>
            </w:r>
            <w:r>
              <w:rPr>
                <w:rStyle w:val="Znakapoznpodarou"/>
                <w:spacing w:val="-4"/>
              </w:rPr>
              <w:footnoteReference w:id="9"/>
            </w:r>
            <w:r>
              <w:rPr>
                <w:spacing w:val="-4"/>
              </w:rPr>
              <w:t>. V prvních třec</w:t>
            </w:r>
            <w:r w:rsidR="00791804">
              <w:rPr>
                <w:spacing w:val="-4"/>
              </w:rPr>
              <w:t>h měsících roku se snížila o 7,7</w:t>
            </w:r>
            <w:r>
              <w:rPr>
                <w:spacing w:val="-4"/>
              </w:rPr>
              <w:t xml:space="preserve"> %, ve 2. čtvrtletí se pokles ještě prohloubil na 12,2 %. V </w:t>
            </w:r>
            <w:proofErr w:type="spellStart"/>
            <w:r>
              <w:rPr>
                <w:spacing w:val="-4"/>
              </w:rPr>
              <w:t>mezikvartálním</w:t>
            </w:r>
            <w:proofErr w:type="spellEnd"/>
            <w:r>
              <w:rPr>
                <w:spacing w:val="-4"/>
              </w:rPr>
              <w:t xml:space="preserve"> vyjádření se výkon stavebnictví snižuje nepřetržitě již čtyři čtvrtletí v řadě. Za loňskou úrovní v letošním 1. pololetí výrazně zaostaly </w:t>
            </w:r>
            <w:r w:rsidR="00791804">
              <w:rPr>
                <w:spacing w:val="-4"/>
              </w:rPr>
              <w:t>jak inženýrské stavitelství (-13,2</w:t>
            </w:r>
            <w:r>
              <w:rPr>
                <w:spacing w:val="-4"/>
              </w:rPr>
              <w:t xml:space="preserve"> %), tak i váhově význam</w:t>
            </w:r>
            <w:r w:rsidR="00791804">
              <w:rPr>
                <w:spacing w:val="-4"/>
              </w:rPr>
              <w:t>nější pozemní stavitelství (-9,4</w:t>
            </w:r>
            <w:r>
              <w:rPr>
                <w:spacing w:val="-4"/>
              </w:rPr>
              <w:t xml:space="preserve"> %). Zatímco výsledek inženýrského stavitelství byl s ohledem na intenzivní realizaci dopravních staveb vázaných na loni končící </w:t>
            </w:r>
            <w:r>
              <w:rPr>
                <w:color w:val="000000" w:themeColor="text1"/>
                <w:spacing w:val="-4"/>
              </w:rPr>
              <w:t>programovací období EU do značné míry očekávaný, hluboký pokles pozemního stavitelství přinesl překvapivé zjištění.</w:t>
            </w:r>
          </w:p>
          <w:p w:rsidR="00080AA8" w:rsidRPr="00A13ED4" w:rsidRDefault="00080AA8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80AA8" w:rsidTr="00AF5D62">
        <w:tc>
          <w:tcPr>
            <w:tcW w:w="1090" w:type="pct"/>
          </w:tcPr>
          <w:p w:rsidR="00080AA8" w:rsidRDefault="00080AA8" w:rsidP="00AF5D6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Hodnota nových zakázek se meziročně snižovala již čtyři čtvrtletí v řadě</w:t>
            </w:r>
          </w:p>
          <w:p w:rsidR="00080AA8" w:rsidRDefault="00080AA8" w:rsidP="00AF5D6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Stavebnictví letos zatím chyběly větší stavby, průměrná hodnota nově uzavřené zakázky klesla pod 3 mil. korun – na nejnižší úroveň za posledních dvanáct čtvrtletí</w:t>
            </w:r>
          </w:p>
          <w:p w:rsidR="00080AA8" w:rsidRDefault="00080AA8" w:rsidP="00AF5D6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080AA8" w:rsidRPr="0032604E" w:rsidRDefault="00080AA8" w:rsidP="00AF5D6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</w:tcPr>
          <w:p w:rsidR="00080AA8" w:rsidRDefault="00080AA8" w:rsidP="00AF5D62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80AA8" w:rsidRDefault="00080AA8" w:rsidP="00AF5D62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>Celková zásoba práce (na konci 2. čtvrtletí) ve formě všech dosud nerealizovaných stavebních zakázek se meziročně zredukovala o desetinu (na 147 mld. korun), výhradně vlivem tuzemských veřejných zakázek (-18,4 %). Hodnota nových zakázek (stavebních podniků s 50 a více zaměstnanci) v 1. pololetí meziročně poklesla o 4 %, o což se přičinily o šestinu nižší objednávky na inženýrské stavby. Pozitivním signálem byl vyšší příliv nových zakázek u pozemního stavitelství ve 2. čtvrtletí (+28 %). Jejich hodnota za celé 1. pololetí byla v rámci tohoto období roku nejvyšší za posledních pět let. Celému odvětví však letos chybí větší stavby. Průměrná hodnota nově uzavřené zakázky klesla v 1. pololetí po</w:t>
            </w:r>
            <w:r w:rsidR="00AA34FE">
              <w:rPr>
                <w:spacing w:val="-4"/>
              </w:rPr>
              <w:t>d 3 mil. korun (v letech 2014 a </w:t>
            </w:r>
            <w:r>
              <w:rPr>
                <w:spacing w:val="-4"/>
              </w:rPr>
              <w:t>2015 oscilovala kolem 4 mil. korun). Dle jiného předstihového ukazatele – stavebních povolení – byly vyhlídky stavebnictví o něco příznivější. Průměrná orientační hodnota na 1 povolení ve 2. čtvrtletí vzrostla na 3,7 mil. korun (z 3,2 mil. z předchozího čtvrtletí) a byla zároveň nejvyšší od 3. čtvrtletí 2012.</w:t>
            </w:r>
          </w:p>
          <w:p w:rsidR="00080AA8" w:rsidRPr="0078776B" w:rsidRDefault="00080AA8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80AA8" w:rsidTr="00AF5D62">
        <w:tc>
          <w:tcPr>
            <w:tcW w:w="1090" w:type="pct"/>
          </w:tcPr>
          <w:p w:rsidR="00080AA8" w:rsidRPr="0032604E" w:rsidRDefault="00080AA8" w:rsidP="00AF5D62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Nízká četnost výstavby bytových domů v Praze srazila letos počet všech zahájených bytů v ČR na třetí nejnižší hodnotu po roce 2000</w:t>
            </w:r>
          </w:p>
        </w:tc>
        <w:tc>
          <w:tcPr>
            <w:tcW w:w="145" w:type="pct"/>
          </w:tcPr>
          <w:p w:rsidR="00080AA8" w:rsidRDefault="00080AA8" w:rsidP="00AF5D62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80AA8" w:rsidRDefault="00080AA8" w:rsidP="00AF5D62">
            <w:pPr>
              <w:pStyle w:val="Textpoznpodarou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Počet zahájených bytů v 1. pololetí meziročně klesl o 3,4 %, společně s roky 2013 a 2014 patřil v tomto miléniu k nejnižším. Citelně propadla výstavba </w:t>
            </w:r>
            <w:r w:rsidR="00806088">
              <w:rPr>
                <w:spacing w:val="-4"/>
              </w:rPr>
              <w:t>bytů v bytových domech</w:t>
            </w:r>
            <w:r>
              <w:rPr>
                <w:spacing w:val="-4"/>
              </w:rPr>
              <w:t xml:space="preserve"> – vlivem situace v Praze, kde bylo takto zahájeno pouze 522 bytů. Zčásti to může b</w:t>
            </w:r>
            <w:r w:rsidR="00873B2E">
              <w:rPr>
                <w:spacing w:val="-4"/>
              </w:rPr>
              <w:t>ýt vlivem</w:t>
            </w:r>
            <w:r>
              <w:rPr>
                <w:spacing w:val="-4"/>
              </w:rPr>
              <w:t xml:space="preserve"> zvýšené aktivity v 1. loňském pololetí, kdy tento počet (2614) naopak patřil v dlouhodobém kontextu v metropoli k nejvyšším. Počet dokončených bytů v ČR rostl o 4,1 %, především vlivem vyšší výstavby rodinných domů.</w:t>
            </w:r>
          </w:p>
          <w:p w:rsidR="00080AA8" w:rsidRPr="007C54D4" w:rsidRDefault="00080AA8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80AA8" w:rsidTr="00AF5D62">
        <w:trPr>
          <w:cantSplit/>
          <w:trHeight w:val="203"/>
        </w:trPr>
        <w:tc>
          <w:tcPr>
            <w:tcW w:w="1090" w:type="pct"/>
          </w:tcPr>
          <w:p w:rsidR="00080AA8" w:rsidRPr="001013B5" w:rsidRDefault="00080AA8" w:rsidP="00AF5D62">
            <w:pPr>
              <w:spacing w:line="240" w:lineRule="auto"/>
              <w:rPr>
                <w:spacing w:val="-4"/>
                <w:sz w:val="16"/>
                <w:szCs w:val="16"/>
              </w:rPr>
            </w:pPr>
            <w:r w:rsidRPr="001013B5">
              <w:rPr>
                <w:spacing w:val="-4"/>
                <w:sz w:val="16"/>
                <w:szCs w:val="16"/>
              </w:rPr>
              <w:t>Záporné saldo důvěry podnikatelů ve stavebnictví se v průběhu roku prohlubovalo</w:t>
            </w:r>
          </w:p>
          <w:p w:rsidR="00080AA8" w:rsidRPr="001013B5" w:rsidRDefault="00080AA8" w:rsidP="00AF5D62">
            <w:pPr>
              <w:spacing w:line="240" w:lineRule="auto"/>
              <w:rPr>
                <w:spacing w:val="-4"/>
                <w:sz w:val="16"/>
                <w:szCs w:val="16"/>
              </w:rPr>
            </w:pPr>
          </w:p>
          <w:p w:rsidR="00080AA8" w:rsidRPr="001013B5" w:rsidRDefault="00080AA8" w:rsidP="00AF5D62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 w:rsidRPr="001013B5">
              <w:rPr>
                <w:color w:val="000000" w:themeColor="text1"/>
                <w:spacing w:val="-4"/>
                <w:sz w:val="16"/>
                <w:szCs w:val="16"/>
              </w:rPr>
              <w:t xml:space="preserve">Evidenční počet zaměstnanců ve stavebnictví nadále klesal, za posledních osm let přišlo stavebnictví o více než 60 tis. zaměstnaneckých </w:t>
            </w:r>
            <w:proofErr w:type="spellStart"/>
            <w:r w:rsidRPr="001013B5">
              <w:rPr>
                <w:color w:val="000000" w:themeColor="text1"/>
                <w:spacing w:val="-4"/>
                <w:sz w:val="16"/>
                <w:szCs w:val="16"/>
              </w:rPr>
              <w:t>prac</w:t>
            </w:r>
            <w:proofErr w:type="spellEnd"/>
            <w:r w:rsidRPr="001013B5">
              <w:rPr>
                <w:color w:val="000000" w:themeColor="text1"/>
                <w:spacing w:val="-4"/>
                <w:sz w:val="16"/>
                <w:szCs w:val="16"/>
              </w:rPr>
              <w:t xml:space="preserve">. </w:t>
            </w:r>
            <w:proofErr w:type="gramStart"/>
            <w:r w:rsidRPr="001013B5">
              <w:rPr>
                <w:color w:val="000000" w:themeColor="text1"/>
                <w:spacing w:val="-4"/>
                <w:sz w:val="16"/>
                <w:szCs w:val="16"/>
              </w:rPr>
              <w:t>míst</w:t>
            </w:r>
            <w:proofErr w:type="gramEnd"/>
            <w:r w:rsidRPr="001013B5">
              <w:rPr>
                <w:color w:val="000000" w:themeColor="text1"/>
                <w:spacing w:val="-4"/>
                <w:sz w:val="16"/>
                <w:szCs w:val="16"/>
              </w:rPr>
              <w:t>.</w:t>
            </w:r>
          </w:p>
        </w:tc>
        <w:tc>
          <w:tcPr>
            <w:tcW w:w="145" w:type="pct"/>
          </w:tcPr>
          <w:p w:rsidR="00080AA8" w:rsidRDefault="00080AA8" w:rsidP="00AF5D62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80AA8" w:rsidRPr="00CB7A15" w:rsidRDefault="00080AA8" w:rsidP="00AF5D62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CB7A15">
              <w:rPr>
                <w:spacing w:val="-4"/>
              </w:rPr>
              <w:t>Nálady podnikatelů ve stavebnictví se v průběhu 1. pololetí zhoršily.</w:t>
            </w:r>
            <w:r w:rsidRPr="00CB7A15">
              <w:rPr>
                <w:color w:val="000000" w:themeColor="text1"/>
                <w:spacing w:val="-4"/>
              </w:rPr>
              <w:t xml:space="preserve"> Sezónně očištěné saldo důvěry podnikatelů ve stavebnictví, setrvávající dlouhodobě v negativním pásmu, se v průběhu letošního roku snížilo a jeho červencová hodnota byla nejnižší za posledních 21 měsíců.</w:t>
            </w:r>
            <w:r w:rsidRPr="00CB7A15">
              <w:rPr>
                <w:spacing w:val="-4"/>
              </w:rPr>
              <w:t xml:space="preserve"> Mezi bariérami růstu udávají stavební podniky stále častěji nedostatečnou poptávku (dle sezónně očištěných dat</w:t>
            </w:r>
            <w:r>
              <w:rPr>
                <w:spacing w:val="-4"/>
              </w:rPr>
              <w:t xml:space="preserve"> -</w:t>
            </w:r>
            <w:r w:rsidRPr="00CB7A15">
              <w:rPr>
                <w:spacing w:val="-4"/>
              </w:rPr>
              <w:t xml:space="preserve"> v lednu 53 %, v</w:t>
            </w:r>
            <w:r w:rsidRPr="00CB7A15">
              <w:rPr>
                <w:color w:val="000000" w:themeColor="text1"/>
                <w:spacing w:val="-4"/>
              </w:rPr>
              <w:t> </w:t>
            </w:r>
            <w:r w:rsidRPr="00CB7A15">
              <w:rPr>
                <w:spacing w:val="-4"/>
              </w:rPr>
              <w:t>květnu 61</w:t>
            </w:r>
            <w:r w:rsidRPr="00CB7A15">
              <w:rPr>
                <w:color w:val="000000" w:themeColor="text1"/>
                <w:spacing w:val="-4"/>
              </w:rPr>
              <w:t xml:space="preserve"> </w:t>
            </w:r>
            <w:r w:rsidRPr="00CB7A15">
              <w:rPr>
                <w:spacing w:val="-4"/>
              </w:rPr>
              <w:t xml:space="preserve">%). </w:t>
            </w:r>
            <w:r w:rsidRPr="00CB7A15">
              <w:rPr>
                <w:color w:val="000000" w:themeColor="text1"/>
                <w:spacing w:val="-4"/>
              </w:rPr>
              <w:t>Růst u výrobní činnosti v příštích třech měsících v srpnu očekávalo 17</w:t>
            </w:r>
            <w:r w:rsidRPr="00CB7A15">
              <w:rPr>
                <w:spacing w:val="-4"/>
              </w:rPr>
              <w:t> </w:t>
            </w:r>
            <w:r w:rsidRPr="00CB7A15">
              <w:rPr>
                <w:color w:val="000000" w:themeColor="text1"/>
                <w:spacing w:val="-4"/>
              </w:rPr>
              <w:t>% stavebních podniků (o rok dříve 23 %), u zaměstnanosti 11 % (resp. 16 %).</w:t>
            </w:r>
          </w:p>
          <w:p w:rsidR="00080AA8" w:rsidRPr="001013B5" w:rsidRDefault="00080AA8" w:rsidP="00AF5D62">
            <w:pPr>
              <w:pStyle w:val="Textpoznpodarou"/>
              <w:jc w:val="both"/>
              <w:rPr>
                <w:spacing w:val="-4"/>
                <w:sz w:val="14"/>
                <w:szCs w:val="14"/>
              </w:rPr>
            </w:pPr>
          </w:p>
        </w:tc>
      </w:tr>
      <w:tr w:rsidR="00080AA8" w:rsidRPr="00A51B62" w:rsidTr="00AF5D62">
        <w:trPr>
          <w:cantSplit/>
          <w:trHeight w:val="250"/>
        </w:trPr>
        <w:tc>
          <w:tcPr>
            <w:tcW w:w="1090" w:type="pct"/>
          </w:tcPr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Růst tržeb ve službách oproti loňskému tempu citelně zpomalil</w:t>
            </w: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 pozemní a potrubní dopravě na počátku roku poprvé po dvanácti čtvrtletích tržby meziročně poklesly </w:t>
            </w: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Tržby cestovních kanceláří a</w:t>
            </w:r>
            <w:r w:rsidRPr="001013B5">
              <w:rPr>
                <w:spacing w:val="-4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agentur za poslední čtyři roky propadly o 23 %, pracovním agenturám naopak o 60 % posílily</w:t>
            </w:r>
          </w:p>
          <w:p w:rsidR="00080AA8" w:rsidRDefault="00080AA8" w:rsidP="00AF5D62">
            <w:pPr>
              <w:spacing w:line="240" w:lineRule="auto"/>
              <w:rPr>
                <w:sz w:val="16"/>
                <w:szCs w:val="16"/>
              </w:rPr>
            </w:pPr>
          </w:p>
          <w:p w:rsidR="00080AA8" w:rsidRPr="002A1E4A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 w:rsidRPr="002A1E4A">
              <w:rPr>
                <w:color w:val="000000" w:themeColor="text1"/>
                <w:spacing w:val="-4"/>
                <w:sz w:val="16"/>
                <w:szCs w:val="16"/>
              </w:rPr>
              <w:t>Tržby v sektoru služeb v úhrnu zatím nepřekonaly úroveň vrcholu konjunktury, proti 1. pololetí 2008 byly stále o 7,1 % nižší</w:t>
            </w:r>
          </w:p>
        </w:tc>
        <w:tc>
          <w:tcPr>
            <w:tcW w:w="145" w:type="pct"/>
          </w:tcPr>
          <w:p w:rsidR="00080AA8" w:rsidRDefault="00080AA8" w:rsidP="00AF5D62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80AA8" w:rsidRDefault="00080AA8" w:rsidP="00AF5D62">
            <w:pPr>
              <w:pStyle w:val="Textpoznpodarou"/>
              <w:jc w:val="both"/>
              <w:rPr>
                <w:color w:val="000000" w:themeColor="text1"/>
                <w:spacing w:val="-4"/>
              </w:rPr>
            </w:pPr>
            <w:r w:rsidRPr="006046C4">
              <w:rPr>
                <w:color w:val="000000" w:themeColor="text1"/>
                <w:spacing w:val="-4"/>
              </w:rPr>
              <w:t xml:space="preserve">Tržby </w:t>
            </w:r>
            <w:r w:rsidRPr="007E5DD0">
              <w:rPr>
                <w:color w:val="000000" w:themeColor="text1"/>
                <w:spacing w:val="-4"/>
              </w:rPr>
              <w:t>ve vybraných službách</w:t>
            </w:r>
            <w:r w:rsidRPr="007E5DD0">
              <w:rPr>
                <w:color w:val="000000" w:themeColor="text1"/>
                <w:spacing w:val="-4"/>
                <w:vertAlign w:val="superscript"/>
              </w:rPr>
              <w:footnoteReference w:id="10"/>
            </w:r>
            <w:r w:rsidRPr="007E5DD0">
              <w:rPr>
                <w:color w:val="000000" w:themeColor="text1"/>
                <w:spacing w:val="-4"/>
              </w:rPr>
              <w:t xml:space="preserve"> se </w:t>
            </w:r>
            <w:r>
              <w:rPr>
                <w:color w:val="000000" w:themeColor="text1"/>
                <w:spacing w:val="-4"/>
              </w:rPr>
              <w:t xml:space="preserve">v 1. pololetí </w:t>
            </w:r>
            <w:r w:rsidRPr="007E5DD0">
              <w:rPr>
                <w:color w:val="000000" w:themeColor="text1"/>
                <w:spacing w:val="-4"/>
              </w:rPr>
              <w:t>zvýšily o 1</w:t>
            </w:r>
            <w:r>
              <w:rPr>
                <w:color w:val="000000" w:themeColor="text1"/>
                <w:spacing w:val="-4"/>
              </w:rPr>
              <w:t>,1 % (po očištění o vliv počtu</w:t>
            </w:r>
            <w:r w:rsidR="00791804">
              <w:rPr>
                <w:color w:val="000000" w:themeColor="text1"/>
                <w:spacing w:val="-4"/>
              </w:rPr>
              <w:t xml:space="preserve"> pracovních dní rostly jen o 0,1</w:t>
            </w:r>
            <w:r>
              <w:rPr>
                <w:color w:val="000000" w:themeColor="text1"/>
                <w:spacing w:val="-4"/>
              </w:rPr>
              <w:t xml:space="preserve"> %).</w:t>
            </w:r>
            <w:r w:rsidRPr="007E5DD0">
              <w:rPr>
                <w:color w:val="000000" w:themeColor="text1"/>
                <w:spacing w:val="-4"/>
              </w:rPr>
              <w:t xml:space="preserve"> </w:t>
            </w:r>
            <w:r w:rsidR="00873B2E">
              <w:rPr>
                <w:color w:val="000000" w:themeColor="text1"/>
                <w:spacing w:val="-4"/>
              </w:rPr>
              <w:t>Z</w:t>
            </w:r>
            <w:r>
              <w:rPr>
                <w:color w:val="000000" w:themeColor="text1"/>
                <w:spacing w:val="-4"/>
              </w:rPr>
              <w:t xml:space="preserve">pomalení růstu služeb </w:t>
            </w:r>
            <w:r w:rsidRPr="007E5DD0">
              <w:rPr>
                <w:color w:val="000000" w:themeColor="text1"/>
                <w:spacing w:val="-4"/>
              </w:rPr>
              <w:t xml:space="preserve">proti celému roku </w:t>
            </w:r>
            <w:r w:rsidR="00873B2E">
              <w:rPr>
                <w:color w:val="000000" w:themeColor="text1"/>
                <w:spacing w:val="-4"/>
              </w:rPr>
              <w:t>2015 (+3 %) vyplývalo zejména z</w:t>
            </w:r>
            <w:r>
              <w:rPr>
                <w:color w:val="000000" w:themeColor="text1"/>
                <w:spacing w:val="-4"/>
              </w:rPr>
              <w:t xml:space="preserve"> p</w:t>
            </w:r>
            <w:r w:rsidRPr="006E73E1">
              <w:rPr>
                <w:color w:val="000000" w:themeColor="text1"/>
                <w:spacing w:val="-4"/>
              </w:rPr>
              <w:t>rofesní</w:t>
            </w:r>
            <w:r w:rsidR="00873B2E">
              <w:rPr>
                <w:color w:val="000000" w:themeColor="text1"/>
                <w:spacing w:val="-4"/>
              </w:rPr>
              <w:t>ch, vědeckých a technických</w:t>
            </w:r>
            <w:r w:rsidRPr="006E73E1">
              <w:rPr>
                <w:color w:val="000000" w:themeColor="text1"/>
                <w:spacing w:val="-4"/>
              </w:rPr>
              <w:t xml:space="preserve"> činnosti</w:t>
            </w:r>
            <w:r>
              <w:rPr>
                <w:color w:val="000000" w:themeColor="text1"/>
                <w:spacing w:val="-4"/>
              </w:rPr>
              <w:t>, jejichž loňský rovněž 3% celoroční růst představoval v celém období od konjunktury jen ojedinělé vybočení. V 1. letošním polo</w:t>
            </w:r>
            <w:r w:rsidR="00873B2E">
              <w:rPr>
                <w:color w:val="000000" w:themeColor="text1"/>
                <w:spacing w:val="-4"/>
              </w:rPr>
              <w:t>letí meziročně o 4,1 % poklesly, především vlivem architektonických a inženýrských činností (v důsledku</w:t>
            </w:r>
            <w:r>
              <w:rPr>
                <w:color w:val="000000" w:themeColor="text1"/>
                <w:spacing w:val="-4"/>
              </w:rPr>
              <w:t xml:space="preserve"> vyššího počtu rozpracovaných dosud nefakturovaných zakázek). Tržby v</w:t>
            </w:r>
            <w:r w:rsidR="00791804">
              <w:rPr>
                <w:color w:val="000000" w:themeColor="text1"/>
                <w:spacing w:val="-4"/>
              </w:rPr>
              <w:t>šak klesaly napříč celou sekcí, vyjma právních a</w:t>
            </w:r>
            <w:r w:rsidR="00791804" w:rsidRPr="00CB7A15">
              <w:rPr>
                <w:color w:val="000000" w:themeColor="text1"/>
                <w:spacing w:val="-4"/>
              </w:rPr>
              <w:t> </w:t>
            </w:r>
            <w:r>
              <w:rPr>
                <w:color w:val="000000" w:themeColor="text1"/>
                <w:spacing w:val="-4"/>
              </w:rPr>
              <w:t>účetnických činností. Mírný růst zaznamenala i doprava a skladování (+1,3 %), hlavně zásluhou skladování, neboť ve váhově dominantní pozemní a  potrubní dopravě se tržby (při vysoké loňské základně) mírně snižovaly. Na úspěšný loňský rok letos navázaly i administrativní a </w:t>
            </w:r>
            <w:r w:rsidRPr="008C6029">
              <w:rPr>
                <w:color w:val="000000" w:themeColor="text1"/>
                <w:spacing w:val="-4"/>
              </w:rPr>
              <w:t>podpůrné činnosti</w:t>
            </w:r>
            <w:r>
              <w:rPr>
                <w:color w:val="000000" w:themeColor="text1"/>
                <w:spacing w:val="-4"/>
              </w:rPr>
              <w:t xml:space="preserve"> (4,9 %), tažené rychle se rozvíjejícími pracovními agenturami. Dařilo se v</w:t>
            </w:r>
            <w:r w:rsidR="00791804">
              <w:rPr>
                <w:color w:val="000000" w:themeColor="text1"/>
                <w:spacing w:val="-4"/>
              </w:rPr>
              <w:t>šak oborům napříč celou sekcí</w:t>
            </w:r>
            <w:r>
              <w:rPr>
                <w:color w:val="000000" w:themeColor="text1"/>
                <w:spacing w:val="-4"/>
              </w:rPr>
              <w:t xml:space="preserve">, vyjma činností cestovních agentur a kanceláří. Podobně jako loni rostly v 1. pololetí rychle tržby ve stravování a pohostinství (+4,6 %). Tržby v ubytování se ve 2. čtvrtletí meziročně mírně snížily (poprvé po 2. čtvrtletí 2010). Vysoká návštěvnost ČR loni na jaře byla ovlivněna pořádáním významné sportovní akce. </w:t>
            </w:r>
          </w:p>
          <w:p w:rsidR="00080AA8" w:rsidRPr="00344C28" w:rsidRDefault="00080AA8" w:rsidP="00AF5D62">
            <w:pPr>
              <w:pStyle w:val="Textpoznpodarou"/>
              <w:jc w:val="both"/>
              <w:rPr>
                <w:color w:val="000000" w:themeColor="text1"/>
                <w:spacing w:val="-4"/>
                <w:sz w:val="14"/>
                <w:szCs w:val="14"/>
              </w:rPr>
            </w:pPr>
          </w:p>
        </w:tc>
      </w:tr>
      <w:tr w:rsidR="00080AA8" w:rsidRPr="00BE4405" w:rsidTr="00AF5D62">
        <w:trPr>
          <w:trHeight w:val="250"/>
        </w:trPr>
        <w:tc>
          <w:tcPr>
            <w:tcW w:w="1090" w:type="pct"/>
          </w:tcPr>
          <w:p w:rsidR="00080AA8" w:rsidRDefault="00080AA8" w:rsidP="00AF5D62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080AA8" w:rsidRDefault="00080AA8" w:rsidP="00AF5D62">
            <w:pPr>
              <w:spacing w:line="240" w:lineRule="auto"/>
              <w:rPr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color w:val="000000" w:themeColor="text1"/>
                <w:spacing w:val="-4"/>
                <w:sz w:val="16"/>
                <w:szCs w:val="16"/>
              </w:rPr>
              <w:lastRenderedPageBreak/>
              <w:t>Meziroční růst maloobchodních tržeb (očištěných o kalendářní vlivy) osciloval okolo 6 % již šest čtvrtletí v řadě</w:t>
            </w:r>
          </w:p>
          <w:p w:rsidR="00080AA8" w:rsidRPr="006E73E1" w:rsidRDefault="00080AA8" w:rsidP="00AF5D62">
            <w:pPr>
              <w:pStyle w:val="Textpoznpodarou"/>
              <w:rPr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145" w:type="pct"/>
          </w:tcPr>
          <w:p w:rsidR="00080AA8" w:rsidRPr="00F3262E" w:rsidRDefault="00080AA8" w:rsidP="00AF5D62">
            <w:pPr>
              <w:pStyle w:val="Textpoznpodarou"/>
              <w:jc w:val="both"/>
              <w:rPr>
                <w:color w:val="000000" w:themeColor="text1"/>
                <w:spacing w:val="-2"/>
              </w:rPr>
            </w:pPr>
          </w:p>
        </w:tc>
        <w:tc>
          <w:tcPr>
            <w:tcW w:w="3765" w:type="pct"/>
          </w:tcPr>
          <w:p w:rsidR="00080AA8" w:rsidRPr="0098465C" w:rsidRDefault="00080AA8" w:rsidP="00AF5D62">
            <w:pPr>
              <w:spacing w:line="240" w:lineRule="auto"/>
              <w:jc w:val="both"/>
              <w:rPr>
                <w:color w:val="000000" w:themeColor="text1"/>
                <w:spacing w:val="-4"/>
              </w:rPr>
            </w:pPr>
            <w:r w:rsidRPr="0098465C">
              <w:rPr>
                <w:color w:val="000000" w:themeColor="text1"/>
                <w:spacing w:val="-4"/>
              </w:rPr>
              <w:t>Maloobchodní tržby (bez motoristického segmentu) rostly v 1. pololetí o 6,7 % (po očišt</w:t>
            </w:r>
            <w:r w:rsidR="00791804">
              <w:rPr>
                <w:color w:val="000000" w:themeColor="text1"/>
                <w:spacing w:val="-4"/>
              </w:rPr>
              <w:t>ění o kalendářní vlivy o 5,6 %), o</w:t>
            </w:r>
            <w:r w:rsidRPr="0098465C">
              <w:rPr>
                <w:color w:val="000000" w:themeColor="text1"/>
                <w:spacing w:val="-4"/>
              </w:rPr>
              <w:t xml:space="preserve">drážely </w:t>
            </w:r>
            <w:r w:rsidR="00791804">
              <w:rPr>
                <w:color w:val="000000" w:themeColor="text1"/>
                <w:spacing w:val="-4"/>
              </w:rPr>
              <w:t xml:space="preserve">tak </w:t>
            </w:r>
            <w:r w:rsidRPr="0098465C">
              <w:rPr>
                <w:color w:val="000000" w:themeColor="text1"/>
                <w:spacing w:val="-4"/>
              </w:rPr>
              <w:t>rostoucí</w:t>
            </w:r>
            <w:r w:rsidR="00D439C2">
              <w:rPr>
                <w:color w:val="000000" w:themeColor="text1"/>
                <w:spacing w:val="-4"/>
              </w:rPr>
              <w:t xml:space="preserve"> příjmy domácností související</w:t>
            </w:r>
            <w:r w:rsidRPr="0098465C">
              <w:rPr>
                <w:color w:val="000000" w:themeColor="text1"/>
                <w:spacing w:val="-4"/>
              </w:rPr>
              <w:t xml:space="preserve"> s jejich stále se lepšícím postavením na trhu práce. Souběžně s tím se posilovaly optimistické nálady spotřebitelů. Sezóně očištěné saldo důvěry dosáhlo na </w:t>
            </w:r>
            <w:r w:rsidRPr="0098465C">
              <w:rPr>
                <w:color w:val="000000" w:themeColor="text1"/>
                <w:spacing w:val="-4"/>
              </w:rPr>
              <w:lastRenderedPageBreak/>
              <w:t xml:space="preserve">počátku roku nejvyšší hodnoty v historii sledování (+7,5 bodu), i v následujících měsících zůstávalo v kladném pásmu. K růstu maloobchodu tradičně nejvíce přispěl prodej </w:t>
            </w:r>
            <w:proofErr w:type="spellStart"/>
            <w:r w:rsidRPr="0098465C">
              <w:rPr>
                <w:color w:val="000000" w:themeColor="text1"/>
                <w:spacing w:val="-4"/>
              </w:rPr>
              <w:t>nepotravinářského</w:t>
            </w:r>
            <w:proofErr w:type="spellEnd"/>
            <w:r w:rsidRPr="0098465C">
              <w:rPr>
                <w:color w:val="000000" w:themeColor="text1"/>
                <w:spacing w:val="-4"/>
              </w:rPr>
              <w:t xml:space="preserve"> zboží (s růstem tržeb o 7 %, resp. o 5,8 % po očištění). Silným tempem posilovaly i tržby prode</w:t>
            </w:r>
            <w:r w:rsidR="00791804">
              <w:rPr>
                <w:color w:val="000000" w:themeColor="text1"/>
                <w:spacing w:val="-4"/>
              </w:rPr>
              <w:t>jců potravin (o 5,4 %, resp. 4,2</w:t>
            </w:r>
            <w:r w:rsidRPr="0098465C">
              <w:rPr>
                <w:color w:val="000000" w:themeColor="text1"/>
                <w:spacing w:val="-4"/>
              </w:rPr>
              <w:t xml:space="preserve"> %). Ze specializovaných prodejen </w:t>
            </w:r>
            <w:proofErr w:type="spellStart"/>
            <w:r w:rsidR="00791804" w:rsidRPr="0098465C">
              <w:rPr>
                <w:color w:val="000000" w:themeColor="text1"/>
                <w:spacing w:val="-4"/>
              </w:rPr>
              <w:t>nepotravinářského</w:t>
            </w:r>
            <w:proofErr w:type="spellEnd"/>
            <w:r w:rsidR="00791804" w:rsidRPr="0098465C">
              <w:rPr>
                <w:color w:val="000000" w:themeColor="text1"/>
                <w:spacing w:val="-4"/>
              </w:rPr>
              <w:t xml:space="preserve"> zboží </w:t>
            </w:r>
            <w:r w:rsidRPr="0098465C">
              <w:rPr>
                <w:color w:val="000000" w:themeColor="text1"/>
                <w:spacing w:val="-4"/>
              </w:rPr>
              <w:t xml:space="preserve">se v 1. </w:t>
            </w:r>
            <w:r>
              <w:rPr>
                <w:color w:val="000000" w:themeColor="text1"/>
                <w:spacing w:val="-4"/>
              </w:rPr>
              <w:t>pololetí tržby nejvíce zvýšily za výrobky</w:t>
            </w:r>
            <w:r w:rsidRPr="0098465C">
              <w:rPr>
                <w:color w:val="000000" w:themeColor="text1"/>
                <w:spacing w:val="-4"/>
              </w:rPr>
              <w:t xml:space="preserve"> pro kulturu a rekreaci (o 7,7 % me</w:t>
            </w:r>
            <w:r w:rsidR="00A600D2">
              <w:rPr>
                <w:color w:val="000000" w:themeColor="text1"/>
                <w:spacing w:val="-4"/>
              </w:rPr>
              <w:t xml:space="preserve">ziročně), shodným tempem pak i </w:t>
            </w:r>
            <w:r>
              <w:rPr>
                <w:color w:val="000000" w:themeColor="text1"/>
                <w:spacing w:val="-4"/>
              </w:rPr>
              <w:t>za výrobky</w:t>
            </w:r>
            <w:r w:rsidRPr="0098465C">
              <w:rPr>
                <w:color w:val="000000" w:themeColor="text1"/>
                <w:spacing w:val="-4"/>
              </w:rPr>
              <w:t xml:space="preserve"> převážně pro domácnost (zahr</w:t>
            </w:r>
            <w:r w:rsidR="00791804">
              <w:rPr>
                <w:color w:val="000000" w:themeColor="text1"/>
                <w:spacing w:val="-4"/>
              </w:rPr>
              <w:t>nující např. elektrospotřebiče,</w:t>
            </w:r>
            <w:r w:rsidRPr="0098465C">
              <w:rPr>
                <w:color w:val="000000" w:themeColor="text1"/>
                <w:spacing w:val="-4"/>
              </w:rPr>
              <w:t xml:space="preserve"> e</w:t>
            </w:r>
            <w:r w:rsidR="00D439C2">
              <w:rPr>
                <w:color w:val="000000" w:themeColor="text1"/>
                <w:spacing w:val="-4"/>
              </w:rPr>
              <w:t>lektronik</w:t>
            </w:r>
            <w:r w:rsidR="00DE08F8">
              <w:rPr>
                <w:color w:val="000000" w:themeColor="text1"/>
                <w:spacing w:val="-4"/>
              </w:rPr>
              <w:t>u, nábytek, koberce,</w:t>
            </w:r>
            <w:r w:rsidRPr="0098465C">
              <w:rPr>
                <w:color w:val="000000" w:themeColor="text1"/>
                <w:spacing w:val="-4"/>
              </w:rPr>
              <w:t xml:space="preserve"> textil</w:t>
            </w:r>
            <w:r w:rsidR="00791804">
              <w:rPr>
                <w:color w:val="000000" w:themeColor="text1"/>
                <w:spacing w:val="-4"/>
              </w:rPr>
              <w:t>). Z vyšších tržeb mohly</w:t>
            </w:r>
            <w:r w:rsidRPr="0098465C">
              <w:rPr>
                <w:color w:val="000000" w:themeColor="text1"/>
                <w:spacing w:val="-4"/>
              </w:rPr>
              <w:t xml:space="preserve"> profitovat i všechny ostatní segmenty specializovaných prodejů, včetně prodejen s počítačovým a komunikačním zařízením (1,4 %), které přitom v předchozích letech tradičně patřily k nejdynamičtějším.</w:t>
            </w:r>
            <w:r>
              <w:rPr>
                <w:color w:val="000000" w:themeColor="text1"/>
                <w:spacing w:val="-4"/>
              </w:rPr>
              <w:t xml:space="preserve"> Tržby </w:t>
            </w:r>
            <w:r w:rsidRPr="0098465C">
              <w:rPr>
                <w:color w:val="000000" w:themeColor="text1"/>
                <w:spacing w:val="-4"/>
              </w:rPr>
              <w:t>čerpacích stanic posílily o téměř desetinu. Poptávku stimulovaly nízké ceny PHM (</w:t>
            </w:r>
            <w:r>
              <w:rPr>
                <w:color w:val="000000" w:themeColor="text1"/>
                <w:spacing w:val="-4"/>
              </w:rPr>
              <w:t xml:space="preserve">příznivé </w:t>
            </w:r>
            <w:r w:rsidRPr="0098465C">
              <w:rPr>
                <w:color w:val="000000" w:themeColor="text1"/>
                <w:spacing w:val="-4"/>
              </w:rPr>
              <w:t>i ve srovnání se sousedními státy), zčásti i</w:t>
            </w:r>
            <w:r w:rsidRPr="0098465C">
              <w:rPr>
                <w:color w:val="0D0D0D" w:themeColor="text1" w:themeTint="F2"/>
                <w:spacing w:val="-4"/>
              </w:rPr>
              <w:t> </w:t>
            </w:r>
            <w:r w:rsidRPr="0098465C">
              <w:rPr>
                <w:color w:val="000000" w:themeColor="text1"/>
                <w:spacing w:val="-4"/>
              </w:rPr>
              <w:t>vyšší přepravní nároky v souvislosti s</w:t>
            </w:r>
            <w:r>
              <w:rPr>
                <w:color w:val="000000" w:themeColor="text1"/>
                <w:spacing w:val="-4"/>
              </w:rPr>
              <w:t xml:space="preserve"> růstem ekonomiky a sílícím zahraničním obchodem</w:t>
            </w:r>
            <w:r w:rsidRPr="0098465C">
              <w:rPr>
                <w:color w:val="000000" w:themeColor="text1"/>
                <w:spacing w:val="-4"/>
              </w:rPr>
              <w:t xml:space="preserve">. </w:t>
            </w:r>
          </w:p>
          <w:p w:rsidR="00080AA8" w:rsidRPr="00CD4481" w:rsidRDefault="00080AA8" w:rsidP="00AF5D62">
            <w:pPr>
              <w:pStyle w:val="Textpoznpodarou"/>
              <w:jc w:val="both"/>
              <w:rPr>
                <w:color w:val="000000" w:themeColor="text1"/>
                <w:spacing w:val="-2"/>
                <w:sz w:val="14"/>
                <w:szCs w:val="14"/>
              </w:rPr>
            </w:pPr>
          </w:p>
        </w:tc>
      </w:tr>
      <w:tr w:rsidR="00080AA8" w:rsidRPr="00BE4405" w:rsidTr="00AF5D62">
        <w:trPr>
          <w:cantSplit/>
          <w:trHeight w:val="250"/>
        </w:trPr>
        <w:tc>
          <w:tcPr>
            <w:tcW w:w="1090" w:type="pct"/>
          </w:tcPr>
          <w:p w:rsidR="00080AA8" w:rsidRPr="00FD73C6" w:rsidRDefault="00080AA8" w:rsidP="00AF5D62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pacing w:val="-4"/>
                <w:sz w:val="16"/>
                <w:szCs w:val="16"/>
              </w:rPr>
              <w:lastRenderedPageBreak/>
              <w:t xml:space="preserve">Meziroční růst maloobchodních tržeb Česku byl v 1. pololetí nejvyšší ze středoevropských zemí  </w:t>
            </w:r>
          </w:p>
        </w:tc>
        <w:tc>
          <w:tcPr>
            <w:tcW w:w="145" w:type="pct"/>
          </w:tcPr>
          <w:p w:rsidR="00080AA8" w:rsidRDefault="00080AA8" w:rsidP="00AF5D62">
            <w:pPr>
              <w:pStyle w:val="Textpoznpodarou"/>
              <w:jc w:val="both"/>
              <w:rPr>
                <w:spacing w:val="-2"/>
              </w:rPr>
            </w:pPr>
          </w:p>
        </w:tc>
        <w:tc>
          <w:tcPr>
            <w:tcW w:w="3765" w:type="pct"/>
          </w:tcPr>
          <w:p w:rsidR="00080AA8" w:rsidRPr="007A14BF" w:rsidRDefault="00080AA8" w:rsidP="00AF5D62">
            <w:pPr>
              <w:pStyle w:val="Textpoznpodarou"/>
              <w:jc w:val="both"/>
              <w:rPr>
                <w:spacing w:val="-4"/>
              </w:rPr>
            </w:pPr>
            <w:r w:rsidRPr="007A14BF">
              <w:rPr>
                <w:color w:val="000000" w:themeColor="text1"/>
                <w:spacing w:val="-4"/>
              </w:rPr>
              <w:t>Maloobchodní tržby</w:t>
            </w:r>
            <w:r w:rsidRPr="007A14BF">
              <w:rPr>
                <w:rStyle w:val="Znakapoznpodarou"/>
                <w:color w:val="000000" w:themeColor="text1"/>
                <w:spacing w:val="-4"/>
              </w:rPr>
              <w:footnoteReference w:id="11"/>
            </w:r>
            <w:r>
              <w:rPr>
                <w:color w:val="000000" w:themeColor="text1"/>
                <w:spacing w:val="-4"/>
              </w:rPr>
              <w:t xml:space="preserve"> v ČR se oproti EU (+2,7</w:t>
            </w:r>
            <w:r w:rsidRPr="007A14BF">
              <w:rPr>
                <w:color w:val="000000" w:themeColor="text1"/>
                <w:spacing w:val="-4"/>
              </w:rPr>
              <w:t xml:space="preserve"> %) zvyšovaly dvojnásobným tempem</w:t>
            </w:r>
            <w:r>
              <w:rPr>
                <w:color w:val="000000" w:themeColor="text1"/>
                <w:spacing w:val="-4"/>
              </w:rPr>
              <w:t>, nejrychleji ze zemí střední Evropy. Dvouciferný růst vykázalo</w:t>
            </w:r>
            <w:r w:rsidRPr="007A14BF">
              <w:rPr>
                <w:color w:val="000000" w:themeColor="text1"/>
                <w:spacing w:val="-4"/>
              </w:rPr>
              <w:t xml:space="preserve"> Rumunsko</w:t>
            </w:r>
            <w:r>
              <w:rPr>
                <w:color w:val="000000" w:themeColor="text1"/>
                <w:spacing w:val="-4"/>
              </w:rPr>
              <w:t xml:space="preserve">, meziroční pokles jen Belgie (-2,4 %) a Řecko (-3,7 %). Růstová tempa tržeb z prodeje </w:t>
            </w:r>
            <w:r w:rsidR="00D439C2">
              <w:rPr>
                <w:color w:val="000000" w:themeColor="text1"/>
                <w:spacing w:val="-4"/>
              </w:rPr>
              <w:t>potravin a pohonných hmot řadila</w:t>
            </w:r>
            <w:r>
              <w:rPr>
                <w:color w:val="000000" w:themeColor="text1"/>
                <w:spacing w:val="-4"/>
              </w:rPr>
              <w:t xml:space="preserve"> Česko shodně na šesté nejlepší pořadí, v případě </w:t>
            </w:r>
            <w:proofErr w:type="spellStart"/>
            <w:r>
              <w:rPr>
                <w:color w:val="000000" w:themeColor="text1"/>
                <w:spacing w:val="-4"/>
              </w:rPr>
              <w:t>nepotravinářského</w:t>
            </w:r>
            <w:proofErr w:type="spellEnd"/>
            <w:r>
              <w:rPr>
                <w:color w:val="000000" w:themeColor="text1"/>
                <w:spacing w:val="-4"/>
              </w:rPr>
              <w:t xml:space="preserve"> zboží již mimo první desítku (silnějšího růstu docílila především většina novějších č</w:t>
            </w:r>
            <w:r w:rsidR="00791804">
              <w:rPr>
                <w:color w:val="000000" w:themeColor="text1"/>
                <w:spacing w:val="-4"/>
              </w:rPr>
              <w:t>lenských států EU – včetně Slovi</w:t>
            </w:r>
            <w:r>
              <w:rPr>
                <w:color w:val="000000" w:themeColor="text1"/>
                <w:spacing w:val="-4"/>
              </w:rPr>
              <w:t xml:space="preserve">nska, Polska či Maďarska).  </w:t>
            </w:r>
          </w:p>
        </w:tc>
      </w:tr>
    </w:tbl>
    <w:p w:rsidR="00080AA8" w:rsidRPr="009C671A" w:rsidRDefault="00080AA8" w:rsidP="00080AA8">
      <w:pPr>
        <w:pStyle w:val="Textpoznpodarou"/>
        <w:jc w:val="both"/>
        <w:rPr>
          <w:sz w:val="16"/>
          <w:szCs w:val="16"/>
        </w:rPr>
      </w:pPr>
    </w:p>
    <w:tbl>
      <w:tblPr>
        <w:tblW w:w="5059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5"/>
        <w:gridCol w:w="4180"/>
        <w:gridCol w:w="783"/>
        <w:gridCol w:w="4110"/>
      </w:tblGrid>
      <w:tr w:rsidR="00080AA8" w:rsidTr="00AF5D62">
        <w:tc>
          <w:tcPr>
            <w:tcW w:w="375" w:type="pct"/>
          </w:tcPr>
          <w:p w:rsidR="00080AA8" w:rsidRDefault="00080AA8" w:rsidP="00AF5D62">
            <w:pPr>
              <w:spacing w:line="240" w:lineRule="auto"/>
            </w:pPr>
            <w:r>
              <w:t>Graf č. 5</w:t>
            </w:r>
          </w:p>
        </w:tc>
        <w:tc>
          <w:tcPr>
            <w:tcW w:w="2131" w:type="pct"/>
          </w:tcPr>
          <w:p w:rsidR="00080AA8" w:rsidRPr="001D04BA" w:rsidRDefault="00080AA8" w:rsidP="00AF5D62">
            <w:pPr>
              <w:pStyle w:val="Textpoznpodarou"/>
              <w:rPr>
                <w:b/>
              </w:rPr>
            </w:pPr>
            <w:r w:rsidRPr="001D04BA">
              <w:rPr>
                <w:b/>
              </w:rPr>
              <w:t>Produkce v průmyslu a</w:t>
            </w:r>
            <w:r>
              <w:rPr>
                <w:b/>
              </w:rPr>
              <w:t xml:space="preserve"> ve</w:t>
            </w:r>
            <w:r w:rsidRPr="001D04BA">
              <w:rPr>
                <w:b/>
              </w:rPr>
              <w:t xml:space="preserve"> vyb</w:t>
            </w:r>
            <w:r>
              <w:rPr>
                <w:b/>
              </w:rPr>
              <w:t>raných zpracovatelských odvětvích</w:t>
            </w:r>
          </w:p>
          <w:p w:rsidR="00080AA8" w:rsidRDefault="00080AA8" w:rsidP="00AF5D62">
            <w:pPr>
              <w:pStyle w:val="Textpoznpodarou"/>
              <w:rPr>
                <w:b/>
              </w:rPr>
            </w:pPr>
            <w:r>
              <w:t>(reálně, y/y, očištěno o kalendářní vlivy,</w:t>
            </w:r>
            <w:r w:rsidRPr="001D04BA">
              <w:t xml:space="preserve"> v %)</w:t>
            </w:r>
          </w:p>
        </w:tc>
        <w:tc>
          <w:tcPr>
            <w:tcW w:w="399" w:type="pct"/>
          </w:tcPr>
          <w:p w:rsidR="00080AA8" w:rsidRDefault="00080AA8" w:rsidP="00AF5D62">
            <w:pPr>
              <w:spacing w:line="240" w:lineRule="auto"/>
            </w:pPr>
            <w:r>
              <w:t>Graf č. 6</w:t>
            </w:r>
          </w:p>
        </w:tc>
        <w:tc>
          <w:tcPr>
            <w:tcW w:w="2095" w:type="pct"/>
          </w:tcPr>
          <w:p w:rsidR="00080AA8" w:rsidRDefault="00080AA8" w:rsidP="00AF5D62">
            <w:pPr>
              <w:spacing w:line="240" w:lineRule="auto"/>
              <w:rPr>
                <w:b/>
              </w:rPr>
            </w:pPr>
            <w:r w:rsidRPr="004B22DA">
              <w:rPr>
                <w:b/>
                <w:spacing w:val="-2"/>
              </w:rPr>
              <w:t>Nové zakázky v automobilovém průmyslu</w:t>
            </w:r>
            <w:r>
              <w:rPr>
                <w:b/>
              </w:rPr>
              <w:t xml:space="preserve">, v průmyslu </w:t>
            </w:r>
            <w:proofErr w:type="gramStart"/>
            <w:r>
              <w:rPr>
                <w:b/>
              </w:rPr>
              <w:t xml:space="preserve">celkem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b.c</w:t>
            </w:r>
            <w:proofErr w:type="spellEnd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, y/y v %) </w:t>
            </w:r>
            <w:r w:rsidRPr="006B4FFB">
              <w:rPr>
                <w:b/>
              </w:rPr>
              <w:t>a</w:t>
            </w:r>
            <w:r>
              <w:rPr>
                <w:b/>
              </w:rPr>
              <w:t xml:space="preserve"> saldo indikátoru důvěry v průmyslu </w:t>
            </w:r>
            <w:r w:rsidRPr="00C1711F">
              <w:t>(pravá osa)</w:t>
            </w:r>
          </w:p>
        </w:tc>
      </w:tr>
      <w:tr w:rsidR="00080AA8" w:rsidTr="00AF5D62">
        <w:tc>
          <w:tcPr>
            <w:tcW w:w="2506" w:type="pct"/>
            <w:gridSpan w:val="2"/>
          </w:tcPr>
          <w:p w:rsidR="00080AA8" w:rsidRPr="00D07B05" w:rsidRDefault="0049020E" w:rsidP="00AF5D62">
            <w:pPr>
              <w:pStyle w:val="Textpoznpodarou"/>
              <w:jc w:val="both"/>
              <w:rPr>
                <w:sz w:val="6"/>
                <w:szCs w:val="6"/>
              </w:rPr>
            </w:pPr>
            <w:r w:rsidRPr="006A537B">
              <w:rPr>
                <w:sz w:val="6"/>
                <w:szCs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65pt;height:180.6pt">
                  <v:imagedata r:id="rId8" o:title=""/>
                </v:shape>
              </w:pict>
            </w:r>
          </w:p>
        </w:tc>
        <w:tc>
          <w:tcPr>
            <w:tcW w:w="2494" w:type="pct"/>
            <w:gridSpan w:val="2"/>
          </w:tcPr>
          <w:p w:rsidR="00080AA8" w:rsidRDefault="0049020E" w:rsidP="00AF5D62">
            <w:pPr>
              <w:pStyle w:val="Textpoznpodarou"/>
              <w:jc w:val="both"/>
            </w:pPr>
            <w:r>
              <w:pict>
                <v:shape id="_x0000_i1026" type="#_x0000_t75" style="width:240.15pt;height:180.6pt">
                  <v:imagedata r:id="rId9" o:title=""/>
                </v:shape>
              </w:pict>
            </w:r>
          </w:p>
        </w:tc>
      </w:tr>
    </w:tbl>
    <w:p w:rsidR="00080AA8" w:rsidRPr="00080AA8" w:rsidRDefault="00080AA8" w:rsidP="00080AA8">
      <w:pPr>
        <w:pStyle w:val="Textpoznpodarou"/>
        <w:jc w:val="both"/>
        <w:rPr>
          <w:sz w:val="10"/>
          <w:szCs w:val="10"/>
        </w:rPr>
      </w:pPr>
    </w:p>
    <w:tbl>
      <w:tblPr>
        <w:tblW w:w="5059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5"/>
        <w:gridCol w:w="4180"/>
        <w:gridCol w:w="783"/>
        <w:gridCol w:w="4110"/>
      </w:tblGrid>
      <w:tr w:rsidR="00080AA8" w:rsidTr="00AF5D62">
        <w:tc>
          <w:tcPr>
            <w:tcW w:w="375" w:type="pct"/>
          </w:tcPr>
          <w:p w:rsidR="00080AA8" w:rsidRDefault="00080AA8" w:rsidP="00AF5D62">
            <w:pPr>
              <w:spacing w:line="240" w:lineRule="auto"/>
            </w:pPr>
            <w:r>
              <w:t>Graf č. 7</w:t>
            </w:r>
          </w:p>
        </w:tc>
        <w:tc>
          <w:tcPr>
            <w:tcW w:w="2131" w:type="pct"/>
          </w:tcPr>
          <w:p w:rsidR="00080AA8" w:rsidRDefault="00080AA8" w:rsidP="00AF5D6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Stavební produkce*, hodnota nových zakázek </w:t>
            </w:r>
            <w:r>
              <w:rPr>
                <w:bCs/>
              </w:rPr>
              <w:t xml:space="preserve">(y/y v %) </w:t>
            </w:r>
            <w:r w:rsidRPr="006B4FFB">
              <w:rPr>
                <w:b/>
              </w:rPr>
              <w:t>a</w:t>
            </w:r>
            <w:r>
              <w:rPr>
                <w:b/>
              </w:rPr>
              <w:t xml:space="preserve"> saldo indikátoru </w:t>
            </w:r>
          </w:p>
          <w:p w:rsidR="00080AA8" w:rsidRDefault="00080AA8" w:rsidP="00AF5D6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důvěry ve stavebnictví </w:t>
            </w:r>
            <w:r w:rsidRPr="00C1711F">
              <w:t>(pravá osa)</w:t>
            </w:r>
          </w:p>
        </w:tc>
        <w:tc>
          <w:tcPr>
            <w:tcW w:w="399" w:type="pct"/>
          </w:tcPr>
          <w:p w:rsidR="00080AA8" w:rsidRDefault="00080AA8" w:rsidP="00AF5D62">
            <w:pPr>
              <w:spacing w:line="240" w:lineRule="auto"/>
            </w:pPr>
            <w:r>
              <w:t>Graf č. 8</w:t>
            </w:r>
          </w:p>
        </w:tc>
        <w:tc>
          <w:tcPr>
            <w:tcW w:w="2095" w:type="pct"/>
          </w:tcPr>
          <w:p w:rsidR="00080AA8" w:rsidRPr="0036011F" w:rsidRDefault="00080AA8" w:rsidP="00AF5D62">
            <w:pPr>
              <w:spacing w:line="240" w:lineRule="auto"/>
              <w:rPr>
                <w:b/>
                <w:spacing w:val="-2"/>
              </w:rPr>
            </w:pPr>
            <w:r w:rsidRPr="0036011F">
              <w:rPr>
                <w:b/>
                <w:spacing w:val="-2"/>
              </w:rPr>
              <w:t xml:space="preserve">Tržby v maloobchodě vč. motoristického segmentu* </w:t>
            </w:r>
            <w:r w:rsidRPr="0036011F">
              <w:rPr>
                <w:bCs/>
                <w:spacing w:val="-2"/>
              </w:rPr>
              <w:t xml:space="preserve">(reálně, y/y v %) </w:t>
            </w:r>
            <w:r w:rsidRPr="0036011F">
              <w:rPr>
                <w:b/>
                <w:spacing w:val="-2"/>
              </w:rPr>
              <w:t xml:space="preserve">saldo indikátoru důvěry spotřebitelů </w:t>
            </w:r>
            <w:r w:rsidRPr="0036011F">
              <w:rPr>
                <w:spacing w:val="-2"/>
              </w:rPr>
              <w:t>(pravá osa)</w:t>
            </w:r>
          </w:p>
        </w:tc>
      </w:tr>
      <w:tr w:rsidR="00080AA8" w:rsidTr="00AF5D62">
        <w:tc>
          <w:tcPr>
            <w:tcW w:w="2506" w:type="pct"/>
            <w:gridSpan w:val="2"/>
          </w:tcPr>
          <w:p w:rsidR="00080AA8" w:rsidRPr="00B00F42" w:rsidRDefault="0049020E" w:rsidP="00AF5D62">
            <w:pPr>
              <w:pStyle w:val="Textpoznpodarou"/>
              <w:jc w:val="both"/>
              <w:rPr>
                <w:sz w:val="6"/>
                <w:szCs w:val="6"/>
              </w:rPr>
            </w:pPr>
            <w:r w:rsidRPr="006A537B">
              <w:rPr>
                <w:sz w:val="6"/>
                <w:szCs w:val="6"/>
              </w:rPr>
              <w:pict>
                <v:shape id="_x0000_i1027" type="#_x0000_t75" style="width:241.8pt;height:183.1pt">
                  <v:imagedata r:id="rId10" o:title=""/>
                </v:shape>
              </w:pict>
            </w:r>
          </w:p>
        </w:tc>
        <w:tc>
          <w:tcPr>
            <w:tcW w:w="2494" w:type="pct"/>
            <w:gridSpan w:val="2"/>
          </w:tcPr>
          <w:p w:rsidR="00080AA8" w:rsidRDefault="0049020E" w:rsidP="00AF5D62">
            <w:pPr>
              <w:pStyle w:val="Textpoznpodarou"/>
              <w:jc w:val="both"/>
            </w:pPr>
            <w:r>
              <w:pict>
                <v:shape id="_x0000_i1028" type="#_x0000_t75" style="width:240.95pt;height:183.1pt">
                  <v:imagedata r:id="rId11" o:title=""/>
                </v:shape>
              </w:pict>
            </w:r>
          </w:p>
        </w:tc>
      </w:tr>
      <w:tr w:rsidR="00080AA8" w:rsidTr="00AF5D62">
        <w:trPr>
          <w:trHeight w:val="58"/>
        </w:trPr>
        <w:tc>
          <w:tcPr>
            <w:tcW w:w="5000" w:type="pct"/>
            <w:gridSpan w:val="4"/>
          </w:tcPr>
          <w:p w:rsidR="00080AA8" w:rsidRDefault="00080AA8" w:rsidP="00AF5D62">
            <w:pPr>
              <w:pStyle w:val="Zhlav"/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*očištěno o kalendářní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cs-CZ"/>
              </w:rPr>
              <w:t xml:space="preserve">vlivy                                                                                                                                     </w:t>
            </w:r>
            <w:r w:rsidRPr="000F401E">
              <w:rPr>
                <w:rFonts w:ascii="Arial" w:hAnsi="Arial" w:cs="Arial"/>
                <w:sz w:val="18"/>
                <w:szCs w:val="18"/>
                <w:lang w:eastAsia="cs-CZ"/>
              </w:rPr>
              <w:t>Zdroj</w:t>
            </w:r>
            <w:proofErr w:type="gramEnd"/>
            <w:r w:rsidRPr="000F401E">
              <w:rPr>
                <w:rFonts w:ascii="Arial" w:hAnsi="Arial" w:cs="Arial"/>
                <w:sz w:val="18"/>
                <w:szCs w:val="18"/>
                <w:lang w:eastAsia="cs-CZ"/>
              </w:rPr>
              <w:t>: ČSÚ</w:t>
            </w:r>
          </w:p>
        </w:tc>
      </w:tr>
    </w:tbl>
    <w:p w:rsidR="00080AA8" w:rsidRPr="000E1EEA" w:rsidRDefault="00080AA8" w:rsidP="00080AA8">
      <w:pPr>
        <w:pStyle w:val="Textpoznpodarou"/>
        <w:jc w:val="both"/>
        <w:rPr>
          <w:sz w:val="2"/>
          <w:szCs w:val="2"/>
        </w:rPr>
      </w:pPr>
    </w:p>
    <w:p w:rsidR="00ED3A94" w:rsidRPr="00080AA8" w:rsidRDefault="00ED3A94" w:rsidP="00FE16E6">
      <w:pPr>
        <w:pStyle w:val="Textpoznpodarou"/>
        <w:jc w:val="both"/>
        <w:rPr>
          <w:sz w:val="6"/>
          <w:szCs w:val="6"/>
        </w:rPr>
      </w:pPr>
    </w:p>
    <w:p w:rsidR="00ED3A94" w:rsidRPr="000E1EEA" w:rsidRDefault="00ED3A94" w:rsidP="00FE16E6">
      <w:pPr>
        <w:pStyle w:val="Textpoznpodarou"/>
        <w:jc w:val="both"/>
        <w:rPr>
          <w:sz w:val="2"/>
          <w:szCs w:val="2"/>
        </w:rPr>
      </w:pPr>
    </w:p>
    <w:sectPr w:rsidR="00ED3A94" w:rsidRPr="000E1EEA" w:rsidSect="00C5028E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53" w:rsidRDefault="00764153" w:rsidP="00E71A58">
      <w:r>
        <w:separator/>
      </w:r>
    </w:p>
  </w:endnote>
  <w:endnote w:type="continuationSeparator" w:id="0">
    <w:p w:rsidR="00764153" w:rsidRDefault="0076415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6A537B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D7435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C5028E">
      <w:rPr>
        <w:rFonts w:ascii="Arial" w:hAnsi="Arial" w:cs="Arial"/>
        <w:noProof/>
        <w:sz w:val="16"/>
        <w:szCs w:val="16"/>
      </w:rPr>
      <w:t>8</w:t>
    </w:r>
    <w:r w:rsidRPr="005A21E0">
      <w:rPr>
        <w:rFonts w:ascii="Arial" w:hAnsi="Arial" w:cs="Arial"/>
        <w:sz w:val="16"/>
        <w:szCs w:val="16"/>
      </w:rPr>
      <w:fldChar w:fldCharType="end"/>
    </w:r>
    <w:r w:rsidR="00DD7435">
      <w:rPr>
        <w:rFonts w:ascii="Arial" w:hAnsi="Arial" w:cs="Arial"/>
        <w:sz w:val="16"/>
        <w:szCs w:val="16"/>
      </w:rPr>
      <w:tab/>
      <w:t>2016</w:t>
    </w:r>
    <w:r w:rsidR="00DD7435">
      <w:tab/>
    </w:r>
    <w:r w:rsidR="00DD743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6A537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;visibility:visible">
          <v:imagedata r:id="rId1" o:title=""/>
        </v:shape>
      </w:pict>
    </w:r>
    <w:r w:rsidR="00DD7435">
      <w:tab/>
    </w:r>
    <w:r w:rsidR="00DD7435">
      <w:tab/>
    </w:r>
    <w:r w:rsidR="00DD7435" w:rsidRPr="00DC5B3B">
      <w:t xml:space="preserve">                              </w:t>
    </w:r>
  </w:p>
  <w:p w:rsidR="00DD7435" w:rsidRPr="00223E00" w:rsidRDefault="00DD7435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rPr>
        <w:rFonts w:ascii="Arial" w:hAnsi="Arial" w:cs="Arial"/>
        <w:sz w:val="16"/>
        <w:szCs w:val="16"/>
      </w:rPr>
      <w:tab/>
    </w:r>
    <w:r w:rsidR="006A537B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6A537B" w:rsidRPr="00223E00">
      <w:rPr>
        <w:rFonts w:ascii="Arial" w:hAnsi="Arial" w:cs="Arial"/>
        <w:sz w:val="16"/>
        <w:szCs w:val="16"/>
      </w:rPr>
      <w:fldChar w:fldCharType="separate"/>
    </w:r>
    <w:r w:rsidR="00C5028E">
      <w:rPr>
        <w:rFonts w:ascii="Arial" w:hAnsi="Arial" w:cs="Arial"/>
        <w:noProof/>
        <w:sz w:val="16"/>
        <w:szCs w:val="16"/>
      </w:rPr>
      <w:t>11</w:t>
    </w:r>
    <w:r w:rsidR="006A537B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53" w:rsidRDefault="00764153" w:rsidP="00E71A58">
      <w:r>
        <w:separator/>
      </w:r>
    </w:p>
  </w:footnote>
  <w:footnote w:type="continuationSeparator" w:id="0">
    <w:p w:rsidR="00764153" w:rsidRDefault="00764153" w:rsidP="00E71A58">
      <w:r>
        <w:continuationSeparator/>
      </w:r>
    </w:p>
  </w:footnote>
  <w:footnote w:id="1">
    <w:p w:rsidR="00DD7435" w:rsidRPr="001805D6" w:rsidRDefault="00DD7435" w:rsidP="00080AA8">
      <w:pPr>
        <w:pStyle w:val="Textpoznpodarou"/>
        <w:rPr>
          <w:rFonts w:cs="Arial"/>
          <w:sz w:val="16"/>
          <w:szCs w:val="16"/>
        </w:rPr>
      </w:pPr>
      <w:r w:rsidRPr="001805D6">
        <w:rPr>
          <w:rStyle w:val="Znakapoznpodarou"/>
          <w:rFonts w:cs="Arial"/>
          <w:sz w:val="16"/>
          <w:szCs w:val="16"/>
        </w:rPr>
        <w:footnoteRef/>
      </w:r>
      <w:r w:rsidRPr="001805D6">
        <w:rPr>
          <w:rFonts w:cs="Arial"/>
          <w:sz w:val="16"/>
          <w:szCs w:val="16"/>
        </w:rPr>
        <w:t xml:space="preserve"> Údaje o HPH jsou vyjádřeny ve stálých cenách a v očištění o sezónní a kalendářní vlivy.</w:t>
      </w:r>
    </w:p>
  </w:footnote>
  <w:footnote w:id="2">
    <w:p w:rsidR="00DD7435" w:rsidRPr="001805D6" w:rsidRDefault="00DD7435" w:rsidP="00080AA8">
      <w:pPr>
        <w:pStyle w:val="Textpoznpodarou"/>
        <w:rPr>
          <w:rFonts w:cs="Arial"/>
          <w:sz w:val="16"/>
          <w:szCs w:val="16"/>
        </w:rPr>
      </w:pPr>
      <w:r w:rsidRPr="001805D6">
        <w:rPr>
          <w:rStyle w:val="Znakapoznpodarou"/>
          <w:rFonts w:cs="Arial"/>
          <w:sz w:val="16"/>
          <w:szCs w:val="16"/>
        </w:rPr>
        <w:footnoteRef/>
      </w:r>
      <w:r w:rsidRPr="001805D6">
        <w:rPr>
          <w:rFonts w:cs="Arial"/>
          <w:sz w:val="16"/>
          <w:szCs w:val="16"/>
        </w:rPr>
        <w:t xml:space="preserve"> Pokud není uvedeno jinak, jde o údaje v pojetí národních účtů v očištění o sezónní vlivy.</w:t>
      </w:r>
    </w:p>
  </w:footnote>
  <w:footnote w:id="3">
    <w:p w:rsidR="00DD7435" w:rsidRPr="001805D6" w:rsidRDefault="00DD7435" w:rsidP="00080AA8">
      <w:pPr>
        <w:pStyle w:val="Textpoznpodarou"/>
        <w:rPr>
          <w:rFonts w:cs="Arial"/>
          <w:sz w:val="16"/>
          <w:szCs w:val="16"/>
        </w:rPr>
      </w:pPr>
      <w:r w:rsidRPr="001805D6">
        <w:rPr>
          <w:rStyle w:val="Znakapoznpodarou"/>
          <w:rFonts w:cs="Arial"/>
          <w:sz w:val="16"/>
          <w:szCs w:val="16"/>
        </w:rPr>
        <w:footnoteRef/>
      </w:r>
      <w:r w:rsidRPr="001805D6">
        <w:rPr>
          <w:rFonts w:cs="Arial"/>
          <w:sz w:val="16"/>
          <w:szCs w:val="16"/>
        </w:rPr>
        <w:t xml:space="preserve"> </w:t>
      </w:r>
      <w:r w:rsidRPr="001805D6">
        <w:rPr>
          <w:rFonts w:cs="Arial"/>
          <w:color w:val="0D0D0D" w:themeColor="text1" w:themeTint="F2"/>
          <w:spacing w:val="-4"/>
          <w:sz w:val="16"/>
          <w:szCs w:val="16"/>
        </w:rPr>
        <w:t>Svědčí o tom i skutečnost, že ve srovnání s 1. pololetím konjunkturního roku 2008 byla letošní přidaná hodnota v peněžnictví a pojišťovnictví o</w:t>
      </w:r>
      <w:r w:rsidRPr="001805D6">
        <w:rPr>
          <w:rFonts w:cs="Arial"/>
          <w:sz w:val="16"/>
          <w:szCs w:val="16"/>
        </w:rPr>
        <w:t> </w:t>
      </w:r>
      <w:r w:rsidRPr="001805D6">
        <w:rPr>
          <w:rFonts w:cs="Arial"/>
          <w:color w:val="0D0D0D" w:themeColor="text1" w:themeTint="F2"/>
          <w:spacing w:val="-4"/>
          <w:sz w:val="16"/>
          <w:szCs w:val="16"/>
        </w:rPr>
        <w:t>čtvrtinu vyšší. Podobného výsledku dosáhlo v rámci deseti hlavních odvětví již pouze zemědělství, lesnictví a rybářství. Naopak stavebnictví za touto metou stále o 5 % zaostávalo. V celé ekonomice činil růst přidané hodnoty za posledních osm let 7,3 %.</w:t>
      </w:r>
    </w:p>
  </w:footnote>
  <w:footnote w:id="4">
    <w:p w:rsidR="00DD7435" w:rsidRPr="001805D6" w:rsidRDefault="00DD7435" w:rsidP="00080AA8">
      <w:pPr>
        <w:pStyle w:val="Textpoznpodarou"/>
        <w:rPr>
          <w:rFonts w:cs="Arial"/>
          <w:sz w:val="16"/>
          <w:szCs w:val="16"/>
        </w:rPr>
      </w:pPr>
      <w:r w:rsidRPr="001805D6">
        <w:rPr>
          <w:rStyle w:val="Znakapoznpodarou"/>
          <w:rFonts w:cs="Arial"/>
          <w:sz w:val="16"/>
          <w:szCs w:val="16"/>
        </w:rPr>
        <w:footnoteRef/>
      </w:r>
      <w:r w:rsidRPr="001805D6">
        <w:rPr>
          <w:rFonts w:cs="Arial"/>
          <w:sz w:val="16"/>
          <w:szCs w:val="16"/>
        </w:rPr>
        <w:t xml:space="preserve"> S</w:t>
      </w:r>
      <w:r>
        <w:rPr>
          <w:rFonts w:cs="Arial"/>
          <w:sz w:val="16"/>
          <w:szCs w:val="16"/>
        </w:rPr>
        <w:t>estávají se z dílčích odvětví: veřejná správa a obrana</w:t>
      </w:r>
      <w:r>
        <w:rPr>
          <w:rFonts w:cs="Arial"/>
          <w:sz w:val="16"/>
          <w:szCs w:val="16"/>
          <w:lang w:val="en-US"/>
        </w:rPr>
        <w:t>;</w:t>
      </w:r>
      <w:r>
        <w:rPr>
          <w:rFonts w:cs="Arial"/>
          <w:sz w:val="16"/>
          <w:szCs w:val="16"/>
        </w:rPr>
        <w:t xml:space="preserve"> vzdělávání</w:t>
      </w:r>
      <w:r>
        <w:rPr>
          <w:rFonts w:cs="Arial"/>
          <w:sz w:val="16"/>
          <w:szCs w:val="16"/>
          <w:lang w:val="en-US"/>
        </w:rPr>
        <w:t>;</w:t>
      </w:r>
      <w:r w:rsidRPr="001805D6">
        <w:rPr>
          <w:rFonts w:cs="Arial"/>
          <w:sz w:val="16"/>
          <w:szCs w:val="16"/>
        </w:rPr>
        <w:t xml:space="preserve"> zdravotní a sociální péče.</w:t>
      </w:r>
    </w:p>
  </w:footnote>
  <w:footnote w:id="5">
    <w:p w:rsidR="00DD7435" w:rsidRPr="00EF6BE3" w:rsidRDefault="00DD7435" w:rsidP="00080AA8">
      <w:pPr>
        <w:pStyle w:val="Textpoznpodarou"/>
        <w:rPr>
          <w:sz w:val="16"/>
          <w:szCs w:val="16"/>
        </w:rPr>
      </w:pPr>
      <w:r w:rsidRPr="001805D6">
        <w:rPr>
          <w:rStyle w:val="Znakapoznpodarou"/>
          <w:rFonts w:cs="Arial"/>
          <w:sz w:val="16"/>
          <w:szCs w:val="16"/>
        </w:rPr>
        <w:footnoteRef/>
      </w:r>
      <w:r w:rsidRPr="001805D6">
        <w:rPr>
          <w:rFonts w:cs="Arial"/>
          <w:sz w:val="16"/>
          <w:szCs w:val="16"/>
        </w:rPr>
        <w:t xml:space="preserve"> Zahrnující odvětví dle CZ-NACE: B (Těžba a dobývání), C (Zpracovatelský průmysl), D (Energetika).</w:t>
      </w:r>
    </w:p>
  </w:footnote>
  <w:footnote w:id="6">
    <w:p w:rsidR="00DD7435" w:rsidRPr="000D22EC" w:rsidRDefault="00DD7435" w:rsidP="00080AA8">
      <w:pPr>
        <w:pStyle w:val="Textpoznpodarou"/>
        <w:rPr>
          <w:spacing w:val="-2"/>
          <w:sz w:val="16"/>
          <w:szCs w:val="16"/>
        </w:rPr>
      </w:pPr>
      <w:r w:rsidRPr="000D22EC">
        <w:rPr>
          <w:rStyle w:val="Znakapoznpodarou"/>
          <w:spacing w:val="-2"/>
          <w:sz w:val="16"/>
          <w:szCs w:val="16"/>
        </w:rPr>
        <w:footnoteRef/>
      </w:r>
      <w:r w:rsidRPr="000D22EC">
        <w:rPr>
          <w:spacing w:val="-2"/>
          <w:sz w:val="16"/>
          <w:szCs w:val="16"/>
        </w:rPr>
        <w:t xml:space="preserve"> Ve stejném obdob</w:t>
      </w:r>
      <w:r w:rsidR="00873B2E">
        <w:rPr>
          <w:spacing w:val="-2"/>
          <w:sz w:val="16"/>
          <w:szCs w:val="16"/>
        </w:rPr>
        <w:t>í činil pokles v celé EU 34 %, v</w:t>
      </w:r>
      <w:r w:rsidRPr="000D22EC">
        <w:rPr>
          <w:spacing w:val="-2"/>
          <w:sz w:val="16"/>
          <w:szCs w:val="16"/>
        </w:rPr>
        <w:t> Německu 42 %, v Polsku 22 %. Prudké propady produkce zaznamenaly Španělsko a Velká Británie. Útlum se týkal především produkce černého uhlí (v EU15 o bezmála 60 %), u hnědého uhlí byly redukce mírnější (o 8 %).</w:t>
      </w:r>
    </w:p>
  </w:footnote>
  <w:footnote w:id="7">
    <w:p w:rsidR="00DD7435" w:rsidRPr="00FE242B" w:rsidRDefault="00DD7435" w:rsidP="00080AA8">
      <w:pPr>
        <w:pStyle w:val="Textpoznpodarou"/>
        <w:rPr>
          <w:spacing w:val="-4"/>
          <w:sz w:val="16"/>
          <w:szCs w:val="16"/>
        </w:rPr>
      </w:pPr>
      <w:r w:rsidRPr="00FE242B">
        <w:rPr>
          <w:rStyle w:val="Znakapoznpodarou"/>
          <w:spacing w:val="-4"/>
          <w:sz w:val="16"/>
          <w:szCs w:val="16"/>
        </w:rPr>
        <w:footnoteRef/>
      </w:r>
      <w:r w:rsidRPr="00FE242B">
        <w:rPr>
          <w:spacing w:val="-4"/>
          <w:sz w:val="16"/>
          <w:szCs w:val="16"/>
        </w:rPr>
        <w:t xml:space="preserve"> V rámci hodnocených zemí EU (bez Slovenska, Slovinska) šlo o páté nejvyšší tempo. Ze zemí, které jsou významnými </w:t>
      </w:r>
      <w:r>
        <w:rPr>
          <w:spacing w:val="-4"/>
          <w:sz w:val="16"/>
          <w:szCs w:val="16"/>
        </w:rPr>
        <w:t>výrobci</w:t>
      </w:r>
      <w:r w:rsidRPr="00FE242B">
        <w:rPr>
          <w:spacing w:val="-4"/>
          <w:sz w:val="16"/>
          <w:szCs w:val="16"/>
        </w:rPr>
        <w:t xml:space="preserve"> automobilů, dosáhlo lepších výsledků jen Maďarsko (56 %). V hlavní producentské zemi – Německu</w:t>
      </w:r>
      <w:r>
        <w:rPr>
          <w:spacing w:val="-4"/>
          <w:sz w:val="16"/>
          <w:szCs w:val="16"/>
        </w:rPr>
        <w:t xml:space="preserve"> – </w:t>
      </w:r>
      <w:r w:rsidRPr="00FE242B">
        <w:rPr>
          <w:spacing w:val="-4"/>
          <w:sz w:val="16"/>
          <w:szCs w:val="16"/>
        </w:rPr>
        <w:t>byla produkce vyšší jen</w:t>
      </w:r>
      <w:r>
        <w:rPr>
          <w:spacing w:val="-4"/>
          <w:sz w:val="16"/>
          <w:szCs w:val="16"/>
        </w:rPr>
        <w:t xml:space="preserve"> o</w:t>
      </w:r>
      <w:r w:rsidRPr="00FE242B">
        <w:rPr>
          <w:spacing w:val="-4"/>
          <w:sz w:val="16"/>
          <w:szCs w:val="16"/>
        </w:rPr>
        <w:t xml:space="preserve"> 12 %, v celé EU o 23 %.</w:t>
      </w:r>
    </w:p>
  </w:footnote>
  <w:footnote w:id="8">
    <w:p w:rsidR="00DD7435" w:rsidRPr="00826F9B" w:rsidRDefault="00DD7435" w:rsidP="00080AA8">
      <w:pPr>
        <w:pStyle w:val="Textpoznpodarou"/>
        <w:jc w:val="both"/>
        <w:rPr>
          <w:sz w:val="16"/>
          <w:szCs w:val="16"/>
        </w:rPr>
      </w:pPr>
      <w:r w:rsidRPr="00826F9B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Dl</w:t>
      </w:r>
      <w:r w:rsidRPr="00826F9B">
        <w:rPr>
          <w:sz w:val="16"/>
          <w:szCs w:val="16"/>
        </w:rPr>
        <w:t xml:space="preserve">e údajů Sdružení automobilového průmyslu </w:t>
      </w:r>
      <w:r>
        <w:rPr>
          <w:sz w:val="16"/>
          <w:szCs w:val="16"/>
        </w:rPr>
        <w:t>bylo v Česku během prvních šesti</w:t>
      </w:r>
      <w:r w:rsidRPr="00826F9B">
        <w:rPr>
          <w:sz w:val="16"/>
          <w:szCs w:val="16"/>
        </w:rPr>
        <w:t xml:space="preserve"> měsíců </w:t>
      </w:r>
      <w:r>
        <w:rPr>
          <w:sz w:val="16"/>
          <w:szCs w:val="16"/>
        </w:rPr>
        <w:t>letošního roku vyrobeno téměř 720</w:t>
      </w:r>
      <w:r w:rsidRPr="00826F9B">
        <w:rPr>
          <w:sz w:val="16"/>
          <w:szCs w:val="16"/>
        </w:rPr>
        <w:t xml:space="preserve"> tis. </w:t>
      </w:r>
      <w:r>
        <w:rPr>
          <w:sz w:val="16"/>
          <w:szCs w:val="16"/>
        </w:rPr>
        <w:t>osobních automobilů, meziročně o osminu více.</w:t>
      </w:r>
      <w:r w:rsidRPr="00826F9B">
        <w:rPr>
          <w:sz w:val="16"/>
          <w:szCs w:val="16"/>
        </w:rPr>
        <w:t xml:space="preserve"> Dařilo se i výrobcům ostatních druhů motorových vozidel.</w:t>
      </w:r>
    </w:p>
  </w:footnote>
  <w:footnote w:id="9">
    <w:p w:rsidR="00DD7435" w:rsidRPr="00E46D98" w:rsidRDefault="00DD7435" w:rsidP="00080AA8">
      <w:pPr>
        <w:pStyle w:val="Textpoznpodarou"/>
        <w:rPr>
          <w:sz w:val="16"/>
          <w:szCs w:val="16"/>
        </w:rPr>
      </w:pPr>
      <w:r w:rsidRPr="00E46D98">
        <w:rPr>
          <w:rStyle w:val="Znakapoznpodarou"/>
          <w:sz w:val="16"/>
          <w:szCs w:val="16"/>
        </w:rPr>
        <w:footnoteRef/>
      </w:r>
      <w:r w:rsidRPr="00E46D98">
        <w:rPr>
          <w:sz w:val="16"/>
          <w:szCs w:val="16"/>
        </w:rPr>
        <w:t xml:space="preserve"> Všechny údaje o stavební produkci jsou očištěny o kalendářní vlivy.</w:t>
      </w:r>
    </w:p>
  </w:footnote>
  <w:footnote w:id="10">
    <w:p w:rsidR="00DD7435" w:rsidRPr="00092C9A" w:rsidRDefault="00DD7435" w:rsidP="00080AA8">
      <w:pPr>
        <w:pStyle w:val="Textpoznpodarou"/>
        <w:rPr>
          <w:sz w:val="16"/>
          <w:szCs w:val="16"/>
        </w:rPr>
      </w:pPr>
      <w:r w:rsidRPr="00092C9A">
        <w:rPr>
          <w:rStyle w:val="Znakapoznpodarou"/>
          <w:sz w:val="16"/>
          <w:szCs w:val="16"/>
        </w:rPr>
        <w:footnoteRef/>
      </w:r>
      <w:r w:rsidRPr="00092C9A">
        <w:rPr>
          <w:sz w:val="16"/>
          <w:szCs w:val="16"/>
        </w:rPr>
        <w:t xml:space="preserve"> Nezahrnují </w:t>
      </w:r>
      <w:r>
        <w:rPr>
          <w:sz w:val="16"/>
          <w:szCs w:val="16"/>
        </w:rPr>
        <w:t>obchod</w:t>
      </w:r>
      <w:r w:rsidRPr="00092C9A">
        <w:rPr>
          <w:sz w:val="16"/>
          <w:szCs w:val="16"/>
        </w:rPr>
        <w:t>, pe</w:t>
      </w:r>
      <w:r>
        <w:rPr>
          <w:sz w:val="16"/>
          <w:szCs w:val="16"/>
        </w:rPr>
        <w:t>něžnictví a pojišťovnict</w:t>
      </w:r>
      <w:r w:rsidR="00D439C2">
        <w:rPr>
          <w:sz w:val="16"/>
          <w:szCs w:val="16"/>
        </w:rPr>
        <w:t>ví, vědu a výzkum ani</w:t>
      </w:r>
      <w:r>
        <w:rPr>
          <w:sz w:val="16"/>
          <w:szCs w:val="16"/>
        </w:rPr>
        <w:t xml:space="preserve"> veřejné služ</w:t>
      </w:r>
      <w:r w:rsidRPr="00092C9A">
        <w:rPr>
          <w:sz w:val="16"/>
          <w:szCs w:val="16"/>
        </w:rPr>
        <w:t>b</w:t>
      </w:r>
      <w:r>
        <w:rPr>
          <w:sz w:val="16"/>
          <w:szCs w:val="16"/>
        </w:rPr>
        <w:t>y</w:t>
      </w:r>
      <w:r w:rsidRPr="00092C9A">
        <w:rPr>
          <w:sz w:val="16"/>
          <w:szCs w:val="16"/>
        </w:rPr>
        <w:t>.</w:t>
      </w:r>
    </w:p>
  </w:footnote>
  <w:footnote w:id="11">
    <w:p w:rsidR="00DD7435" w:rsidRPr="00EF2F5C" w:rsidRDefault="00DD7435" w:rsidP="00080AA8">
      <w:pPr>
        <w:pStyle w:val="Textpoznpodarou"/>
        <w:jc w:val="both"/>
        <w:rPr>
          <w:spacing w:val="-4"/>
        </w:rPr>
      </w:pPr>
      <w:r w:rsidRPr="00EF2F5C">
        <w:rPr>
          <w:rStyle w:val="Znakapoznpodarou"/>
          <w:sz w:val="16"/>
          <w:szCs w:val="16"/>
        </w:rPr>
        <w:footnoteRef/>
      </w:r>
      <w:r w:rsidRPr="00EF2F5C">
        <w:rPr>
          <w:sz w:val="16"/>
          <w:szCs w:val="16"/>
        </w:rPr>
        <w:t xml:space="preserve"> Zahrnuje maloobchod</w:t>
      </w:r>
      <w:r w:rsidRPr="00092C9A">
        <w:rPr>
          <w:sz w:val="16"/>
          <w:szCs w:val="16"/>
        </w:rPr>
        <w:t xml:space="preserve"> bez motoristického segment</w:t>
      </w:r>
      <w:r>
        <w:rPr>
          <w:sz w:val="16"/>
          <w:szCs w:val="16"/>
        </w:rPr>
        <w:t>u</w:t>
      </w:r>
      <w:r w:rsidRPr="00092C9A">
        <w:rPr>
          <w:sz w:val="16"/>
          <w:szCs w:val="16"/>
        </w:rPr>
        <w:t xml:space="preserve">, údaj </w:t>
      </w:r>
      <w:r>
        <w:rPr>
          <w:sz w:val="16"/>
          <w:szCs w:val="16"/>
        </w:rPr>
        <w:t xml:space="preserve">je </w:t>
      </w:r>
      <w:r w:rsidRPr="00092C9A">
        <w:rPr>
          <w:sz w:val="16"/>
          <w:szCs w:val="16"/>
        </w:rPr>
        <w:t xml:space="preserve">očištěný o </w:t>
      </w:r>
      <w:r>
        <w:rPr>
          <w:sz w:val="16"/>
          <w:szCs w:val="16"/>
        </w:rPr>
        <w:t>kalendářní vlivy.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Pr="00D766EF" w:rsidRDefault="00DD7435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1EFF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4028"/>
    <w:rsid w:val="00015195"/>
    <w:rsid w:val="0001519F"/>
    <w:rsid w:val="0001572B"/>
    <w:rsid w:val="0001573E"/>
    <w:rsid w:val="000157DA"/>
    <w:rsid w:val="000162DB"/>
    <w:rsid w:val="00017F05"/>
    <w:rsid w:val="000202C6"/>
    <w:rsid w:val="00020946"/>
    <w:rsid w:val="00022081"/>
    <w:rsid w:val="0002292C"/>
    <w:rsid w:val="00022B41"/>
    <w:rsid w:val="0002434F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3E05"/>
    <w:rsid w:val="0004694F"/>
    <w:rsid w:val="000500DC"/>
    <w:rsid w:val="00052052"/>
    <w:rsid w:val="00052172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A8"/>
    <w:rsid w:val="00083803"/>
    <w:rsid w:val="00084393"/>
    <w:rsid w:val="0008716A"/>
    <w:rsid w:val="00087634"/>
    <w:rsid w:val="00091237"/>
    <w:rsid w:val="0009191B"/>
    <w:rsid w:val="000920EC"/>
    <w:rsid w:val="00092208"/>
    <w:rsid w:val="00092505"/>
    <w:rsid w:val="00092C9A"/>
    <w:rsid w:val="00097D02"/>
    <w:rsid w:val="000A1183"/>
    <w:rsid w:val="000A2121"/>
    <w:rsid w:val="000A2484"/>
    <w:rsid w:val="000A36CE"/>
    <w:rsid w:val="000A59BF"/>
    <w:rsid w:val="000A66C2"/>
    <w:rsid w:val="000B1CFE"/>
    <w:rsid w:val="000B210A"/>
    <w:rsid w:val="000B249B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C0F"/>
    <w:rsid w:val="000C5D56"/>
    <w:rsid w:val="000C6498"/>
    <w:rsid w:val="000D0D51"/>
    <w:rsid w:val="000D14B3"/>
    <w:rsid w:val="000D208B"/>
    <w:rsid w:val="000D263E"/>
    <w:rsid w:val="000D2B8D"/>
    <w:rsid w:val="000D2E41"/>
    <w:rsid w:val="000D342A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428D"/>
    <w:rsid w:val="001500FC"/>
    <w:rsid w:val="00151AC0"/>
    <w:rsid w:val="00151B27"/>
    <w:rsid w:val="00152046"/>
    <w:rsid w:val="00154147"/>
    <w:rsid w:val="001550F3"/>
    <w:rsid w:val="00155746"/>
    <w:rsid w:val="00156318"/>
    <w:rsid w:val="0015639A"/>
    <w:rsid w:val="0016081D"/>
    <w:rsid w:val="00160CF3"/>
    <w:rsid w:val="00160E61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5351"/>
    <w:rsid w:val="00175F60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214"/>
    <w:rsid w:val="00190D9B"/>
    <w:rsid w:val="00191BAE"/>
    <w:rsid w:val="00193432"/>
    <w:rsid w:val="0019346C"/>
    <w:rsid w:val="00195444"/>
    <w:rsid w:val="001A199D"/>
    <w:rsid w:val="001A2BDB"/>
    <w:rsid w:val="001A30F4"/>
    <w:rsid w:val="001A4C0D"/>
    <w:rsid w:val="001A552F"/>
    <w:rsid w:val="001A56F3"/>
    <w:rsid w:val="001A737B"/>
    <w:rsid w:val="001A750C"/>
    <w:rsid w:val="001B1D89"/>
    <w:rsid w:val="001B3110"/>
    <w:rsid w:val="001B4198"/>
    <w:rsid w:val="001B44BC"/>
    <w:rsid w:val="001B5888"/>
    <w:rsid w:val="001B618F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65FF"/>
    <w:rsid w:val="001D47E5"/>
    <w:rsid w:val="001D584C"/>
    <w:rsid w:val="001D5E1B"/>
    <w:rsid w:val="001D66C1"/>
    <w:rsid w:val="001D7C6F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55B"/>
    <w:rsid w:val="002179F9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355C"/>
    <w:rsid w:val="00234280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E94"/>
    <w:rsid w:val="002D632D"/>
    <w:rsid w:val="002D6FC7"/>
    <w:rsid w:val="002E02A1"/>
    <w:rsid w:val="002E0982"/>
    <w:rsid w:val="002E0DB9"/>
    <w:rsid w:val="002E2CE4"/>
    <w:rsid w:val="002E34F3"/>
    <w:rsid w:val="002E435E"/>
    <w:rsid w:val="002E73F2"/>
    <w:rsid w:val="002F33FB"/>
    <w:rsid w:val="002F663A"/>
    <w:rsid w:val="002F68A4"/>
    <w:rsid w:val="002F7594"/>
    <w:rsid w:val="00300D6F"/>
    <w:rsid w:val="00301357"/>
    <w:rsid w:val="00301D04"/>
    <w:rsid w:val="003035D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7449"/>
    <w:rsid w:val="0036238B"/>
    <w:rsid w:val="003651A4"/>
    <w:rsid w:val="00365680"/>
    <w:rsid w:val="003657F3"/>
    <w:rsid w:val="00366D4D"/>
    <w:rsid w:val="00367038"/>
    <w:rsid w:val="00370963"/>
    <w:rsid w:val="0037144E"/>
    <w:rsid w:val="003736B5"/>
    <w:rsid w:val="00374F1E"/>
    <w:rsid w:val="00376DEC"/>
    <w:rsid w:val="00377200"/>
    <w:rsid w:val="0038034A"/>
    <w:rsid w:val="00380E04"/>
    <w:rsid w:val="00380E6C"/>
    <w:rsid w:val="00383227"/>
    <w:rsid w:val="003839C9"/>
    <w:rsid w:val="00384D8F"/>
    <w:rsid w:val="00385D98"/>
    <w:rsid w:val="00385EC5"/>
    <w:rsid w:val="0038658E"/>
    <w:rsid w:val="0039066E"/>
    <w:rsid w:val="00391C95"/>
    <w:rsid w:val="00392110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760"/>
    <w:rsid w:val="003D49DC"/>
    <w:rsid w:val="003D4DD9"/>
    <w:rsid w:val="003D5D7A"/>
    <w:rsid w:val="003D653F"/>
    <w:rsid w:val="003E0663"/>
    <w:rsid w:val="003E133F"/>
    <w:rsid w:val="003E49F6"/>
    <w:rsid w:val="003E699C"/>
    <w:rsid w:val="003E69F3"/>
    <w:rsid w:val="003E782E"/>
    <w:rsid w:val="003E7A0B"/>
    <w:rsid w:val="003E7B2B"/>
    <w:rsid w:val="003F181F"/>
    <w:rsid w:val="003F1A48"/>
    <w:rsid w:val="003F1E23"/>
    <w:rsid w:val="003F22F6"/>
    <w:rsid w:val="003F2B0A"/>
    <w:rsid w:val="003F313C"/>
    <w:rsid w:val="003F341B"/>
    <w:rsid w:val="003F37FC"/>
    <w:rsid w:val="003F3A26"/>
    <w:rsid w:val="003F49A6"/>
    <w:rsid w:val="003F5098"/>
    <w:rsid w:val="003F5568"/>
    <w:rsid w:val="003F5A95"/>
    <w:rsid w:val="003F6D19"/>
    <w:rsid w:val="004000D5"/>
    <w:rsid w:val="00400244"/>
    <w:rsid w:val="004005C1"/>
    <w:rsid w:val="00401716"/>
    <w:rsid w:val="00401A09"/>
    <w:rsid w:val="0040273A"/>
    <w:rsid w:val="00402C25"/>
    <w:rsid w:val="004050D7"/>
    <w:rsid w:val="004078BD"/>
    <w:rsid w:val="00410132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681B"/>
    <w:rsid w:val="00427193"/>
    <w:rsid w:val="0043068A"/>
    <w:rsid w:val="004306E0"/>
    <w:rsid w:val="00431D54"/>
    <w:rsid w:val="004329BE"/>
    <w:rsid w:val="00432C38"/>
    <w:rsid w:val="004342EC"/>
    <w:rsid w:val="00437C76"/>
    <w:rsid w:val="0044105C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71F"/>
    <w:rsid w:val="00464BE8"/>
    <w:rsid w:val="00465019"/>
    <w:rsid w:val="00465FA4"/>
    <w:rsid w:val="0046613F"/>
    <w:rsid w:val="0046655D"/>
    <w:rsid w:val="00466AAE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0AB8"/>
    <w:rsid w:val="0048139F"/>
    <w:rsid w:val="00481C00"/>
    <w:rsid w:val="00483053"/>
    <w:rsid w:val="00484874"/>
    <w:rsid w:val="00485230"/>
    <w:rsid w:val="004879E9"/>
    <w:rsid w:val="00487F81"/>
    <w:rsid w:val="0049020E"/>
    <w:rsid w:val="00490247"/>
    <w:rsid w:val="0049104F"/>
    <w:rsid w:val="00491218"/>
    <w:rsid w:val="00491CFD"/>
    <w:rsid w:val="00493362"/>
    <w:rsid w:val="00494343"/>
    <w:rsid w:val="00496C2F"/>
    <w:rsid w:val="0049740D"/>
    <w:rsid w:val="004978D3"/>
    <w:rsid w:val="004A11F8"/>
    <w:rsid w:val="004A22BD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0803"/>
    <w:rsid w:val="004B10A8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504B"/>
    <w:rsid w:val="004D536E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5028E1"/>
    <w:rsid w:val="0050692E"/>
    <w:rsid w:val="00507040"/>
    <w:rsid w:val="005079F8"/>
    <w:rsid w:val="00510189"/>
    <w:rsid w:val="005108C0"/>
    <w:rsid w:val="00511873"/>
    <w:rsid w:val="0051367B"/>
    <w:rsid w:val="00513B7E"/>
    <w:rsid w:val="005140DE"/>
    <w:rsid w:val="00514474"/>
    <w:rsid w:val="005147E9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66F"/>
    <w:rsid w:val="00583D5B"/>
    <w:rsid w:val="00583FFD"/>
    <w:rsid w:val="00587CCD"/>
    <w:rsid w:val="005908AE"/>
    <w:rsid w:val="0059176E"/>
    <w:rsid w:val="00592854"/>
    <w:rsid w:val="00593152"/>
    <w:rsid w:val="00593CA3"/>
    <w:rsid w:val="00594161"/>
    <w:rsid w:val="00594969"/>
    <w:rsid w:val="00594B91"/>
    <w:rsid w:val="00596C5E"/>
    <w:rsid w:val="005A2194"/>
    <w:rsid w:val="005A21E0"/>
    <w:rsid w:val="005A33A1"/>
    <w:rsid w:val="005A54EE"/>
    <w:rsid w:val="005A563B"/>
    <w:rsid w:val="005A7500"/>
    <w:rsid w:val="005A77E4"/>
    <w:rsid w:val="005B1BDB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92C"/>
    <w:rsid w:val="005E4BAA"/>
    <w:rsid w:val="005E52EF"/>
    <w:rsid w:val="005E5B56"/>
    <w:rsid w:val="005E6088"/>
    <w:rsid w:val="005E61DF"/>
    <w:rsid w:val="005E6B65"/>
    <w:rsid w:val="005E6B78"/>
    <w:rsid w:val="005E75B8"/>
    <w:rsid w:val="005F0976"/>
    <w:rsid w:val="005F26CE"/>
    <w:rsid w:val="005F4057"/>
    <w:rsid w:val="005F4088"/>
    <w:rsid w:val="005F4C83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10BD5"/>
    <w:rsid w:val="00611363"/>
    <w:rsid w:val="00611531"/>
    <w:rsid w:val="006118AA"/>
    <w:rsid w:val="006139C7"/>
    <w:rsid w:val="006153E3"/>
    <w:rsid w:val="006167AB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379E0"/>
    <w:rsid w:val="006404A7"/>
    <w:rsid w:val="006407F3"/>
    <w:rsid w:val="006408EC"/>
    <w:rsid w:val="0064129B"/>
    <w:rsid w:val="00641DF7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37B"/>
    <w:rsid w:val="006A568F"/>
    <w:rsid w:val="006A65EF"/>
    <w:rsid w:val="006A672B"/>
    <w:rsid w:val="006B23A9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2AED"/>
    <w:rsid w:val="006C38DD"/>
    <w:rsid w:val="006C457F"/>
    <w:rsid w:val="006C53C7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0EB0"/>
    <w:rsid w:val="006E1F4C"/>
    <w:rsid w:val="006E22C8"/>
    <w:rsid w:val="006E279A"/>
    <w:rsid w:val="006E2F3F"/>
    <w:rsid w:val="006E313B"/>
    <w:rsid w:val="006E442A"/>
    <w:rsid w:val="006E4434"/>
    <w:rsid w:val="006E59FC"/>
    <w:rsid w:val="006E5CFD"/>
    <w:rsid w:val="006E7E2C"/>
    <w:rsid w:val="006F1326"/>
    <w:rsid w:val="006F2BEE"/>
    <w:rsid w:val="006F3708"/>
    <w:rsid w:val="006F3E6B"/>
    <w:rsid w:val="006F4619"/>
    <w:rsid w:val="006F4A59"/>
    <w:rsid w:val="00700232"/>
    <w:rsid w:val="007014C7"/>
    <w:rsid w:val="00702D6F"/>
    <w:rsid w:val="00703B6C"/>
    <w:rsid w:val="00703C6B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159D2"/>
    <w:rsid w:val="0072050E"/>
    <w:rsid w:val="00720FA2"/>
    <w:rsid w:val="007211F5"/>
    <w:rsid w:val="00724666"/>
    <w:rsid w:val="00725492"/>
    <w:rsid w:val="00726043"/>
    <w:rsid w:val="0072704A"/>
    <w:rsid w:val="00730AE8"/>
    <w:rsid w:val="007315DA"/>
    <w:rsid w:val="00731963"/>
    <w:rsid w:val="00734321"/>
    <w:rsid w:val="0073532E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4D00"/>
    <w:rsid w:val="00744D2B"/>
    <w:rsid w:val="00745273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64153"/>
    <w:rsid w:val="0077058D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804"/>
    <w:rsid w:val="00791CF8"/>
    <w:rsid w:val="00791EF9"/>
    <w:rsid w:val="00792262"/>
    <w:rsid w:val="00793387"/>
    <w:rsid w:val="00793BAE"/>
    <w:rsid w:val="00794E0A"/>
    <w:rsid w:val="00796642"/>
    <w:rsid w:val="007A11D9"/>
    <w:rsid w:val="007A327B"/>
    <w:rsid w:val="007A4048"/>
    <w:rsid w:val="007A45B1"/>
    <w:rsid w:val="007A4606"/>
    <w:rsid w:val="007B0D67"/>
    <w:rsid w:val="007B1966"/>
    <w:rsid w:val="007B2779"/>
    <w:rsid w:val="007B3DCC"/>
    <w:rsid w:val="007B4518"/>
    <w:rsid w:val="007B5031"/>
    <w:rsid w:val="007B573F"/>
    <w:rsid w:val="007B78F8"/>
    <w:rsid w:val="007C0065"/>
    <w:rsid w:val="007C010B"/>
    <w:rsid w:val="007C3AE3"/>
    <w:rsid w:val="007C605B"/>
    <w:rsid w:val="007D2A5A"/>
    <w:rsid w:val="007D2AD8"/>
    <w:rsid w:val="007D2C47"/>
    <w:rsid w:val="007D2F81"/>
    <w:rsid w:val="007D3167"/>
    <w:rsid w:val="007D4128"/>
    <w:rsid w:val="007D4281"/>
    <w:rsid w:val="007D42F5"/>
    <w:rsid w:val="007D44C3"/>
    <w:rsid w:val="007D5947"/>
    <w:rsid w:val="007D65C1"/>
    <w:rsid w:val="007E030F"/>
    <w:rsid w:val="007E0E59"/>
    <w:rsid w:val="007E0F4B"/>
    <w:rsid w:val="007E3715"/>
    <w:rsid w:val="007E7E61"/>
    <w:rsid w:val="007F0845"/>
    <w:rsid w:val="007F16F9"/>
    <w:rsid w:val="007F3E3E"/>
    <w:rsid w:val="007F42E0"/>
    <w:rsid w:val="007F500D"/>
    <w:rsid w:val="007F5F14"/>
    <w:rsid w:val="007F7B54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645F"/>
    <w:rsid w:val="00817755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5C0F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604"/>
    <w:rsid w:val="00843ECF"/>
    <w:rsid w:val="00845AB1"/>
    <w:rsid w:val="00846673"/>
    <w:rsid w:val="0085281A"/>
    <w:rsid w:val="00853F33"/>
    <w:rsid w:val="008559FE"/>
    <w:rsid w:val="00857339"/>
    <w:rsid w:val="00860706"/>
    <w:rsid w:val="00862A7A"/>
    <w:rsid w:val="00863104"/>
    <w:rsid w:val="008636CD"/>
    <w:rsid w:val="00863702"/>
    <w:rsid w:val="00863D9E"/>
    <w:rsid w:val="00863FDC"/>
    <w:rsid w:val="008642AF"/>
    <w:rsid w:val="00865729"/>
    <w:rsid w:val="00865ED4"/>
    <w:rsid w:val="008669A7"/>
    <w:rsid w:val="00867464"/>
    <w:rsid w:val="00867E29"/>
    <w:rsid w:val="00870F2B"/>
    <w:rsid w:val="00873B2E"/>
    <w:rsid w:val="008746E6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00C2"/>
    <w:rsid w:val="008B07EF"/>
    <w:rsid w:val="008B16DE"/>
    <w:rsid w:val="008B190E"/>
    <w:rsid w:val="008B1A8A"/>
    <w:rsid w:val="008B1FC9"/>
    <w:rsid w:val="008B531F"/>
    <w:rsid w:val="008B54A3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7815"/>
    <w:rsid w:val="008C7A07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AF3"/>
    <w:rsid w:val="00902CBE"/>
    <w:rsid w:val="00902D74"/>
    <w:rsid w:val="00902EFF"/>
    <w:rsid w:val="00903E06"/>
    <w:rsid w:val="00904B9D"/>
    <w:rsid w:val="00905A11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7B11"/>
    <w:rsid w:val="00940F1F"/>
    <w:rsid w:val="00941250"/>
    <w:rsid w:val="0094427A"/>
    <w:rsid w:val="00944380"/>
    <w:rsid w:val="009459C5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54FF"/>
    <w:rsid w:val="00995E2F"/>
    <w:rsid w:val="009961BC"/>
    <w:rsid w:val="00996355"/>
    <w:rsid w:val="009A2014"/>
    <w:rsid w:val="009A3A87"/>
    <w:rsid w:val="009A4E12"/>
    <w:rsid w:val="009A5C68"/>
    <w:rsid w:val="009A6EF7"/>
    <w:rsid w:val="009B04D0"/>
    <w:rsid w:val="009B052C"/>
    <w:rsid w:val="009B0EF2"/>
    <w:rsid w:val="009B23A3"/>
    <w:rsid w:val="009B2C0E"/>
    <w:rsid w:val="009B4925"/>
    <w:rsid w:val="009B4B4B"/>
    <w:rsid w:val="009B6FD3"/>
    <w:rsid w:val="009B70BD"/>
    <w:rsid w:val="009C07A5"/>
    <w:rsid w:val="009C3705"/>
    <w:rsid w:val="009C7388"/>
    <w:rsid w:val="009D0CFF"/>
    <w:rsid w:val="009D1551"/>
    <w:rsid w:val="009D2859"/>
    <w:rsid w:val="009D36EC"/>
    <w:rsid w:val="009D4173"/>
    <w:rsid w:val="009D6095"/>
    <w:rsid w:val="009D6306"/>
    <w:rsid w:val="009E048A"/>
    <w:rsid w:val="009E1FBA"/>
    <w:rsid w:val="009E2C54"/>
    <w:rsid w:val="009E3710"/>
    <w:rsid w:val="009E6F65"/>
    <w:rsid w:val="009E7340"/>
    <w:rsid w:val="009E7B1F"/>
    <w:rsid w:val="009F3FC3"/>
    <w:rsid w:val="009F41C4"/>
    <w:rsid w:val="009F5846"/>
    <w:rsid w:val="009F63D2"/>
    <w:rsid w:val="009F7B52"/>
    <w:rsid w:val="009F7D77"/>
    <w:rsid w:val="00A004D2"/>
    <w:rsid w:val="00A015EA"/>
    <w:rsid w:val="00A10D66"/>
    <w:rsid w:val="00A12BA8"/>
    <w:rsid w:val="00A13993"/>
    <w:rsid w:val="00A1420C"/>
    <w:rsid w:val="00A1456C"/>
    <w:rsid w:val="00A14821"/>
    <w:rsid w:val="00A17754"/>
    <w:rsid w:val="00A2055B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1D07"/>
    <w:rsid w:val="00A424F8"/>
    <w:rsid w:val="00A42883"/>
    <w:rsid w:val="00A437B7"/>
    <w:rsid w:val="00A46D48"/>
    <w:rsid w:val="00A46DE0"/>
    <w:rsid w:val="00A4778A"/>
    <w:rsid w:val="00A47C94"/>
    <w:rsid w:val="00A504C0"/>
    <w:rsid w:val="00A5067F"/>
    <w:rsid w:val="00A517C1"/>
    <w:rsid w:val="00A518E0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21FB"/>
    <w:rsid w:val="00A727BA"/>
    <w:rsid w:val="00A72D4B"/>
    <w:rsid w:val="00A732AE"/>
    <w:rsid w:val="00A75E40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4628"/>
    <w:rsid w:val="00A94954"/>
    <w:rsid w:val="00A96463"/>
    <w:rsid w:val="00A97E3F"/>
    <w:rsid w:val="00AA09D3"/>
    <w:rsid w:val="00AA23FB"/>
    <w:rsid w:val="00AA34FE"/>
    <w:rsid w:val="00AA42AB"/>
    <w:rsid w:val="00AA559A"/>
    <w:rsid w:val="00AA5F10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7968"/>
    <w:rsid w:val="00AE7B2B"/>
    <w:rsid w:val="00AE7DFF"/>
    <w:rsid w:val="00AF128B"/>
    <w:rsid w:val="00AF1AEA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C2A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77BC8"/>
    <w:rsid w:val="00B800EB"/>
    <w:rsid w:val="00B822D2"/>
    <w:rsid w:val="00B83D46"/>
    <w:rsid w:val="00B848B8"/>
    <w:rsid w:val="00B84A41"/>
    <w:rsid w:val="00B84D57"/>
    <w:rsid w:val="00B8504B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B04"/>
    <w:rsid w:val="00BC6D27"/>
    <w:rsid w:val="00BD059A"/>
    <w:rsid w:val="00BD186B"/>
    <w:rsid w:val="00BD1EAC"/>
    <w:rsid w:val="00BD254C"/>
    <w:rsid w:val="00BD3428"/>
    <w:rsid w:val="00BD366B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F20"/>
    <w:rsid w:val="00C01700"/>
    <w:rsid w:val="00C034E6"/>
    <w:rsid w:val="00C05715"/>
    <w:rsid w:val="00C05926"/>
    <w:rsid w:val="00C0784A"/>
    <w:rsid w:val="00C10B28"/>
    <w:rsid w:val="00C10D62"/>
    <w:rsid w:val="00C10FAE"/>
    <w:rsid w:val="00C11DAF"/>
    <w:rsid w:val="00C123B4"/>
    <w:rsid w:val="00C12A69"/>
    <w:rsid w:val="00C13737"/>
    <w:rsid w:val="00C150BE"/>
    <w:rsid w:val="00C158B0"/>
    <w:rsid w:val="00C15A0C"/>
    <w:rsid w:val="00C15DCB"/>
    <w:rsid w:val="00C16208"/>
    <w:rsid w:val="00C1711F"/>
    <w:rsid w:val="00C17E38"/>
    <w:rsid w:val="00C20744"/>
    <w:rsid w:val="00C20B1C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422D"/>
    <w:rsid w:val="00C476C5"/>
    <w:rsid w:val="00C5028E"/>
    <w:rsid w:val="00C503B0"/>
    <w:rsid w:val="00C511C2"/>
    <w:rsid w:val="00C527C6"/>
    <w:rsid w:val="00C53CDB"/>
    <w:rsid w:val="00C53D82"/>
    <w:rsid w:val="00C54748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83"/>
    <w:rsid w:val="00C97038"/>
    <w:rsid w:val="00CA02B2"/>
    <w:rsid w:val="00CA0883"/>
    <w:rsid w:val="00CA1085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36"/>
    <w:rsid w:val="00CC2E15"/>
    <w:rsid w:val="00CC3440"/>
    <w:rsid w:val="00CC3908"/>
    <w:rsid w:val="00CC62AD"/>
    <w:rsid w:val="00CC6CA2"/>
    <w:rsid w:val="00CC7B80"/>
    <w:rsid w:val="00CD2B3C"/>
    <w:rsid w:val="00CD30F6"/>
    <w:rsid w:val="00CD4B29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617A"/>
    <w:rsid w:val="00CE6E3C"/>
    <w:rsid w:val="00CE797F"/>
    <w:rsid w:val="00CF25D2"/>
    <w:rsid w:val="00CF28C2"/>
    <w:rsid w:val="00CF42BD"/>
    <w:rsid w:val="00CF51EC"/>
    <w:rsid w:val="00CF6A9D"/>
    <w:rsid w:val="00CF6CD7"/>
    <w:rsid w:val="00CF75EC"/>
    <w:rsid w:val="00D0037A"/>
    <w:rsid w:val="00D0061E"/>
    <w:rsid w:val="00D00DAF"/>
    <w:rsid w:val="00D017EC"/>
    <w:rsid w:val="00D01CDA"/>
    <w:rsid w:val="00D020FC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901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DC2"/>
    <w:rsid w:val="00D766EF"/>
    <w:rsid w:val="00D76C03"/>
    <w:rsid w:val="00D77F8D"/>
    <w:rsid w:val="00D8119B"/>
    <w:rsid w:val="00D82462"/>
    <w:rsid w:val="00D868CE"/>
    <w:rsid w:val="00D86DAE"/>
    <w:rsid w:val="00D90116"/>
    <w:rsid w:val="00D90C1E"/>
    <w:rsid w:val="00D91BDF"/>
    <w:rsid w:val="00D91F2C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226A"/>
    <w:rsid w:val="00DC257F"/>
    <w:rsid w:val="00DC2A9F"/>
    <w:rsid w:val="00DC350B"/>
    <w:rsid w:val="00DC3790"/>
    <w:rsid w:val="00DC408A"/>
    <w:rsid w:val="00DC436D"/>
    <w:rsid w:val="00DC519B"/>
    <w:rsid w:val="00DC5B3B"/>
    <w:rsid w:val="00DC6796"/>
    <w:rsid w:val="00DC78DF"/>
    <w:rsid w:val="00DC7D4C"/>
    <w:rsid w:val="00DD0821"/>
    <w:rsid w:val="00DD0E32"/>
    <w:rsid w:val="00DD2872"/>
    <w:rsid w:val="00DD2A62"/>
    <w:rsid w:val="00DD2BFE"/>
    <w:rsid w:val="00DD373E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78DD"/>
    <w:rsid w:val="00DF7FEC"/>
    <w:rsid w:val="00E01C0E"/>
    <w:rsid w:val="00E02086"/>
    <w:rsid w:val="00E02740"/>
    <w:rsid w:val="00E03B27"/>
    <w:rsid w:val="00E04694"/>
    <w:rsid w:val="00E049F6"/>
    <w:rsid w:val="00E04CA9"/>
    <w:rsid w:val="00E05B2B"/>
    <w:rsid w:val="00E06A2A"/>
    <w:rsid w:val="00E07F05"/>
    <w:rsid w:val="00E127E1"/>
    <w:rsid w:val="00E144D2"/>
    <w:rsid w:val="00E144D6"/>
    <w:rsid w:val="00E15346"/>
    <w:rsid w:val="00E15B7D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BC2"/>
    <w:rsid w:val="00E34985"/>
    <w:rsid w:val="00E34E4A"/>
    <w:rsid w:val="00E365B3"/>
    <w:rsid w:val="00E366BB"/>
    <w:rsid w:val="00E37C45"/>
    <w:rsid w:val="00E40AAA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39E4"/>
    <w:rsid w:val="00E569C7"/>
    <w:rsid w:val="00E571F2"/>
    <w:rsid w:val="00E57429"/>
    <w:rsid w:val="00E61EA8"/>
    <w:rsid w:val="00E63221"/>
    <w:rsid w:val="00E64EA1"/>
    <w:rsid w:val="00E669C7"/>
    <w:rsid w:val="00E70510"/>
    <w:rsid w:val="00E71262"/>
    <w:rsid w:val="00E71A58"/>
    <w:rsid w:val="00E737F6"/>
    <w:rsid w:val="00E7568F"/>
    <w:rsid w:val="00E764AE"/>
    <w:rsid w:val="00E7724B"/>
    <w:rsid w:val="00E84F21"/>
    <w:rsid w:val="00E8618A"/>
    <w:rsid w:val="00E90A4B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5CD6"/>
    <w:rsid w:val="00EA76FD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424C"/>
    <w:rsid w:val="00EC454B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1057"/>
    <w:rsid w:val="00EE10AA"/>
    <w:rsid w:val="00EE1637"/>
    <w:rsid w:val="00EE3B7A"/>
    <w:rsid w:val="00EE3E78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101FF"/>
    <w:rsid w:val="00F104DF"/>
    <w:rsid w:val="00F10A33"/>
    <w:rsid w:val="00F10B64"/>
    <w:rsid w:val="00F1186C"/>
    <w:rsid w:val="00F14ACD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6197"/>
    <w:rsid w:val="00F273D4"/>
    <w:rsid w:val="00F307DD"/>
    <w:rsid w:val="00F318FC"/>
    <w:rsid w:val="00F31F76"/>
    <w:rsid w:val="00F325A3"/>
    <w:rsid w:val="00F3364D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3243"/>
    <w:rsid w:val="00F541ED"/>
    <w:rsid w:val="00F54B31"/>
    <w:rsid w:val="00F54FD3"/>
    <w:rsid w:val="00F55605"/>
    <w:rsid w:val="00F57CD7"/>
    <w:rsid w:val="00F62F02"/>
    <w:rsid w:val="00F6339F"/>
    <w:rsid w:val="00F63DDE"/>
    <w:rsid w:val="00F63FB7"/>
    <w:rsid w:val="00F64726"/>
    <w:rsid w:val="00F6561A"/>
    <w:rsid w:val="00F66243"/>
    <w:rsid w:val="00F70309"/>
    <w:rsid w:val="00F7078A"/>
    <w:rsid w:val="00F70E45"/>
    <w:rsid w:val="00F727D5"/>
    <w:rsid w:val="00F72F44"/>
    <w:rsid w:val="00F73A0C"/>
    <w:rsid w:val="00F759DC"/>
    <w:rsid w:val="00F7717C"/>
    <w:rsid w:val="00F771A5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5117"/>
    <w:rsid w:val="00F97ED2"/>
    <w:rsid w:val="00FA05D7"/>
    <w:rsid w:val="00FA1992"/>
    <w:rsid w:val="00FA1C6C"/>
    <w:rsid w:val="00FA2447"/>
    <w:rsid w:val="00FA2C2A"/>
    <w:rsid w:val="00FA309A"/>
    <w:rsid w:val="00FA7644"/>
    <w:rsid w:val="00FB0A9A"/>
    <w:rsid w:val="00FB16AD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095EE-12C6-4356-88B6-D70A24B2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3</TotalTime>
  <Pages>4</Pages>
  <Words>2647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2015-06-19T06:21:00Z</cp:lastPrinted>
  <dcterms:created xsi:type="dcterms:W3CDTF">2016-09-23T09:58:00Z</dcterms:created>
  <dcterms:modified xsi:type="dcterms:W3CDTF">2016-09-23T10:01:00Z</dcterms:modified>
</cp:coreProperties>
</file>