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4" w:rsidRPr="00A74192" w:rsidRDefault="00ED3A94" w:rsidP="00D94859">
      <w:pPr>
        <w:pStyle w:val="Textpoznpodarou"/>
        <w:jc w:val="both"/>
        <w:rPr>
          <w:sz w:val="2"/>
          <w:szCs w:val="2"/>
        </w:rPr>
      </w:pPr>
    </w:p>
    <w:p w:rsidR="005E4483" w:rsidRDefault="005E4483" w:rsidP="003C5DA1">
      <w:pPr>
        <w:pStyle w:val="Nadpis1"/>
        <w:numPr>
          <w:ilvl w:val="0"/>
          <w:numId w:val="19"/>
        </w:numPr>
        <w:jc w:val="both"/>
      </w:pPr>
      <w:bookmarkStart w:id="0" w:name="_Toc454185150"/>
      <w:bookmarkStart w:id="1" w:name="_Toc469327800"/>
      <w:r>
        <w:t>Výkonnost odvětví</w:t>
      </w:r>
      <w:bookmarkEnd w:id="0"/>
      <w:bookmarkEnd w:id="1"/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492991" w:rsidRPr="00DE32DB" w:rsidTr="008A03DE">
        <w:trPr>
          <w:trHeight w:val="145"/>
        </w:trPr>
        <w:tc>
          <w:tcPr>
            <w:tcW w:w="1016" w:type="pct"/>
          </w:tcPr>
          <w:p w:rsidR="00492991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  <w:r>
              <w:rPr>
                <w:color w:val="0D0D0D"/>
                <w:spacing w:val="-4"/>
                <w:sz w:val="16"/>
                <w:szCs w:val="16"/>
              </w:rPr>
              <w:t>Meziroční růst HPH</w:t>
            </w:r>
            <w:r w:rsidRPr="00E9571B">
              <w:rPr>
                <w:color w:val="0D0D0D"/>
                <w:spacing w:val="-4"/>
                <w:sz w:val="16"/>
                <w:szCs w:val="16"/>
              </w:rPr>
              <w:t xml:space="preserve"> </w:t>
            </w:r>
            <w:r>
              <w:rPr>
                <w:color w:val="0D0D0D"/>
                <w:spacing w:val="-4"/>
                <w:sz w:val="16"/>
                <w:szCs w:val="16"/>
              </w:rPr>
              <w:t>v</w:t>
            </w:r>
            <w:r w:rsidRPr="00E9571B">
              <w:rPr>
                <w:color w:val="0D0D0D"/>
                <w:spacing w:val="-4"/>
                <w:sz w:val="16"/>
                <w:szCs w:val="16"/>
              </w:rPr>
              <w:t>loni zvolňoval a v celoročním úhrnu byl nejslabší za poslední tři roky</w:t>
            </w:r>
            <w:r w:rsidR="00AE6734">
              <w:rPr>
                <w:color w:val="0D0D0D"/>
                <w:spacing w:val="-4"/>
                <w:sz w:val="16"/>
                <w:szCs w:val="16"/>
              </w:rPr>
              <w:t>.</w:t>
            </w:r>
          </w:p>
          <w:p w:rsidR="00492991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  <w:r>
              <w:rPr>
                <w:color w:val="0D0D0D"/>
                <w:spacing w:val="-4"/>
                <w:sz w:val="16"/>
                <w:szCs w:val="16"/>
              </w:rPr>
              <w:t>Zvolňování růstu HPH během loňského roku bylo způsobeno slabšími výkony váhově významných skupin odvětví služeb a také prohloubením nepříznivého vývoje ve stavebnictví</w:t>
            </w:r>
            <w:r w:rsidR="00AE6734">
              <w:rPr>
                <w:color w:val="0D0D0D"/>
                <w:spacing w:val="-4"/>
                <w:sz w:val="16"/>
                <w:szCs w:val="16"/>
              </w:rPr>
              <w:t>.</w:t>
            </w:r>
          </w:p>
          <w:p w:rsidR="00492991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</w:p>
          <w:p w:rsidR="00492991" w:rsidRPr="00E9571B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  <w:r>
              <w:rPr>
                <w:color w:val="0D0D0D"/>
                <w:spacing w:val="-4"/>
                <w:sz w:val="16"/>
                <w:szCs w:val="16"/>
              </w:rPr>
              <w:t>Velmi dobrá úroda vedla k nejvyššímu růstu HPH v odvětví zemědělství, lesnictví a rybářství od roku 2009, za poslední tři se jeho přidaná hodnota zvýšila o čtvrtinu</w:t>
            </w:r>
            <w:r w:rsidR="00AE6734">
              <w:rPr>
                <w:color w:val="0D0D0D"/>
                <w:spacing w:val="-4"/>
                <w:sz w:val="16"/>
                <w:szCs w:val="16"/>
              </w:rPr>
              <w:t>.</w:t>
            </w:r>
          </w:p>
          <w:p w:rsidR="00492991" w:rsidRPr="00DE32DB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492991" w:rsidRPr="00567A02" w:rsidRDefault="00492991" w:rsidP="008A03DE">
            <w:pPr>
              <w:pStyle w:val="Textpoznpodarou"/>
              <w:jc w:val="both"/>
              <w:rPr>
                <w:color w:val="0D0D0D"/>
                <w:spacing w:val="-4"/>
              </w:rPr>
            </w:pPr>
          </w:p>
        </w:tc>
        <w:tc>
          <w:tcPr>
            <w:tcW w:w="3840" w:type="pct"/>
          </w:tcPr>
          <w:p w:rsidR="00492991" w:rsidRPr="00E455BE" w:rsidRDefault="00492991" w:rsidP="008A03DE">
            <w:pPr>
              <w:pStyle w:val="Textpoznpodarou"/>
              <w:jc w:val="both"/>
              <w:rPr>
                <w:color w:val="0D0D0D"/>
                <w:spacing w:val="-4"/>
              </w:rPr>
            </w:pPr>
            <w:r w:rsidRPr="00567A02">
              <w:rPr>
                <w:color w:val="0D0D0D"/>
                <w:spacing w:val="-4"/>
              </w:rPr>
              <w:t>Výkon všech odvětví ekonomiky dle hrubé přidané hodnoty (HPH)</w:t>
            </w:r>
            <w:r w:rsidRPr="00567A02">
              <w:rPr>
                <w:rStyle w:val="Znakapoznpodarou"/>
                <w:color w:val="0D0D0D"/>
                <w:spacing w:val="-4"/>
              </w:rPr>
              <w:footnoteReference w:id="1"/>
            </w:r>
            <w:r>
              <w:rPr>
                <w:color w:val="0D0D0D"/>
                <w:spacing w:val="-4"/>
              </w:rPr>
              <w:t xml:space="preserve"> byl proti roku 2015 vyšší o 2,1</w:t>
            </w:r>
            <w:r w:rsidRPr="00567A02">
              <w:rPr>
                <w:color w:val="0D0D0D"/>
                <w:spacing w:val="-4"/>
              </w:rPr>
              <w:t xml:space="preserve"> %. Vlivem postupného </w:t>
            </w:r>
            <w:r>
              <w:rPr>
                <w:color w:val="0D0D0D"/>
                <w:spacing w:val="-4"/>
              </w:rPr>
              <w:t>odeznění mimořádných stimulačních faktorů</w:t>
            </w:r>
            <w:r w:rsidRPr="00567A02">
              <w:rPr>
                <w:color w:val="0D0D0D"/>
                <w:spacing w:val="-4"/>
              </w:rPr>
              <w:t xml:space="preserve"> se růst HPH během loňského roku zvolňoval. To bylo patrné především v </w:t>
            </w:r>
            <w:proofErr w:type="spellStart"/>
            <w:r w:rsidRPr="00567A02">
              <w:rPr>
                <w:color w:val="0D0D0D"/>
                <w:spacing w:val="-4"/>
              </w:rPr>
              <w:t>mezikvartálním</w:t>
            </w:r>
            <w:proofErr w:type="spellEnd"/>
            <w:r w:rsidRPr="00567A02">
              <w:rPr>
                <w:color w:val="0D0D0D"/>
                <w:spacing w:val="-4"/>
              </w:rPr>
              <w:t xml:space="preserve"> srovnání – </w:t>
            </w:r>
            <w:r>
              <w:rPr>
                <w:color w:val="0D0D0D"/>
                <w:spacing w:val="-4"/>
              </w:rPr>
              <w:t>v druhé polovině roku postupně +0,2 %, resp.</w:t>
            </w:r>
            <w:r w:rsidRPr="00567A02">
              <w:rPr>
                <w:color w:val="0D0D0D"/>
                <w:spacing w:val="-4"/>
              </w:rPr>
              <w:t xml:space="preserve"> +0,3 % (v obou případech šlo o nejslabší tempa od 3. čtvrtletí 2013</w:t>
            </w:r>
            <w:r>
              <w:rPr>
                <w:color w:val="0D0D0D"/>
                <w:spacing w:val="-4"/>
              </w:rPr>
              <w:t xml:space="preserve">, kde se česká ekonomika pozvolna vymaňovala z vleklé recese). Klíčovou hnací roli si držel, podobně jako ve většině období hospodářského růstu, zpracovatelský průmysl. K loňskému </w:t>
            </w:r>
            <w:r w:rsidR="00C574CF">
              <w:rPr>
                <w:color w:val="0D0D0D"/>
                <w:spacing w:val="-4"/>
              </w:rPr>
              <w:t xml:space="preserve">2,1% růstu celkové HPH </w:t>
            </w:r>
            <w:r>
              <w:rPr>
                <w:color w:val="0D0D0D"/>
                <w:spacing w:val="-4"/>
              </w:rPr>
              <w:t xml:space="preserve">přispěl 1,3 </w:t>
            </w:r>
            <w:proofErr w:type="spellStart"/>
            <w:proofErr w:type="gramStart"/>
            <w:r>
              <w:rPr>
                <w:color w:val="0D0D0D"/>
                <w:spacing w:val="-4"/>
              </w:rPr>
              <w:t>p.b</w:t>
            </w:r>
            <w:proofErr w:type="spellEnd"/>
            <w:r>
              <w:rPr>
                <w:color w:val="0D0D0D"/>
                <w:spacing w:val="-4"/>
              </w:rPr>
              <w:t>.</w:t>
            </w:r>
            <w:proofErr w:type="gramEnd"/>
            <w:r>
              <w:rPr>
                <w:color w:val="0D0D0D"/>
                <w:spacing w:val="-4"/>
              </w:rPr>
              <w:t xml:space="preserve"> Jeho role byla ještě umocněna v druhé polovině roku, když výrazný růst </w:t>
            </w:r>
            <w:r w:rsidRPr="00BB1C6B">
              <w:rPr>
                <w:color w:val="0D0D0D"/>
                <w:spacing w:val="-4"/>
              </w:rPr>
              <w:t xml:space="preserve">HPH ve váhově významném seskupení odvětví </w:t>
            </w:r>
            <w:r>
              <w:rPr>
                <w:color w:val="0D0D0D"/>
                <w:spacing w:val="-4"/>
              </w:rPr>
              <w:t>obchod, doprava, ubytování a</w:t>
            </w:r>
            <w:r w:rsidRPr="00567A02">
              <w:rPr>
                <w:color w:val="0D0D0D"/>
                <w:spacing w:val="-4"/>
              </w:rPr>
              <w:t> </w:t>
            </w:r>
            <w:r w:rsidRPr="00BB1C6B">
              <w:rPr>
                <w:color w:val="0D0D0D"/>
                <w:spacing w:val="-4"/>
              </w:rPr>
              <w:t>pohostinství</w:t>
            </w:r>
            <w:r>
              <w:rPr>
                <w:color w:val="0D0D0D"/>
                <w:spacing w:val="-4"/>
              </w:rPr>
              <w:t xml:space="preserve"> po 2,5 letech vyprchal. Na úspěšné předchozí roky loni naopak plně </w:t>
            </w:r>
            <w:r w:rsidRPr="00357E6B">
              <w:rPr>
                <w:color w:val="0D0D0D"/>
                <w:spacing w:val="-4"/>
              </w:rPr>
              <w:t>navázaly činnosti v oblasti nemovitostí</w:t>
            </w:r>
            <w:r>
              <w:rPr>
                <w:color w:val="0D0D0D"/>
                <w:spacing w:val="-4"/>
              </w:rPr>
              <w:t xml:space="preserve"> a zejména</w:t>
            </w:r>
            <w:r w:rsidRPr="00357E6B">
              <w:rPr>
                <w:color w:val="0D0D0D"/>
                <w:spacing w:val="-4"/>
              </w:rPr>
              <w:t xml:space="preserve"> odvětví </w:t>
            </w:r>
            <w:r>
              <w:rPr>
                <w:color w:val="0D0D0D"/>
                <w:spacing w:val="-4"/>
              </w:rPr>
              <w:t>zemědělství, lesnictví a</w:t>
            </w:r>
            <w:r w:rsidRPr="00567A02">
              <w:rPr>
                <w:color w:val="0D0D0D"/>
                <w:spacing w:val="-4"/>
              </w:rPr>
              <w:t> </w:t>
            </w:r>
            <w:r w:rsidRPr="00E455BE">
              <w:rPr>
                <w:color w:val="0D0D0D"/>
                <w:spacing w:val="-4"/>
              </w:rPr>
              <w:t>rybářství. K</w:t>
            </w:r>
            <w:r>
              <w:rPr>
                <w:color w:val="0D0D0D"/>
                <w:spacing w:val="-4"/>
              </w:rPr>
              <w:t> silnému růstu</w:t>
            </w:r>
            <w:r w:rsidRPr="00E455BE">
              <w:rPr>
                <w:color w:val="0D0D0D"/>
                <w:spacing w:val="-4"/>
              </w:rPr>
              <w:t xml:space="preserve"> HPH (o 9,5 %) přispěla velmi dobrá úroda všech základních zemědělských plodin (u obilovin byla dokonce třetí nejvyšší v historii samostatné ČR).</w:t>
            </w:r>
            <w:r>
              <w:rPr>
                <w:color w:val="0D0D0D"/>
                <w:spacing w:val="-4"/>
              </w:rPr>
              <w:t xml:space="preserve"> </w:t>
            </w:r>
            <w:r w:rsidR="00A71279">
              <w:rPr>
                <w:spacing w:val="-4"/>
              </w:rPr>
              <w:t>Snižování</w:t>
            </w:r>
            <w:r>
              <w:rPr>
                <w:spacing w:val="-4"/>
              </w:rPr>
              <w:t xml:space="preserve"> mimořádných zdrojů veřejných zakázek utlumilo výkony stavebnictví. HPH </w:t>
            </w:r>
            <w:r w:rsidR="00C574CF">
              <w:rPr>
                <w:spacing w:val="-4"/>
              </w:rPr>
              <w:t xml:space="preserve">se ve stavebnictví </w:t>
            </w:r>
            <w:proofErr w:type="spellStart"/>
            <w:r>
              <w:rPr>
                <w:spacing w:val="-4"/>
              </w:rPr>
              <w:t>mezikvartálně</w:t>
            </w:r>
            <w:proofErr w:type="spellEnd"/>
            <w:r>
              <w:rPr>
                <w:spacing w:val="-4"/>
              </w:rPr>
              <w:t xml:space="preserve"> snižovala již od 4. čtvrtletí 2015, za pět čtvrtletí se zredukovala v úhrnu o</w:t>
            </w:r>
            <w:r w:rsidRPr="005E4483">
              <w:rPr>
                <w:spacing w:val="-4"/>
              </w:rPr>
              <w:t> </w:t>
            </w:r>
            <w:r>
              <w:rPr>
                <w:spacing w:val="-4"/>
              </w:rPr>
              <w:t>11,3 %. Dlouhodobě nej</w:t>
            </w:r>
            <w:r w:rsidR="00C574CF">
              <w:rPr>
                <w:spacing w:val="-4"/>
              </w:rPr>
              <w:t>istá situace v odvětví se vybírala</w:t>
            </w:r>
            <w:r>
              <w:rPr>
                <w:spacing w:val="-4"/>
              </w:rPr>
              <w:t xml:space="preserve"> svou daň na zaměstnanosti. Počet odpracovaných hodin byl ve druhém loňském pololetí meziročně o 4</w:t>
            </w:r>
            <w:r w:rsidR="00C574CF">
              <w:rPr>
                <w:spacing w:val="-4"/>
              </w:rPr>
              <w:t>,0</w:t>
            </w:r>
            <w:r>
              <w:rPr>
                <w:spacing w:val="-4"/>
              </w:rPr>
              <w:t xml:space="preserve"> % nižší. S problémy se potýkala i nezpracovatelská průmyslová odvětví. Jejich negativní příspěvek k meziročnímu růstu HPH se ale loni výrazně redukoval (na -0,1 </w:t>
            </w:r>
            <w:proofErr w:type="spellStart"/>
            <w:proofErr w:type="gramStart"/>
            <w:r>
              <w:rPr>
                <w:spacing w:val="-4"/>
              </w:rPr>
              <w:t>p.b</w:t>
            </w:r>
            <w:proofErr w:type="spellEnd"/>
            <w:r>
              <w:rPr>
                <w:spacing w:val="-4"/>
              </w:rPr>
              <w:t>., o rok</w:t>
            </w:r>
            <w:proofErr w:type="gramEnd"/>
            <w:r>
              <w:rPr>
                <w:spacing w:val="-4"/>
              </w:rPr>
              <w:t xml:space="preserve"> dříve -0,8 </w:t>
            </w:r>
            <w:proofErr w:type="spellStart"/>
            <w:r>
              <w:rPr>
                <w:spacing w:val="-4"/>
              </w:rPr>
              <w:t>p.b</w:t>
            </w:r>
            <w:proofErr w:type="spellEnd"/>
            <w:r>
              <w:rPr>
                <w:spacing w:val="-4"/>
              </w:rPr>
              <w:t>.), v poslední čtvrtině roku byl dokonce vlivem vývoje v energetice již kladný (poprvé po devíti čtvrtletích).</w:t>
            </w:r>
          </w:p>
          <w:p w:rsidR="00492991" w:rsidRPr="00567A02" w:rsidRDefault="00492991" w:rsidP="008A03DE">
            <w:pPr>
              <w:pStyle w:val="Textpoznpodarou"/>
              <w:jc w:val="both"/>
              <w:rPr>
                <w:color w:val="0D0D0D"/>
                <w:spacing w:val="-4"/>
                <w:sz w:val="14"/>
                <w:szCs w:val="14"/>
              </w:rPr>
            </w:pPr>
          </w:p>
        </w:tc>
      </w:tr>
      <w:tr w:rsidR="00492991" w:rsidRPr="00A74192" w:rsidTr="008A03DE">
        <w:trPr>
          <w:trHeight w:val="145"/>
        </w:trPr>
        <w:tc>
          <w:tcPr>
            <w:tcW w:w="1016" w:type="pct"/>
            <w:shd w:val="clear" w:color="auto" w:fill="auto"/>
          </w:tcPr>
          <w:p w:rsidR="00492991" w:rsidRPr="00E7316A" w:rsidRDefault="00492991" w:rsidP="008A03DE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E7316A">
              <w:rPr>
                <w:spacing w:val="-2"/>
                <w:sz w:val="16"/>
                <w:szCs w:val="16"/>
              </w:rPr>
              <w:t xml:space="preserve">Meziroční růst průmyslové produkce </w:t>
            </w:r>
            <w:r>
              <w:rPr>
                <w:spacing w:val="-2"/>
                <w:sz w:val="16"/>
                <w:szCs w:val="16"/>
              </w:rPr>
              <w:t>v</w:t>
            </w:r>
            <w:r w:rsidRPr="00E7316A">
              <w:rPr>
                <w:spacing w:val="-2"/>
                <w:sz w:val="16"/>
                <w:szCs w:val="16"/>
              </w:rPr>
              <w:t> </w:t>
            </w:r>
            <w:r>
              <w:rPr>
                <w:spacing w:val="-2"/>
                <w:sz w:val="16"/>
                <w:szCs w:val="16"/>
              </w:rPr>
              <w:t>průběhu roku 2016</w:t>
            </w:r>
            <w:r w:rsidRPr="00E7316A">
              <w:rPr>
                <w:spacing w:val="-2"/>
                <w:sz w:val="16"/>
                <w:szCs w:val="16"/>
              </w:rPr>
              <w:t xml:space="preserve"> zpomaloval vlivem vysoké srovnávací základny, slabších výsledků klíčových exportních oborů v letním období i neplánovaného omezení výrobních kapacit chemického průmyslu a energetiky po většinu roku</w:t>
            </w:r>
            <w:r w:rsidR="00AE6734"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Pr="00F5304A" w:rsidRDefault="00492991" w:rsidP="008A03D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Pokračování růstových tendencí hlavních odvětví ekonomiky potvrzují i podrobnější výsledky podnikových statistik. </w:t>
            </w:r>
            <w:r w:rsidRPr="005E4483">
              <w:rPr>
                <w:color w:val="000000"/>
                <w:spacing w:val="-4"/>
              </w:rPr>
              <w:t>Výkon průmyslu</w:t>
            </w:r>
            <w:r w:rsidRPr="005E4483">
              <w:rPr>
                <w:color w:val="000000"/>
                <w:spacing w:val="-4"/>
                <w:vertAlign w:val="superscript"/>
              </w:rPr>
              <w:footnoteReference w:id="2"/>
            </w:r>
            <w:r w:rsidRPr="005E4483">
              <w:rPr>
                <w:color w:val="000000"/>
                <w:spacing w:val="-4"/>
              </w:rPr>
              <w:t xml:space="preserve"> (dle </w:t>
            </w:r>
            <w:r w:rsidRPr="00F5304A">
              <w:rPr>
                <w:color w:val="000000"/>
                <w:spacing w:val="-4"/>
              </w:rPr>
              <w:t>indexu průmyslové produkce)</w:t>
            </w:r>
            <w:r>
              <w:rPr>
                <w:color w:val="000000"/>
                <w:spacing w:val="-4"/>
              </w:rPr>
              <w:t xml:space="preserve"> v</w:t>
            </w:r>
            <w:r w:rsidRPr="005E4483">
              <w:rPr>
                <w:spacing w:val="-4"/>
              </w:rPr>
              <w:t> </w:t>
            </w:r>
            <w:r>
              <w:rPr>
                <w:color w:val="000000"/>
                <w:spacing w:val="-4"/>
              </w:rPr>
              <w:t>roce 2016 posílil o 2,9</w:t>
            </w:r>
            <w:r>
              <w:rPr>
                <w:spacing w:val="-4"/>
              </w:rPr>
              <w:t> </w:t>
            </w:r>
            <w:r>
              <w:rPr>
                <w:color w:val="000000"/>
                <w:spacing w:val="-4"/>
              </w:rPr>
              <w:t>% (resp. 2,3</w:t>
            </w:r>
            <w:r w:rsidRPr="005E4483">
              <w:rPr>
                <w:color w:val="000000"/>
                <w:spacing w:val="-4"/>
              </w:rPr>
              <w:t xml:space="preserve"> % po očištění o</w:t>
            </w:r>
            <w:r w:rsidRPr="005E4483">
              <w:rPr>
                <w:spacing w:val="-4"/>
              </w:rPr>
              <w:t> </w:t>
            </w:r>
            <w:r w:rsidRPr="005E4483">
              <w:rPr>
                <w:color w:val="000000"/>
                <w:spacing w:val="-4"/>
              </w:rPr>
              <w:t>kalendářní efekty)</w:t>
            </w:r>
            <w:r w:rsidRPr="005E4483">
              <w:rPr>
                <w:rStyle w:val="Znakapoznpodarou"/>
                <w:color w:val="000000"/>
                <w:spacing w:val="-4"/>
              </w:rPr>
              <w:footnoteReference w:id="3"/>
            </w:r>
            <w:r w:rsidRPr="005E4483">
              <w:rPr>
                <w:color w:val="000000"/>
                <w:spacing w:val="-4"/>
              </w:rPr>
              <w:t>.</w:t>
            </w:r>
            <w:r>
              <w:rPr>
                <w:color w:val="000000"/>
                <w:spacing w:val="-4"/>
              </w:rPr>
              <w:t xml:space="preserve"> Přestože se proti rokům 2014 a 2015 loňské tempo růstu snížilo zhruba o</w:t>
            </w:r>
            <w:r w:rsidRPr="005E4483">
              <w:rPr>
                <w:spacing w:val="-4"/>
              </w:rPr>
              <w:t> </w:t>
            </w:r>
            <w:r>
              <w:rPr>
                <w:color w:val="000000"/>
                <w:spacing w:val="-4"/>
              </w:rPr>
              <w:t xml:space="preserve">polovinu, stále převyšovalo dynamiku celé EU (o 0,9 </w:t>
            </w:r>
            <w:proofErr w:type="spellStart"/>
            <w:proofErr w:type="gramStart"/>
            <w:r>
              <w:rPr>
                <w:color w:val="000000"/>
                <w:spacing w:val="-4"/>
              </w:rPr>
              <w:t>p.b</w:t>
            </w:r>
            <w:proofErr w:type="spellEnd"/>
            <w:r>
              <w:rPr>
                <w:color w:val="000000"/>
                <w:spacing w:val="-4"/>
              </w:rPr>
              <w:t>.).</w:t>
            </w:r>
            <w:proofErr w:type="gramEnd"/>
            <w:r>
              <w:rPr>
                <w:color w:val="000000"/>
                <w:spacing w:val="-4"/>
              </w:rPr>
              <w:t xml:space="preserve"> Náznaky zpomalení v Česku byly patrné již z nižšího objemu nových zakázek v druhé polovině roku 2015 (ve strojírenství či výrobě elektrických zařízení), resp. jejich propadu v chemickém průmyslu v důsledku vážných havárií. S omezením výrobních kapacit se během většiny loňského roku potýkalo i objemově významné odvětví energetiky (tvořící dvanáctinu produkce celého průmyslu). Na loňské produkci průmyslu se negativně podepsaly i slabší výsledky </w:t>
            </w:r>
            <w:r w:rsidRPr="005E4483">
              <w:rPr>
                <w:spacing w:val="-4"/>
              </w:rPr>
              <w:t xml:space="preserve">v letních měsících. Během nich se produkce snížila o téměř 2 % a zaznamenala tak nejhlubší </w:t>
            </w:r>
            <w:proofErr w:type="spellStart"/>
            <w:r w:rsidRPr="005E4483">
              <w:rPr>
                <w:spacing w:val="-4"/>
              </w:rPr>
              <w:t>mezičtvrt</w:t>
            </w:r>
            <w:r w:rsidR="00AE6734">
              <w:rPr>
                <w:spacing w:val="-4"/>
              </w:rPr>
              <w:t>letní</w:t>
            </w:r>
            <w:proofErr w:type="spellEnd"/>
            <w:r w:rsidR="00AE6734">
              <w:rPr>
                <w:spacing w:val="-4"/>
              </w:rPr>
              <w:t xml:space="preserve"> pokles od konce roku 2012</w:t>
            </w:r>
            <w:r w:rsidRPr="005E4483">
              <w:rPr>
                <w:spacing w:val="-4"/>
              </w:rPr>
              <w:t xml:space="preserve"> </w:t>
            </w:r>
            <w:r>
              <w:rPr>
                <w:spacing w:val="-4"/>
              </w:rPr>
              <w:t>(v klíčovém exportním odvětví – výrobě motorových vozidel – dokonce o 4 %). Poslední loňské čtvrtletí ale naznačilo, že šlo pouze o jednorázový výkyv. Průmyslu umožnilo plně se nadechnout také obnovení výrobních kapacit v elektrárnách i chemickém průmyslu.</w:t>
            </w:r>
          </w:p>
          <w:p w:rsidR="00492991" w:rsidRPr="005D073B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rPr>
          <w:trHeight w:val="145"/>
        </w:trPr>
        <w:tc>
          <w:tcPr>
            <w:tcW w:w="1016" w:type="pct"/>
            <w:shd w:val="clear" w:color="auto" w:fill="auto"/>
          </w:tcPr>
          <w:p w:rsidR="00492991" w:rsidRPr="00431053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  <w:r w:rsidRPr="00431053">
              <w:rPr>
                <w:color w:val="0D0D0D"/>
                <w:spacing w:val="-4"/>
                <w:sz w:val="16"/>
                <w:szCs w:val="16"/>
              </w:rPr>
              <w:t xml:space="preserve">Dlouhodobě dominantní postavení výroby motorových vozidel v rámci průmyslu bylo v roce </w:t>
            </w:r>
            <w:r>
              <w:rPr>
                <w:color w:val="0D0D0D"/>
                <w:spacing w:val="-4"/>
                <w:sz w:val="16"/>
                <w:szCs w:val="16"/>
              </w:rPr>
              <w:t>2016</w:t>
            </w:r>
            <w:r w:rsidRPr="00431053">
              <w:rPr>
                <w:color w:val="0D0D0D"/>
                <w:spacing w:val="-4"/>
                <w:sz w:val="16"/>
                <w:szCs w:val="16"/>
              </w:rPr>
              <w:t xml:space="preserve"> ještě umocněno</w:t>
            </w:r>
            <w:r w:rsidR="00AE6734">
              <w:rPr>
                <w:color w:val="0D0D0D"/>
                <w:spacing w:val="-4"/>
                <w:sz w:val="16"/>
                <w:szCs w:val="16"/>
              </w:rPr>
              <w:t>.</w:t>
            </w:r>
          </w:p>
          <w:p w:rsidR="00492991" w:rsidRPr="005E4483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Pr="00E7316A" w:rsidRDefault="00492991" w:rsidP="008A03DE">
            <w:pPr>
              <w:pStyle w:val="Textpoznpodarou"/>
              <w:jc w:val="both"/>
              <w:rPr>
                <w:spacing w:val="-4"/>
              </w:rPr>
            </w:pPr>
            <w:r w:rsidRPr="00E7316A">
              <w:rPr>
                <w:spacing w:val="-4"/>
              </w:rPr>
              <w:t>Produkci</w:t>
            </w:r>
            <w:r>
              <w:rPr>
                <w:spacing w:val="-4"/>
              </w:rPr>
              <w:t xml:space="preserve"> celého průmyslu tradičně táhla výroba motorových vozidel. Její dominantní postavení se ve srovnání s předchozím obdobím let 2014 a 2015 ještě zvýraznilo, když k mez</w:t>
            </w:r>
            <w:r w:rsidR="005A5F82">
              <w:rPr>
                <w:spacing w:val="-4"/>
              </w:rPr>
              <w:t>iročnímu růstu loni přispěla 2,0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</w:rPr>
              <w:t>p.b</w:t>
            </w:r>
            <w:proofErr w:type="spellEnd"/>
            <w:r>
              <w:rPr>
                <w:spacing w:val="-4"/>
              </w:rPr>
              <w:t>. (spolu</w:t>
            </w:r>
            <w:proofErr w:type="gramEnd"/>
            <w:r>
              <w:rPr>
                <w:spacing w:val="-4"/>
              </w:rPr>
              <w:t xml:space="preserve"> s nejbližšími subdodavatelskými obory 2,5 </w:t>
            </w:r>
            <w:proofErr w:type="spellStart"/>
            <w:r>
              <w:rPr>
                <w:spacing w:val="-4"/>
              </w:rPr>
              <w:t>p.b</w:t>
            </w:r>
            <w:proofErr w:type="spellEnd"/>
            <w:r>
              <w:rPr>
                <w:spacing w:val="-4"/>
              </w:rPr>
              <w:t>.). Svědčí o tom i fakt, že jako jediné průmyslové odvětví ze svých dvojciferných růstů z předchozích let neslevilo (za poslední tři roky jeho produkce expandovala o 41 %, růst v celém průmyslu činil 13 %). R</w:t>
            </w:r>
            <w:r>
              <w:rPr>
                <w:color w:val="000000"/>
                <w:spacing w:val="-4"/>
              </w:rPr>
              <w:t>ostoucí poptávka</w:t>
            </w:r>
            <w:r w:rsidRPr="005E4483">
              <w:rPr>
                <w:color w:val="000000"/>
                <w:spacing w:val="-4"/>
              </w:rPr>
              <w:t xml:space="preserve"> na evropských i asijských trzích</w:t>
            </w:r>
            <w:r>
              <w:rPr>
                <w:color w:val="000000"/>
                <w:spacing w:val="-4"/>
              </w:rPr>
              <w:t xml:space="preserve"> stimulovala produkci, což se odrazilo i v opětovném pokoření rekordu </w:t>
            </w:r>
            <w:r>
              <w:rPr>
                <w:spacing w:val="-4"/>
              </w:rPr>
              <w:t>počtu</w:t>
            </w:r>
            <w:r w:rsidRPr="005E4483">
              <w:rPr>
                <w:spacing w:val="-4"/>
              </w:rPr>
              <w:t xml:space="preserve"> vyrobených </w:t>
            </w:r>
            <w:r>
              <w:rPr>
                <w:spacing w:val="-4"/>
              </w:rPr>
              <w:t>motorových vozidel v Česku</w:t>
            </w:r>
            <w:r w:rsidRPr="005E4483">
              <w:rPr>
                <w:rStyle w:val="Znakapoznpodarou"/>
                <w:spacing w:val="-4"/>
              </w:rPr>
              <w:footnoteReference w:id="4"/>
            </w:r>
            <w:r w:rsidRPr="005E4483">
              <w:rPr>
                <w:spacing w:val="-4"/>
              </w:rPr>
              <w:t>.</w:t>
            </w:r>
            <w:r>
              <w:rPr>
                <w:spacing w:val="-4"/>
              </w:rPr>
              <w:t xml:space="preserve"> Z tohoto vývoje profitovali i výrobci příslušných meziproduktů – dařilo se především gumárenství (ale např. ve výrobě elektrických zařízení činil růst produkce 0,7 %). Podobně skromného výsledku dosáhli loni i výrobci ostatních (hlavně kolejových) dopravních prostředků, v pozadí zde stála slabší tuzemská poptávka (ve srovnání se silným rokem 2015). </w:t>
            </w:r>
          </w:p>
          <w:p w:rsidR="00492991" w:rsidRPr="005D073B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rPr>
          <w:trHeight w:val="145"/>
        </w:trPr>
        <w:tc>
          <w:tcPr>
            <w:tcW w:w="1016" w:type="pct"/>
            <w:shd w:val="clear" w:color="auto" w:fill="auto"/>
          </w:tcPr>
          <w:p w:rsidR="00492991" w:rsidRPr="0092012E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  <w:r w:rsidRPr="0092012E">
              <w:rPr>
                <w:color w:val="0D0D0D"/>
                <w:spacing w:val="-4"/>
                <w:sz w:val="16"/>
                <w:szCs w:val="16"/>
              </w:rPr>
              <w:t xml:space="preserve">Pokračoval růst produkce ve váhově významné </w:t>
            </w:r>
            <w:r w:rsidRPr="0092012E">
              <w:rPr>
                <w:color w:val="0D0D0D"/>
                <w:spacing w:val="-4"/>
                <w:sz w:val="16"/>
                <w:szCs w:val="16"/>
              </w:rPr>
              <w:lastRenderedPageBreak/>
              <w:t xml:space="preserve">kovovýrobě i strojírenství, </w:t>
            </w:r>
            <w:r>
              <w:rPr>
                <w:color w:val="0D0D0D"/>
                <w:spacing w:val="-4"/>
                <w:sz w:val="16"/>
                <w:szCs w:val="16"/>
              </w:rPr>
              <w:t>dařilo se i výrobcům počítačů, elektronických a</w:t>
            </w:r>
            <w:r w:rsidRPr="00431053">
              <w:rPr>
                <w:color w:val="0D0D0D"/>
                <w:spacing w:val="-4"/>
                <w:sz w:val="16"/>
                <w:szCs w:val="16"/>
              </w:rPr>
              <w:t> </w:t>
            </w:r>
            <w:r>
              <w:rPr>
                <w:color w:val="0D0D0D"/>
                <w:spacing w:val="-4"/>
                <w:sz w:val="16"/>
                <w:szCs w:val="16"/>
              </w:rPr>
              <w:t>optických přístrojů</w:t>
            </w:r>
            <w:r w:rsidR="00AE6734">
              <w:rPr>
                <w:color w:val="0D0D0D"/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Default="00492991" w:rsidP="008A03D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V rámci </w:t>
            </w:r>
            <w:r w:rsidRPr="002E3808">
              <w:rPr>
                <w:spacing w:val="-4"/>
              </w:rPr>
              <w:t xml:space="preserve">ostatních významnějších zpracovatelských </w:t>
            </w:r>
            <w:r>
              <w:rPr>
                <w:spacing w:val="-4"/>
              </w:rPr>
              <w:t>oborů zaznamenala vloni nadprůměrný růst</w:t>
            </w:r>
            <w:r w:rsidRPr="005E4483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kovovýroba (o 4,5 %), jejíž produkce </w:t>
            </w:r>
            <w:r w:rsidRPr="005E4483">
              <w:rPr>
                <w:spacing w:val="-4"/>
              </w:rPr>
              <w:t xml:space="preserve">poprvé </w:t>
            </w:r>
            <w:r>
              <w:rPr>
                <w:spacing w:val="-4"/>
              </w:rPr>
              <w:t xml:space="preserve">překonala úroveň </w:t>
            </w:r>
            <w:r>
              <w:rPr>
                <w:spacing w:val="-4"/>
              </w:rPr>
              <w:lastRenderedPageBreak/>
              <w:t>konjunkturního roku 2007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>. Silně proexportní</w:t>
            </w:r>
            <w:r w:rsidRPr="005E4483">
              <w:rPr>
                <w:spacing w:val="-4"/>
              </w:rPr>
              <w:t xml:space="preserve"> </w:t>
            </w:r>
            <w:r>
              <w:rPr>
                <w:spacing w:val="-4"/>
              </w:rPr>
              <w:t>výroba počítačů, elektronických a </w:t>
            </w:r>
            <w:r w:rsidRPr="005E4483">
              <w:rPr>
                <w:spacing w:val="-4"/>
              </w:rPr>
              <w:t>optický</w:t>
            </w:r>
            <w:r>
              <w:rPr>
                <w:spacing w:val="-4"/>
              </w:rPr>
              <w:t>ch přístrojů jako jeden z mála oborů svůj meziroční růst zrychlil (na 5,6 % z 2,8 % v roce 2015). Ve strojírenství vykompenzovala vyšší zahraniční poptávka méně příznivý vývoj v tuzemsku a promítla se do vyšší produkce (o 1 %). Větší diverzifikace tohoto oboru ho činila odolnějším s ohledem na výkyvy v poptávce. Strojírenská produkce se tak navyšovala již sedmý rok v řadě a proti roku 2007 byla loni o téměř desetinu vyšší (podobně jako v celém průmyslu).</w:t>
            </w:r>
          </w:p>
          <w:p w:rsidR="00492991" w:rsidRPr="00656A4E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rPr>
          <w:trHeight w:val="145"/>
        </w:trPr>
        <w:tc>
          <w:tcPr>
            <w:tcW w:w="1016" w:type="pct"/>
            <w:shd w:val="clear" w:color="auto" w:fill="auto"/>
          </w:tcPr>
          <w:p w:rsidR="00492991" w:rsidRPr="005E4483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Z menších zpracovatelských oborů pokračoval dynamický růst produkce v nábytkářství, jakož i mírné oživení v textilním průmyslu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Default="00492991" w:rsidP="008A03DE">
            <w:pPr>
              <w:pStyle w:val="Textpoznpodarou"/>
              <w:jc w:val="both"/>
              <w:rPr>
                <w:spacing w:val="-4"/>
              </w:rPr>
            </w:pPr>
            <w:r w:rsidRPr="005E4483">
              <w:rPr>
                <w:spacing w:val="-4"/>
              </w:rPr>
              <w:t xml:space="preserve">Z menších odvětví se </w:t>
            </w:r>
            <w:r>
              <w:rPr>
                <w:spacing w:val="-4"/>
              </w:rPr>
              <w:t xml:space="preserve">nadále </w:t>
            </w:r>
            <w:r w:rsidRPr="005E4483">
              <w:rPr>
                <w:spacing w:val="-4"/>
              </w:rPr>
              <w:t xml:space="preserve">dařilo výrobcům </w:t>
            </w:r>
            <w:r>
              <w:rPr>
                <w:spacing w:val="-4"/>
              </w:rPr>
              <w:t>nábytku, jejichž produkce za poslední čtyři roky vzrostla o více než čtvrtinu (za svým dosavadním vrcholem z roku 2007 ale stále o 6 % zaostávala). Mírně vyšší tempo než celý zpracovatelský průmysl (+3,7 %) vykázaly loni textilní i kožedělný průmysl. Dlouhodobě utl</w:t>
            </w:r>
            <w:r w:rsidR="00A71279">
              <w:rPr>
                <w:spacing w:val="-4"/>
              </w:rPr>
              <w:t xml:space="preserve">umené oděvnictví po </w:t>
            </w:r>
            <w:r>
              <w:rPr>
                <w:spacing w:val="-4"/>
              </w:rPr>
              <w:t xml:space="preserve">oživení </w:t>
            </w:r>
            <w:r w:rsidR="00A71279">
              <w:rPr>
                <w:spacing w:val="-4"/>
              </w:rPr>
              <w:t xml:space="preserve">v roce 2015 </w:t>
            </w:r>
            <w:r>
              <w:rPr>
                <w:spacing w:val="-4"/>
              </w:rPr>
              <w:t>(tažené vyšší z</w:t>
            </w:r>
            <w:r w:rsidR="00A71279">
              <w:rPr>
                <w:spacing w:val="-4"/>
              </w:rPr>
              <w:t>ahraniční poptávkou) vloni</w:t>
            </w:r>
            <w:r>
              <w:rPr>
                <w:spacing w:val="-4"/>
              </w:rPr>
              <w:t xml:space="preserve"> stagnovalo, když zvýšení poptávky z tuzemska pouze vyrovnalo mírný meziroční pokles váhově významnější zahraniční poptávky. I vlivem nižší srovnávací základny dosáhlo svižného růstu tiskárenství, které je tradičně zaměřené převážně na tuzemský trh.</w:t>
            </w:r>
          </w:p>
          <w:p w:rsidR="00492991" w:rsidRPr="00656A4E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rPr>
          <w:trHeight w:val="145"/>
        </w:trPr>
        <w:tc>
          <w:tcPr>
            <w:tcW w:w="1016" w:type="pct"/>
          </w:tcPr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5E4483">
              <w:rPr>
                <w:spacing w:val="-4"/>
                <w:sz w:val="16"/>
                <w:szCs w:val="16"/>
              </w:rPr>
              <w:t>Z významnějších zpracovatelských oborů klesala produkce jen v hutnictví, chemickém průmyslu a potravinářství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AE6734" w:rsidRDefault="00AE6734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492991" w:rsidRPr="005E4483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Dopad neplánovaných odstavek na celoroční produkci byl v chemickém průmyslu hlubší než v</w:t>
            </w:r>
            <w:r w:rsidR="00AE6734">
              <w:rPr>
                <w:spacing w:val="-4"/>
                <w:sz w:val="16"/>
                <w:szCs w:val="16"/>
              </w:rPr>
              <w:t> </w:t>
            </w:r>
            <w:r>
              <w:rPr>
                <w:spacing w:val="-4"/>
                <w:sz w:val="16"/>
                <w:szCs w:val="16"/>
              </w:rPr>
              <w:t>energetice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  <w:p w:rsidR="00492991" w:rsidRPr="005E4483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Pr="00431053" w:rsidRDefault="00492991" w:rsidP="008A03DE">
            <w:pPr>
              <w:pStyle w:val="Textpoznpodarou"/>
              <w:jc w:val="both"/>
              <w:rPr>
                <w:color w:val="000000"/>
                <w:spacing w:val="-4"/>
              </w:rPr>
            </w:pPr>
            <w:r>
              <w:rPr>
                <w:spacing w:val="-4"/>
              </w:rPr>
              <w:t>Růst produkce celého průmyslu v roce 2016 brzdil nejvíce chemický průmysl, jehož výkon byl více než rok omezený vinou havárií</w:t>
            </w:r>
            <w:r>
              <w:rPr>
                <w:rStyle w:val="Znakapoznpodarou"/>
                <w:spacing w:val="-4"/>
              </w:rPr>
              <w:footnoteReference w:id="6"/>
            </w:r>
            <w:r w:rsidR="00AE6734">
              <w:rPr>
                <w:spacing w:val="-4"/>
              </w:rPr>
              <w:t xml:space="preserve">. Přestože ve </w:t>
            </w:r>
            <w:r>
              <w:rPr>
                <w:spacing w:val="-4"/>
              </w:rPr>
              <w:t>2. polovině loňského roku došlo k postupné obnově kapacit, proti roku 2015 se celoroční produkce nacházela o 7 % níže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 xml:space="preserve">. V energetice neměly neplánované odstávky na celé odvětví tak zásadní dopad, neboť produkce se za celý rok navýšila o 0,5 % a zároveň vzrostla poprvé od roku 2010. </w:t>
            </w:r>
            <w:r w:rsidRPr="005E4483">
              <w:rPr>
                <w:spacing w:val="-4"/>
              </w:rPr>
              <w:t>Naopak vnější vlivy (ceny komodit na světovýc</w:t>
            </w:r>
            <w:r>
              <w:rPr>
                <w:spacing w:val="-4"/>
              </w:rPr>
              <w:t>h trzích) se negativně promítaly</w:t>
            </w:r>
            <w:r w:rsidRPr="005E4483">
              <w:rPr>
                <w:spacing w:val="-4"/>
              </w:rPr>
              <w:t xml:space="preserve"> </w:t>
            </w:r>
            <w:r w:rsidRPr="00922BB9">
              <w:rPr>
                <w:spacing w:val="-4"/>
              </w:rPr>
              <w:t>v</w:t>
            </w:r>
            <w:r>
              <w:rPr>
                <w:spacing w:val="-4"/>
              </w:rPr>
              <w:t> těžbě a dobývání, kde se řízený útlum těžby (především černého uhlí) odrážel v prudkých poklesech produkce (v roce 2016 o 9 %, za posledních pět let o 27 </w:t>
            </w:r>
            <w:r w:rsidRPr="00411B5B">
              <w:rPr>
                <w:spacing w:val="-4"/>
              </w:rPr>
              <w:t>%).</w:t>
            </w:r>
            <w:r w:rsidRPr="00411B5B">
              <w:rPr>
                <w:color w:val="000000"/>
                <w:spacing w:val="-4"/>
              </w:rPr>
              <w:t xml:space="preserve"> Přetlak nabídky oceli na evropských trzích vyústil</w:t>
            </w:r>
            <w:r>
              <w:rPr>
                <w:color w:val="000000"/>
                <w:spacing w:val="-4"/>
              </w:rPr>
              <w:t xml:space="preserve"> v </w:t>
            </w:r>
            <w:r w:rsidRPr="005E4483">
              <w:rPr>
                <w:color w:val="000000"/>
                <w:spacing w:val="-4"/>
              </w:rPr>
              <w:t>hutnictví a slévárenství</w:t>
            </w:r>
            <w:r>
              <w:rPr>
                <w:color w:val="000000"/>
                <w:spacing w:val="-4"/>
              </w:rPr>
              <w:t xml:space="preserve"> v mírné </w:t>
            </w:r>
            <w:r w:rsidRPr="005E4483">
              <w:rPr>
                <w:color w:val="000000"/>
                <w:spacing w:val="-4"/>
              </w:rPr>
              <w:t xml:space="preserve">snížení produkce </w:t>
            </w:r>
            <w:r>
              <w:rPr>
                <w:color w:val="000000"/>
                <w:spacing w:val="-4"/>
              </w:rPr>
              <w:t>(o 0,5</w:t>
            </w:r>
            <w:r w:rsidR="00AE6734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%, podobně jako v Německu či celé EU)</w:t>
            </w:r>
            <w:r>
              <w:rPr>
                <w:rStyle w:val="Znakapoznpodarou"/>
                <w:color w:val="000000"/>
                <w:spacing w:val="-4"/>
              </w:rPr>
              <w:footnoteReference w:id="8"/>
            </w:r>
            <w:r>
              <w:rPr>
                <w:color w:val="000000"/>
                <w:spacing w:val="-4"/>
              </w:rPr>
              <w:t>. Nejslabší výsledek za posledních pět let loni dosáhlo stabilní</w:t>
            </w:r>
            <w:r w:rsidRPr="005E4483">
              <w:rPr>
                <w:color w:val="000000"/>
                <w:spacing w:val="-4"/>
              </w:rPr>
              <w:t xml:space="preserve"> (před</w:t>
            </w:r>
            <w:r>
              <w:rPr>
                <w:color w:val="000000"/>
                <w:spacing w:val="-4"/>
              </w:rPr>
              <w:t>evším na domácí trh orientované</w:t>
            </w:r>
            <w:r w:rsidRPr="005E4483">
              <w:rPr>
                <w:color w:val="000000"/>
                <w:spacing w:val="-4"/>
              </w:rPr>
              <w:t xml:space="preserve">) odvětví </w:t>
            </w:r>
            <w:r>
              <w:rPr>
                <w:color w:val="000000"/>
                <w:spacing w:val="-4"/>
              </w:rPr>
              <w:t>potravinářského průmyslu (-2,5 %, v Německu +1 %, v Polsku +6,4 %). Snížení objemu veřejných zakázek v inženýrském stavitelství i slabší intenzita zahajované bytové výstavby se projevily ve výrobě</w:t>
            </w:r>
            <w:r w:rsidRPr="00431053">
              <w:rPr>
                <w:color w:val="000000"/>
                <w:spacing w:val="-4"/>
              </w:rPr>
              <w:t xml:space="preserve"> ostatních nekovových minerálních výrobků</w:t>
            </w:r>
            <w:r>
              <w:rPr>
                <w:color w:val="000000"/>
                <w:spacing w:val="-4"/>
              </w:rPr>
              <w:t>, kde produkce po oživení v letech 2014 a 2015 loni stagnovala.</w:t>
            </w:r>
          </w:p>
          <w:p w:rsidR="00492991" w:rsidRPr="00656A4E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c>
          <w:tcPr>
            <w:tcW w:w="1016" w:type="pct"/>
          </w:tcPr>
          <w:p w:rsidR="00492991" w:rsidRPr="005E4483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Pokračoval dlouhodobě příznivější vývoj průmyslových tržeb z přímého vývozu nad tržbami z</w:t>
            </w:r>
            <w:r w:rsidR="00AE6734">
              <w:rPr>
                <w:spacing w:val="-4"/>
                <w:sz w:val="16"/>
                <w:szCs w:val="16"/>
              </w:rPr>
              <w:t> </w:t>
            </w:r>
            <w:r>
              <w:rPr>
                <w:spacing w:val="-4"/>
                <w:sz w:val="16"/>
                <w:szCs w:val="16"/>
              </w:rPr>
              <w:t>tuzemska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Pr="009219D1" w:rsidRDefault="00492991" w:rsidP="008A03D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Trendy v průmyslové produkci úzce souvisí s vývojem tržeb. Ty proti roku 2015 vzrostly nominálně o 1 %, neboť příznivější vý</w:t>
            </w:r>
            <w:r w:rsidR="005A5F82">
              <w:rPr>
                <w:spacing w:val="-4"/>
              </w:rPr>
              <w:t>voj tržeb z přímého vývozu (+2,7</w:t>
            </w:r>
            <w:r>
              <w:rPr>
                <w:spacing w:val="-4"/>
              </w:rPr>
              <w:t xml:space="preserve"> %) dokázal vykompenzovat mírný pokles domácích tržeb (-1,3 %). V posledním loňském čtvrtletí však domácí tržby ožily (+2,3 %), když profitovaly z meziročního posílení v chemickém průmyslu i energetiky. </w:t>
            </w:r>
          </w:p>
          <w:p w:rsidR="00492991" w:rsidRPr="00656A4E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c>
          <w:tcPr>
            <w:tcW w:w="1016" w:type="pct"/>
          </w:tcPr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Důvěra podnikatelů v průmyslu na konci roku sílila a dosáhla nevyšších hodnot za posledních 5,5 roku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Podíl podniků potýkajících se s nedostatkem pracovní síly narůstá již od počátku roku 2015, </w:t>
            </w:r>
          </w:p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ve 4. čtvrtletí citelně zrychlil a dosáhl úrov</w:t>
            </w:r>
            <w:r w:rsidR="00AE6734">
              <w:rPr>
                <w:spacing w:val="-4"/>
                <w:sz w:val="16"/>
                <w:szCs w:val="16"/>
              </w:rPr>
              <w:t>ně konjunkturních let 2007-2008.</w:t>
            </w:r>
          </w:p>
          <w:p w:rsidR="00492991" w:rsidRPr="002F3882" w:rsidRDefault="00492991" w:rsidP="008A03DE">
            <w:pPr>
              <w:spacing w:line="240" w:lineRule="auto"/>
              <w:rPr>
                <w:color w:val="0D0D0D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Default="00492991" w:rsidP="008A03DE">
            <w:pPr>
              <w:pStyle w:val="Textpoznpodarou"/>
              <w:jc w:val="both"/>
              <w:rPr>
                <w:color w:val="000000"/>
                <w:spacing w:val="-4"/>
              </w:rPr>
            </w:pPr>
            <w:r>
              <w:rPr>
                <w:spacing w:val="-4"/>
              </w:rPr>
              <w:t>O vyhlídkách průmyslu v letošním roce napovídají trendy v hodnotě nových zakázek</w:t>
            </w:r>
            <w:r>
              <w:rPr>
                <w:rStyle w:val="Znakapoznpodarou"/>
                <w:spacing w:val="-4"/>
              </w:rPr>
              <w:footnoteReference w:id="9"/>
            </w:r>
            <w:r>
              <w:rPr>
                <w:spacing w:val="-4"/>
              </w:rPr>
              <w:t>. Ty ve 4. čtvrtletí 2016 vzrostly meziročně o 5,9 % – nejvíce ve výrobě motorových vozidel (+11,3 %), příznivé tendence ale signalizovaly všechny hlavní obory (vyjma výroby elektrických zařízení). Důležité bylo i to, že vedle zahraniční poptávky (+8,1 %) mírně rostly i zakázky z tuzemska (+1,7 </w:t>
            </w:r>
            <w:r w:rsidRPr="00AC3430">
              <w:rPr>
                <w:spacing w:val="-4"/>
              </w:rPr>
              <w:t>%). Pozitivní nálada podnikatelů v</w:t>
            </w:r>
            <w:r>
              <w:rPr>
                <w:spacing w:val="-4"/>
              </w:rPr>
              <w:t> </w:t>
            </w:r>
            <w:r w:rsidRPr="00AC3430">
              <w:rPr>
                <w:spacing w:val="-4"/>
              </w:rPr>
              <w:t>průmyslu</w:t>
            </w:r>
            <w:r>
              <w:rPr>
                <w:spacing w:val="-4"/>
              </w:rPr>
              <w:t xml:space="preserve"> po</w:t>
            </w:r>
            <w:r w:rsidR="00A71279">
              <w:rPr>
                <w:spacing w:val="-4"/>
              </w:rPr>
              <w:t xml:space="preserve"> celý rok přetrvávala, na </w:t>
            </w:r>
            <w:r>
              <w:rPr>
                <w:spacing w:val="-4"/>
              </w:rPr>
              <w:t xml:space="preserve">konci roku navíc mírně sílila. Dle aktuálních údajů </w:t>
            </w:r>
            <w:r w:rsidRPr="00143FA3">
              <w:rPr>
                <w:spacing w:val="-4"/>
              </w:rPr>
              <w:t xml:space="preserve">(z ledna 2017) </w:t>
            </w:r>
            <w:r w:rsidRPr="00143FA3">
              <w:rPr>
                <w:color w:val="000000"/>
                <w:spacing w:val="-4"/>
              </w:rPr>
              <w:t>očekávalo</w:t>
            </w:r>
            <w:r>
              <w:rPr>
                <w:color w:val="000000"/>
                <w:spacing w:val="-4"/>
              </w:rPr>
              <w:t xml:space="preserve"> růst</w:t>
            </w:r>
            <w:r w:rsidRPr="005E4483">
              <w:rPr>
                <w:color w:val="000000"/>
                <w:spacing w:val="-4"/>
              </w:rPr>
              <w:t xml:space="preserve"> výrobní činnosti v příštích t</w:t>
            </w:r>
            <w:r>
              <w:rPr>
                <w:color w:val="000000"/>
                <w:spacing w:val="-4"/>
              </w:rPr>
              <w:t>řech měsících 22</w:t>
            </w:r>
            <w:r>
              <w:rPr>
                <w:spacing w:val="-4"/>
              </w:rPr>
              <w:t> </w:t>
            </w:r>
            <w:r>
              <w:rPr>
                <w:color w:val="000000"/>
                <w:spacing w:val="-4"/>
              </w:rPr>
              <w:t>%</w:t>
            </w:r>
            <w:r w:rsidRPr="005E4483">
              <w:rPr>
                <w:color w:val="000000"/>
                <w:spacing w:val="-4"/>
              </w:rPr>
              <w:t xml:space="preserve"> prům</w:t>
            </w:r>
            <w:r>
              <w:rPr>
                <w:color w:val="000000"/>
                <w:spacing w:val="-4"/>
              </w:rPr>
              <w:t xml:space="preserve">yslových podniků (obdobně jako </w:t>
            </w:r>
            <w:r w:rsidR="00A71279">
              <w:rPr>
                <w:color w:val="000000"/>
                <w:spacing w:val="-4"/>
              </w:rPr>
              <w:t>o rok dříve</w:t>
            </w:r>
            <w:r w:rsidRPr="005E4483">
              <w:rPr>
                <w:color w:val="000000"/>
                <w:spacing w:val="-4"/>
              </w:rPr>
              <w:t>).</w:t>
            </w:r>
            <w:r>
              <w:rPr>
                <w:color w:val="000000"/>
                <w:spacing w:val="-4"/>
              </w:rPr>
              <w:t xml:space="preserve"> Zvyšovat zaměstnanost plánovalo 19</w:t>
            </w:r>
            <w:r>
              <w:rPr>
                <w:spacing w:val="-4"/>
              </w:rPr>
              <w:t> </w:t>
            </w:r>
            <w:r>
              <w:rPr>
                <w:color w:val="000000"/>
                <w:spacing w:val="-4"/>
              </w:rPr>
              <w:t>%</w:t>
            </w:r>
            <w:r w:rsidR="00AA57A4">
              <w:rPr>
                <w:color w:val="000000"/>
                <w:spacing w:val="-4"/>
              </w:rPr>
              <w:t xml:space="preserve"> podniků</w:t>
            </w:r>
            <w:r>
              <w:rPr>
                <w:color w:val="000000"/>
                <w:spacing w:val="-4"/>
              </w:rPr>
              <w:t xml:space="preserve"> (před rokem 13 %). Výrazně se zlepšila očekávání v energetice, negativní výhledy se prohloubily v těžebním průmyslu.</w:t>
            </w:r>
            <w:r w:rsidRPr="005E4483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Podíl podniků, </w:t>
            </w:r>
            <w:r w:rsidRPr="005E4483">
              <w:rPr>
                <w:color w:val="000000"/>
                <w:spacing w:val="-4"/>
              </w:rPr>
              <w:t>považují</w:t>
            </w:r>
            <w:r>
              <w:rPr>
                <w:color w:val="000000"/>
                <w:spacing w:val="-4"/>
              </w:rPr>
              <w:t>cích</w:t>
            </w:r>
            <w:r w:rsidRPr="005E4483">
              <w:rPr>
                <w:color w:val="000000"/>
                <w:spacing w:val="-4"/>
              </w:rPr>
              <w:t xml:space="preserve"> nedostatek pracovní síly za bariéru růstu</w:t>
            </w:r>
            <w:r>
              <w:rPr>
                <w:color w:val="000000"/>
                <w:spacing w:val="-4"/>
              </w:rPr>
              <w:t xml:space="preserve"> v posledním loňském čtvrtletí výrazně zrychlil (na 29 %) a na počátku letošního roku činil již 33 %. I přesto však zůstává hlavní bariérou růstu nedostatečná poptávka (43 %), s níž se potýkal např. potravinářský průmysl.</w:t>
            </w:r>
          </w:p>
          <w:p w:rsidR="00492991" w:rsidRPr="00656A4E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c>
          <w:tcPr>
            <w:tcW w:w="1016" w:type="pct"/>
          </w:tcPr>
          <w:p w:rsidR="00492991" w:rsidRPr="005E4483" w:rsidRDefault="00492991" w:rsidP="008A03DE">
            <w:pPr>
              <w:spacing w:line="240" w:lineRule="auto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lastRenderedPageBreak/>
              <w:t>Inženýrské stavitelství se potýkalo s dopady velmi nerovnoměrného čerpání veřejných investic vlivem nastavení programových období EU, nižší produkci pozemního stavitelství ovlivnila rovněž administrativní náročnost stavebních řízení</w:t>
            </w:r>
            <w:r w:rsidR="00AE6734"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color w:val="000000"/>
                <w:spacing w:val="-4"/>
              </w:rPr>
            </w:pPr>
          </w:p>
        </w:tc>
        <w:tc>
          <w:tcPr>
            <w:tcW w:w="3840" w:type="pct"/>
          </w:tcPr>
          <w:p w:rsidR="00492991" w:rsidRPr="001857D6" w:rsidRDefault="00492991" w:rsidP="008A03DE">
            <w:pPr>
              <w:pStyle w:val="Textpoznpodarou"/>
              <w:jc w:val="both"/>
              <w:rPr>
                <w:color w:val="000000"/>
                <w:spacing w:val="-2"/>
              </w:rPr>
            </w:pPr>
            <w:r w:rsidRPr="001857D6">
              <w:rPr>
                <w:spacing w:val="-2"/>
              </w:rPr>
              <w:t>Produkce ve stavebnictví se</w:t>
            </w:r>
            <w:r w:rsidR="000F6CFB" w:rsidRPr="001857D6">
              <w:rPr>
                <w:spacing w:val="-2"/>
              </w:rPr>
              <w:t xml:space="preserve"> po růstu z let 2014</w:t>
            </w:r>
            <w:r w:rsidR="000F6CFB" w:rsidRPr="001857D6">
              <w:rPr>
                <w:rFonts w:cs="Arial"/>
                <w:color w:val="0D0D0D" w:themeColor="text1" w:themeTint="F2"/>
                <w:spacing w:val="-2"/>
              </w:rPr>
              <w:t>–</w:t>
            </w:r>
            <w:r w:rsidRPr="001857D6">
              <w:rPr>
                <w:spacing w:val="-2"/>
              </w:rPr>
              <w:t>2015 loni opět vrátila k hlubším poklesům. Proti roku 2015 se snížila o 6,1 %</w:t>
            </w:r>
            <w:r w:rsidRPr="001857D6">
              <w:rPr>
                <w:rStyle w:val="Znakapoznpodarou"/>
                <w:spacing w:val="-2"/>
              </w:rPr>
              <w:footnoteReference w:id="10"/>
            </w:r>
            <w:r w:rsidRPr="001857D6">
              <w:rPr>
                <w:spacing w:val="-2"/>
              </w:rPr>
              <w:t xml:space="preserve">, v inženýrském stavitelství dokonce o 16 % (nejhlubší pokles po roce 2000). Efekt vysoké srovnávací základny (vlivem zrychlené realizace veřejných zakázek u </w:t>
            </w:r>
            <w:proofErr w:type="spellStart"/>
            <w:r w:rsidRPr="001857D6">
              <w:rPr>
                <w:spacing w:val="-2"/>
              </w:rPr>
              <w:t>infrastrukturálních</w:t>
            </w:r>
            <w:proofErr w:type="spellEnd"/>
            <w:r w:rsidRPr="001857D6">
              <w:rPr>
                <w:spacing w:val="-2"/>
              </w:rPr>
              <w:t xml:space="preserve"> projektů) a pomalého náběhu investic v novém programovém období se projevoval po většinu roku. V </w:t>
            </w:r>
            <w:proofErr w:type="spellStart"/>
            <w:r w:rsidRPr="001857D6">
              <w:rPr>
                <w:spacing w:val="-2"/>
              </w:rPr>
              <w:t>mezičtvrtletním</w:t>
            </w:r>
            <w:proofErr w:type="spellEnd"/>
            <w:r w:rsidRPr="001857D6">
              <w:rPr>
                <w:spacing w:val="-2"/>
              </w:rPr>
              <w:t xml:space="preserve"> vyjádření se však stavebnictví ve druhé polovině roku z poklesů již vymanilo, byť </w:t>
            </w:r>
            <w:r w:rsidR="001857D6">
              <w:rPr>
                <w:spacing w:val="-2"/>
              </w:rPr>
              <w:t>pro</w:t>
            </w:r>
            <w:r w:rsidRPr="001857D6">
              <w:rPr>
                <w:spacing w:val="-2"/>
              </w:rPr>
              <w:t>zatím jen zásluhou pozemního stavitelství. Zatímco proti konjunkturnímu roku 2008 loňská produkce o pětinu zaostávala, ve vztahu k roku 2014 (ve kterém se již zčásti projevoval efekt sílícího dočerpávání evropských dotací) byla vlivem pozemního stavitel</w:t>
            </w:r>
            <w:r w:rsidR="004761D2" w:rsidRPr="001857D6">
              <w:rPr>
                <w:spacing w:val="-2"/>
              </w:rPr>
              <w:t>ství vyšší o 0,6 % (v inženýrském stavitelství</w:t>
            </w:r>
            <w:r w:rsidRPr="001857D6">
              <w:rPr>
                <w:spacing w:val="-2"/>
              </w:rPr>
              <w:t xml:space="preserve"> činil pokles 1,6 %). </w:t>
            </w:r>
          </w:p>
          <w:p w:rsidR="00492991" w:rsidRPr="00656A4E" w:rsidRDefault="00492991" w:rsidP="008A03DE">
            <w:pPr>
              <w:pStyle w:val="Textpoznpodarou"/>
              <w:jc w:val="both"/>
              <w:rPr>
                <w:color w:val="000000"/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c>
          <w:tcPr>
            <w:tcW w:w="1016" w:type="pct"/>
            <w:shd w:val="clear" w:color="auto" w:fill="auto"/>
          </w:tcPr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Meziroční pokles hodnoty</w:t>
            </w:r>
            <w:r w:rsidRPr="005E4483">
              <w:rPr>
                <w:spacing w:val="-4"/>
                <w:sz w:val="16"/>
                <w:szCs w:val="16"/>
              </w:rPr>
              <w:t xml:space="preserve"> nových stavebních zakázek </w:t>
            </w:r>
            <w:r>
              <w:rPr>
                <w:spacing w:val="-4"/>
                <w:sz w:val="16"/>
                <w:szCs w:val="16"/>
              </w:rPr>
              <w:t>(trvající pět čtvrtletí</w:t>
            </w:r>
            <w:r w:rsidRPr="005E4483">
              <w:rPr>
                <w:spacing w:val="-4"/>
                <w:sz w:val="16"/>
                <w:szCs w:val="16"/>
              </w:rPr>
              <w:t xml:space="preserve"> v</w:t>
            </w:r>
            <w:r>
              <w:rPr>
                <w:spacing w:val="-4"/>
                <w:sz w:val="16"/>
                <w:szCs w:val="16"/>
              </w:rPr>
              <w:t> </w:t>
            </w:r>
            <w:r w:rsidRPr="005E4483">
              <w:rPr>
                <w:spacing w:val="-4"/>
                <w:sz w:val="16"/>
                <w:szCs w:val="16"/>
              </w:rPr>
              <w:t>řadě</w:t>
            </w:r>
            <w:r>
              <w:rPr>
                <w:spacing w:val="-4"/>
                <w:sz w:val="16"/>
                <w:szCs w:val="16"/>
              </w:rPr>
              <w:t>) se na konci roku zastavil (+10 %) výhradně vlivem pozemního stavitelství</w:t>
            </w:r>
            <w:r w:rsidR="004761D2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…</w:t>
            </w: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…celková zásoba práce však zůstala na konci roku druhá nejnižší po roce 2001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492991" w:rsidRPr="005E4483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Saldo důvěry podnikatelů ve stavebnictví kleslo v září na dvouleté minimum a nadále zůstává ve výrazně negativním pásmu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  <w:p w:rsidR="00492991" w:rsidRPr="005E4483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Pr="000A3729" w:rsidRDefault="00492991" w:rsidP="008A03DE">
            <w:pPr>
              <w:pStyle w:val="Textpoznpodarou"/>
              <w:jc w:val="both"/>
              <w:rPr>
                <w:color w:val="000000"/>
                <w:spacing w:val="-4"/>
              </w:rPr>
            </w:pPr>
            <w:r w:rsidRPr="0093268F">
              <w:rPr>
                <w:spacing w:val="-4"/>
              </w:rPr>
              <w:t>Odlišný vývoj obou hlavních oborů stavebnictví byl loni dobře patrný u nových zakázek</w:t>
            </w:r>
            <w:r>
              <w:rPr>
                <w:rStyle w:val="Znakapoznpodarou"/>
                <w:spacing w:val="-4"/>
              </w:rPr>
              <w:footnoteReference w:id="11"/>
            </w:r>
            <w:r w:rsidRPr="0093268F">
              <w:rPr>
                <w:spacing w:val="-4"/>
              </w:rPr>
              <w:t>.</w:t>
            </w:r>
            <w:r>
              <w:rPr>
                <w:spacing w:val="-4"/>
              </w:rPr>
              <w:t xml:space="preserve"> Zatímco ty v pozemním stavitelství meziročně o více než pětinu narostly (na 86 mld. korun, nejvyšší objem po roce 2008), u inženýrských staveb se po celý rok snižovaly</w:t>
            </w:r>
            <w:r w:rsidRPr="00564B88">
              <w:rPr>
                <w:spacing w:val="-4"/>
              </w:rPr>
              <w:t xml:space="preserve">. </w:t>
            </w:r>
            <w:r>
              <w:rPr>
                <w:spacing w:val="-4"/>
              </w:rPr>
              <w:t>Útlum celého odvětví</w:t>
            </w:r>
            <w:r w:rsidR="00A71279">
              <w:rPr>
                <w:spacing w:val="-4"/>
              </w:rPr>
              <w:t xml:space="preserve"> souvisel s absencí většího</w:t>
            </w:r>
            <w:r>
              <w:rPr>
                <w:spacing w:val="-4"/>
              </w:rPr>
              <w:t xml:space="preserve"> množství významnější</w:t>
            </w:r>
            <w:r w:rsidR="00A71279">
              <w:rPr>
                <w:spacing w:val="-4"/>
              </w:rPr>
              <w:t>ch</w:t>
            </w:r>
            <w:r>
              <w:rPr>
                <w:spacing w:val="-4"/>
              </w:rPr>
              <w:t xml:space="preserve"> staveb. Průměrná velikost nově uzavřené zakázky v tuzemsku během roku oscilovala kolem 3 mil. korun a byla tak nejnižší od 1. čtvrtletí 2013. Pokles celkové</w:t>
            </w:r>
            <w:r w:rsidRPr="00564B88">
              <w:rPr>
                <w:spacing w:val="-4"/>
              </w:rPr>
              <w:t xml:space="preserve"> zásob</w:t>
            </w:r>
            <w:r>
              <w:rPr>
                <w:spacing w:val="-4"/>
              </w:rPr>
              <w:t>y</w:t>
            </w:r>
            <w:r w:rsidRPr="00564B88">
              <w:rPr>
                <w:spacing w:val="-4"/>
              </w:rPr>
              <w:t xml:space="preserve"> práce (ve formě</w:t>
            </w:r>
            <w:r w:rsidRPr="005E4483">
              <w:rPr>
                <w:spacing w:val="-4"/>
              </w:rPr>
              <w:t xml:space="preserve"> všech dosud ne</w:t>
            </w:r>
            <w:r>
              <w:rPr>
                <w:spacing w:val="-4"/>
              </w:rPr>
              <w:t xml:space="preserve">realizovaných stavebních zakázek) se po šesti předešlých čtvrtletích na samém konci loňského roku zastavil (vlivem nižší srovnávací základny, neboť v průběhu 4. čtvrtletí 2015 vrcholila finalizace veřejných zakázek). I přesto byl loňský objem zásoby zakázek druhý nejnižší od roku 2001. Příznivěji vyznívá pro stavebnictví jiný předstihový ukazatel – orientační hodnota stavebních povolení. Ta se proti roku 2015 navýšila o 11,5 %, z velké části zásluhou svižného růstu u nebytových budov (o 39 </w:t>
            </w:r>
            <w:r w:rsidRPr="000A3729">
              <w:rPr>
                <w:spacing w:val="-4"/>
              </w:rPr>
              <w:t xml:space="preserve">%). </w:t>
            </w:r>
            <w:r w:rsidRPr="000A3729">
              <w:rPr>
                <w:color w:val="000000"/>
                <w:spacing w:val="-4"/>
              </w:rPr>
              <w:t xml:space="preserve">Naopak </w:t>
            </w:r>
            <w:r>
              <w:rPr>
                <w:color w:val="000000"/>
                <w:spacing w:val="-4"/>
              </w:rPr>
              <w:t xml:space="preserve">negativní </w:t>
            </w:r>
            <w:r w:rsidRPr="000A3729">
              <w:rPr>
                <w:color w:val="000000"/>
                <w:spacing w:val="-4"/>
              </w:rPr>
              <w:t>saldo důvěry podnikatelů</w:t>
            </w:r>
            <w:r>
              <w:rPr>
                <w:color w:val="000000"/>
                <w:spacing w:val="-4"/>
              </w:rPr>
              <w:t xml:space="preserve"> ve stavebnictví se hlavně v první polovině roku nadále prohlubovalo a ani jeho konec obrat nepřinesl. V drtivé většině států, jež jsou významnými příjemci podpory z fondů EU, byl však vloni vývoj důvěry příznivější. Snížení stavební činnosti v příštích třech měsících očekávala v lednu 2017 třetina podniků v ČR (o rok dříve čtvrtina), snižování stavu pracovníků předpokládala čtvrtina (resp. 18 %) a zvyšování jen 3,5 % z nich. Mírně nadpoloviční většina podniků pokládala, podobně jako před rokem, za bariéru růstu nedostatečnou poptávku (nedostatek zaměstnanců jen 11 % podniků). </w:t>
            </w:r>
          </w:p>
          <w:p w:rsidR="00492991" w:rsidRPr="00656A4E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c>
          <w:tcPr>
            <w:tcW w:w="1016" w:type="pct"/>
            <w:shd w:val="clear" w:color="auto" w:fill="auto"/>
          </w:tcPr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Oživování zahajované bytové výstavby bylo v roce 2016 jen mírné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  <w:p w:rsidR="00492991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492991" w:rsidRPr="005E4483" w:rsidRDefault="00492991" w:rsidP="008A03DE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Počet dokončených bytů byl proti rekordnímu roku 2007 o více než třetinu nižší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92991" w:rsidRPr="005E4483" w:rsidRDefault="00492991" w:rsidP="008A03DE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492991" w:rsidRDefault="00492991" w:rsidP="008A03D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K oživení stavebnict</w:t>
            </w:r>
            <w:r w:rsidR="00663CFD">
              <w:rPr>
                <w:spacing w:val="-4"/>
              </w:rPr>
              <w:t xml:space="preserve">ví </w:t>
            </w:r>
            <w:r>
              <w:rPr>
                <w:spacing w:val="-4"/>
              </w:rPr>
              <w:t xml:space="preserve">navzdory četným předpokladům (rostoucí příjmy domácností, nízké úrokové sazby) příliš nepřispěla ani bytová výstavba. Byť počet zahájených bytů vzrostl již třetí rok v řadě, dlouhodobé minimum z roku 2013 (22,1 tis.) loni překonal jen o necelou čtvrtinu. Nízká byla hlavně četnost bytů v bytových domech (5,9 tis., vlivem propadu výstavby v Praze) a </w:t>
            </w:r>
            <w:r w:rsidRPr="005E4483">
              <w:rPr>
                <w:spacing w:val="-4"/>
              </w:rPr>
              <w:t>výstavba bytů v domech pro seniory.</w:t>
            </w:r>
            <w:r>
              <w:rPr>
                <w:spacing w:val="-4"/>
              </w:rPr>
              <w:t xml:space="preserve"> Nízký objem výstavby doprovázený sílící kupní silou domácností se nejen v Praze odrazil ve zrychlení růstu nabídkových i realizovaných cen rezidenčních nemovitostí.</w:t>
            </w:r>
          </w:p>
          <w:p w:rsidR="00492991" w:rsidRPr="00656A4E" w:rsidRDefault="00492991" w:rsidP="008A03DE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492991" w:rsidRPr="00A74192" w:rsidTr="008A03DE">
        <w:tc>
          <w:tcPr>
            <w:tcW w:w="1016" w:type="pct"/>
            <w:shd w:val="clear" w:color="auto" w:fill="auto"/>
          </w:tcPr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Tržby ve službách zpomalily svůj meziroční růst na 1,2 % (z předloňských 3 %)</w:t>
            </w:r>
            <w:r w:rsidR="004761D2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…</w:t>
            </w: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…v pozadí stál hlubší pokles v </w:t>
            </w:r>
            <w:r w:rsidRPr="005E4483">
              <w:rPr>
                <w:spacing w:val="-4"/>
                <w:sz w:val="16"/>
                <w:szCs w:val="16"/>
              </w:rPr>
              <w:t>profesních, vědeckých a technických činnostech</w:t>
            </w:r>
            <w:r>
              <w:rPr>
                <w:spacing w:val="-4"/>
                <w:sz w:val="16"/>
                <w:szCs w:val="16"/>
              </w:rPr>
              <w:t xml:space="preserve"> vázaný zčásti na vývoj stavebnictví (architektonické a inženýrské činnosti) a též mírný pok</w:t>
            </w:r>
            <w:r w:rsidR="004761D2">
              <w:rPr>
                <w:spacing w:val="-4"/>
                <w:sz w:val="16"/>
                <w:szCs w:val="16"/>
              </w:rPr>
              <w:t>les v pozemní a potrubní dopravě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492991" w:rsidRPr="005E4483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Loňské tržby ve službách za úrovní dosaženou v konjunkturním roce 2008 o téměř 9 % zaostávaly především vlivem útlumu profesních, vědeckých a </w:t>
            </w:r>
            <w:r w:rsidRPr="005E4483">
              <w:rPr>
                <w:spacing w:val="-4"/>
                <w:sz w:val="16"/>
                <w:szCs w:val="16"/>
              </w:rPr>
              <w:t>technických činnost</w:t>
            </w:r>
            <w:r>
              <w:rPr>
                <w:spacing w:val="-4"/>
                <w:sz w:val="16"/>
                <w:szCs w:val="16"/>
              </w:rPr>
              <w:t>í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Default="00492991" w:rsidP="008A03DE">
            <w:pPr>
              <w:pStyle w:val="Textpoznpodarou"/>
              <w:jc w:val="both"/>
              <w:rPr>
                <w:color w:val="000000"/>
                <w:spacing w:val="-4"/>
              </w:rPr>
            </w:pPr>
            <w:r w:rsidRPr="001857D6">
              <w:rPr>
                <w:spacing w:val="-2"/>
              </w:rPr>
              <w:t>Ve vybraných službách</w:t>
            </w:r>
            <w:r w:rsidRPr="001857D6">
              <w:rPr>
                <w:color w:val="000000"/>
                <w:spacing w:val="-2"/>
                <w:vertAlign w:val="superscript"/>
              </w:rPr>
              <w:footnoteReference w:id="12"/>
            </w:r>
            <w:r w:rsidR="009E1124" w:rsidRPr="001857D6">
              <w:rPr>
                <w:spacing w:val="-2"/>
              </w:rPr>
              <w:t xml:space="preserve"> se</w:t>
            </w:r>
            <w:r w:rsidRPr="001857D6">
              <w:rPr>
                <w:spacing w:val="-2"/>
              </w:rPr>
              <w:t xml:space="preserve"> tržby </w:t>
            </w:r>
            <w:r w:rsidR="009E1124" w:rsidRPr="001857D6">
              <w:rPr>
                <w:spacing w:val="-2"/>
              </w:rPr>
              <w:t xml:space="preserve">reálně zvýšily o 1,2 % (v roce 2015 o </w:t>
            </w:r>
            <w:r w:rsidRPr="001857D6">
              <w:rPr>
                <w:spacing w:val="-2"/>
              </w:rPr>
              <w:t xml:space="preserve">3,0 %). Na tomto růstu se podílela drtivá většina dílčích odvětví vyjma </w:t>
            </w:r>
            <w:r w:rsidRPr="001857D6">
              <w:rPr>
                <w:color w:val="000000"/>
                <w:spacing w:val="-2"/>
              </w:rPr>
              <w:t>profesních, vědeckých a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>technických činností</w:t>
            </w:r>
            <w:r w:rsidR="009E1124" w:rsidRPr="001857D6">
              <w:rPr>
                <w:color w:val="000000"/>
                <w:spacing w:val="-2"/>
              </w:rPr>
              <w:t xml:space="preserve"> (-2,3 %), jejichž</w:t>
            </w:r>
            <w:r w:rsidRPr="001857D6">
              <w:rPr>
                <w:color w:val="000000"/>
                <w:spacing w:val="-2"/>
              </w:rPr>
              <w:t xml:space="preserve"> 3% růst </w:t>
            </w:r>
            <w:r w:rsidR="009E1124" w:rsidRPr="001857D6">
              <w:rPr>
                <w:color w:val="000000"/>
                <w:spacing w:val="-2"/>
              </w:rPr>
              <w:t xml:space="preserve">v roce 2015 </w:t>
            </w:r>
            <w:r w:rsidRPr="001857D6">
              <w:rPr>
                <w:color w:val="000000"/>
                <w:spacing w:val="-2"/>
              </w:rPr>
              <w:t>byl v dlouhém obdob</w:t>
            </w:r>
            <w:r w:rsidRPr="001857D6">
              <w:rPr>
                <w:color w:val="0D0D0D"/>
                <w:spacing w:val="-2"/>
              </w:rPr>
              <w:t>í od konce silné konjunktury v předešlé dekádě</w:t>
            </w:r>
            <w:r w:rsidRPr="001857D6">
              <w:rPr>
                <w:color w:val="FF0000"/>
                <w:spacing w:val="-2"/>
              </w:rPr>
              <w:t xml:space="preserve"> </w:t>
            </w:r>
            <w:r w:rsidRPr="001857D6">
              <w:rPr>
                <w:color w:val="000000"/>
                <w:spacing w:val="-2"/>
              </w:rPr>
              <w:t xml:space="preserve">ojedinělý. Zčásti souvisel i s rozvojem projektové činnosti vázané na dočerpávání prostředků z EU </w:t>
            </w:r>
            <w:r w:rsidRPr="001857D6">
              <w:rPr>
                <w:spacing w:val="-2"/>
              </w:rPr>
              <w:t xml:space="preserve">– </w:t>
            </w:r>
            <w:r w:rsidRPr="001857D6">
              <w:rPr>
                <w:color w:val="000000"/>
                <w:spacing w:val="-2"/>
              </w:rPr>
              <w:t>zejména tržby v architektonických a inženýrských činnostech (v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 xml:space="preserve">roce 2015: +2,8 </w:t>
            </w:r>
            <w:r w:rsidR="00220838" w:rsidRPr="00220838">
              <w:rPr>
                <w:color w:val="0D0D0D" w:themeColor="text1" w:themeTint="F2"/>
                <w:spacing w:val="-2"/>
              </w:rPr>
              <w:t xml:space="preserve">%, vloni </w:t>
            </w:r>
            <w:r w:rsidRPr="001857D6">
              <w:rPr>
                <w:color w:val="000000"/>
                <w:spacing w:val="-2"/>
              </w:rPr>
              <w:t>-7,3 %). Naopak právní a účetnické činnosti či reklama a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>průzkum trhu v mírném růstu pokračovaly. Váhově významné odvětví dopravy a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>skladování ze solidně rostoucího průmyslu i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>zahraničního obchodu profitovalo jen částeč</w:t>
            </w:r>
            <w:r w:rsidR="009E1124" w:rsidRPr="001857D6">
              <w:rPr>
                <w:color w:val="000000"/>
                <w:spacing w:val="-2"/>
              </w:rPr>
              <w:t>ně, neboť jeho tržby posílily o </w:t>
            </w:r>
            <w:r w:rsidRPr="001857D6">
              <w:rPr>
                <w:color w:val="000000"/>
                <w:spacing w:val="-2"/>
              </w:rPr>
              <w:t>1,1 % (v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>roce 2015 o 0,4 %). Mírný pokles v pozemní a potrubní dopravě (-0,3 %) a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 xml:space="preserve">poštovních i kurýrních </w:t>
            </w:r>
            <w:proofErr w:type="gramStart"/>
            <w:r w:rsidRPr="001857D6">
              <w:rPr>
                <w:color w:val="000000"/>
                <w:spacing w:val="-2"/>
              </w:rPr>
              <w:t>činnostech</w:t>
            </w:r>
            <w:proofErr w:type="gramEnd"/>
            <w:r w:rsidRPr="001857D6">
              <w:rPr>
                <w:color w:val="000000"/>
                <w:spacing w:val="-2"/>
              </w:rPr>
              <w:t xml:space="preserve"> </w:t>
            </w:r>
            <w:r w:rsidR="009E1124" w:rsidRPr="001857D6">
              <w:rPr>
                <w:color w:val="000000"/>
                <w:spacing w:val="-2"/>
              </w:rPr>
              <w:t xml:space="preserve">(-1,0 %) </w:t>
            </w:r>
            <w:r w:rsidRPr="001857D6">
              <w:rPr>
                <w:color w:val="000000"/>
                <w:spacing w:val="-2"/>
              </w:rPr>
              <w:t>byl vyvážen příznivějším</w:t>
            </w:r>
            <w:r w:rsidR="009E1124" w:rsidRPr="001857D6">
              <w:rPr>
                <w:color w:val="000000"/>
                <w:spacing w:val="-2"/>
              </w:rPr>
              <w:t xml:space="preserve"> vývojem ve skladování (+3,7 %) </w:t>
            </w:r>
            <w:r w:rsidRPr="001857D6">
              <w:rPr>
                <w:color w:val="000000"/>
                <w:spacing w:val="-2"/>
              </w:rPr>
              <w:t xml:space="preserve">a také v ostatních druzích dopravy. Dařilo se stravování </w:t>
            </w:r>
            <w:r w:rsidR="009E1124" w:rsidRPr="001857D6">
              <w:rPr>
                <w:color w:val="000000"/>
                <w:spacing w:val="-2"/>
              </w:rPr>
              <w:t>a pohostinství, kde vysoký</w:t>
            </w:r>
            <w:r w:rsidRPr="001857D6">
              <w:rPr>
                <w:color w:val="000000"/>
                <w:spacing w:val="-2"/>
              </w:rPr>
              <w:t xml:space="preserve"> růst </w:t>
            </w:r>
            <w:r w:rsidR="009E1124" w:rsidRPr="001857D6">
              <w:rPr>
                <w:color w:val="000000"/>
                <w:spacing w:val="-2"/>
              </w:rPr>
              <w:t>za rok 2015 (+5,0 %) v následujícím roce</w:t>
            </w:r>
            <w:r w:rsidRPr="001857D6">
              <w:rPr>
                <w:color w:val="000000"/>
                <w:spacing w:val="-2"/>
              </w:rPr>
              <w:t xml:space="preserve"> ještě zrychlil na 5,7 </w:t>
            </w:r>
            <w:r w:rsidR="009E1124" w:rsidRPr="001857D6">
              <w:rPr>
                <w:color w:val="000000"/>
                <w:spacing w:val="-2"/>
              </w:rPr>
              <w:t>% (nejvyšší tempo po roce</w:t>
            </w:r>
            <w:r w:rsidRPr="001857D6">
              <w:rPr>
                <w:color w:val="000000"/>
                <w:spacing w:val="-2"/>
              </w:rPr>
              <w:t xml:space="preserve"> 2001). Pokračující růst počtu přenocování zahraničních (+3,8 %) i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>domácích (+7</w:t>
            </w:r>
            <w:r w:rsidR="009E1124" w:rsidRPr="001857D6">
              <w:rPr>
                <w:color w:val="000000"/>
                <w:spacing w:val="-2"/>
              </w:rPr>
              <w:t>,0 %) hostů podpořil</w:t>
            </w:r>
            <w:r w:rsidRPr="001857D6">
              <w:rPr>
                <w:color w:val="000000"/>
                <w:spacing w:val="-2"/>
              </w:rPr>
              <w:t xml:space="preserve"> také tržby v ubytování (+4,4 %). Obdobným tempem sílily tržby také v odvětví administrativní a podpůrné činnosti, tažené rychle se rozvíjejícími pracovními agenturami, jejichž tržby se proti roku 2010 více než zdvojnásobily. Dařilo se ale i</w:t>
            </w:r>
            <w:r w:rsidRPr="001857D6">
              <w:rPr>
                <w:spacing w:val="-2"/>
              </w:rPr>
              <w:t> </w:t>
            </w:r>
            <w:r w:rsidRPr="001857D6">
              <w:rPr>
                <w:color w:val="000000"/>
                <w:spacing w:val="-2"/>
              </w:rPr>
              <w:t xml:space="preserve">drtivé většině ostatních činností </w:t>
            </w:r>
            <w:r w:rsidRPr="001857D6">
              <w:rPr>
                <w:color w:val="000000"/>
                <w:spacing w:val="-2"/>
              </w:rPr>
              <w:lastRenderedPageBreak/>
              <w:t>v rámci tohoto odvětví. Výjimku představovaly cestovní agentury a kanceláře (vč. rezervačních činností), kde redukce tržeb pokračovala již čtvrtý rok v řadě</w:t>
            </w:r>
            <w:r>
              <w:rPr>
                <w:rStyle w:val="Znakapoznpodarou"/>
                <w:color w:val="000000"/>
                <w:spacing w:val="-4"/>
              </w:rPr>
              <w:footnoteReference w:id="13"/>
            </w:r>
            <w:r>
              <w:rPr>
                <w:color w:val="000000"/>
                <w:spacing w:val="-4"/>
              </w:rPr>
              <w:t xml:space="preserve">. </w:t>
            </w:r>
          </w:p>
          <w:p w:rsidR="00492991" w:rsidRPr="003C5DA1" w:rsidRDefault="00492991" w:rsidP="008A03DE">
            <w:pPr>
              <w:pStyle w:val="Textpoznpodarou"/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92991" w:rsidRPr="00E53C14" w:rsidTr="008A03DE">
        <w:tc>
          <w:tcPr>
            <w:tcW w:w="1016" w:type="pct"/>
            <w:shd w:val="clear" w:color="auto" w:fill="auto"/>
          </w:tcPr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Příznivé podmínky pro svižný růst maloobchod-</w:t>
            </w:r>
            <w:proofErr w:type="spellStart"/>
            <w:r>
              <w:rPr>
                <w:spacing w:val="-4"/>
                <w:sz w:val="16"/>
                <w:szCs w:val="16"/>
              </w:rPr>
              <w:t>ních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tržeb nadále přetrvávaly, tržby táhl především prodej </w:t>
            </w:r>
            <w:proofErr w:type="spellStart"/>
            <w:r>
              <w:rPr>
                <w:spacing w:val="-4"/>
                <w:sz w:val="16"/>
                <w:szCs w:val="16"/>
              </w:rPr>
              <w:t>nepotravinářského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zboží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Meziroční růst tržeb prodejců potravin během roku slábl, ve 4. čt</w:t>
            </w:r>
            <w:r w:rsidR="00AE6734">
              <w:rPr>
                <w:spacing w:val="-4"/>
                <w:sz w:val="16"/>
                <w:szCs w:val="16"/>
              </w:rPr>
              <w:t>vrtletí zcela vymizel (-0,2 %).</w:t>
            </w:r>
          </w:p>
          <w:p w:rsidR="00492991" w:rsidRDefault="00492991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9D3CD0" w:rsidRDefault="009D3CD0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</w:p>
          <w:p w:rsidR="00492991" w:rsidRPr="005E4483" w:rsidRDefault="00DD1878" w:rsidP="008A03DE">
            <w:pPr>
              <w:pStyle w:val="Textpoznpodarou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Růst m</w:t>
            </w:r>
            <w:r w:rsidR="009D3CD0">
              <w:rPr>
                <w:spacing w:val="-4"/>
                <w:sz w:val="16"/>
                <w:szCs w:val="16"/>
              </w:rPr>
              <w:t>aloobchodní</w:t>
            </w:r>
            <w:r>
              <w:rPr>
                <w:spacing w:val="-4"/>
                <w:sz w:val="16"/>
                <w:szCs w:val="16"/>
              </w:rPr>
              <w:t>ch tržeb v ČR byl loni sedmý nejvyšší ze zemí EU, ze sousedních států se zvyšoval rychleji jen</w:t>
            </w:r>
            <w:r w:rsidR="004761D2">
              <w:rPr>
                <w:spacing w:val="-4"/>
                <w:sz w:val="16"/>
                <w:szCs w:val="16"/>
              </w:rPr>
              <w:t xml:space="preserve"> v </w:t>
            </w:r>
            <w:r>
              <w:rPr>
                <w:spacing w:val="-4"/>
                <w:sz w:val="16"/>
                <w:szCs w:val="16"/>
              </w:rPr>
              <w:t>Polsku</w:t>
            </w:r>
            <w:r w:rsidR="00AE6734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92991" w:rsidRPr="005E4483" w:rsidRDefault="00492991" w:rsidP="008A03D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0" w:type="pct"/>
          </w:tcPr>
          <w:p w:rsidR="00492991" w:rsidRPr="00156294" w:rsidRDefault="00492991" w:rsidP="008A03DE">
            <w:pPr>
              <w:pStyle w:val="Textpoznpodarou"/>
              <w:jc w:val="both"/>
              <w:rPr>
                <w:color w:val="000000"/>
                <w:spacing w:val="-4"/>
              </w:rPr>
            </w:pPr>
            <w:r>
              <w:rPr>
                <w:spacing w:val="-4"/>
              </w:rPr>
              <w:t>Zvyšující se disponibilní pří</w:t>
            </w:r>
            <w:r w:rsidR="009E1124">
              <w:rPr>
                <w:spacing w:val="-4"/>
              </w:rPr>
              <w:t>jmy domácností, sycené</w:t>
            </w:r>
            <w:r>
              <w:rPr>
                <w:spacing w:val="-4"/>
              </w:rPr>
              <w:t xml:space="preserve"> růstem objemu vyplacených mezd a platů v celé ekonomice (+5,5 % v roce 2016, o rok dříve +4,4 %), v kombinaci s velmi optimistickým naladěním spotřebitelů po celý loňský rok vyústily ve svižný růst maloobchodních tržeb (+5,1 % meziročně)</w:t>
            </w:r>
            <w:r>
              <w:rPr>
                <w:rStyle w:val="Znakapoznpodarou"/>
                <w:spacing w:val="-4"/>
              </w:rPr>
              <w:footnoteReference w:id="14"/>
            </w:r>
            <w:r>
              <w:rPr>
                <w:spacing w:val="-4"/>
              </w:rPr>
              <w:t xml:space="preserve">. Zatímco v prvních třech čtvrtletích růst tržeb osciloval okolo 5,5 %, na sklonku roku tempo zmírnilo na 4,2 % – primárně vlivem vývoje tržeb za potraviny. Ty v 1. čtvrtletí 2016 rostly o 5 %, na sklonku roku již jen stagnovaly. Tento vývoj se </w:t>
            </w:r>
            <w:r w:rsidR="005A5F82">
              <w:rPr>
                <w:spacing w:val="-4"/>
              </w:rPr>
              <w:t>primárně týkal</w:t>
            </w:r>
            <w:r>
              <w:rPr>
                <w:spacing w:val="-4"/>
              </w:rPr>
              <w:t xml:space="preserve"> nespecializovaných (především velkých) prodejen</w:t>
            </w:r>
            <w:r>
              <w:rPr>
                <w:rStyle w:val="Znakapoznpodarou"/>
                <w:spacing w:val="-4"/>
              </w:rPr>
              <w:footnoteReference w:id="15"/>
            </w:r>
            <w:r w:rsidR="004036FB">
              <w:rPr>
                <w:spacing w:val="-4"/>
              </w:rPr>
              <w:t>.</w:t>
            </w:r>
            <w:r>
              <w:rPr>
                <w:spacing w:val="-4"/>
              </w:rPr>
              <w:t xml:space="preserve"> Tržby za potraviny ve specializovaných prodejnách ve 4. čtvrtletí o 2,9 % rostly, za celý rok o 3,1 % – tedy vyšším tempem než u nespecializovaných prodejců potravin, což se stalo naposledy v roce 2005. Váhově dominantní segment maloobchodu – prodej </w:t>
            </w:r>
            <w:proofErr w:type="spellStart"/>
            <w:r>
              <w:rPr>
                <w:spacing w:val="-4"/>
              </w:rPr>
              <w:t>nepotravinářského</w:t>
            </w:r>
            <w:proofErr w:type="spellEnd"/>
            <w:r>
              <w:rPr>
                <w:spacing w:val="-4"/>
              </w:rPr>
              <w:t xml:space="preserve"> zboží – rostl bez větších výkyvů (za ce</w:t>
            </w:r>
            <w:r w:rsidR="00C13150">
              <w:rPr>
                <w:spacing w:val="-4"/>
              </w:rPr>
              <w:t xml:space="preserve">lý rok o 6,3 %). Táhl ho zejména prodej přes internet a dále prodej </w:t>
            </w:r>
            <w:r>
              <w:rPr>
                <w:spacing w:val="-4"/>
              </w:rPr>
              <w:t>výrobků</w:t>
            </w:r>
            <w:r w:rsidR="00C13150">
              <w:rPr>
                <w:spacing w:val="-4"/>
              </w:rPr>
              <w:t xml:space="preserve"> pro kulturu i</w:t>
            </w:r>
            <w:r w:rsidR="00AE6734">
              <w:rPr>
                <w:spacing w:val="-4"/>
              </w:rPr>
              <w:t> </w:t>
            </w:r>
            <w:r w:rsidRPr="00376B11">
              <w:rPr>
                <w:spacing w:val="-4"/>
              </w:rPr>
              <w:t>rekreaci</w:t>
            </w:r>
            <w:r w:rsidR="00C13150">
              <w:rPr>
                <w:spacing w:val="-4"/>
              </w:rPr>
              <w:t xml:space="preserve"> a </w:t>
            </w:r>
            <w:r>
              <w:rPr>
                <w:spacing w:val="-4"/>
              </w:rPr>
              <w:t>výrobků</w:t>
            </w:r>
            <w:r w:rsidRPr="00376B11">
              <w:rPr>
                <w:spacing w:val="-4"/>
              </w:rPr>
              <w:t xml:space="preserve"> převážně pro domácnost</w:t>
            </w:r>
            <w:r>
              <w:rPr>
                <w:spacing w:val="-4"/>
              </w:rPr>
              <w:t xml:space="preserve">. </w:t>
            </w:r>
            <w:r>
              <w:rPr>
                <w:color w:val="000000"/>
                <w:spacing w:val="-4"/>
              </w:rPr>
              <w:t xml:space="preserve">Růst ekonomiky i příznivé ceny PHM se odrážely v silném růstu tržeb čerpacích stanic, jenž trval již osm čtvrtletí v řadě (za celý rok o 6,8 %). </w:t>
            </w:r>
            <w:proofErr w:type="spellStart"/>
            <w:r>
              <w:rPr>
                <w:color w:val="000000"/>
                <w:spacing w:val="-4"/>
              </w:rPr>
              <w:t>Procyklicky</w:t>
            </w:r>
            <w:proofErr w:type="spellEnd"/>
            <w:r>
              <w:rPr>
                <w:color w:val="000000"/>
                <w:spacing w:val="-4"/>
              </w:rPr>
              <w:t xml:space="preserve"> se vyvíjecí tržby za obchod (vč. oprav a</w:t>
            </w:r>
            <w:r>
              <w:rPr>
                <w:spacing w:val="-4"/>
              </w:rPr>
              <w:t> </w:t>
            </w:r>
            <w:r>
              <w:rPr>
                <w:color w:val="000000"/>
                <w:spacing w:val="-4"/>
              </w:rPr>
              <w:t>údržby)</w:t>
            </w:r>
            <w:r w:rsidRPr="00FA2FCF">
              <w:rPr>
                <w:color w:val="000000"/>
                <w:spacing w:val="-4"/>
              </w:rPr>
              <w:t xml:space="preserve"> motorových </w:t>
            </w:r>
            <w:r w:rsidR="00DD1878">
              <w:rPr>
                <w:color w:val="000000"/>
                <w:spacing w:val="-4"/>
              </w:rPr>
              <w:t>vozidel</w:t>
            </w:r>
            <w:r>
              <w:rPr>
                <w:color w:val="000000"/>
                <w:spacing w:val="-4"/>
              </w:rPr>
              <w:t xml:space="preserve"> za celý rok posílily o 7,6 %, v 2. pololetí však růst slábl a</w:t>
            </w:r>
            <w:r>
              <w:rPr>
                <w:spacing w:val="-4"/>
              </w:rPr>
              <w:t> </w:t>
            </w:r>
            <w:r>
              <w:rPr>
                <w:color w:val="000000"/>
                <w:spacing w:val="-4"/>
              </w:rPr>
              <w:t xml:space="preserve">ve 4. čtvrtletí 2016 (+4,2 %) byl nejslabší od konce poslední recese. </w:t>
            </w:r>
          </w:p>
        </w:tc>
      </w:tr>
    </w:tbl>
    <w:p w:rsidR="00492991" w:rsidRPr="00376B11" w:rsidRDefault="00492991" w:rsidP="00492991">
      <w:pPr>
        <w:pStyle w:val="Textpoznpodarou"/>
        <w:jc w:val="both"/>
        <w:rPr>
          <w:sz w:val="10"/>
          <w:szCs w:val="10"/>
        </w:rPr>
      </w:pPr>
    </w:p>
    <w:tbl>
      <w:tblPr>
        <w:tblW w:w="5000" w:type="pct"/>
        <w:tblInd w:w="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4"/>
        <w:gridCol w:w="4132"/>
        <w:gridCol w:w="776"/>
        <w:gridCol w:w="4062"/>
      </w:tblGrid>
      <w:tr w:rsidR="00492991" w:rsidTr="008A03DE">
        <w:tc>
          <w:tcPr>
            <w:tcW w:w="372" w:type="pct"/>
          </w:tcPr>
          <w:p w:rsidR="00492991" w:rsidRDefault="00492991" w:rsidP="008A03DE">
            <w:pPr>
              <w:spacing w:line="240" w:lineRule="auto"/>
            </w:pPr>
            <w:r>
              <w:t>Graf č. 5</w:t>
            </w:r>
          </w:p>
        </w:tc>
        <w:tc>
          <w:tcPr>
            <w:tcW w:w="2117" w:type="pct"/>
          </w:tcPr>
          <w:p w:rsidR="00492991" w:rsidRPr="001D04BA" w:rsidRDefault="00492991" w:rsidP="008A03DE">
            <w:pPr>
              <w:pStyle w:val="Textpoznpodarou"/>
              <w:rPr>
                <w:b/>
              </w:rPr>
            </w:pPr>
            <w:r w:rsidRPr="001D04BA">
              <w:rPr>
                <w:b/>
              </w:rPr>
              <w:t>Produkce v průmyslu a</w:t>
            </w:r>
            <w:r>
              <w:rPr>
                <w:b/>
              </w:rPr>
              <w:t xml:space="preserve"> ve</w:t>
            </w:r>
            <w:r w:rsidRPr="001D04BA">
              <w:rPr>
                <w:b/>
              </w:rPr>
              <w:t xml:space="preserve"> vyb</w:t>
            </w:r>
            <w:r>
              <w:rPr>
                <w:b/>
              </w:rPr>
              <w:t>raných zpracovatelských odvětvích</w:t>
            </w:r>
          </w:p>
          <w:p w:rsidR="00492991" w:rsidRDefault="00492991" w:rsidP="008A03DE">
            <w:pPr>
              <w:pStyle w:val="Textpoznpodarou"/>
              <w:rPr>
                <w:b/>
              </w:rPr>
            </w:pPr>
            <w:r>
              <w:t>(reálně, y/y, očištěno o kalendářní vlivy,</w:t>
            </w:r>
            <w:r w:rsidRPr="001D04BA">
              <w:t xml:space="preserve"> v %)</w:t>
            </w:r>
          </w:p>
        </w:tc>
        <w:tc>
          <w:tcPr>
            <w:tcW w:w="397" w:type="pct"/>
          </w:tcPr>
          <w:p w:rsidR="00492991" w:rsidRDefault="00492991" w:rsidP="008A03DE">
            <w:pPr>
              <w:spacing w:line="240" w:lineRule="auto"/>
              <w:ind w:left="-8" w:right="-28"/>
            </w:pPr>
            <w:r>
              <w:t>Graf č. 6</w:t>
            </w:r>
          </w:p>
        </w:tc>
        <w:tc>
          <w:tcPr>
            <w:tcW w:w="2082" w:type="pct"/>
          </w:tcPr>
          <w:p w:rsidR="00492991" w:rsidRDefault="00492991" w:rsidP="008A03DE">
            <w:pPr>
              <w:spacing w:line="240" w:lineRule="auto"/>
              <w:ind w:left="-28"/>
              <w:rPr>
                <w:b/>
              </w:rPr>
            </w:pPr>
            <w:r w:rsidRPr="004B22DA">
              <w:rPr>
                <w:b/>
                <w:spacing w:val="-2"/>
              </w:rPr>
              <w:t>Nové zakázky v automobilovém průmyslu</w:t>
            </w:r>
            <w:r>
              <w:rPr>
                <w:b/>
              </w:rPr>
              <w:t xml:space="preserve">, v průmyslu </w:t>
            </w:r>
            <w:proofErr w:type="gramStart"/>
            <w:r>
              <w:rPr>
                <w:b/>
              </w:rPr>
              <w:t xml:space="preserve">celkem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b.c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, y/y v %) </w:t>
            </w: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důvěry v průmyslu </w:t>
            </w:r>
            <w:r w:rsidRPr="00C1711F">
              <w:t>(pravá osa)</w:t>
            </w:r>
          </w:p>
        </w:tc>
      </w:tr>
      <w:tr w:rsidR="00492991" w:rsidTr="008A03DE">
        <w:tc>
          <w:tcPr>
            <w:tcW w:w="2489" w:type="pct"/>
            <w:gridSpan w:val="2"/>
          </w:tcPr>
          <w:p w:rsidR="00492991" w:rsidRPr="00D07B05" w:rsidRDefault="00906225" w:rsidP="008A03DE">
            <w:pPr>
              <w:pStyle w:val="Textpoznpodarou"/>
              <w:jc w:val="both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3042920" cy="2106930"/>
                  <wp:effectExtent l="19050" t="0" r="5080" b="0"/>
                  <wp:docPr id="5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  <w:gridSpan w:val="2"/>
          </w:tcPr>
          <w:p w:rsidR="00492991" w:rsidRDefault="00906225" w:rsidP="008A03DE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42920" cy="2106930"/>
                  <wp:effectExtent l="19050" t="0" r="5080" b="0"/>
                  <wp:docPr id="6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991" w:rsidRPr="0036011F" w:rsidTr="008A03DE">
        <w:tc>
          <w:tcPr>
            <w:tcW w:w="372" w:type="pct"/>
          </w:tcPr>
          <w:p w:rsidR="00492991" w:rsidRDefault="00492991" w:rsidP="008A03DE">
            <w:pPr>
              <w:spacing w:before="20" w:line="240" w:lineRule="auto"/>
            </w:pPr>
            <w:r>
              <w:t>Graf č. 7</w:t>
            </w:r>
          </w:p>
        </w:tc>
        <w:tc>
          <w:tcPr>
            <w:tcW w:w="2117" w:type="pct"/>
          </w:tcPr>
          <w:p w:rsidR="00492991" w:rsidRDefault="00492991" w:rsidP="008A03DE">
            <w:pPr>
              <w:spacing w:before="20" w:line="240" w:lineRule="auto"/>
              <w:rPr>
                <w:b/>
              </w:rPr>
            </w:pPr>
            <w:r>
              <w:rPr>
                <w:b/>
              </w:rPr>
              <w:t xml:space="preserve">Stavební produkce*, hodnota nových zakázek </w:t>
            </w:r>
            <w:r>
              <w:rPr>
                <w:bCs/>
              </w:rPr>
              <w:t xml:space="preserve">(y/y v %) </w:t>
            </w: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</w:t>
            </w:r>
            <w:proofErr w:type="gramStart"/>
            <w:r>
              <w:rPr>
                <w:b/>
              </w:rPr>
              <w:t>indikátoru    důvěry</w:t>
            </w:r>
            <w:proofErr w:type="gramEnd"/>
            <w:r>
              <w:rPr>
                <w:b/>
              </w:rPr>
              <w:t xml:space="preserve"> ve stavebnictví </w:t>
            </w:r>
            <w:r w:rsidRPr="00C1711F">
              <w:t>(pravá osa)</w:t>
            </w:r>
          </w:p>
        </w:tc>
        <w:tc>
          <w:tcPr>
            <w:tcW w:w="397" w:type="pct"/>
          </w:tcPr>
          <w:p w:rsidR="00492991" w:rsidRDefault="00492991" w:rsidP="008A03DE">
            <w:pPr>
              <w:spacing w:before="20" w:line="240" w:lineRule="auto"/>
            </w:pPr>
            <w:r>
              <w:t>Graf č. 8</w:t>
            </w:r>
          </w:p>
        </w:tc>
        <w:tc>
          <w:tcPr>
            <w:tcW w:w="2082" w:type="pct"/>
          </w:tcPr>
          <w:p w:rsidR="00492991" w:rsidRPr="0036011F" w:rsidRDefault="00492991" w:rsidP="008A03DE">
            <w:pPr>
              <w:spacing w:before="20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Tržby v maloobchodu</w:t>
            </w:r>
            <w:r w:rsidRPr="0036011F">
              <w:rPr>
                <w:b/>
                <w:spacing w:val="-2"/>
              </w:rPr>
              <w:t xml:space="preserve"> * </w:t>
            </w:r>
            <w:r w:rsidRPr="0036011F">
              <w:rPr>
                <w:bCs/>
                <w:spacing w:val="-2"/>
              </w:rPr>
              <w:t xml:space="preserve">(reálně, y/y v %) </w:t>
            </w:r>
            <w:r w:rsidRPr="0036011F">
              <w:rPr>
                <w:b/>
                <w:spacing w:val="-2"/>
              </w:rPr>
              <w:t xml:space="preserve">saldo indikátoru důvěry </w:t>
            </w:r>
            <w:proofErr w:type="gramStart"/>
            <w:r w:rsidRPr="0036011F">
              <w:rPr>
                <w:b/>
                <w:spacing w:val="-2"/>
              </w:rPr>
              <w:t>spotřebitel</w:t>
            </w:r>
            <w:r>
              <w:rPr>
                <w:b/>
                <w:spacing w:val="-2"/>
              </w:rPr>
              <w:t xml:space="preserve">ů   </w:t>
            </w:r>
            <w:r w:rsidRPr="0036011F">
              <w:rPr>
                <w:spacing w:val="-2"/>
              </w:rPr>
              <w:t>(pravá</w:t>
            </w:r>
            <w:proofErr w:type="gramEnd"/>
            <w:r w:rsidRPr="0036011F">
              <w:rPr>
                <w:spacing w:val="-2"/>
              </w:rPr>
              <w:t xml:space="preserve"> osa)</w:t>
            </w:r>
          </w:p>
        </w:tc>
      </w:tr>
      <w:tr w:rsidR="00492991" w:rsidTr="008A03DE">
        <w:tc>
          <w:tcPr>
            <w:tcW w:w="2489" w:type="pct"/>
            <w:gridSpan w:val="2"/>
          </w:tcPr>
          <w:p w:rsidR="00492991" w:rsidRPr="00B00F42" w:rsidRDefault="00906225" w:rsidP="008A03DE">
            <w:pPr>
              <w:pStyle w:val="Textpoznpodarou"/>
              <w:jc w:val="both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3042920" cy="2231390"/>
                  <wp:effectExtent l="19050" t="0" r="5080" b="0"/>
                  <wp:docPr id="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23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  <w:gridSpan w:val="2"/>
          </w:tcPr>
          <w:p w:rsidR="00492991" w:rsidRDefault="00906225" w:rsidP="008A03DE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35935" cy="2231390"/>
                  <wp:effectExtent l="1905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223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991" w:rsidTr="008A03DE">
        <w:trPr>
          <w:trHeight w:val="58"/>
        </w:trPr>
        <w:tc>
          <w:tcPr>
            <w:tcW w:w="4968" w:type="pct"/>
            <w:gridSpan w:val="4"/>
          </w:tcPr>
          <w:p w:rsidR="00492991" w:rsidRDefault="00492991" w:rsidP="008A03DE">
            <w:pPr>
              <w:pStyle w:val="Zhlav"/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*očištěno o kalendářní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vlivy                                                                                                                                  </w:t>
            </w:r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Zdroj</w:t>
            </w:r>
            <w:proofErr w:type="gramEnd"/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: ČSÚ</w:t>
            </w:r>
          </w:p>
        </w:tc>
      </w:tr>
    </w:tbl>
    <w:p w:rsidR="00016033" w:rsidRPr="003C5DA1" w:rsidRDefault="00016033" w:rsidP="005E4483">
      <w:pPr>
        <w:pStyle w:val="Textpoznpodarou"/>
        <w:jc w:val="both"/>
        <w:rPr>
          <w:sz w:val="2"/>
          <w:szCs w:val="2"/>
        </w:rPr>
      </w:pPr>
    </w:p>
    <w:sectPr w:rsidR="00016033" w:rsidRPr="003C5DA1" w:rsidSect="003C5DA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FE" w:rsidRDefault="00C15FFE" w:rsidP="00E71A58">
      <w:r>
        <w:separator/>
      </w:r>
    </w:p>
  </w:endnote>
  <w:endnote w:type="continuationSeparator" w:id="0">
    <w:p w:rsidR="00C15FFE" w:rsidRDefault="00C15FF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F8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721F8A" w:rsidRPr="005A21E0">
      <w:rPr>
        <w:rFonts w:ascii="Arial" w:hAnsi="Arial" w:cs="Arial"/>
        <w:sz w:val="16"/>
        <w:szCs w:val="16"/>
      </w:rPr>
      <w:fldChar w:fldCharType="separate"/>
    </w:r>
    <w:r w:rsidR="003C5DA1">
      <w:rPr>
        <w:rFonts w:ascii="Arial" w:hAnsi="Arial" w:cs="Arial"/>
        <w:noProof/>
        <w:sz w:val="16"/>
        <w:szCs w:val="16"/>
      </w:rPr>
      <w:t>8</w:t>
    </w:r>
    <w:r w:rsidR="00721F8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6E182C" w:rsidRPr="00223E00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721F8A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21F8A" w:rsidRPr="00223E00">
      <w:rPr>
        <w:rFonts w:ascii="Arial" w:hAnsi="Arial" w:cs="Arial"/>
        <w:sz w:val="16"/>
        <w:szCs w:val="16"/>
      </w:rPr>
      <w:fldChar w:fldCharType="separate"/>
    </w:r>
    <w:r w:rsidR="003C5DA1">
      <w:rPr>
        <w:rFonts w:ascii="Arial" w:hAnsi="Arial" w:cs="Arial"/>
        <w:noProof/>
        <w:sz w:val="16"/>
        <w:szCs w:val="16"/>
      </w:rPr>
      <w:t>9</w:t>
    </w:r>
    <w:r w:rsidR="00721F8A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FE" w:rsidRDefault="00C15FFE" w:rsidP="00E71A58">
      <w:r>
        <w:separator/>
      </w:r>
    </w:p>
  </w:footnote>
  <w:footnote w:type="continuationSeparator" w:id="0">
    <w:p w:rsidR="00C15FFE" w:rsidRDefault="00C15FFE" w:rsidP="00E71A58">
      <w:r>
        <w:continuationSeparator/>
      </w:r>
    </w:p>
  </w:footnote>
  <w:footnote w:id="1">
    <w:p w:rsidR="006E182C" w:rsidRPr="001805D6" w:rsidRDefault="006E182C" w:rsidP="00492991">
      <w:pPr>
        <w:pStyle w:val="Textpoznpodarou"/>
        <w:rPr>
          <w:rFonts w:cs="Arial"/>
          <w:sz w:val="16"/>
          <w:szCs w:val="16"/>
        </w:rPr>
      </w:pPr>
      <w:r w:rsidRPr="001805D6">
        <w:rPr>
          <w:rStyle w:val="Znakapoznpodarou"/>
          <w:rFonts w:cs="Arial"/>
          <w:sz w:val="16"/>
          <w:szCs w:val="16"/>
        </w:rPr>
        <w:footnoteRef/>
      </w:r>
      <w:r w:rsidRPr="001805D6">
        <w:rPr>
          <w:rFonts w:cs="Arial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2">
    <w:p w:rsidR="006E182C" w:rsidRPr="00D04A8B" w:rsidRDefault="006E182C" w:rsidP="00492991">
      <w:pPr>
        <w:pStyle w:val="Textpoznpodarou"/>
        <w:jc w:val="both"/>
        <w:rPr>
          <w:spacing w:val="-4"/>
          <w:sz w:val="16"/>
          <w:szCs w:val="16"/>
        </w:rPr>
      </w:pPr>
      <w:r w:rsidRPr="00D04A8B">
        <w:rPr>
          <w:rStyle w:val="Znakapoznpodarou"/>
          <w:rFonts w:cs="Arial"/>
          <w:spacing w:val="-4"/>
          <w:sz w:val="16"/>
          <w:szCs w:val="16"/>
        </w:rPr>
        <w:footnoteRef/>
      </w:r>
      <w:r w:rsidRPr="00D04A8B">
        <w:rPr>
          <w:rFonts w:cs="Arial"/>
          <w:spacing w:val="-4"/>
          <w:sz w:val="16"/>
          <w:szCs w:val="16"/>
        </w:rPr>
        <w:t xml:space="preserve"> Zahrnující odvětví dle CZ-NACE: B (Těžba a dobývání), C (Zpracovatelský průmysl), D (Energetika).</w:t>
      </w:r>
    </w:p>
  </w:footnote>
  <w:footnote w:id="3">
    <w:p w:rsidR="006E182C" w:rsidRPr="00D04A8B" w:rsidRDefault="006E182C" w:rsidP="00492991">
      <w:pPr>
        <w:pStyle w:val="Textpoznpodarou"/>
        <w:jc w:val="both"/>
        <w:rPr>
          <w:spacing w:val="-4"/>
          <w:sz w:val="16"/>
          <w:szCs w:val="16"/>
        </w:rPr>
      </w:pPr>
      <w:r w:rsidRPr="00D04A8B">
        <w:rPr>
          <w:rStyle w:val="Znakapoznpodarou"/>
          <w:spacing w:val="-4"/>
          <w:sz w:val="16"/>
          <w:szCs w:val="16"/>
        </w:rPr>
        <w:footnoteRef/>
      </w:r>
      <w:r w:rsidRPr="00D04A8B">
        <w:rPr>
          <w:spacing w:val="-4"/>
          <w:sz w:val="16"/>
          <w:szCs w:val="16"/>
        </w:rPr>
        <w:t xml:space="preserve"> Kalendářní vlivy ovlivnily produkci hlavně ve 2. čtvrtletí. To mělo vloni ve srovn</w:t>
      </w:r>
      <w:r>
        <w:rPr>
          <w:spacing w:val="-4"/>
          <w:sz w:val="16"/>
          <w:szCs w:val="16"/>
        </w:rPr>
        <w:t>ání se stejným obdobím roku 2015</w:t>
      </w:r>
      <w:r w:rsidRPr="00D04A8B">
        <w:rPr>
          <w:spacing w:val="-4"/>
          <w:sz w:val="16"/>
          <w:szCs w:val="16"/>
        </w:rPr>
        <w:t xml:space="preserve"> o tři pracovní dny více. Rozdíl mezi očištěnou (+2,2 %) a neočištěnou produkcí (+5,7 %) byl významný a v podobném rozsahu naposledy patrný ve 3.</w:t>
      </w:r>
      <w:r w:rsidRPr="00D04A8B">
        <w:rPr>
          <w:color w:val="000000"/>
          <w:spacing w:val="-4"/>
          <w:sz w:val="16"/>
          <w:szCs w:val="16"/>
        </w:rPr>
        <w:t> </w:t>
      </w:r>
      <w:r w:rsidRPr="00D04A8B">
        <w:rPr>
          <w:spacing w:val="-4"/>
          <w:sz w:val="16"/>
          <w:szCs w:val="16"/>
        </w:rPr>
        <w:t>čtvrtletí 2008.</w:t>
      </w:r>
    </w:p>
  </w:footnote>
  <w:footnote w:id="4">
    <w:p w:rsidR="006E182C" w:rsidRPr="00D04A8B" w:rsidRDefault="006E182C" w:rsidP="00492991">
      <w:pPr>
        <w:pStyle w:val="Textpoznpodarou"/>
        <w:jc w:val="both"/>
        <w:rPr>
          <w:spacing w:val="-4"/>
          <w:sz w:val="16"/>
          <w:szCs w:val="16"/>
        </w:rPr>
      </w:pPr>
      <w:r w:rsidRPr="00D04A8B">
        <w:rPr>
          <w:rStyle w:val="Znakapoznpodarou"/>
          <w:spacing w:val="-4"/>
          <w:sz w:val="16"/>
          <w:szCs w:val="16"/>
        </w:rPr>
        <w:footnoteRef/>
      </w:r>
      <w:r w:rsidRPr="00D04A8B">
        <w:rPr>
          <w:spacing w:val="-4"/>
          <w:sz w:val="16"/>
          <w:szCs w:val="16"/>
        </w:rPr>
        <w:t xml:space="preserve"> Dl</w:t>
      </w:r>
      <w:r>
        <w:rPr>
          <w:spacing w:val="-4"/>
          <w:sz w:val="16"/>
          <w:szCs w:val="16"/>
        </w:rPr>
        <w:t>e</w:t>
      </w:r>
      <w:r w:rsidRPr="00D04A8B">
        <w:rPr>
          <w:spacing w:val="-4"/>
          <w:sz w:val="16"/>
          <w:szCs w:val="16"/>
        </w:rPr>
        <w:t xml:space="preserve"> údajů Sdružení automobilového průmyslu </w:t>
      </w:r>
      <w:r>
        <w:rPr>
          <w:spacing w:val="-4"/>
          <w:sz w:val="16"/>
          <w:szCs w:val="16"/>
        </w:rPr>
        <w:t xml:space="preserve">bylo </w:t>
      </w:r>
      <w:r w:rsidRPr="00D04A8B">
        <w:rPr>
          <w:spacing w:val="-4"/>
          <w:sz w:val="16"/>
          <w:szCs w:val="16"/>
        </w:rPr>
        <w:t>loni v Česku vyrobeno 1,351 mil. motorových vozidel, meziročně o 8,2 % více.</w:t>
      </w:r>
    </w:p>
  </w:footnote>
  <w:footnote w:id="5">
    <w:p w:rsidR="006E182C" w:rsidRPr="00FA1F08" w:rsidRDefault="006E182C" w:rsidP="00492991">
      <w:pPr>
        <w:pStyle w:val="Textpoznpodarou"/>
        <w:jc w:val="both"/>
        <w:rPr>
          <w:sz w:val="16"/>
          <w:szCs w:val="16"/>
        </w:rPr>
      </w:pPr>
      <w:r w:rsidRPr="00D04A8B">
        <w:rPr>
          <w:rStyle w:val="Znakapoznpodarou"/>
          <w:spacing w:val="-4"/>
          <w:sz w:val="16"/>
          <w:szCs w:val="16"/>
        </w:rPr>
        <w:footnoteRef/>
      </w:r>
      <w:r w:rsidRPr="00D04A8B">
        <w:rPr>
          <w:spacing w:val="-4"/>
          <w:sz w:val="16"/>
          <w:szCs w:val="16"/>
        </w:rPr>
        <w:t xml:space="preserve"> Za touto úrovní v roce 2016 stále polovina zpracovatelských oborů zaostávala.</w:t>
      </w:r>
      <w:r>
        <w:rPr>
          <w:spacing w:val="-4"/>
          <w:sz w:val="16"/>
          <w:szCs w:val="16"/>
        </w:rPr>
        <w:t xml:space="preserve"> Šlo zejména</w:t>
      </w:r>
      <w:r w:rsidRPr="00D04A8B">
        <w:rPr>
          <w:spacing w:val="-4"/>
          <w:sz w:val="16"/>
          <w:szCs w:val="16"/>
        </w:rPr>
        <w:t xml:space="preserve"> o oděvní a kožedělný průmysl či výrobu nápojů (ve všech případech o čtvrtinu). Z váhově významnějších oborů obdobné platilo o hutnictví a slévárenství (89 % úrovně produkce roku 2007), potravinářském (91 %) a che</w:t>
      </w:r>
      <w:r>
        <w:rPr>
          <w:spacing w:val="-4"/>
          <w:sz w:val="16"/>
          <w:szCs w:val="16"/>
        </w:rPr>
        <w:t>mickém průmyslu (92 %). V</w:t>
      </w:r>
      <w:r w:rsidRPr="00D04A8B">
        <w:rPr>
          <w:spacing w:val="-4"/>
          <w:sz w:val="16"/>
          <w:szCs w:val="16"/>
        </w:rPr>
        <w:t>ýrobci motorových vozidel tuto úroveň přek</w:t>
      </w:r>
      <w:r>
        <w:rPr>
          <w:spacing w:val="-4"/>
          <w:sz w:val="16"/>
          <w:szCs w:val="16"/>
        </w:rPr>
        <w:t>onali již v roce 2010 a loni ji převýšili</w:t>
      </w:r>
      <w:r w:rsidRPr="00D04A8B">
        <w:rPr>
          <w:spacing w:val="-4"/>
          <w:sz w:val="16"/>
          <w:szCs w:val="16"/>
        </w:rPr>
        <w:t xml:space="preserve"> o 81 %.</w:t>
      </w:r>
    </w:p>
  </w:footnote>
  <w:footnote w:id="6">
    <w:p w:rsidR="006E182C" w:rsidRPr="006D2C78" w:rsidRDefault="006E182C" w:rsidP="00492991">
      <w:pPr>
        <w:pStyle w:val="Textpoznpodarou"/>
        <w:rPr>
          <w:sz w:val="16"/>
          <w:szCs w:val="16"/>
        </w:rPr>
      </w:pPr>
      <w:r w:rsidRPr="006D2C78">
        <w:rPr>
          <w:rStyle w:val="Znakapoznpodarou"/>
          <w:sz w:val="16"/>
          <w:szCs w:val="16"/>
        </w:rPr>
        <w:footnoteRef/>
      </w:r>
      <w:r w:rsidRPr="006D2C78">
        <w:rPr>
          <w:sz w:val="16"/>
          <w:szCs w:val="16"/>
        </w:rPr>
        <w:t xml:space="preserve"> Během čtyř kvartálů (</w:t>
      </w:r>
      <w:r>
        <w:rPr>
          <w:sz w:val="16"/>
          <w:szCs w:val="16"/>
        </w:rPr>
        <w:t xml:space="preserve">tj. </w:t>
      </w:r>
      <w:r w:rsidRPr="006D2C78">
        <w:rPr>
          <w:sz w:val="16"/>
          <w:szCs w:val="16"/>
        </w:rPr>
        <w:t>od 3. čtvrtletí 2015 do 2. čtvrtletí 2016) se produkce v chemickém průmyslu snížila v úhrnu o 16 %.</w:t>
      </w:r>
    </w:p>
  </w:footnote>
  <w:footnote w:id="7">
    <w:p w:rsidR="006E182C" w:rsidRPr="00D5221C" w:rsidRDefault="006E182C" w:rsidP="00492991">
      <w:pPr>
        <w:pStyle w:val="Textpoznpodarou"/>
        <w:jc w:val="both"/>
        <w:rPr>
          <w:spacing w:val="-2"/>
          <w:sz w:val="16"/>
          <w:szCs w:val="16"/>
        </w:rPr>
      </w:pPr>
      <w:r w:rsidRPr="00D5221C">
        <w:rPr>
          <w:rStyle w:val="Znakapoznpodarou"/>
          <w:spacing w:val="-2"/>
          <w:sz w:val="16"/>
          <w:szCs w:val="16"/>
        </w:rPr>
        <w:footnoteRef/>
      </w:r>
      <w:r w:rsidRPr="00D5221C">
        <w:rPr>
          <w:spacing w:val="-2"/>
          <w:sz w:val="16"/>
          <w:szCs w:val="16"/>
        </w:rPr>
        <w:t xml:space="preserve"> Díky silnému </w:t>
      </w:r>
      <w:proofErr w:type="spellStart"/>
      <w:r w:rsidRPr="00D5221C">
        <w:rPr>
          <w:spacing w:val="-2"/>
          <w:sz w:val="16"/>
          <w:szCs w:val="16"/>
        </w:rPr>
        <w:t>mezičtvrtletnímu</w:t>
      </w:r>
      <w:proofErr w:type="spellEnd"/>
      <w:r w:rsidRPr="00D5221C">
        <w:rPr>
          <w:spacing w:val="-2"/>
          <w:sz w:val="16"/>
          <w:szCs w:val="16"/>
        </w:rPr>
        <w:t xml:space="preserve"> růstu v posledních třech měsících loňského roku (+7,9 %) byla překonána úroveň produkce tohoto odvětví z konce poslední recese ekonomiky (1. čtvrtletí 2013). Jediným zpracovatelským oborem, jenž za touto úrovní i na sklonku roku 2016 zaostával (o 4 %), byl dřevozpracující průmysl. Z nezpracovatelských odvětví šlo dále o těžbu a dobývání (o 21 %) a energetiku (o 3 %).</w:t>
      </w:r>
    </w:p>
  </w:footnote>
  <w:footnote w:id="8">
    <w:p w:rsidR="006E182C" w:rsidRPr="00DD37F0" w:rsidRDefault="006E182C" w:rsidP="00492991">
      <w:pPr>
        <w:pStyle w:val="Textpoznpodarou"/>
        <w:rPr>
          <w:sz w:val="16"/>
          <w:szCs w:val="16"/>
        </w:rPr>
      </w:pPr>
      <w:r w:rsidRPr="00DD37F0">
        <w:rPr>
          <w:rStyle w:val="Znakapoznpodarou"/>
          <w:sz w:val="16"/>
          <w:szCs w:val="16"/>
        </w:rPr>
        <w:footnoteRef/>
      </w:r>
      <w:r w:rsidRPr="00DD37F0">
        <w:rPr>
          <w:sz w:val="16"/>
          <w:szCs w:val="16"/>
        </w:rPr>
        <w:t xml:space="preserve"> </w:t>
      </w:r>
      <w:r>
        <w:rPr>
          <w:sz w:val="16"/>
          <w:szCs w:val="16"/>
        </w:rPr>
        <w:t>Postavení oboru</w:t>
      </w:r>
      <w:r w:rsidRPr="00DD37F0">
        <w:rPr>
          <w:sz w:val="16"/>
          <w:szCs w:val="16"/>
        </w:rPr>
        <w:t xml:space="preserve"> se v druhé polovině roku částečně zlepšilo i v souvislosti se zavedením antidumpingových cel na </w:t>
      </w:r>
      <w:r>
        <w:rPr>
          <w:sz w:val="16"/>
          <w:szCs w:val="16"/>
        </w:rPr>
        <w:t xml:space="preserve">dovoz trubek z nerezové oceli </w:t>
      </w:r>
      <w:r w:rsidRPr="00DD37F0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DD37F0">
        <w:rPr>
          <w:sz w:val="16"/>
          <w:szCs w:val="16"/>
        </w:rPr>
        <w:t>Číny</w:t>
      </w:r>
      <w:r>
        <w:rPr>
          <w:sz w:val="16"/>
          <w:szCs w:val="16"/>
        </w:rPr>
        <w:t xml:space="preserve"> do EU. Ve 4. čtvrtletí produkce v hutnictví a slévárenství meziročně vzrostla (v ČR o 3,2 %, v EU o 0,9 %).</w:t>
      </w:r>
    </w:p>
  </w:footnote>
  <w:footnote w:id="9">
    <w:p w:rsidR="006E182C" w:rsidRPr="00496556" w:rsidRDefault="006E182C" w:rsidP="00492991">
      <w:pPr>
        <w:pStyle w:val="Textpoznpodarou"/>
        <w:rPr>
          <w:rFonts w:cs="Arial"/>
          <w:sz w:val="16"/>
          <w:szCs w:val="16"/>
        </w:rPr>
      </w:pPr>
      <w:r w:rsidRPr="00496556">
        <w:rPr>
          <w:rStyle w:val="Znakapoznpodarou"/>
          <w:rFonts w:cs="Arial"/>
          <w:sz w:val="16"/>
          <w:szCs w:val="16"/>
        </w:rPr>
        <w:footnoteRef/>
      </w:r>
      <w:r w:rsidRPr="0049655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Průmyslové </w:t>
      </w:r>
      <w:r>
        <w:rPr>
          <w:rFonts w:cs="Arial"/>
          <w:color w:val="333333"/>
          <w:sz w:val="16"/>
          <w:szCs w:val="16"/>
        </w:rPr>
        <w:t>zakáz</w:t>
      </w:r>
      <w:r w:rsidRPr="00496556">
        <w:rPr>
          <w:rFonts w:cs="Arial"/>
          <w:color w:val="333333"/>
          <w:sz w:val="16"/>
          <w:szCs w:val="16"/>
        </w:rPr>
        <w:t>k</w:t>
      </w:r>
      <w:r>
        <w:rPr>
          <w:rFonts w:cs="Arial"/>
          <w:color w:val="333333"/>
          <w:sz w:val="16"/>
          <w:szCs w:val="16"/>
        </w:rPr>
        <w:t>y se sledují pouze</w:t>
      </w:r>
      <w:r w:rsidRPr="00496556">
        <w:rPr>
          <w:rFonts w:cs="Arial"/>
          <w:color w:val="333333"/>
          <w:sz w:val="16"/>
          <w:szCs w:val="16"/>
        </w:rPr>
        <w:t xml:space="preserve"> ve vybraných oddílech CZ-NACE (13, 14, 17, 20 až 21, 24 až 30), které vyrábějí převážně na zakázku, s dlouhodobějším výrobním cyklem a s většími zásobami zakázek</w:t>
      </w:r>
      <w:r>
        <w:rPr>
          <w:rFonts w:cs="Arial"/>
          <w:color w:val="333333"/>
          <w:sz w:val="16"/>
          <w:szCs w:val="16"/>
        </w:rPr>
        <w:t>.</w:t>
      </w:r>
    </w:p>
  </w:footnote>
  <w:footnote w:id="10">
    <w:p w:rsidR="006E182C" w:rsidRPr="00E46D98" w:rsidRDefault="006E182C" w:rsidP="00492991">
      <w:pPr>
        <w:pStyle w:val="Textpoznpodarou"/>
        <w:rPr>
          <w:sz w:val="16"/>
          <w:szCs w:val="16"/>
        </w:rPr>
      </w:pPr>
      <w:r w:rsidRPr="00E46D98">
        <w:rPr>
          <w:rStyle w:val="Znakapoznpodarou"/>
          <w:sz w:val="16"/>
          <w:szCs w:val="16"/>
        </w:rPr>
        <w:footnoteRef/>
      </w:r>
      <w:r w:rsidRPr="00E46D98">
        <w:rPr>
          <w:sz w:val="16"/>
          <w:szCs w:val="16"/>
        </w:rPr>
        <w:t xml:space="preserve"> Všechny údaje o stavební produkci jsou očištěny o kalendářní vlivy.</w:t>
      </w:r>
    </w:p>
  </w:footnote>
  <w:footnote w:id="11">
    <w:p w:rsidR="006E182C" w:rsidRPr="00566F63" w:rsidRDefault="006E182C" w:rsidP="00492991">
      <w:pPr>
        <w:pStyle w:val="Textpoznpodarou"/>
        <w:rPr>
          <w:sz w:val="16"/>
          <w:szCs w:val="16"/>
        </w:rPr>
      </w:pPr>
      <w:r w:rsidRPr="00566F63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Statistické šetření pokrývá</w:t>
      </w:r>
      <w:r w:rsidRPr="00566F63">
        <w:rPr>
          <w:sz w:val="16"/>
          <w:szCs w:val="16"/>
        </w:rPr>
        <w:t xml:space="preserve"> pouze </w:t>
      </w:r>
      <w:r>
        <w:rPr>
          <w:sz w:val="16"/>
          <w:szCs w:val="16"/>
        </w:rPr>
        <w:t xml:space="preserve">zakázky </w:t>
      </w:r>
      <w:r w:rsidRPr="00566F63">
        <w:rPr>
          <w:spacing w:val="-4"/>
          <w:sz w:val="16"/>
          <w:szCs w:val="16"/>
        </w:rPr>
        <w:t>stavební</w:t>
      </w:r>
      <w:r>
        <w:rPr>
          <w:spacing w:val="-4"/>
          <w:sz w:val="16"/>
          <w:szCs w:val="16"/>
        </w:rPr>
        <w:t>ch podniků</w:t>
      </w:r>
      <w:r w:rsidRPr="00566F63">
        <w:rPr>
          <w:spacing w:val="-4"/>
          <w:sz w:val="16"/>
          <w:szCs w:val="16"/>
        </w:rPr>
        <w:t xml:space="preserve"> s 50 a více zaměstnanci.</w:t>
      </w:r>
    </w:p>
  </w:footnote>
  <w:footnote w:id="12">
    <w:p w:rsidR="006E182C" w:rsidRPr="00092C9A" w:rsidRDefault="006E182C" w:rsidP="00492991">
      <w:pPr>
        <w:pStyle w:val="Textpoznpodarou"/>
        <w:rPr>
          <w:sz w:val="16"/>
          <w:szCs w:val="16"/>
        </w:rPr>
      </w:pPr>
      <w:r w:rsidRPr="00092C9A">
        <w:rPr>
          <w:rStyle w:val="Znakapoznpodarou"/>
          <w:sz w:val="16"/>
          <w:szCs w:val="16"/>
        </w:rPr>
        <w:footnoteRef/>
      </w:r>
      <w:r w:rsidRPr="00092C9A">
        <w:rPr>
          <w:sz w:val="16"/>
          <w:szCs w:val="16"/>
        </w:rPr>
        <w:t xml:space="preserve"> </w:t>
      </w:r>
      <w:r>
        <w:rPr>
          <w:sz w:val="16"/>
          <w:szCs w:val="16"/>
        </w:rPr>
        <w:t>Údaje jsou neočištění a n</w:t>
      </w:r>
      <w:r w:rsidRPr="00092C9A">
        <w:rPr>
          <w:sz w:val="16"/>
          <w:szCs w:val="16"/>
        </w:rPr>
        <w:t xml:space="preserve">ezahrnují </w:t>
      </w:r>
      <w:r>
        <w:rPr>
          <w:sz w:val="16"/>
          <w:szCs w:val="16"/>
        </w:rPr>
        <w:t>obchod</w:t>
      </w:r>
      <w:r w:rsidRPr="00092C9A">
        <w:rPr>
          <w:sz w:val="16"/>
          <w:szCs w:val="16"/>
        </w:rPr>
        <w:t>, pe</w:t>
      </w:r>
      <w:r>
        <w:rPr>
          <w:sz w:val="16"/>
          <w:szCs w:val="16"/>
        </w:rPr>
        <w:t>něžnictví a pojišťovnictví, vědu a výzkum a také veřejné služ</w:t>
      </w:r>
      <w:r w:rsidRPr="00092C9A">
        <w:rPr>
          <w:sz w:val="16"/>
          <w:szCs w:val="16"/>
        </w:rPr>
        <w:t>b</w:t>
      </w:r>
      <w:r>
        <w:rPr>
          <w:sz w:val="16"/>
          <w:szCs w:val="16"/>
        </w:rPr>
        <w:t>y</w:t>
      </w:r>
      <w:r w:rsidRPr="00092C9A">
        <w:rPr>
          <w:sz w:val="16"/>
          <w:szCs w:val="16"/>
        </w:rPr>
        <w:t>.</w:t>
      </w:r>
    </w:p>
  </w:footnote>
  <w:footnote w:id="13">
    <w:p w:rsidR="006E182C" w:rsidRPr="00A7125D" w:rsidRDefault="006E182C" w:rsidP="00492991">
      <w:pPr>
        <w:pStyle w:val="Textpoznpodarou"/>
        <w:rPr>
          <w:sz w:val="16"/>
          <w:szCs w:val="16"/>
        </w:rPr>
      </w:pPr>
      <w:r w:rsidRPr="00A7125D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samotném 4. čtvrtletí 2016</w:t>
      </w:r>
      <w:r w:rsidRPr="00A7125D">
        <w:rPr>
          <w:sz w:val="16"/>
          <w:szCs w:val="16"/>
        </w:rPr>
        <w:t xml:space="preserve"> však tržby meziročně o 4,7 % vzrostly. Stalo se </w:t>
      </w:r>
      <w:r>
        <w:rPr>
          <w:sz w:val="16"/>
          <w:szCs w:val="16"/>
        </w:rPr>
        <w:t>tak poprvé po šestnácti čtvrtletích</w:t>
      </w:r>
      <w:r w:rsidRPr="00A7125D">
        <w:rPr>
          <w:sz w:val="16"/>
          <w:szCs w:val="16"/>
        </w:rPr>
        <w:t xml:space="preserve"> nepříznivého vývoje. K tomuto obratu zčásti přispělo zastavení poklesu příjezdů ruských návštěvníků do Česka.</w:t>
      </w:r>
      <w:r>
        <w:rPr>
          <w:sz w:val="16"/>
          <w:szCs w:val="16"/>
        </w:rPr>
        <w:t xml:space="preserve"> Jejich počty v 1. až 3. čtvrtletí 2016 meziročně o 15 % klesly, ve zbývající části roku již ale o 23 % vzrostly.</w:t>
      </w:r>
    </w:p>
  </w:footnote>
  <w:footnote w:id="14">
    <w:p w:rsidR="006E182C" w:rsidRPr="002D7A47" w:rsidRDefault="006E182C" w:rsidP="00492991">
      <w:pPr>
        <w:pStyle w:val="Textpoznpodarou"/>
        <w:rPr>
          <w:sz w:val="16"/>
          <w:szCs w:val="16"/>
        </w:rPr>
      </w:pPr>
      <w:r w:rsidRPr="002D7A47">
        <w:rPr>
          <w:rStyle w:val="Znakapoznpodarou"/>
          <w:sz w:val="16"/>
          <w:szCs w:val="16"/>
        </w:rPr>
        <w:footnoteRef/>
      </w:r>
      <w:r w:rsidRPr="002D7A47">
        <w:rPr>
          <w:sz w:val="16"/>
          <w:szCs w:val="16"/>
        </w:rPr>
        <w:t xml:space="preserve"> Všechny údaje o maloobchodních tržbách j</w:t>
      </w:r>
      <w:r>
        <w:rPr>
          <w:sz w:val="16"/>
          <w:szCs w:val="16"/>
        </w:rPr>
        <w:t>sou očištěny o kalendářní vlivy ve stálých cenách.</w:t>
      </w:r>
    </w:p>
  </w:footnote>
  <w:footnote w:id="15">
    <w:p w:rsidR="006E182C" w:rsidRPr="005A5F82" w:rsidRDefault="00220838" w:rsidP="00492991">
      <w:pPr>
        <w:pStyle w:val="Textpoznpodarou"/>
        <w:rPr>
          <w:spacing w:val="-2"/>
          <w:sz w:val="16"/>
          <w:szCs w:val="16"/>
        </w:rPr>
      </w:pPr>
      <w:r w:rsidRPr="00220838">
        <w:rPr>
          <w:rStyle w:val="Znakapoznpodarou"/>
          <w:spacing w:val="-2"/>
          <w:sz w:val="16"/>
        </w:rPr>
        <w:footnoteRef/>
      </w:r>
      <w:r w:rsidRPr="00220838">
        <w:rPr>
          <w:spacing w:val="-2"/>
          <w:sz w:val="16"/>
        </w:rPr>
        <w:t xml:space="preserve"> </w:t>
      </w:r>
      <w:r w:rsidR="006E182C" w:rsidRPr="005A5F82">
        <w:rPr>
          <w:spacing w:val="-2"/>
          <w:sz w:val="16"/>
          <w:szCs w:val="16"/>
        </w:rPr>
        <w:t>V nich ve</w:t>
      </w:r>
      <w:r w:rsidRPr="00220838">
        <w:rPr>
          <w:spacing w:val="-2"/>
          <w:sz w:val="16"/>
        </w:rPr>
        <w:t xml:space="preserve"> 2. pololetí 2016</w:t>
      </w:r>
      <w:r w:rsidR="006E182C" w:rsidRPr="005A5F82">
        <w:rPr>
          <w:spacing w:val="-2"/>
          <w:sz w:val="16"/>
          <w:szCs w:val="16"/>
        </w:rPr>
        <w:t xml:space="preserve"> došlo</w:t>
      </w:r>
      <w:r w:rsidRPr="00220838">
        <w:rPr>
          <w:spacing w:val="-2"/>
          <w:sz w:val="16"/>
        </w:rPr>
        <w:t xml:space="preserve"> k citelnému poklesu tržeb za služby (tvořících však jen okrajový podíl ze všech tržeb prodejců potravin).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C00831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D766EF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56E64"/>
    <w:multiLevelType w:val="hybridMultilevel"/>
    <w:tmpl w:val="1C403A1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EB0"/>
    <w:rsid w:val="00007498"/>
    <w:rsid w:val="0000767A"/>
    <w:rsid w:val="000101F5"/>
    <w:rsid w:val="000104B9"/>
    <w:rsid w:val="00010702"/>
    <w:rsid w:val="00010770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E9C"/>
    <w:rsid w:val="00043C68"/>
    <w:rsid w:val="00043E05"/>
    <w:rsid w:val="0004694F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41"/>
    <w:rsid w:val="00080AA8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208"/>
    <w:rsid w:val="00092505"/>
    <w:rsid w:val="000927EB"/>
    <w:rsid w:val="00092C9A"/>
    <w:rsid w:val="000973B6"/>
    <w:rsid w:val="00097BFC"/>
    <w:rsid w:val="00097D02"/>
    <w:rsid w:val="000A1183"/>
    <w:rsid w:val="000A2121"/>
    <w:rsid w:val="000A2484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241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500FC"/>
    <w:rsid w:val="00151AC0"/>
    <w:rsid w:val="00151B27"/>
    <w:rsid w:val="00152046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57D6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A199D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3787"/>
    <w:rsid w:val="001D47E5"/>
    <w:rsid w:val="001D584C"/>
    <w:rsid w:val="001D5E1B"/>
    <w:rsid w:val="001D66C1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1D4"/>
    <w:rsid w:val="0021329E"/>
    <w:rsid w:val="0021355B"/>
    <w:rsid w:val="00215A2C"/>
    <w:rsid w:val="00217980"/>
    <w:rsid w:val="002179F9"/>
    <w:rsid w:val="002205F2"/>
    <w:rsid w:val="0022080E"/>
    <w:rsid w:val="00220838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385B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D04"/>
    <w:rsid w:val="003035D4"/>
    <w:rsid w:val="00303A3C"/>
    <w:rsid w:val="00303DCB"/>
    <w:rsid w:val="00304771"/>
    <w:rsid w:val="00305736"/>
    <w:rsid w:val="00305C33"/>
    <w:rsid w:val="00306C5B"/>
    <w:rsid w:val="00306E3B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6244"/>
    <w:rsid w:val="00357449"/>
    <w:rsid w:val="0036238B"/>
    <w:rsid w:val="003630B0"/>
    <w:rsid w:val="003649FC"/>
    <w:rsid w:val="003651A4"/>
    <w:rsid w:val="00365680"/>
    <w:rsid w:val="003657F3"/>
    <w:rsid w:val="00366D4D"/>
    <w:rsid w:val="00367038"/>
    <w:rsid w:val="00370963"/>
    <w:rsid w:val="0037144E"/>
    <w:rsid w:val="00372272"/>
    <w:rsid w:val="003736B5"/>
    <w:rsid w:val="00374F1E"/>
    <w:rsid w:val="003750CF"/>
    <w:rsid w:val="00375A22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5DA1"/>
    <w:rsid w:val="003C601E"/>
    <w:rsid w:val="003C66C4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D7A"/>
    <w:rsid w:val="003D5E4B"/>
    <w:rsid w:val="003D653F"/>
    <w:rsid w:val="003E0663"/>
    <w:rsid w:val="003E133F"/>
    <w:rsid w:val="003E49F6"/>
    <w:rsid w:val="003E699C"/>
    <w:rsid w:val="003E69F3"/>
    <w:rsid w:val="003E7550"/>
    <w:rsid w:val="003E782E"/>
    <w:rsid w:val="003E7A0B"/>
    <w:rsid w:val="003E7B2B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4F13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0D86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459BD"/>
    <w:rsid w:val="005513D5"/>
    <w:rsid w:val="005523B9"/>
    <w:rsid w:val="005545E0"/>
    <w:rsid w:val="00554865"/>
    <w:rsid w:val="00554E57"/>
    <w:rsid w:val="00557E6A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3CFD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59D2"/>
    <w:rsid w:val="00717726"/>
    <w:rsid w:val="0072050E"/>
    <w:rsid w:val="00720958"/>
    <w:rsid w:val="00720FA2"/>
    <w:rsid w:val="007211F5"/>
    <w:rsid w:val="00721F8A"/>
    <w:rsid w:val="00724666"/>
    <w:rsid w:val="00724E80"/>
    <w:rsid w:val="00725492"/>
    <w:rsid w:val="007256B7"/>
    <w:rsid w:val="00726043"/>
    <w:rsid w:val="0072704A"/>
    <w:rsid w:val="00730AE8"/>
    <w:rsid w:val="007315DA"/>
    <w:rsid w:val="00731963"/>
    <w:rsid w:val="00732706"/>
    <w:rsid w:val="00734321"/>
    <w:rsid w:val="0073532E"/>
    <w:rsid w:val="00735B01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7B5"/>
    <w:rsid w:val="007879F2"/>
    <w:rsid w:val="00790393"/>
    <w:rsid w:val="00791804"/>
    <w:rsid w:val="00791CF8"/>
    <w:rsid w:val="00791EF9"/>
    <w:rsid w:val="00792262"/>
    <w:rsid w:val="00793387"/>
    <w:rsid w:val="00793BAE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DD0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5F9"/>
    <w:rsid w:val="0085281A"/>
    <w:rsid w:val="00853F33"/>
    <w:rsid w:val="008550EA"/>
    <w:rsid w:val="008559FE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D4"/>
    <w:rsid w:val="008669A7"/>
    <w:rsid w:val="00867464"/>
    <w:rsid w:val="00867D15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5D1"/>
    <w:rsid w:val="00904B9D"/>
    <w:rsid w:val="00905A11"/>
    <w:rsid w:val="00905FE8"/>
    <w:rsid w:val="00906225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BE6"/>
    <w:rsid w:val="00993D9C"/>
    <w:rsid w:val="00993F56"/>
    <w:rsid w:val="009954FF"/>
    <w:rsid w:val="00995E2F"/>
    <w:rsid w:val="009961BC"/>
    <w:rsid w:val="00996355"/>
    <w:rsid w:val="0099788F"/>
    <w:rsid w:val="00997ADD"/>
    <w:rsid w:val="009A1374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2A39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3F2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277"/>
    <w:rsid w:val="00A92916"/>
    <w:rsid w:val="00A94628"/>
    <w:rsid w:val="00A94954"/>
    <w:rsid w:val="00A9497A"/>
    <w:rsid w:val="00A96463"/>
    <w:rsid w:val="00A97E3F"/>
    <w:rsid w:val="00AA09D3"/>
    <w:rsid w:val="00AA220F"/>
    <w:rsid w:val="00AA23FB"/>
    <w:rsid w:val="00AA34FE"/>
    <w:rsid w:val="00AA42AB"/>
    <w:rsid w:val="00AA559A"/>
    <w:rsid w:val="00AA57A4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DED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5FFE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589"/>
    <w:rsid w:val="00C6736C"/>
    <w:rsid w:val="00C70422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3EF3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71F2"/>
    <w:rsid w:val="00E57429"/>
    <w:rsid w:val="00E60FCE"/>
    <w:rsid w:val="00E61EA8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3486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2D4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163F-2E1E-42AB-82C5-57E526C7F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4770A-F1E6-4C5B-B251-0B72E0FC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3</TotalTime>
  <Pages>4</Pages>
  <Words>2591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17846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2017-03-22T10:45:00Z</dcterms:created>
  <dcterms:modified xsi:type="dcterms:W3CDTF">2017-03-22T10:48:00Z</dcterms:modified>
</cp:coreProperties>
</file>