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A74192" w:rsidRDefault="00576A3E" w:rsidP="00D94859">
      <w:pPr>
        <w:pStyle w:val="Styl1"/>
        <w:rPr>
          <w:rFonts w:cs="Arial"/>
          <w:sz w:val="20"/>
        </w:rPr>
      </w:pPr>
    </w:p>
    <w:p w:rsidR="00576A3E" w:rsidRPr="00A74192" w:rsidRDefault="00220838" w:rsidP="00D94859">
      <w:pPr>
        <w:spacing w:line="240" w:lineRule="auto"/>
        <w:rPr>
          <w:rFonts w:cs="Arial"/>
          <w:lang w:eastAsia="ar-SA"/>
        </w:rPr>
      </w:pPr>
      <w:r w:rsidRPr="00220838">
        <w:rPr>
          <w:noProof/>
        </w:rPr>
        <w:pict>
          <v:shapetype id="_x0000_t202" coordsize="21600,21600" o:spt="202" path="m,l,21600r21600,l21600,xe">
            <v:stroke joinstyle="miter"/>
            <v:path gradientshapeok="t" o:connecttype="rect"/>
          </v:shapetype>
          <v:shape id="Textové pole 2" o:spid="_x0000_s1040"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style="mso-next-textbox:#Textové pole 2" inset="0,0,0,0">
              <w:txbxContent>
                <w:p w:rsidR="006E182C" w:rsidRPr="005251DD" w:rsidRDefault="006E182C" w:rsidP="004F191F">
                  <w:r w:rsidRPr="005251DD">
                    <w:t xml:space="preserve">Český statistický úřad, </w:t>
                  </w:r>
                  <w:r>
                    <w:t>Praha, 2017</w:t>
                  </w:r>
                </w:p>
              </w:txbxContent>
            </v:textbox>
            <w10:wrap anchorx="page" anchory="page"/>
            <w10:anchorlock/>
          </v:shape>
        </w:pict>
      </w:r>
      <w:r w:rsidRPr="00220838">
        <w:rPr>
          <w:noProof/>
        </w:rPr>
        <w:pict>
          <v:shape id="_x0000_s1039"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style="mso-next-textbox:#_x0000_s1039" inset="0,0,0,0">
              <w:txbxContent>
                <w:p w:rsidR="006E182C" w:rsidRPr="006C5577" w:rsidRDefault="006E182C" w:rsidP="004F2A73">
                  <w:pPr>
                    <w:pStyle w:val="TL-Identifikace-dole"/>
                  </w:pPr>
                  <w:r>
                    <w:t>Z</w:t>
                  </w:r>
                  <w:r w:rsidRPr="006C5577">
                    <w:t>pracoval: Odbor</w:t>
                  </w:r>
                  <w:r>
                    <w:t xml:space="preserve"> Kancelář předsedkyně, Oddělení svodných analýz</w:t>
                  </w:r>
                </w:p>
                <w:p w:rsidR="006E182C" w:rsidRPr="006C5577" w:rsidRDefault="006E182C" w:rsidP="004F191F">
                  <w:pPr>
                    <w:pStyle w:val="TL-Identifikace-dole"/>
                  </w:pPr>
                  <w:r w:rsidRPr="006C5577">
                    <w:t xml:space="preserve">Ředitel odboru: </w:t>
                  </w:r>
                  <w:r>
                    <w:tab/>
                    <w:t>Egor Sidorov, Ph.D.</w:t>
                  </w:r>
                </w:p>
                <w:p w:rsidR="006E182C" w:rsidRPr="009F63D2" w:rsidRDefault="006E182C" w:rsidP="004F191F">
                  <w:pPr>
                    <w:pStyle w:val="TL-Identifikace-dole"/>
                    <w:rPr>
                      <w:rFonts w:cs="Arial"/>
                    </w:rPr>
                  </w:pPr>
                  <w:r>
                    <w:t>Autorský tým: Bc. Jiří Kamenický, Mgr. Bc. Karolína Súkupová</w:t>
                  </w:r>
                </w:p>
                <w:p w:rsidR="006E182C" w:rsidRDefault="006E182C" w:rsidP="004F191F">
                  <w:pPr>
                    <w:pStyle w:val="TL-Identifikace-dole"/>
                  </w:pPr>
                  <w:r w:rsidRPr="006C5577">
                    <w:t xml:space="preserve">Kontaktní osoba: </w:t>
                  </w:r>
                  <w:r>
                    <w:t xml:space="preserve">Bc. Jiří Kamenický, e-mail: </w:t>
                  </w:r>
                  <w:hyperlink r:id="rId9" w:history="1">
                    <w:r w:rsidRPr="00F34FB3">
                      <w:rPr>
                        <w:rStyle w:val="Hypertextovodkaz"/>
                      </w:rPr>
                      <w:t>jiri.kamenicky@czso.cz</w:t>
                    </w:r>
                  </w:hyperlink>
                  <w:r>
                    <w:t>,  tel. 274 052 741</w:t>
                  </w:r>
                </w:p>
                <w:p w:rsidR="006E182C" w:rsidRDefault="006E182C" w:rsidP="004F191F">
                  <w:pPr>
                    <w:pStyle w:val="TL-Identifikace-dole"/>
                  </w:pPr>
                  <w:r>
                    <w:t xml:space="preserve"> </w:t>
                  </w:r>
                </w:p>
                <w:p w:rsidR="006E182C" w:rsidRDefault="006E182C" w:rsidP="004F191F">
                  <w:pPr>
                    <w:pStyle w:val="TL-Identifikace-dole"/>
                  </w:pPr>
                  <w:r>
                    <w:t xml:space="preserve">                            e-mail</w:t>
                  </w:r>
                  <w:r w:rsidRPr="006C5577">
                    <w:t>:</w:t>
                  </w:r>
                  <w:r>
                    <w:t xml:space="preserve"> </w:t>
                  </w:r>
                  <w:hyperlink r:id="rId10" w:history="1">
                    <w:r w:rsidRPr="004640D1">
                      <w:rPr>
                        <w:rStyle w:val="Hypertextovodkaz"/>
                      </w:rPr>
                      <w:t>jiri.kamenicky@czso.cz</w:t>
                    </w:r>
                  </w:hyperlink>
                  <w:r>
                    <w:t>, tel: 274 052 741</w:t>
                  </w:r>
                </w:p>
              </w:txbxContent>
            </v:textbox>
            <w10:wrap anchorx="page" anchory="page"/>
            <w10:anchorlock/>
          </v:shape>
        </w:pict>
      </w:r>
      <w:r w:rsidRPr="00220838">
        <w:rPr>
          <w:noProof/>
        </w:rPr>
        <w:pict>
          <v:shape id="Text Box 25" o:spid="_x0000_s103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style="mso-next-textbox:#Text Box 25" inset="0,0,0,0">
              <w:txbxContent>
                <w:p w:rsidR="006E182C" w:rsidRPr="00D31445" w:rsidRDefault="006E182C" w:rsidP="004F191F">
                  <w:pPr>
                    <w:pStyle w:val="TL-identifikace-sted"/>
                  </w:pPr>
                  <w:r>
                    <w:t>Souhrnná data o České republice</w:t>
                  </w:r>
                </w:p>
                <w:p w:rsidR="006E182C" w:rsidRPr="00473E94" w:rsidRDefault="006E182C" w:rsidP="004F191F">
                  <w:pPr>
                    <w:pStyle w:val="TL-identifikace-sted"/>
                    <w:rPr>
                      <w:color w:val="000000"/>
                    </w:rPr>
                  </w:pPr>
                  <w:bookmarkStart w:id="0" w:name="_GoBack"/>
                  <w:r>
                    <w:rPr>
                      <w:color w:val="000000"/>
                    </w:rPr>
                    <w:t>Praha, 22. 3. 2017</w:t>
                  </w:r>
                </w:p>
                <w:bookmarkEnd w:id="0"/>
                <w:p w:rsidR="006E182C" w:rsidRPr="002E73F2" w:rsidRDefault="006E182C" w:rsidP="004F191F">
                  <w:pPr>
                    <w:pStyle w:val="TL-identifikace-sted"/>
                  </w:pPr>
                  <w:r w:rsidRPr="00D31445">
                    <w:t xml:space="preserve">Kód </w:t>
                  </w:r>
                  <w:r>
                    <w:t>publikace: 320193-16</w:t>
                  </w:r>
                </w:p>
                <w:p w:rsidR="006E182C" w:rsidRPr="004117CE" w:rsidRDefault="006E182C" w:rsidP="004F191F">
                  <w:pPr>
                    <w:spacing w:after="200"/>
                    <w:rPr>
                      <w:color w:val="0D0D0D"/>
                      <w:sz w:val="24"/>
                    </w:rPr>
                  </w:pPr>
                  <w:r w:rsidRPr="004117CE">
                    <w:rPr>
                      <w:color w:val="0D0D0D"/>
                      <w:sz w:val="24"/>
                    </w:rPr>
                    <w:t xml:space="preserve">Č. j.: </w:t>
                  </w:r>
                  <w:r w:rsidR="009F2A39">
                    <w:rPr>
                      <w:color w:val="0D0D0D"/>
                      <w:sz w:val="24"/>
                    </w:rPr>
                    <w:t>01-779/2016</w:t>
                  </w:r>
                </w:p>
                <w:p w:rsidR="006E182C" w:rsidRPr="00D31445" w:rsidRDefault="006E182C" w:rsidP="004F191F">
                  <w:pPr>
                    <w:spacing w:after="200"/>
                    <w:rPr>
                      <w:sz w:val="24"/>
                    </w:rPr>
                  </w:pPr>
                  <w:r>
                    <w:rPr>
                      <w:sz w:val="24"/>
                    </w:rPr>
                    <w:t>Pořadové číslo v roce: 4</w:t>
                  </w:r>
                </w:p>
              </w:txbxContent>
            </v:textbox>
            <w10:wrap anchorx="page" anchory="page"/>
            <w10:anchorlock/>
          </v:shape>
        </w:pict>
      </w:r>
      <w:r w:rsidRPr="00220838">
        <w:rPr>
          <w:noProof/>
        </w:rPr>
        <w:pict>
          <v:shape id="_x0000_s1037"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next-textbox:#_x0000_s1037;mso-fit-shape-to-text:t" inset="0,0,0,0">
              <w:txbxContent>
                <w:p w:rsidR="006E182C" w:rsidRPr="001C357A" w:rsidRDefault="006E182C" w:rsidP="001C357A">
                  <w:pPr>
                    <w:pStyle w:val="Podtitul"/>
                    <w:rPr>
                      <w:sz w:val="56"/>
                      <w:szCs w:val="56"/>
                    </w:rPr>
                  </w:pPr>
                  <w:r>
                    <w:rPr>
                      <w:sz w:val="56"/>
                      <w:szCs w:val="56"/>
                    </w:rPr>
                    <w:t>VÝVOJ EKONOMIKY Č</w:t>
                  </w:r>
                  <w:r w:rsidRPr="001C357A">
                    <w:rPr>
                      <w:sz w:val="56"/>
                      <w:szCs w:val="56"/>
                    </w:rPr>
                    <w:t>E</w:t>
                  </w:r>
                  <w:r>
                    <w:rPr>
                      <w:sz w:val="56"/>
                      <w:szCs w:val="56"/>
                    </w:rPr>
                    <w:t>SKÉ REPUBLIKY V ROCE 2016</w:t>
                  </w:r>
                </w:p>
                <w:p w:rsidR="006E182C" w:rsidRPr="009B04D0" w:rsidRDefault="006E182C" w:rsidP="004F191F">
                  <w:pPr>
                    <w:pStyle w:val="Podtitul"/>
                  </w:pPr>
                </w:p>
              </w:txbxContent>
            </v:textbox>
            <w10:wrap anchorx="page" anchory="page"/>
            <w10:anchorlock/>
          </v:shape>
        </w:pict>
      </w:r>
      <w:r w:rsidRPr="00220838">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autoSpaceDE w:val="0"/>
        <w:autoSpaceDN w:val="0"/>
        <w:adjustRightInd w:val="0"/>
        <w:spacing w:line="240" w:lineRule="auto"/>
        <w:jc w:val="both"/>
        <w:rPr>
          <w:rFonts w:cs="Arial"/>
        </w:rPr>
      </w:pPr>
    </w:p>
    <w:p w:rsidR="00576A3E" w:rsidRPr="00A74192" w:rsidRDefault="00220838" w:rsidP="00D94859">
      <w:pPr>
        <w:autoSpaceDE w:val="0"/>
        <w:autoSpaceDN w:val="0"/>
        <w:adjustRightInd w:val="0"/>
        <w:spacing w:line="240" w:lineRule="auto"/>
        <w:jc w:val="both"/>
        <w:rPr>
          <w:rFonts w:cs="Arial"/>
          <w:lang w:eastAsia="ar-SA"/>
        </w:rPr>
      </w:pPr>
      <w:r w:rsidRPr="00220838">
        <w:rPr>
          <w:noProof/>
        </w:rPr>
        <w:pict>
          <v:line id="Přímá spojnice 33" o:spid="_x0000_s1029"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sidRPr="00A74192">
        <w:rPr>
          <w:rFonts w:cs="Arial"/>
        </w:rPr>
        <w:br w:type="page"/>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spacing w:line="240" w:lineRule="auto"/>
        <w:rPr>
          <w:rFonts w:cs="Arial"/>
          <w:lang w:eastAsia="ar-SA"/>
        </w:rPr>
      </w:pPr>
    </w:p>
    <w:p w:rsidR="00576A3E" w:rsidRPr="00A74192" w:rsidRDefault="00576A3E" w:rsidP="00D94859">
      <w:pPr>
        <w:pStyle w:val="Styl1"/>
        <w:rPr>
          <w:rFonts w:cs="Arial"/>
          <w:sz w:val="20"/>
        </w:rPr>
      </w:pPr>
    </w:p>
    <w:p w:rsidR="00576A3E" w:rsidRPr="00A74192" w:rsidRDefault="00220838" w:rsidP="00D94859">
      <w:pPr>
        <w:pStyle w:val="Styl1"/>
        <w:rPr>
          <w:rFonts w:cs="Arial"/>
          <w:color w:val="7DB41E"/>
          <w:sz w:val="20"/>
          <w:szCs w:val="20"/>
        </w:rPr>
      </w:pPr>
      <w:r w:rsidRPr="00220838">
        <w:rPr>
          <w:noProof/>
          <w:lang w:eastAsia="cs-CZ"/>
        </w:rPr>
        <w:pict>
          <v:shape id="_x0000_s102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style="mso-next-textbox:#_x0000_s1028" inset="0,0,0,0">
              <w:txbxContent>
                <w:p w:rsidR="006E182C" w:rsidRPr="00D766EF" w:rsidRDefault="006E182C" w:rsidP="00437C76">
                  <w:pPr>
                    <w:pStyle w:val="TL-Kontakty"/>
                  </w:pPr>
                  <w:r w:rsidRPr="00D766EF">
                    <w:rPr>
                      <w:caps w:val="0"/>
                    </w:rPr>
                    <w:t>KONTAKTY V</w:t>
                  </w:r>
                  <w:r w:rsidRPr="00D766EF">
                    <w:t> ÚSTŘEDÍ</w:t>
                  </w:r>
                </w:p>
                <w:p w:rsidR="006E182C" w:rsidRPr="00EA4153" w:rsidRDefault="006E182C"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6E182C" w:rsidRPr="00B27293" w:rsidRDefault="006E182C" w:rsidP="00BD366B">
                  <w:pPr>
                    <w:spacing w:after="80" w:line="240" w:lineRule="auto"/>
                  </w:pPr>
                  <w:r w:rsidRPr="00100014">
                    <w:rPr>
                      <w:b/>
                    </w:rPr>
                    <w:t>Oddělení informačních služeb</w:t>
                  </w:r>
                  <w:r w:rsidRPr="00EA4153">
                    <w:t xml:space="preserve"> |</w:t>
                  </w:r>
                  <w:r>
                    <w:rPr>
                      <w:b/>
                    </w:rPr>
                    <w:t xml:space="preserve"> </w:t>
                  </w:r>
                  <w:r>
                    <w:t>tel.: 274 052 304, 274 052 451 | e-mail: infoservis@czso.cz</w:t>
                  </w:r>
                </w:p>
                <w:p w:rsidR="006E182C" w:rsidRPr="00EA4153" w:rsidRDefault="006E182C" w:rsidP="00BD366B">
                  <w:pPr>
                    <w:spacing w:after="80" w:line="240" w:lineRule="auto"/>
                    <w:rPr>
                      <w:b/>
                    </w:rPr>
                  </w:pPr>
                  <w:r w:rsidRPr="00100014">
                    <w:rPr>
                      <w:b/>
                    </w:rPr>
                    <w:t>Prodejna publikací ČSÚ</w:t>
                  </w:r>
                  <w:r>
                    <w:t xml:space="preserve"> | tel.: 274 052 361 | e-mail: prodejna@czso.cz</w:t>
                  </w:r>
                </w:p>
                <w:p w:rsidR="006E182C" w:rsidRPr="00EA4153" w:rsidRDefault="006E182C"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6E182C" w:rsidRPr="00EA4153" w:rsidRDefault="006E182C" w:rsidP="00BD366B">
                  <w:pPr>
                    <w:spacing w:after="80" w:line="240" w:lineRule="auto"/>
                    <w:rPr>
                      <w:b/>
                    </w:rPr>
                  </w:pPr>
                  <w:r w:rsidRPr="00100014">
                    <w:rPr>
                      <w:b/>
                    </w:rPr>
                    <w:t>Ústřední statistická knihovna</w:t>
                  </w:r>
                  <w:r>
                    <w:t xml:space="preserve"> | tel.: 274 052 361 | e-mail: knihovna@czso.cz</w:t>
                  </w:r>
                </w:p>
                <w:p w:rsidR="006E182C" w:rsidRDefault="006E182C" w:rsidP="00BD366B">
                  <w:pPr>
                    <w:spacing w:line="240" w:lineRule="auto"/>
                  </w:pPr>
                </w:p>
                <w:p w:rsidR="006E182C" w:rsidRPr="0071229A" w:rsidRDefault="006E182C" w:rsidP="004F06F5">
                  <w:pPr>
                    <w:pStyle w:val="TL-Kontakty"/>
                  </w:pPr>
                  <w:r w:rsidRPr="0071229A">
                    <w:t>INFORMAČNÍ SLUŽBY V REGIONECH</w:t>
                  </w:r>
                </w:p>
                <w:p w:rsidR="006E182C" w:rsidRDefault="006E182C" w:rsidP="00BD366B">
                  <w:pPr>
                    <w:spacing w:line="240" w:lineRule="auto"/>
                  </w:pPr>
                  <w:r w:rsidRPr="00100014">
                    <w:rPr>
                      <w:b/>
                      <w:color w:val="0071BC"/>
                    </w:rPr>
                    <w:t>Hl. m. Praha</w:t>
                  </w:r>
                  <w:r>
                    <w:t xml:space="preserve"> | Na padesátém 81, 100 82 Praha 10 | tel.: 274 052 673, 274 054 223</w:t>
                  </w:r>
                </w:p>
                <w:p w:rsidR="006E182C" w:rsidRPr="00100014" w:rsidRDefault="006E182C" w:rsidP="00BD366B">
                  <w:pPr>
                    <w:spacing w:line="240" w:lineRule="auto"/>
                    <w:rPr>
                      <w:b/>
                    </w:rPr>
                  </w:pPr>
                  <w:r>
                    <w:t xml:space="preserve">e-mail: infoservispraha@czso.cz | </w:t>
                  </w:r>
                  <w:r w:rsidRPr="00100014">
                    <w:rPr>
                      <w:b/>
                    </w:rPr>
                    <w:t>www.praha.czso.cz</w:t>
                  </w:r>
                </w:p>
                <w:p w:rsidR="006E182C" w:rsidRDefault="006E182C" w:rsidP="00BD366B">
                  <w:pPr>
                    <w:spacing w:line="240" w:lineRule="auto"/>
                  </w:pPr>
                </w:p>
                <w:p w:rsidR="006E182C" w:rsidRPr="00B27293" w:rsidRDefault="006E182C"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6E182C" w:rsidRPr="00B27293" w:rsidRDefault="006E182C" w:rsidP="00BD366B">
                  <w:pPr>
                    <w:spacing w:line="240" w:lineRule="auto"/>
                  </w:pPr>
                  <w:r>
                    <w:t xml:space="preserve">e-mail: infoservisstc@czso.cz | </w:t>
                  </w:r>
                  <w:r w:rsidRPr="00100014">
                    <w:rPr>
                      <w:b/>
                    </w:rPr>
                    <w:t>www.stredocesky.czso.cz</w:t>
                  </w:r>
                </w:p>
                <w:p w:rsidR="006E182C" w:rsidRDefault="006E182C" w:rsidP="00BD366B">
                  <w:pPr>
                    <w:spacing w:line="240" w:lineRule="auto"/>
                  </w:pPr>
                </w:p>
                <w:p w:rsidR="006E182C" w:rsidRPr="00B27293" w:rsidRDefault="006E182C" w:rsidP="00BD366B">
                  <w:pPr>
                    <w:spacing w:line="240" w:lineRule="auto"/>
                    <w:rPr>
                      <w:b/>
                      <w:color w:val="0071BC"/>
                    </w:rPr>
                  </w:pPr>
                  <w:r w:rsidRPr="00100014">
                    <w:rPr>
                      <w:b/>
                      <w:color w:val="0071BC"/>
                    </w:rPr>
                    <w:t>České Budějovice</w:t>
                  </w:r>
                  <w:r>
                    <w:t xml:space="preserve"> | Žižkova 1, 370 77 České Budějovice | tel.: 386 718 440</w:t>
                  </w:r>
                </w:p>
                <w:p w:rsidR="006E182C" w:rsidRPr="00B27293" w:rsidRDefault="006E182C" w:rsidP="00BD366B">
                  <w:pPr>
                    <w:spacing w:line="240" w:lineRule="auto"/>
                  </w:pPr>
                  <w:r>
                    <w:t xml:space="preserve">e-mail: infoserviscb@czso.cz | </w:t>
                  </w:r>
                  <w:r w:rsidRPr="00100014">
                    <w:rPr>
                      <w:b/>
                    </w:rPr>
                    <w:t>www.cbudejovice.czso.cz</w:t>
                  </w:r>
                </w:p>
                <w:p w:rsidR="006E182C" w:rsidRDefault="006E182C" w:rsidP="00BD366B">
                  <w:pPr>
                    <w:spacing w:line="240" w:lineRule="auto"/>
                  </w:pPr>
                </w:p>
                <w:p w:rsidR="006E182C" w:rsidRPr="00B27293" w:rsidRDefault="006E182C" w:rsidP="00BD366B">
                  <w:pPr>
                    <w:spacing w:line="240" w:lineRule="auto"/>
                    <w:rPr>
                      <w:b/>
                      <w:color w:val="0071BC"/>
                    </w:rPr>
                  </w:pPr>
                  <w:r w:rsidRPr="0071229A">
                    <w:rPr>
                      <w:b/>
                      <w:color w:val="0071BC"/>
                    </w:rPr>
                    <w:t>Plzeň</w:t>
                  </w:r>
                  <w:r>
                    <w:t xml:space="preserve"> | Slovanská alej 36, 326 64 Plzeň | tel.: 377 612 108, 377 612 249</w:t>
                  </w:r>
                </w:p>
                <w:p w:rsidR="006E182C" w:rsidRPr="00B27293" w:rsidRDefault="006E182C" w:rsidP="00BD366B">
                  <w:pPr>
                    <w:spacing w:line="240" w:lineRule="auto"/>
                  </w:pPr>
                  <w:r>
                    <w:t xml:space="preserve">e-mail: infoservisplzen@czso.cz | </w:t>
                  </w:r>
                  <w:r w:rsidRPr="0071229A">
                    <w:rPr>
                      <w:b/>
                    </w:rPr>
                    <w:t>www.plzen.czso.cz</w:t>
                  </w:r>
                </w:p>
                <w:p w:rsidR="006E182C" w:rsidRDefault="006E182C" w:rsidP="00BD366B">
                  <w:pPr>
                    <w:spacing w:line="240" w:lineRule="auto"/>
                  </w:pPr>
                </w:p>
                <w:p w:rsidR="006E182C" w:rsidRPr="00B27293" w:rsidRDefault="006E182C" w:rsidP="00BD366B">
                  <w:pPr>
                    <w:spacing w:line="240" w:lineRule="auto"/>
                    <w:rPr>
                      <w:b/>
                      <w:color w:val="0071BC"/>
                    </w:rPr>
                  </w:pPr>
                  <w:r w:rsidRPr="0071229A">
                    <w:rPr>
                      <w:b/>
                      <w:color w:val="0071BC"/>
                    </w:rPr>
                    <w:t>Karlovy Vary</w:t>
                  </w:r>
                  <w:r>
                    <w:t xml:space="preserve"> | Závodní 360/94, 360 06 Karlovy Vary | tel.: 353 114 529, 353 114 525</w:t>
                  </w:r>
                </w:p>
                <w:p w:rsidR="006E182C" w:rsidRDefault="006E182C" w:rsidP="00BD366B">
                  <w:pPr>
                    <w:spacing w:line="240" w:lineRule="auto"/>
                    <w:rPr>
                      <w:b/>
                    </w:rPr>
                  </w:pPr>
                  <w:r>
                    <w:t xml:space="preserve">e-mail: infoserviskv@czso.cz | </w:t>
                  </w:r>
                  <w:r>
                    <w:rPr>
                      <w:b/>
                    </w:rPr>
                    <w:t>www.kvary.czso.cz</w:t>
                  </w:r>
                </w:p>
                <w:p w:rsidR="006E182C" w:rsidRDefault="006E182C" w:rsidP="00BD366B">
                  <w:pPr>
                    <w:spacing w:line="240" w:lineRule="auto"/>
                  </w:pPr>
                </w:p>
                <w:p w:rsidR="006E182C" w:rsidRPr="00B27293" w:rsidRDefault="006E182C"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6E182C" w:rsidRPr="00B27293" w:rsidRDefault="006E182C" w:rsidP="00BD366B">
                  <w:pPr>
                    <w:spacing w:line="240" w:lineRule="auto"/>
                    <w:rPr>
                      <w:bCs/>
                    </w:rPr>
                  </w:pPr>
                  <w:r w:rsidRPr="0071229A">
                    <w:rPr>
                      <w:bCs/>
                    </w:rPr>
                    <w:t>e-mail: infoservisul@czso.cz</w:t>
                  </w:r>
                  <w:r>
                    <w:t xml:space="preserve"> | </w:t>
                  </w:r>
                  <w:r w:rsidRPr="0071229A">
                    <w:rPr>
                      <w:b/>
                      <w:bCs/>
                    </w:rPr>
                    <w:t>www.ustinadlabem.czso.cz</w:t>
                  </w:r>
                </w:p>
                <w:p w:rsidR="006E182C" w:rsidRPr="0071229A" w:rsidRDefault="006E182C" w:rsidP="00BD366B">
                  <w:pPr>
                    <w:spacing w:line="240" w:lineRule="auto"/>
                    <w:rPr>
                      <w:bCs/>
                    </w:rPr>
                  </w:pPr>
                </w:p>
                <w:p w:rsidR="006E182C" w:rsidRPr="00B27293" w:rsidRDefault="006E182C"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6E182C" w:rsidRPr="00B27293" w:rsidRDefault="006E182C" w:rsidP="00BD366B">
                  <w:pPr>
                    <w:spacing w:line="240" w:lineRule="auto"/>
                    <w:rPr>
                      <w:bCs/>
                    </w:rPr>
                  </w:pPr>
                  <w:r w:rsidRPr="0071229A">
                    <w:rPr>
                      <w:bCs/>
                    </w:rPr>
                    <w:t>e-mail: infoservislbc@czso.cz</w:t>
                  </w:r>
                  <w:r>
                    <w:t xml:space="preserve"> | </w:t>
                  </w:r>
                  <w:r w:rsidRPr="0071229A">
                    <w:rPr>
                      <w:b/>
                      <w:bCs/>
                    </w:rPr>
                    <w:t>www.liberec.czso.cz</w:t>
                  </w:r>
                </w:p>
                <w:p w:rsidR="006E182C" w:rsidRPr="0071229A" w:rsidRDefault="006E182C" w:rsidP="00BD366B">
                  <w:pPr>
                    <w:spacing w:line="240" w:lineRule="auto"/>
                    <w:rPr>
                      <w:bCs/>
                    </w:rPr>
                  </w:pPr>
                </w:p>
                <w:p w:rsidR="006E182C" w:rsidRPr="00B27293" w:rsidRDefault="006E182C"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6E182C" w:rsidRPr="00B27293" w:rsidRDefault="006E182C" w:rsidP="00BD366B">
                  <w:pPr>
                    <w:spacing w:line="240" w:lineRule="auto"/>
                    <w:rPr>
                      <w:bCs/>
                    </w:rPr>
                  </w:pPr>
                  <w:r w:rsidRPr="0071229A">
                    <w:rPr>
                      <w:bCs/>
                    </w:rPr>
                    <w:t>e-mail: infoservishk@czso.cz</w:t>
                  </w:r>
                  <w:r>
                    <w:t xml:space="preserve"> | </w:t>
                  </w:r>
                  <w:r w:rsidRPr="0071229A">
                    <w:rPr>
                      <w:b/>
                      <w:bCs/>
                    </w:rPr>
                    <w:t>www.hradeckralove.czso.cz</w:t>
                  </w:r>
                </w:p>
                <w:p w:rsidR="006E182C" w:rsidRPr="0071229A" w:rsidRDefault="006E182C" w:rsidP="00BD366B">
                  <w:pPr>
                    <w:spacing w:line="240" w:lineRule="auto"/>
                    <w:rPr>
                      <w:bCs/>
                    </w:rPr>
                  </w:pPr>
                </w:p>
                <w:p w:rsidR="006E182C" w:rsidRPr="00B27293" w:rsidRDefault="006E182C"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6E182C" w:rsidRPr="00B27293" w:rsidRDefault="006E182C" w:rsidP="00BD366B">
                  <w:pPr>
                    <w:spacing w:line="240" w:lineRule="auto"/>
                    <w:rPr>
                      <w:bCs/>
                    </w:rPr>
                  </w:pPr>
                  <w:r w:rsidRPr="0071229A">
                    <w:rPr>
                      <w:bCs/>
                    </w:rPr>
                    <w:t>e-mail: infoservispa@czso.cz</w:t>
                  </w:r>
                  <w:r>
                    <w:t xml:space="preserve"> | </w:t>
                  </w:r>
                  <w:r w:rsidRPr="0071229A">
                    <w:rPr>
                      <w:b/>
                      <w:bCs/>
                    </w:rPr>
                    <w:t>www.pardubice.czso.cz</w:t>
                  </w:r>
                </w:p>
                <w:p w:rsidR="006E182C" w:rsidRPr="0071229A" w:rsidRDefault="006E182C" w:rsidP="00BD366B">
                  <w:pPr>
                    <w:spacing w:line="240" w:lineRule="auto"/>
                    <w:rPr>
                      <w:bCs/>
                    </w:rPr>
                  </w:pPr>
                </w:p>
                <w:p w:rsidR="006E182C" w:rsidRPr="00B27293" w:rsidRDefault="006E182C"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6E182C" w:rsidRPr="00B27293" w:rsidRDefault="006E182C" w:rsidP="00BD366B">
                  <w:pPr>
                    <w:spacing w:line="240" w:lineRule="auto"/>
                    <w:rPr>
                      <w:bCs/>
                    </w:rPr>
                  </w:pPr>
                  <w:r w:rsidRPr="0071229A">
                    <w:rPr>
                      <w:bCs/>
                    </w:rPr>
                    <w:t>e-mail: infoservisvys@czso.cz</w:t>
                  </w:r>
                  <w:r>
                    <w:t xml:space="preserve"> | </w:t>
                  </w:r>
                  <w:r w:rsidRPr="0071229A">
                    <w:rPr>
                      <w:b/>
                      <w:bCs/>
                    </w:rPr>
                    <w:t>www.jihlava.czso.cz</w:t>
                  </w:r>
                </w:p>
                <w:p w:rsidR="006E182C" w:rsidRPr="0071229A" w:rsidRDefault="006E182C" w:rsidP="00BD366B">
                  <w:pPr>
                    <w:spacing w:line="240" w:lineRule="auto"/>
                    <w:rPr>
                      <w:bCs/>
                    </w:rPr>
                  </w:pPr>
                </w:p>
                <w:p w:rsidR="006E182C" w:rsidRPr="00B27293" w:rsidRDefault="006E182C"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6E182C" w:rsidRPr="00B27293" w:rsidRDefault="006E182C" w:rsidP="00BD366B">
                  <w:pPr>
                    <w:spacing w:line="240" w:lineRule="auto"/>
                    <w:rPr>
                      <w:bCs/>
                    </w:rPr>
                  </w:pPr>
                  <w:r w:rsidRPr="0071229A">
                    <w:rPr>
                      <w:bCs/>
                    </w:rPr>
                    <w:t>e-mail: infoservisbrno@czso.cz</w:t>
                  </w:r>
                  <w:r>
                    <w:t xml:space="preserve"> | </w:t>
                  </w:r>
                  <w:r w:rsidRPr="0071229A">
                    <w:rPr>
                      <w:b/>
                      <w:bCs/>
                    </w:rPr>
                    <w:t>www.brno.czso.cz</w:t>
                  </w:r>
                </w:p>
                <w:p w:rsidR="006E182C" w:rsidRPr="0071229A" w:rsidRDefault="006E182C" w:rsidP="00BD366B">
                  <w:pPr>
                    <w:spacing w:line="240" w:lineRule="auto"/>
                    <w:rPr>
                      <w:bCs/>
                    </w:rPr>
                  </w:pPr>
                </w:p>
                <w:p w:rsidR="006E182C" w:rsidRPr="00B27293" w:rsidRDefault="006E182C"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6E182C" w:rsidRPr="00B27293" w:rsidRDefault="006E182C" w:rsidP="00BD366B">
                  <w:pPr>
                    <w:spacing w:line="240" w:lineRule="auto"/>
                    <w:rPr>
                      <w:bCs/>
                    </w:rPr>
                  </w:pPr>
                  <w:r w:rsidRPr="0071229A">
                    <w:rPr>
                      <w:bCs/>
                    </w:rPr>
                    <w:t>e-mail: infoservisolom@czso.cz</w:t>
                  </w:r>
                  <w:r>
                    <w:t xml:space="preserve"> | </w:t>
                  </w:r>
                  <w:r w:rsidRPr="0071229A">
                    <w:rPr>
                      <w:b/>
                      <w:bCs/>
                    </w:rPr>
                    <w:t>www.olomouc.czso.cz</w:t>
                  </w:r>
                </w:p>
                <w:p w:rsidR="006E182C" w:rsidRPr="0071229A" w:rsidRDefault="006E182C" w:rsidP="00BD366B">
                  <w:pPr>
                    <w:spacing w:line="240" w:lineRule="auto"/>
                    <w:rPr>
                      <w:bCs/>
                    </w:rPr>
                  </w:pPr>
                </w:p>
                <w:p w:rsidR="006E182C" w:rsidRPr="00B27293" w:rsidRDefault="006E182C"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6E182C" w:rsidRPr="00B27293" w:rsidRDefault="006E182C" w:rsidP="00BD366B">
                  <w:pPr>
                    <w:spacing w:line="240" w:lineRule="auto"/>
                    <w:rPr>
                      <w:bCs/>
                    </w:rPr>
                  </w:pPr>
                  <w:r w:rsidRPr="0071229A">
                    <w:rPr>
                      <w:bCs/>
                    </w:rPr>
                    <w:t>e-mail: infoservis_ov@czso.cz</w:t>
                  </w:r>
                  <w:r>
                    <w:t xml:space="preserve"> | </w:t>
                  </w:r>
                  <w:r w:rsidRPr="0071229A">
                    <w:rPr>
                      <w:b/>
                      <w:bCs/>
                    </w:rPr>
                    <w:t>www.ostrava.czso.cz</w:t>
                  </w:r>
                </w:p>
                <w:p w:rsidR="006E182C" w:rsidRPr="0071229A" w:rsidRDefault="006E182C" w:rsidP="00BD366B">
                  <w:pPr>
                    <w:spacing w:line="240" w:lineRule="auto"/>
                    <w:rPr>
                      <w:bCs/>
                    </w:rPr>
                  </w:pPr>
                </w:p>
                <w:p w:rsidR="006E182C" w:rsidRPr="0071229A" w:rsidRDefault="006E182C"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6E182C" w:rsidRPr="00B27293" w:rsidRDefault="006E182C" w:rsidP="00BD366B">
                  <w:pPr>
                    <w:spacing w:line="240" w:lineRule="auto"/>
                    <w:rPr>
                      <w:bCs/>
                    </w:rPr>
                  </w:pPr>
                  <w:r w:rsidRPr="0071229A">
                    <w:rPr>
                      <w:bCs/>
                    </w:rPr>
                    <w:t>e-mail: infoservis-zl@czso.cz</w:t>
                  </w:r>
                  <w:r>
                    <w:t xml:space="preserve"> | </w:t>
                  </w:r>
                  <w:r w:rsidRPr="0071229A">
                    <w:rPr>
                      <w:b/>
                      <w:bCs/>
                    </w:rPr>
                    <w:t>www.zlin.czso.cz</w:t>
                  </w:r>
                </w:p>
                <w:p w:rsidR="006E182C" w:rsidRPr="00B27293" w:rsidRDefault="006E182C" w:rsidP="00BD366B">
                  <w:pPr>
                    <w:spacing w:line="240" w:lineRule="auto"/>
                  </w:pPr>
                </w:p>
              </w:txbxContent>
            </v:textbox>
            <w10:wrap anchorx="page" anchory="page"/>
            <w10:anchorlock/>
          </v:shape>
        </w:pict>
      </w:r>
      <w:r w:rsidRPr="00220838">
        <w:rPr>
          <w:noProof/>
          <w:lang w:eastAsia="cs-CZ"/>
        </w:rPr>
        <w:pict>
          <v:shape id="_x0000_s1026"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next-textbox:#_x0000_s1026;mso-fit-shape-to-text:t" inset="0,0,0,0">
              <w:txbxContent>
                <w:p w:rsidR="006E182C" w:rsidRPr="004F4353" w:rsidRDefault="006E182C"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r>
                    <w:rPr>
                      <w:b/>
                      <w:bCs/>
                      <w:sz w:val="24"/>
                    </w:rPr>
                    <w:t>.</w:t>
                  </w:r>
                </w:p>
              </w:txbxContent>
            </v:textbox>
            <w10:wrap anchorx="page" anchory="page"/>
            <w10:anchorlock/>
          </v:shape>
        </w:pict>
      </w:r>
      <w:r w:rsidRPr="00220838">
        <w:rPr>
          <w:noProof/>
          <w:lang w:eastAsia="cs-CZ"/>
        </w:rPr>
        <w:pict>
          <v:shape id="_x0000_s1027"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style="mso-next-textbox:#_x0000_s1027" inset="0,0,0,0">
              <w:txbxContent>
                <w:p w:rsidR="006E182C" w:rsidRPr="00841D9F" w:rsidRDefault="006E182C" w:rsidP="004F06F5"/>
                <w:p w:rsidR="006E182C" w:rsidRPr="00AF2852" w:rsidRDefault="006E182C" w:rsidP="004F06F5">
                  <w:r w:rsidRPr="00841D9F">
                    <w:t>© Český sta</w:t>
                  </w:r>
                  <w:r>
                    <w:t>tistický úřad, Praha, 2017</w:t>
                  </w:r>
                </w:p>
              </w:txbxContent>
            </v:textbox>
            <w10:wrap anchorx="page" anchory="page"/>
            <w10:anchorlock/>
          </v:shape>
        </w:pict>
      </w:r>
    </w:p>
    <w:p w:rsidR="00576A3E" w:rsidRPr="00A74192" w:rsidRDefault="00576A3E" w:rsidP="00D94859">
      <w:pPr>
        <w:pStyle w:val="Zkladnodstavec"/>
        <w:spacing w:after="240"/>
        <w:rPr>
          <w:rFonts w:ascii="Arial" w:hAnsi="Arial" w:cs="Arial"/>
          <w:b/>
          <w:color w:val="A5007B"/>
          <w:sz w:val="32"/>
          <w:szCs w:val="32"/>
        </w:rPr>
      </w:pPr>
    </w:p>
    <w:p w:rsidR="00576A3E" w:rsidRPr="00A74192" w:rsidRDefault="00576A3E" w:rsidP="00D94859">
      <w:pPr>
        <w:rPr>
          <w:rFonts w:cs="Arial"/>
          <w:b/>
          <w:color w:val="A5007B"/>
          <w:sz w:val="32"/>
          <w:szCs w:val="32"/>
        </w:rPr>
        <w:sectPr w:rsidR="00576A3E" w:rsidRPr="00A74192" w:rsidSect="00E83DAB">
          <w:headerReference w:type="default" r:id="rId11"/>
          <w:footerReference w:type="default" r:id="rId12"/>
          <w:pgSz w:w="11906" w:h="16838" w:code="9"/>
          <w:pgMar w:top="1134" w:right="1134" w:bottom="1418" w:left="1134" w:header="709" w:footer="709" w:gutter="0"/>
          <w:cols w:space="708"/>
          <w:titlePg/>
          <w:docGrid w:linePitch="360"/>
        </w:sectPr>
      </w:pPr>
    </w:p>
    <w:p w:rsidR="00576A3E" w:rsidRDefault="00576A3E" w:rsidP="00D94859">
      <w:pPr>
        <w:pStyle w:val="Nadpis1"/>
      </w:pPr>
      <w:bookmarkStart w:id="1" w:name="_Toc412459447"/>
      <w:bookmarkStart w:id="2" w:name="_Toc469299928"/>
      <w:bookmarkStart w:id="3" w:name="_Toc469327797"/>
      <w:r w:rsidRPr="00A74192">
        <w:lastRenderedPageBreak/>
        <w:t>Obsah</w:t>
      </w:r>
      <w:bookmarkEnd w:id="1"/>
      <w:bookmarkEnd w:id="2"/>
      <w:bookmarkEnd w:id="3"/>
    </w:p>
    <w:p w:rsidR="005B22A7" w:rsidRDefault="00220838">
      <w:pPr>
        <w:pStyle w:val="Obsah1"/>
        <w:rPr>
          <w:rFonts w:ascii="Calibri" w:eastAsia="Times New Roman" w:hAnsi="Calibri" w:cs="Times New Roman"/>
          <w:b w:val="0"/>
          <w:sz w:val="22"/>
          <w:szCs w:val="22"/>
          <w:lang w:eastAsia="cs-CZ"/>
        </w:rPr>
      </w:pPr>
      <w:r w:rsidRPr="00220838">
        <w:fldChar w:fldCharType="begin"/>
      </w:r>
      <w:r w:rsidR="00576A3E" w:rsidRPr="00A74192">
        <w:instrText xml:space="preserve"> TOC \o "1-3" \h \z \u </w:instrText>
      </w:r>
      <w:r w:rsidRPr="00220838">
        <w:fldChar w:fldCharType="separate"/>
      </w:r>
      <w:hyperlink w:anchor="_Toc469327797" w:history="1">
        <w:r w:rsidR="005B22A7" w:rsidRPr="005078C6">
          <w:rPr>
            <w:rStyle w:val="Hypertextovodkaz"/>
          </w:rPr>
          <w:t>Obsah</w:t>
        </w:r>
        <w:r w:rsidR="005B22A7">
          <w:rPr>
            <w:webHidden/>
          </w:rPr>
          <w:tab/>
        </w:r>
        <w:r w:rsidR="005B22A7">
          <w:rPr>
            <w:webHidden/>
          </w:rPr>
          <w:tab/>
        </w:r>
        <w:r>
          <w:rPr>
            <w:webHidden/>
          </w:rPr>
          <w:fldChar w:fldCharType="begin"/>
        </w:r>
        <w:r w:rsidR="005B22A7">
          <w:rPr>
            <w:webHidden/>
          </w:rPr>
          <w:instrText xml:space="preserve"> PAGEREF _Toc469327797 \h </w:instrText>
        </w:r>
        <w:r>
          <w:rPr>
            <w:webHidden/>
          </w:rPr>
        </w:r>
        <w:r>
          <w:rPr>
            <w:webHidden/>
          </w:rPr>
          <w:fldChar w:fldCharType="separate"/>
        </w:r>
        <w:r w:rsidR="007256B7">
          <w:rPr>
            <w:webHidden/>
          </w:rPr>
          <w:t>3</w:t>
        </w:r>
        <w:r>
          <w:rPr>
            <w:webHidden/>
          </w:rPr>
          <w:fldChar w:fldCharType="end"/>
        </w:r>
      </w:hyperlink>
    </w:p>
    <w:p w:rsidR="005B22A7" w:rsidRDefault="00220838">
      <w:pPr>
        <w:pStyle w:val="Obsah1"/>
        <w:rPr>
          <w:rFonts w:ascii="Calibri" w:eastAsia="Times New Roman" w:hAnsi="Calibri" w:cs="Times New Roman"/>
          <w:b w:val="0"/>
          <w:sz w:val="22"/>
          <w:szCs w:val="22"/>
          <w:lang w:eastAsia="cs-CZ"/>
        </w:rPr>
      </w:pPr>
      <w:hyperlink w:anchor="_Toc469327798" w:history="1">
        <w:r w:rsidR="005B22A7" w:rsidRPr="005078C6">
          <w:rPr>
            <w:rStyle w:val="Hypertextovodkaz"/>
          </w:rPr>
          <w:t>1.</w:t>
        </w:r>
        <w:r w:rsidR="005B22A7">
          <w:rPr>
            <w:rFonts w:ascii="Calibri" w:eastAsia="Times New Roman" w:hAnsi="Calibri" w:cs="Times New Roman"/>
            <w:b w:val="0"/>
            <w:sz w:val="22"/>
            <w:szCs w:val="22"/>
            <w:lang w:eastAsia="cs-CZ"/>
          </w:rPr>
          <w:tab/>
        </w:r>
        <w:r w:rsidR="005B22A7" w:rsidRPr="005078C6">
          <w:rPr>
            <w:rStyle w:val="Hypertextovodkaz"/>
          </w:rPr>
          <w:t>Shrnutí</w:t>
        </w:r>
        <w:r w:rsidR="005B22A7">
          <w:rPr>
            <w:webHidden/>
          </w:rPr>
          <w:tab/>
        </w:r>
        <w:r>
          <w:rPr>
            <w:webHidden/>
          </w:rPr>
          <w:fldChar w:fldCharType="begin"/>
        </w:r>
        <w:r w:rsidR="005B22A7">
          <w:rPr>
            <w:webHidden/>
          </w:rPr>
          <w:instrText xml:space="preserve"> PAGEREF _Toc469327798 \h </w:instrText>
        </w:r>
        <w:r>
          <w:rPr>
            <w:webHidden/>
          </w:rPr>
        </w:r>
        <w:r>
          <w:rPr>
            <w:webHidden/>
          </w:rPr>
          <w:fldChar w:fldCharType="separate"/>
        </w:r>
        <w:r w:rsidR="007256B7">
          <w:rPr>
            <w:webHidden/>
          </w:rPr>
          <w:t>4</w:t>
        </w:r>
        <w:r>
          <w:rPr>
            <w:webHidden/>
          </w:rPr>
          <w:fldChar w:fldCharType="end"/>
        </w:r>
      </w:hyperlink>
    </w:p>
    <w:p w:rsidR="005B22A7" w:rsidRDefault="00220838">
      <w:pPr>
        <w:pStyle w:val="Obsah1"/>
        <w:rPr>
          <w:rFonts w:ascii="Calibri" w:eastAsia="Times New Roman" w:hAnsi="Calibri" w:cs="Times New Roman"/>
          <w:b w:val="0"/>
          <w:sz w:val="22"/>
          <w:szCs w:val="22"/>
          <w:lang w:eastAsia="cs-CZ"/>
        </w:rPr>
      </w:pPr>
      <w:hyperlink w:anchor="_Toc469327799" w:history="1">
        <w:r w:rsidR="005B22A7" w:rsidRPr="005078C6">
          <w:rPr>
            <w:rStyle w:val="Hypertextovodkaz"/>
          </w:rPr>
          <w:t>2.</w:t>
        </w:r>
        <w:r w:rsidR="005B22A7">
          <w:rPr>
            <w:rFonts w:ascii="Calibri" w:eastAsia="Times New Roman" w:hAnsi="Calibri" w:cs="Times New Roman"/>
            <w:b w:val="0"/>
            <w:sz w:val="22"/>
            <w:szCs w:val="22"/>
            <w:lang w:eastAsia="cs-CZ"/>
          </w:rPr>
          <w:tab/>
        </w:r>
        <w:r w:rsidR="005B22A7" w:rsidRPr="005078C6">
          <w:rPr>
            <w:rStyle w:val="Hypertextovodkaz"/>
          </w:rPr>
          <w:t>Souhrnná výkonnost</w:t>
        </w:r>
        <w:r w:rsidR="005B22A7">
          <w:rPr>
            <w:webHidden/>
          </w:rPr>
          <w:tab/>
        </w:r>
        <w:r>
          <w:rPr>
            <w:webHidden/>
          </w:rPr>
          <w:fldChar w:fldCharType="begin"/>
        </w:r>
        <w:r w:rsidR="005B22A7">
          <w:rPr>
            <w:webHidden/>
          </w:rPr>
          <w:instrText xml:space="preserve"> PAGEREF _Toc469327799 \h </w:instrText>
        </w:r>
        <w:r>
          <w:rPr>
            <w:webHidden/>
          </w:rPr>
        </w:r>
        <w:r>
          <w:rPr>
            <w:webHidden/>
          </w:rPr>
          <w:fldChar w:fldCharType="separate"/>
        </w:r>
        <w:r w:rsidR="007256B7">
          <w:rPr>
            <w:webHidden/>
          </w:rPr>
          <w:t>5</w:t>
        </w:r>
        <w:r>
          <w:rPr>
            <w:webHidden/>
          </w:rPr>
          <w:fldChar w:fldCharType="end"/>
        </w:r>
      </w:hyperlink>
    </w:p>
    <w:p w:rsidR="005B22A7" w:rsidRDefault="00220838">
      <w:pPr>
        <w:pStyle w:val="Obsah1"/>
        <w:rPr>
          <w:rFonts w:ascii="Calibri" w:eastAsia="Times New Roman" w:hAnsi="Calibri" w:cs="Times New Roman"/>
          <w:b w:val="0"/>
          <w:sz w:val="22"/>
          <w:szCs w:val="22"/>
          <w:lang w:eastAsia="cs-CZ"/>
        </w:rPr>
      </w:pPr>
      <w:hyperlink w:anchor="_Toc469327800" w:history="1">
        <w:r w:rsidR="005B22A7" w:rsidRPr="005078C6">
          <w:rPr>
            <w:rStyle w:val="Hypertextovodkaz"/>
          </w:rPr>
          <w:t>3.</w:t>
        </w:r>
        <w:r w:rsidR="005B22A7">
          <w:rPr>
            <w:rFonts w:ascii="Calibri" w:eastAsia="Times New Roman" w:hAnsi="Calibri" w:cs="Times New Roman"/>
            <w:b w:val="0"/>
            <w:sz w:val="22"/>
            <w:szCs w:val="22"/>
            <w:lang w:eastAsia="cs-CZ"/>
          </w:rPr>
          <w:tab/>
        </w:r>
        <w:r w:rsidR="005B22A7" w:rsidRPr="005078C6">
          <w:rPr>
            <w:rStyle w:val="Hypertextovodkaz"/>
          </w:rPr>
          <w:t>Výkonnost odvětví</w:t>
        </w:r>
        <w:r w:rsidR="005B22A7">
          <w:rPr>
            <w:webHidden/>
          </w:rPr>
          <w:tab/>
        </w:r>
        <w:r>
          <w:rPr>
            <w:webHidden/>
          </w:rPr>
          <w:fldChar w:fldCharType="begin"/>
        </w:r>
        <w:r w:rsidR="005B22A7">
          <w:rPr>
            <w:webHidden/>
          </w:rPr>
          <w:instrText xml:space="preserve"> PAGEREF _Toc469327800 \h </w:instrText>
        </w:r>
        <w:r>
          <w:rPr>
            <w:webHidden/>
          </w:rPr>
        </w:r>
        <w:r>
          <w:rPr>
            <w:webHidden/>
          </w:rPr>
          <w:fldChar w:fldCharType="separate"/>
        </w:r>
        <w:r w:rsidR="007256B7">
          <w:rPr>
            <w:webHidden/>
          </w:rPr>
          <w:t>8</w:t>
        </w:r>
        <w:r>
          <w:rPr>
            <w:webHidden/>
          </w:rPr>
          <w:fldChar w:fldCharType="end"/>
        </w:r>
      </w:hyperlink>
    </w:p>
    <w:p w:rsidR="005B22A7" w:rsidRDefault="00220838">
      <w:pPr>
        <w:pStyle w:val="Obsah1"/>
        <w:rPr>
          <w:rFonts w:ascii="Calibri" w:eastAsia="Times New Roman" w:hAnsi="Calibri" w:cs="Times New Roman"/>
          <w:b w:val="0"/>
          <w:sz w:val="22"/>
          <w:szCs w:val="22"/>
          <w:lang w:eastAsia="cs-CZ"/>
        </w:rPr>
      </w:pPr>
      <w:hyperlink w:anchor="_Toc469327801" w:history="1">
        <w:r w:rsidR="005B22A7" w:rsidRPr="005078C6">
          <w:rPr>
            <w:rStyle w:val="Hypertextovodkaz"/>
          </w:rPr>
          <w:t>4.</w:t>
        </w:r>
        <w:r w:rsidR="005B22A7">
          <w:rPr>
            <w:rFonts w:ascii="Calibri" w:eastAsia="Times New Roman" w:hAnsi="Calibri" w:cs="Times New Roman"/>
            <w:b w:val="0"/>
            <w:sz w:val="22"/>
            <w:szCs w:val="22"/>
            <w:lang w:eastAsia="cs-CZ"/>
          </w:rPr>
          <w:tab/>
        </w:r>
        <w:r w:rsidR="005B22A7" w:rsidRPr="005078C6">
          <w:rPr>
            <w:rStyle w:val="Hypertextovodkaz"/>
          </w:rPr>
          <w:t>Vnější ekonomické vztahy</w:t>
        </w:r>
        <w:r w:rsidR="005B22A7">
          <w:rPr>
            <w:webHidden/>
          </w:rPr>
          <w:tab/>
        </w:r>
        <w:r>
          <w:rPr>
            <w:webHidden/>
          </w:rPr>
          <w:fldChar w:fldCharType="begin"/>
        </w:r>
        <w:r w:rsidR="005B22A7">
          <w:rPr>
            <w:webHidden/>
          </w:rPr>
          <w:instrText xml:space="preserve"> PAGEREF _Toc469327801 \h </w:instrText>
        </w:r>
        <w:r>
          <w:rPr>
            <w:webHidden/>
          </w:rPr>
        </w:r>
        <w:r>
          <w:rPr>
            <w:webHidden/>
          </w:rPr>
          <w:fldChar w:fldCharType="separate"/>
        </w:r>
        <w:r w:rsidR="007256B7">
          <w:rPr>
            <w:webHidden/>
          </w:rPr>
          <w:t>12</w:t>
        </w:r>
        <w:r>
          <w:rPr>
            <w:webHidden/>
          </w:rPr>
          <w:fldChar w:fldCharType="end"/>
        </w:r>
      </w:hyperlink>
    </w:p>
    <w:p w:rsidR="005B22A7" w:rsidRDefault="00220838">
      <w:pPr>
        <w:pStyle w:val="Obsah1"/>
        <w:rPr>
          <w:rFonts w:ascii="Calibri" w:eastAsia="Times New Roman" w:hAnsi="Calibri" w:cs="Times New Roman"/>
          <w:b w:val="0"/>
          <w:sz w:val="22"/>
          <w:szCs w:val="22"/>
          <w:lang w:eastAsia="cs-CZ"/>
        </w:rPr>
      </w:pPr>
      <w:hyperlink w:anchor="_Toc469327802" w:history="1">
        <w:r w:rsidR="005B22A7" w:rsidRPr="005078C6">
          <w:rPr>
            <w:rStyle w:val="Hypertextovodkaz"/>
          </w:rPr>
          <w:t>5.</w:t>
        </w:r>
        <w:r w:rsidR="005B22A7">
          <w:rPr>
            <w:rFonts w:ascii="Calibri" w:eastAsia="Times New Roman" w:hAnsi="Calibri" w:cs="Times New Roman"/>
            <w:b w:val="0"/>
            <w:sz w:val="22"/>
            <w:szCs w:val="22"/>
            <w:lang w:eastAsia="cs-CZ"/>
          </w:rPr>
          <w:tab/>
        </w:r>
        <w:r w:rsidR="005B22A7" w:rsidRPr="005078C6">
          <w:rPr>
            <w:rStyle w:val="Hypertextovodkaz"/>
          </w:rPr>
          <w:t>Ceny</w:t>
        </w:r>
        <w:r w:rsidR="005B22A7">
          <w:rPr>
            <w:webHidden/>
          </w:rPr>
          <w:tab/>
        </w:r>
        <w:r>
          <w:rPr>
            <w:webHidden/>
          </w:rPr>
          <w:fldChar w:fldCharType="begin"/>
        </w:r>
        <w:r w:rsidR="005B22A7">
          <w:rPr>
            <w:webHidden/>
          </w:rPr>
          <w:instrText xml:space="preserve"> PAGEREF _Toc469327802 \h </w:instrText>
        </w:r>
        <w:r>
          <w:rPr>
            <w:webHidden/>
          </w:rPr>
        </w:r>
        <w:r>
          <w:rPr>
            <w:webHidden/>
          </w:rPr>
          <w:fldChar w:fldCharType="separate"/>
        </w:r>
        <w:r w:rsidR="007256B7">
          <w:rPr>
            <w:webHidden/>
          </w:rPr>
          <w:t>14</w:t>
        </w:r>
        <w:r>
          <w:rPr>
            <w:webHidden/>
          </w:rPr>
          <w:fldChar w:fldCharType="end"/>
        </w:r>
      </w:hyperlink>
    </w:p>
    <w:p w:rsidR="005B22A7" w:rsidRDefault="00220838">
      <w:pPr>
        <w:pStyle w:val="Obsah1"/>
        <w:rPr>
          <w:rFonts w:ascii="Calibri" w:eastAsia="Times New Roman" w:hAnsi="Calibri" w:cs="Times New Roman"/>
          <w:b w:val="0"/>
          <w:sz w:val="22"/>
          <w:szCs w:val="22"/>
          <w:lang w:eastAsia="cs-CZ"/>
        </w:rPr>
      </w:pPr>
      <w:hyperlink w:anchor="_Toc469327803" w:history="1">
        <w:r w:rsidR="005B22A7" w:rsidRPr="005078C6">
          <w:rPr>
            <w:rStyle w:val="Hypertextovodkaz"/>
          </w:rPr>
          <w:t>6.</w:t>
        </w:r>
        <w:r w:rsidR="005B22A7">
          <w:rPr>
            <w:rFonts w:ascii="Calibri" w:eastAsia="Times New Roman" w:hAnsi="Calibri" w:cs="Times New Roman"/>
            <w:b w:val="0"/>
            <w:sz w:val="22"/>
            <w:szCs w:val="22"/>
            <w:lang w:eastAsia="cs-CZ"/>
          </w:rPr>
          <w:tab/>
        </w:r>
        <w:r w:rsidR="005B22A7" w:rsidRPr="005078C6">
          <w:rPr>
            <w:rStyle w:val="Hypertextovodkaz"/>
          </w:rPr>
          <w:t>Trh práce</w:t>
        </w:r>
        <w:r w:rsidR="005B22A7">
          <w:rPr>
            <w:webHidden/>
          </w:rPr>
          <w:tab/>
        </w:r>
        <w:r>
          <w:rPr>
            <w:webHidden/>
          </w:rPr>
          <w:fldChar w:fldCharType="begin"/>
        </w:r>
        <w:r w:rsidR="005B22A7">
          <w:rPr>
            <w:webHidden/>
          </w:rPr>
          <w:instrText xml:space="preserve"> PAGEREF _Toc469327803 \h </w:instrText>
        </w:r>
        <w:r>
          <w:rPr>
            <w:webHidden/>
          </w:rPr>
        </w:r>
        <w:r>
          <w:rPr>
            <w:webHidden/>
          </w:rPr>
          <w:fldChar w:fldCharType="separate"/>
        </w:r>
        <w:r w:rsidR="007256B7">
          <w:rPr>
            <w:webHidden/>
          </w:rPr>
          <w:t>17</w:t>
        </w:r>
        <w:r>
          <w:rPr>
            <w:webHidden/>
          </w:rPr>
          <w:fldChar w:fldCharType="end"/>
        </w:r>
      </w:hyperlink>
    </w:p>
    <w:p w:rsidR="005B22A7" w:rsidRDefault="00220838">
      <w:pPr>
        <w:pStyle w:val="Obsah1"/>
        <w:rPr>
          <w:rFonts w:ascii="Calibri" w:eastAsia="Times New Roman" w:hAnsi="Calibri" w:cs="Times New Roman"/>
          <w:b w:val="0"/>
          <w:sz w:val="22"/>
          <w:szCs w:val="22"/>
          <w:lang w:eastAsia="cs-CZ"/>
        </w:rPr>
      </w:pPr>
      <w:hyperlink w:anchor="_Toc469327804" w:history="1">
        <w:r w:rsidR="005B22A7" w:rsidRPr="005078C6">
          <w:rPr>
            <w:rStyle w:val="Hypertextovodkaz"/>
          </w:rPr>
          <w:t>7.</w:t>
        </w:r>
        <w:r w:rsidR="005B22A7">
          <w:rPr>
            <w:rFonts w:ascii="Calibri" w:eastAsia="Times New Roman" w:hAnsi="Calibri" w:cs="Times New Roman"/>
            <w:b w:val="0"/>
            <w:sz w:val="22"/>
            <w:szCs w:val="22"/>
            <w:lang w:eastAsia="cs-CZ"/>
          </w:rPr>
          <w:tab/>
        </w:r>
        <w:r w:rsidR="005B22A7" w:rsidRPr="005078C6">
          <w:rPr>
            <w:rStyle w:val="Hypertextovodkaz"/>
          </w:rPr>
          <w:t>Měnové podmínky</w:t>
        </w:r>
        <w:r w:rsidR="005B22A7">
          <w:rPr>
            <w:webHidden/>
          </w:rPr>
          <w:tab/>
        </w:r>
        <w:r>
          <w:rPr>
            <w:webHidden/>
          </w:rPr>
          <w:fldChar w:fldCharType="begin"/>
        </w:r>
        <w:r w:rsidR="005B22A7">
          <w:rPr>
            <w:webHidden/>
          </w:rPr>
          <w:instrText xml:space="preserve"> PAGEREF _Toc469327804 \h </w:instrText>
        </w:r>
        <w:r>
          <w:rPr>
            <w:webHidden/>
          </w:rPr>
        </w:r>
        <w:r>
          <w:rPr>
            <w:webHidden/>
          </w:rPr>
          <w:fldChar w:fldCharType="separate"/>
        </w:r>
        <w:r w:rsidR="007256B7">
          <w:rPr>
            <w:webHidden/>
          </w:rPr>
          <w:t>19</w:t>
        </w:r>
        <w:r>
          <w:rPr>
            <w:webHidden/>
          </w:rPr>
          <w:fldChar w:fldCharType="end"/>
        </w:r>
      </w:hyperlink>
    </w:p>
    <w:p w:rsidR="005B22A7" w:rsidRDefault="00220838">
      <w:pPr>
        <w:pStyle w:val="Obsah1"/>
        <w:rPr>
          <w:rFonts w:ascii="Calibri" w:eastAsia="Times New Roman" w:hAnsi="Calibri" w:cs="Times New Roman"/>
          <w:b w:val="0"/>
          <w:sz w:val="22"/>
          <w:szCs w:val="22"/>
          <w:lang w:eastAsia="cs-CZ"/>
        </w:rPr>
      </w:pPr>
      <w:hyperlink w:anchor="_Toc469327805" w:history="1">
        <w:r w:rsidR="005B22A7" w:rsidRPr="005078C6">
          <w:rPr>
            <w:rStyle w:val="Hypertextovodkaz"/>
          </w:rPr>
          <w:t>8.</w:t>
        </w:r>
        <w:r w:rsidR="005B22A7">
          <w:rPr>
            <w:rFonts w:ascii="Calibri" w:eastAsia="Times New Roman" w:hAnsi="Calibri" w:cs="Times New Roman"/>
            <w:b w:val="0"/>
            <w:sz w:val="22"/>
            <w:szCs w:val="22"/>
            <w:lang w:eastAsia="cs-CZ"/>
          </w:rPr>
          <w:tab/>
        </w:r>
        <w:r w:rsidR="005B22A7" w:rsidRPr="005078C6">
          <w:rPr>
            <w:rStyle w:val="Hypertextovodkaz"/>
          </w:rPr>
          <w:t>Státní rozpočet</w:t>
        </w:r>
        <w:r w:rsidR="005B22A7">
          <w:rPr>
            <w:webHidden/>
          </w:rPr>
          <w:tab/>
        </w:r>
        <w:r>
          <w:rPr>
            <w:webHidden/>
          </w:rPr>
          <w:fldChar w:fldCharType="begin"/>
        </w:r>
        <w:r w:rsidR="005B22A7">
          <w:rPr>
            <w:webHidden/>
          </w:rPr>
          <w:instrText xml:space="preserve"> PAGEREF _Toc469327805 \h </w:instrText>
        </w:r>
        <w:r>
          <w:rPr>
            <w:webHidden/>
          </w:rPr>
        </w:r>
        <w:r>
          <w:rPr>
            <w:webHidden/>
          </w:rPr>
          <w:fldChar w:fldCharType="separate"/>
        </w:r>
        <w:r w:rsidR="007256B7">
          <w:rPr>
            <w:webHidden/>
          </w:rPr>
          <w:t>21</w:t>
        </w:r>
        <w:r>
          <w:rPr>
            <w:webHidden/>
          </w:rPr>
          <w:fldChar w:fldCharType="end"/>
        </w:r>
      </w:hyperlink>
    </w:p>
    <w:p w:rsidR="00576A3E" w:rsidRPr="00A74192" w:rsidRDefault="00220838" w:rsidP="00D94859">
      <w:pPr>
        <w:pStyle w:val="Nadpis1"/>
        <w:spacing w:before="200"/>
        <w:rPr>
          <w:rFonts w:cs="Arial"/>
          <w:sz w:val="20"/>
          <w:szCs w:val="20"/>
        </w:rPr>
      </w:pPr>
      <w:r w:rsidRPr="00A74192">
        <w:fldChar w:fldCharType="end"/>
      </w:r>
    </w:p>
    <w:p w:rsidR="00576A3E" w:rsidRPr="00A74192" w:rsidRDefault="00576A3E" w:rsidP="00D94859">
      <w:pPr>
        <w:rPr>
          <w:rFonts w:cs="Arial"/>
          <w:b/>
        </w:rPr>
      </w:pPr>
      <w:r w:rsidRPr="00A74192">
        <w:rPr>
          <w:rFonts w:cs="Arial"/>
          <w:b/>
        </w:rPr>
        <w:t>Kapitoly zpracovali:</w:t>
      </w:r>
    </w:p>
    <w:p w:rsidR="00576A3E" w:rsidRPr="00A74192" w:rsidRDefault="00576A3E" w:rsidP="00D94859">
      <w:pPr>
        <w:rPr>
          <w:rFonts w:cs="Arial"/>
        </w:rPr>
      </w:pPr>
    </w:p>
    <w:p w:rsidR="00466AAE" w:rsidRPr="00A74192" w:rsidRDefault="00466AAE" w:rsidP="00D94859">
      <w:pPr>
        <w:spacing w:after="120" w:line="276" w:lineRule="auto"/>
        <w:rPr>
          <w:rFonts w:cs="Arial"/>
        </w:rPr>
      </w:pPr>
      <w:r w:rsidRPr="00A74192">
        <w:rPr>
          <w:rFonts w:cs="Arial"/>
        </w:rPr>
        <w:t>Jiří Kamenický</w:t>
      </w:r>
      <w:r w:rsidRPr="00A74192">
        <w:rPr>
          <w:rFonts w:cs="Arial"/>
        </w:rPr>
        <w:tab/>
      </w:r>
      <w:r w:rsidRPr="00A74192">
        <w:rPr>
          <w:rFonts w:cs="Arial"/>
        </w:rPr>
        <w:tab/>
        <w:t xml:space="preserve">Shrnutí (kap. 1), </w:t>
      </w:r>
      <w:r w:rsidRPr="00A74192">
        <w:rPr>
          <w:rFonts w:cs="Arial"/>
          <w:color w:val="000000"/>
        </w:rPr>
        <w:t>kap. 3,</w:t>
      </w:r>
      <w:r w:rsidRPr="00A74192">
        <w:rPr>
          <w:rFonts w:cs="Arial"/>
        </w:rPr>
        <w:t xml:space="preserve"> kap. 6, kap. 8</w:t>
      </w:r>
    </w:p>
    <w:p w:rsidR="00466AAE" w:rsidRPr="00A74192" w:rsidRDefault="004A7670" w:rsidP="00D94859">
      <w:pPr>
        <w:spacing w:after="120" w:line="276" w:lineRule="auto"/>
        <w:rPr>
          <w:rFonts w:cs="Arial"/>
        </w:rPr>
      </w:pPr>
      <w:r>
        <w:rPr>
          <w:rFonts w:cs="Arial"/>
        </w:rPr>
        <w:t>Karolína Súkupová</w:t>
      </w:r>
      <w:r>
        <w:rPr>
          <w:rFonts w:cs="Arial"/>
        </w:rPr>
        <w:tab/>
      </w:r>
      <w:r w:rsidR="00466AAE" w:rsidRPr="00A74192">
        <w:rPr>
          <w:rFonts w:cs="Arial"/>
        </w:rPr>
        <w:t>Shrnutí (kap. 1), kap. 2</w:t>
      </w:r>
      <w:r>
        <w:rPr>
          <w:rFonts w:cs="Arial"/>
        </w:rPr>
        <w:t>, kap. 4, kap. 5, kap. 7</w:t>
      </w:r>
    </w:p>
    <w:p w:rsidR="00466AAE" w:rsidRDefault="00466AA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Pr="00A74192" w:rsidRDefault="008A03DE" w:rsidP="008A03DE">
      <w:pPr>
        <w:pStyle w:val="Textpoznpodarou"/>
        <w:jc w:val="both"/>
        <w:rPr>
          <w:rFonts w:cs="Arial"/>
          <w:color w:val="000000"/>
        </w:rPr>
      </w:pPr>
      <w:r w:rsidRPr="00A74192">
        <w:rPr>
          <w:rFonts w:cs="Arial"/>
          <w:color w:val="000000"/>
        </w:rPr>
        <w:t>Zdroje dat v celé analýze: ČSÚ, MF ČR, ČNB, MPSV, ČSSZ, Eurostat, propočty ČSÚ.</w:t>
      </w:r>
    </w:p>
    <w:p w:rsidR="004A7670" w:rsidRPr="008A03DE" w:rsidRDefault="008A03DE" w:rsidP="008A03DE">
      <w:pPr>
        <w:pStyle w:val="Textpoznpodarou"/>
        <w:jc w:val="both"/>
        <w:rPr>
          <w:rFonts w:cs="Arial"/>
          <w:color w:val="000000"/>
        </w:rPr>
      </w:pPr>
      <w:r w:rsidRPr="00A74192">
        <w:rPr>
          <w:rFonts w:cs="Arial"/>
          <w:color w:val="000000"/>
        </w:rPr>
        <w:t>Poslední informace uváděné v té</w:t>
      </w:r>
      <w:r w:rsidR="00043C68">
        <w:rPr>
          <w:rFonts w:cs="Arial"/>
          <w:color w:val="000000"/>
        </w:rPr>
        <w:t>to zprávě pocházejí z</w:t>
      </w:r>
      <w:r>
        <w:rPr>
          <w:rFonts w:cs="Arial"/>
          <w:color w:val="000000"/>
        </w:rPr>
        <w:t xml:space="preserve"> 16</w:t>
      </w:r>
      <w:r w:rsidRPr="00A74192">
        <w:rPr>
          <w:rFonts w:cs="Arial"/>
          <w:color w:val="000000"/>
        </w:rPr>
        <w:t xml:space="preserve">. </w:t>
      </w:r>
      <w:r>
        <w:rPr>
          <w:rFonts w:cs="Arial"/>
          <w:color w:val="000000"/>
        </w:rPr>
        <w:t>března 2017</w:t>
      </w:r>
      <w:r w:rsidRPr="00A74192">
        <w:rPr>
          <w:rFonts w:cs="Arial"/>
          <w:color w:val="000000"/>
        </w:rPr>
        <w:t>.</w:t>
      </w:r>
    </w:p>
    <w:p w:rsidR="00576A3E" w:rsidRPr="00A74192" w:rsidRDefault="00576A3E" w:rsidP="00D94859">
      <w:pPr>
        <w:sectPr w:rsidR="00576A3E" w:rsidRPr="00A74192" w:rsidSect="00E83DAB">
          <w:headerReference w:type="even" r:id="rId13"/>
          <w:headerReference w:type="default" r:id="rId14"/>
          <w:footerReference w:type="default" r:id="rId15"/>
          <w:pgSz w:w="11906" w:h="16838" w:code="9"/>
          <w:pgMar w:top="1134" w:right="1134" w:bottom="1418" w:left="1134" w:header="680" w:footer="680" w:gutter="0"/>
          <w:cols w:space="708"/>
          <w:docGrid w:linePitch="360"/>
        </w:sectPr>
      </w:pPr>
    </w:p>
    <w:p w:rsidR="00576A3E" w:rsidRPr="00A74192" w:rsidRDefault="00576A3E" w:rsidP="00D94859"/>
    <w:p w:rsidR="00960769" w:rsidRPr="00A74192" w:rsidRDefault="00960769" w:rsidP="009F777A">
      <w:pPr>
        <w:pStyle w:val="Nadpis1"/>
        <w:numPr>
          <w:ilvl w:val="0"/>
          <w:numId w:val="12"/>
        </w:numPr>
        <w:ind w:left="709"/>
      </w:pPr>
      <w:bookmarkStart w:id="4" w:name="_Toc469299929"/>
      <w:bookmarkStart w:id="5" w:name="_Toc469327798"/>
      <w:r w:rsidRPr="00A74192">
        <w:lastRenderedPageBreak/>
        <w:t>Shrnutí</w:t>
      </w:r>
      <w:bookmarkEnd w:id="4"/>
      <w:bookmarkEnd w:id="5"/>
    </w:p>
    <w:p w:rsidR="003875C2" w:rsidRDefault="003875C2" w:rsidP="00E60FCE">
      <w:pPr>
        <w:pStyle w:val="Odstavecseseznamem"/>
        <w:numPr>
          <w:ilvl w:val="0"/>
          <w:numId w:val="18"/>
        </w:numPr>
        <w:spacing w:line="240" w:lineRule="auto"/>
        <w:ind w:left="426"/>
        <w:contextualSpacing/>
        <w:jc w:val="both"/>
        <w:rPr>
          <w:rFonts w:cs="Arial"/>
          <w:szCs w:val="20"/>
        </w:rPr>
      </w:pPr>
      <w:r w:rsidRPr="00655766">
        <w:rPr>
          <w:rFonts w:cs="Arial"/>
          <w:szCs w:val="20"/>
        </w:rPr>
        <w:t>Hrubý domácí produkt v roce 2016 vzrostl o 2,3 %. Hospodářský růst byl podpořen</w:t>
      </w:r>
      <w:r>
        <w:rPr>
          <w:rFonts w:cs="Arial"/>
          <w:szCs w:val="20"/>
        </w:rPr>
        <w:t xml:space="preserve"> především</w:t>
      </w:r>
      <w:r w:rsidRPr="00655766">
        <w:rPr>
          <w:rFonts w:cs="Arial"/>
          <w:szCs w:val="20"/>
        </w:rPr>
        <w:t xml:space="preserve"> rostoucími výdaji domácností na konečnou spotřebu</w:t>
      </w:r>
      <w:r>
        <w:rPr>
          <w:rFonts w:cs="Arial"/>
          <w:szCs w:val="20"/>
        </w:rPr>
        <w:t xml:space="preserve">. Neméně důležitou úlohu sehrál růst </w:t>
      </w:r>
      <w:r w:rsidRPr="00655766">
        <w:rPr>
          <w:rFonts w:cs="Arial"/>
          <w:szCs w:val="20"/>
        </w:rPr>
        <w:t>kladn</w:t>
      </w:r>
      <w:r>
        <w:rPr>
          <w:rFonts w:cs="Arial"/>
          <w:szCs w:val="20"/>
        </w:rPr>
        <w:t xml:space="preserve">ého </w:t>
      </w:r>
      <w:r w:rsidRPr="00655766">
        <w:rPr>
          <w:rFonts w:cs="Arial"/>
          <w:szCs w:val="20"/>
        </w:rPr>
        <w:t>přebyt</w:t>
      </w:r>
      <w:r>
        <w:rPr>
          <w:rFonts w:cs="Arial"/>
          <w:szCs w:val="20"/>
        </w:rPr>
        <w:t>ku</w:t>
      </w:r>
      <w:r w:rsidRPr="00655766">
        <w:rPr>
          <w:rFonts w:cs="Arial"/>
          <w:szCs w:val="20"/>
        </w:rPr>
        <w:t xml:space="preserve"> bilance zahraničního obchodu</w:t>
      </w:r>
      <w:r>
        <w:rPr>
          <w:rFonts w:cs="Arial"/>
          <w:szCs w:val="20"/>
        </w:rPr>
        <w:t>, na kterém se projevil i pozitivní ekonomický vývoj nejbližších obchodních partnerů ČR.</w:t>
      </w:r>
      <w:r w:rsidRPr="00655766">
        <w:rPr>
          <w:rFonts w:cs="Arial"/>
          <w:szCs w:val="20"/>
        </w:rPr>
        <w:t xml:space="preserve"> V porovnání s předchozím rokem se meziroční tempo ekonomického růstu zpomalilo</w:t>
      </w:r>
      <w:r>
        <w:rPr>
          <w:rFonts w:cs="Arial"/>
          <w:szCs w:val="20"/>
        </w:rPr>
        <w:t>.</w:t>
      </w:r>
      <w:r w:rsidRPr="00655766">
        <w:rPr>
          <w:rFonts w:cs="Arial"/>
          <w:szCs w:val="20"/>
        </w:rPr>
        <w:t xml:space="preserve"> Hlavní příčinou </w:t>
      </w:r>
      <w:r w:rsidR="001E29AF">
        <w:rPr>
          <w:rFonts w:cs="Arial"/>
          <w:szCs w:val="20"/>
        </w:rPr>
        <w:t>však byla</w:t>
      </w:r>
      <w:r w:rsidRPr="00655766">
        <w:rPr>
          <w:rFonts w:cs="Arial"/>
          <w:szCs w:val="20"/>
        </w:rPr>
        <w:t xml:space="preserve"> vysoká srovnávací základna roku 2015, ve kterém se projevila kombinace jednorázových růstových faktorů, které se v roce 2016 neopakovaly.</w:t>
      </w:r>
      <w:r>
        <w:rPr>
          <w:rFonts w:cs="Arial"/>
          <w:szCs w:val="20"/>
        </w:rPr>
        <w:t xml:space="preserve"> Jedním z těchto faktorů </w:t>
      </w:r>
      <w:r w:rsidR="001E29AF">
        <w:rPr>
          <w:rFonts w:cs="Arial"/>
          <w:szCs w:val="20"/>
        </w:rPr>
        <w:t>byla</w:t>
      </w:r>
      <w:r>
        <w:rPr>
          <w:rFonts w:cs="Arial"/>
          <w:szCs w:val="20"/>
        </w:rPr>
        <w:t xml:space="preserve"> investiční aktivita, jejíž příspěvek k růstu HDP v roce 2016 byl záporný (</w:t>
      </w:r>
      <w:r w:rsidR="00717726">
        <w:rPr>
          <w:rFonts w:cs="Arial"/>
          <w:szCs w:val="20"/>
        </w:rPr>
        <w:t>-</w:t>
      </w:r>
      <w:r>
        <w:rPr>
          <w:rFonts w:cs="Arial"/>
          <w:szCs w:val="20"/>
        </w:rPr>
        <w:t xml:space="preserve">0,9 p.b.). </w:t>
      </w:r>
    </w:p>
    <w:p w:rsidR="003875C2" w:rsidRDefault="003875C2" w:rsidP="00E60FCE">
      <w:pPr>
        <w:pStyle w:val="Odstavecseseznamem"/>
        <w:spacing w:line="240" w:lineRule="auto"/>
        <w:ind w:left="426"/>
        <w:jc w:val="both"/>
        <w:rPr>
          <w:rFonts w:cs="Arial"/>
          <w:szCs w:val="20"/>
        </w:rPr>
      </w:pPr>
    </w:p>
    <w:p w:rsidR="003875C2" w:rsidRDefault="003875C2" w:rsidP="00E60FCE">
      <w:pPr>
        <w:pStyle w:val="Odstavecseseznamem"/>
        <w:numPr>
          <w:ilvl w:val="0"/>
          <w:numId w:val="18"/>
        </w:numPr>
        <w:spacing w:line="240" w:lineRule="auto"/>
        <w:ind w:left="426"/>
        <w:contextualSpacing/>
        <w:jc w:val="both"/>
        <w:rPr>
          <w:rFonts w:cs="Arial"/>
          <w:szCs w:val="20"/>
        </w:rPr>
      </w:pPr>
      <w:r>
        <w:rPr>
          <w:rFonts w:cs="Arial"/>
          <w:szCs w:val="20"/>
        </w:rPr>
        <w:t xml:space="preserve">Hrubá přidaná hodnota </w:t>
      </w:r>
      <w:r w:rsidR="00A43EA2">
        <w:rPr>
          <w:rFonts w:cs="Arial"/>
          <w:szCs w:val="20"/>
        </w:rPr>
        <w:t xml:space="preserve">(HPH) </w:t>
      </w:r>
      <w:r>
        <w:rPr>
          <w:rFonts w:cs="Arial"/>
          <w:szCs w:val="20"/>
        </w:rPr>
        <w:t xml:space="preserve">v roce 2016 vzrostla o 2,1 %. Nejvýrazněji se na růstu HPH projevil zpracovatelský průmysl, jehož význam pro růst HPH se prohloubil. </w:t>
      </w:r>
      <w:r w:rsidR="002E4217">
        <w:rPr>
          <w:rFonts w:cs="Arial"/>
          <w:szCs w:val="20"/>
        </w:rPr>
        <w:t xml:space="preserve">Dařilo se také činnostem v oblasti nemovitostí a zejména </w:t>
      </w:r>
      <w:r w:rsidR="002E4217">
        <w:rPr>
          <w:color w:val="0D0D0D"/>
          <w:spacing w:val="-4"/>
        </w:rPr>
        <w:t>odvětví zemědělství, lesnictví a</w:t>
      </w:r>
      <w:r w:rsidR="002E4217" w:rsidRPr="00567A02">
        <w:rPr>
          <w:color w:val="0D0D0D"/>
          <w:spacing w:val="-4"/>
        </w:rPr>
        <w:t> </w:t>
      </w:r>
      <w:r w:rsidR="002E4217" w:rsidRPr="00E455BE">
        <w:rPr>
          <w:color w:val="0D0D0D"/>
          <w:spacing w:val="-4"/>
        </w:rPr>
        <w:t>rybářství</w:t>
      </w:r>
      <w:r w:rsidR="002E4217">
        <w:rPr>
          <w:color w:val="0D0D0D"/>
          <w:spacing w:val="-4"/>
        </w:rPr>
        <w:t>, k jehož silnému růstu</w:t>
      </w:r>
      <w:r w:rsidR="002E4217" w:rsidRPr="00E455BE">
        <w:rPr>
          <w:color w:val="0D0D0D"/>
          <w:spacing w:val="-4"/>
        </w:rPr>
        <w:t xml:space="preserve"> HPH (o 9,5 %) přispěla velmi dobrá úroda</w:t>
      </w:r>
      <w:r w:rsidR="002E4217">
        <w:rPr>
          <w:color w:val="0D0D0D"/>
          <w:spacing w:val="-4"/>
        </w:rPr>
        <w:t>.</w:t>
      </w:r>
      <w:r w:rsidR="002E4217" w:rsidRPr="002E4217">
        <w:rPr>
          <w:rFonts w:cs="Arial"/>
          <w:szCs w:val="20"/>
        </w:rPr>
        <w:t xml:space="preserve"> </w:t>
      </w:r>
      <w:r w:rsidR="002E4217">
        <w:rPr>
          <w:rFonts w:cs="Arial"/>
          <w:szCs w:val="20"/>
        </w:rPr>
        <w:t xml:space="preserve">Naopak v průběhu roku zpomaloval výkon stavebnictví, jehož záporný příspěvek k růstu HPH byl </w:t>
      </w:r>
      <w:r w:rsidR="00717726">
        <w:rPr>
          <w:rFonts w:cs="Arial"/>
          <w:szCs w:val="20"/>
        </w:rPr>
        <w:t>-</w:t>
      </w:r>
      <w:r w:rsidR="002E4217">
        <w:rPr>
          <w:rFonts w:cs="Arial"/>
          <w:szCs w:val="20"/>
        </w:rPr>
        <w:t xml:space="preserve">0,3 p.b. </w:t>
      </w:r>
    </w:p>
    <w:p w:rsidR="003875C2" w:rsidRPr="00FC74D0" w:rsidRDefault="003875C2" w:rsidP="00E60FCE">
      <w:pPr>
        <w:pStyle w:val="Odstavecseseznamem"/>
        <w:spacing w:line="240" w:lineRule="auto"/>
        <w:ind w:left="426"/>
        <w:jc w:val="both"/>
        <w:rPr>
          <w:rFonts w:cs="Arial"/>
          <w:szCs w:val="20"/>
        </w:rPr>
      </w:pPr>
    </w:p>
    <w:p w:rsidR="003875C2" w:rsidRDefault="003875C2" w:rsidP="00E60FCE">
      <w:pPr>
        <w:pStyle w:val="Odstavecseseznamem"/>
        <w:numPr>
          <w:ilvl w:val="0"/>
          <w:numId w:val="18"/>
        </w:numPr>
        <w:spacing w:line="240" w:lineRule="auto"/>
        <w:ind w:left="426"/>
        <w:contextualSpacing/>
        <w:jc w:val="both"/>
        <w:rPr>
          <w:rFonts w:cs="Arial"/>
          <w:szCs w:val="20"/>
        </w:rPr>
      </w:pPr>
      <w:r w:rsidRPr="009A1374">
        <w:rPr>
          <w:rFonts w:cs="Arial"/>
          <w:szCs w:val="20"/>
        </w:rPr>
        <w:t xml:space="preserve">Česká republika v roce 2016 dosáhla výrazného přebytku běžného účtu platební bilance, především díky mimořádně vysokému kladnému saldu </w:t>
      </w:r>
      <w:r>
        <w:rPr>
          <w:rFonts w:cs="Arial"/>
          <w:szCs w:val="20"/>
        </w:rPr>
        <w:t xml:space="preserve">obchodu se </w:t>
      </w:r>
      <w:r w:rsidRPr="009A1374">
        <w:rPr>
          <w:rFonts w:cs="Arial"/>
          <w:szCs w:val="20"/>
        </w:rPr>
        <w:t>zboží</w:t>
      </w:r>
      <w:r>
        <w:rPr>
          <w:rFonts w:cs="Arial"/>
          <w:szCs w:val="20"/>
        </w:rPr>
        <w:t>m</w:t>
      </w:r>
      <w:r w:rsidRPr="009A1374">
        <w:rPr>
          <w:rFonts w:cs="Arial"/>
          <w:szCs w:val="20"/>
        </w:rPr>
        <w:t xml:space="preserve"> a služb</w:t>
      </w:r>
      <w:r>
        <w:rPr>
          <w:rFonts w:cs="Arial"/>
          <w:szCs w:val="20"/>
        </w:rPr>
        <w:t>ami</w:t>
      </w:r>
      <w:r w:rsidRPr="009A1374">
        <w:rPr>
          <w:rFonts w:cs="Arial"/>
          <w:szCs w:val="20"/>
        </w:rPr>
        <w:t xml:space="preserve">. Hodnota vývozu byla rekordní a dosáhla 3312 mld. korun </w:t>
      </w:r>
      <w:r w:rsidR="00AE481D">
        <w:rPr>
          <w:rFonts w:cs="Arial"/>
          <w:szCs w:val="20"/>
        </w:rPr>
        <w:t>(</w:t>
      </w:r>
      <w:r w:rsidRPr="009A1374">
        <w:rPr>
          <w:rFonts w:cs="Arial"/>
          <w:szCs w:val="20"/>
        </w:rPr>
        <w:t>i přes zpomalení růstu exportu v druhé polovině roku</w:t>
      </w:r>
      <w:r w:rsidR="00AE481D">
        <w:rPr>
          <w:rFonts w:cs="Arial"/>
          <w:szCs w:val="20"/>
        </w:rPr>
        <w:t>)</w:t>
      </w:r>
      <w:r w:rsidRPr="009A1374">
        <w:rPr>
          <w:rFonts w:cs="Arial"/>
          <w:szCs w:val="20"/>
        </w:rPr>
        <w:t>. Těchto výsledků bylo dosaženo především díky silně rostoucímu exportu motorov</w:t>
      </w:r>
      <w:r w:rsidR="007256B7">
        <w:rPr>
          <w:rFonts w:cs="Arial"/>
          <w:szCs w:val="20"/>
        </w:rPr>
        <w:t>ých vozidel, kter</w:t>
      </w:r>
      <w:r w:rsidR="00EF3486">
        <w:rPr>
          <w:rFonts w:cs="Arial"/>
          <w:szCs w:val="20"/>
        </w:rPr>
        <w:t>ý</w:t>
      </w:r>
      <w:r w:rsidR="007256B7">
        <w:rPr>
          <w:rFonts w:cs="Arial"/>
          <w:szCs w:val="20"/>
        </w:rPr>
        <w:t xml:space="preserve"> tvořil 27,8</w:t>
      </w:r>
      <w:r w:rsidR="007256B7" w:rsidRPr="00F94681">
        <w:rPr>
          <w:rFonts w:cs="Arial"/>
          <w:szCs w:val="20"/>
        </w:rPr>
        <w:t> </w:t>
      </w:r>
      <w:r w:rsidRPr="009A1374">
        <w:rPr>
          <w:rFonts w:cs="Arial"/>
          <w:szCs w:val="20"/>
        </w:rPr>
        <w:t>% vývozu z ČR.</w:t>
      </w:r>
    </w:p>
    <w:p w:rsidR="003875C2" w:rsidRPr="009A1374" w:rsidRDefault="003875C2" w:rsidP="00E60FCE">
      <w:pPr>
        <w:pStyle w:val="Odstavecseseznamem"/>
        <w:spacing w:line="240" w:lineRule="auto"/>
        <w:ind w:left="426"/>
        <w:rPr>
          <w:rFonts w:cs="Arial"/>
          <w:szCs w:val="20"/>
        </w:rPr>
      </w:pPr>
    </w:p>
    <w:p w:rsidR="003875C2" w:rsidRPr="00F94681" w:rsidRDefault="00F94681" w:rsidP="00E60FCE">
      <w:pPr>
        <w:pStyle w:val="Odstavecseseznamem"/>
        <w:numPr>
          <w:ilvl w:val="0"/>
          <w:numId w:val="18"/>
        </w:numPr>
        <w:spacing w:line="240" w:lineRule="auto"/>
        <w:ind w:left="426"/>
        <w:contextualSpacing/>
        <w:jc w:val="both"/>
        <w:rPr>
          <w:rFonts w:cs="Arial"/>
          <w:szCs w:val="20"/>
        </w:rPr>
      </w:pPr>
      <w:r w:rsidRPr="00F94681">
        <w:rPr>
          <w:rFonts w:cs="Arial"/>
          <w:szCs w:val="20"/>
        </w:rPr>
        <w:t>Cenový vývoj byl ovlivněn poklesem cen ropy na přelomu let 2015 a 2016. Ten se promítal do</w:t>
      </w:r>
      <w:r w:rsidR="00717726">
        <w:rPr>
          <w:rFonts w:cs="Arial"/>
          <w:szCs w:val="20"/>
        </w:rPr>
        <w:t> </w:t>
      </w:r>
      <w:r w:rsidRPr="00F94681">
        <w:rPr>
          <w:rFonts w:cs="Arial"/>
          <w:szCs w:val="20"/>
        </w:rPr>
        <w:t xml:space="preserve">spotřebitelských cen, jejichž meziroční růst v prvních třech čtvrtletích nepřekročil 0,6 %, i do cen průmyslových výrobců, které po celý rok meziročně klesaly. Pro spotřebitelské ceny byl určující i vývoj cen potravin, které výrazně klesaly v prvních třech čtvrtletích. V závěrečném čtvrtletí ceny potravin </w:t>
      </w:r>
      <w:r w:rsidR="00EF3486">
        <w:rPr>
          <w:rFonts w:cs="Arial"/>
          <w:szCs w:val="20"/>
        </w:rPr>
        <w:t>vzrostly</w:t>
      </w:r>
      <w:r w:rsidR="00EF3486" w:rsidRPr="00F94681">
        <w:rPr>
          <w:rFonts w:cs="Arial"/>
          <w:szCs w:val="20"/>
        </w:rPr>
        <w:t xml:space="preserve"> </w:t>
      </w:r>
      <w:r w:rsidRPr="00F94681">
        <w:rPr>
          <w:rFonts w:cs="Arial"/>
          <w:szCs w:val="20"/>
        </w:rPr>
        <w:t>a růst spotřebitelských cen se</w:t>
      </w:r>
      <w:r w:rsidR="000973B6">
        <w:rPr>
          <w:rFonts w:cs="Arial"/>
          <w:szCs w:val="20"/>
        </w:rPr>
        <w:t xml:space="preserve"> začal přibližovat</w:t>
      </w:r>
      <w:r w:rsidRPr="00F94681">
        <w:rPr>
          <w:rFonts w:cs="Arial"/>
          <w:szCs w:val="20"/>
        </w:rPr>
        <w:t xml:space="preserve"> 2 %. </w:t>
      </w:r>
      <w:r w:rsidR="001E29AF">
        <w:rPr>
          <w:rFonts w:cs="Arial"/>
          <w:szCs w:val="20"/>
        </w:rPr>
        <w:t>Výrazně</w:t>
      </w:r>
      <w:r w:rsidRPr="00F94681">
        <w:rPr>
          <w:rFonts w:cs="Arial"/>
          <w:szCs w:val="20"/>
        </w:rPr>
        <w:t xml:space="preserve"> rostly ceny nemovitostí. Nedostatek</w:t>
      </w:r>
      <w:r w:rsidR="001E29AF">
        <w:rPr>
          <w:rFonts w:cs="Arial"/>
          <w:szCs w:val="20"/>
        </w:rPr>
        <w:t xml:space="preserve"> cenově</w:t>
      </w:r>
      <w:r w:rsidRPr="00F94681">
        <w:rPr>
          <w:rFonts w:cs="Arial"/>
          <w:szCs w:val="20"/>
        </w:rPr>
        <w:t xml:space="preserve"> dostupných bytů</w:t>
      </w:r>
      <w:r w:rsidR="001E29AF">
        <w:rPr>
          <w:rFonts w:cs="Arial"/>
          <w:szCs w:val="20"/>
        </w:rPr>
        <w:t xml:space="preserve"> i územní nesoulad</w:t>
      </w:r>
      <w:r w:rsidRPr="00F94681">
        <w:rPr>
          <w:rFonts w:cs="Arial"/>
          <w:szCs w:val="20"/>
        </w:rPr>
        <w:t xml:space="preserve"> </w:t>
      </w:r>
      <w:r w:rsidR="001E29AF">
        <w:rPr>
          <w:rFonts w:cs="Arial"/>
          <w:szCs w:val="20"/>
        </w:rPr>
        <w:t xml:space="preserve">mezi nabídkou a poptávkou </w:t>
      </w:r>
      <w:r w:rsidRPr="00F94681">
        <w:rPr>
          <w:rFonts w:cs="Arial"/>
          <w:szCs w:val="20"/>
        </w:rPr>
        <w:t>se podepsal</w:t>
      </w:r>
      <w:r w:rsidR="001E29AF">
        <w:rPr>
          <w:rFonts w:cs="Arial"/>
          <w:szCs w:val="20"/>
        </w:rPr>
        <w:t>y</w:t>
      </w:r>
      <w:r w:rsidRPr="00F94681">
        <w:rPr>
          <w:rFonts w:cs="Arial"/>
          <w:szCs w:val="20"/>
        </w:rPr>
        <w:t xml:space="preserve"> na</w:t>
      </w:r>
      <w:r w:rsidR="00717726">
        <w:rPr>
          <w:rFonts w:cs="Arial"/>
          <w:szCs w:val="20"/>
        </w:rPr>
        <w:t> </w:t>
      </w:r>
      <w:r w:rsidRPr="00F94681">
        <w:rPr>
          <w:rFonts w:cs="Arial"/>
          <w:szCs w:val="20"/>
        </w:rPr>
        <w:t>zrychlení růstu realizovaných</w:t>
      </w:r>
      <w:r w:rsidR="008550EA">
        <w:rPr>
          <w:rFonts w:cs="Arial"/>
          <w:szCs w:val="20"/>
        </w:rPr>
        <w:t xml:space="preserve"> cen starších bytů, které ve 4.</w:t>
      </w:r>
      <w:r w:rsidR="008550EA" w:rsidRPr="00F94681">
        <w:rPr>
          <w:rFonts w:cs="Arial"/>
          <w:szCs w:val="20"/>
        </w:rPr>
        <w:t> </w:t>
      </w:r>
      <w:r w:rsidRPr="00F94681">
        <w:rPr>
          <w:rFonts w:cs="Arial"/>
          <w:szCs w:val="20"/>
        </w:rPr>
        <w:t>čtvrtletí</w:t>
      </w:r>
      <w:r w:rsidR="00080A41">
        <w:rPr>
          <w:rFonts w:cs="Arial"/>
          <w:szCs w:val="20"/>
        </w:rPr>
        <w:t xml:space="preserve"> 2016 meziročně vzrostly o 14,5 </w:t>
      </w:r>
      <w:r w:rsidRPr="00F94681">
        <w:rPr>
          <w:rFonts w:cs="Arial"/>
          <w:szCs w:val="20"/>
        </w:rPr>
        <w:t>%. Polevil pokles cen i</w:t>
      </w:r>
      <w:r>
        <w:rPr>
          <w:rFonts w:cs="Arial"/>
          <w:szCs w:val="20"/>
        </w:rPr>
        <w:t>mportovaného zboží a skončilo</w:t>
      </w:r>
      <w:r w:rsidRPr="00F94681">
        <w:rPr>
          <w:rFonts w:cs="Arial"/>
          <w:szCs w:val="20"/>
        </w:rPr>
        <w:t xml:space="preserve"> tak období importovaných deflačních tlaků.</w:t>
      </w:r>
    </w:p>
    <w:p w:rsidR="003875C2" w:rsidRDefault="003875C2" w:rsidP="00E60FCE">
      <w:pPr>
        <w:pStyle w:val="Odstavecseseznamem"/>
        <w:spacing w:line="240" w:lineRule="auto"/>
        <w:ind w:left="426"/>
        <w:jc w:val="both"/>
        <w:rPr>
          <w:rFonts w:cs="Arial"/>
          <w:szCs w:val="20"/>
        </w:rPr>
      </w:pPr>
    </w:p>
    <w:p w:rsidR="003875C2" w:rsidRDefault="003875C2" w:rsidP="00E60FCE">
      <w:pPr>
        <w:pStyle w:val="Odstavecseseznamem"/>
        <w:numPr>
          <w:ilvl w:val="0"/>
          <w:numId w:val="18"/>
        </w:numPr>
        <w:spacing w:line="240" w:lineRule="auto"/>
        <w:ind w:left="426"/>
        <w:contextualSpacing/>
        <w:jc w:val="both"/>
        <w:rPr>
          <w:rFonts w:cs="Arial"/>
          <w:szCs w:val="20"/>
        </w:rPr>
      </w:pPr>
      <w:r>
        <w:rPr>
          <w:rFonts w:cs="Arial"/>
          <w:szCs w:val="20"/>
        </w:rPr>
        <w:t>Měnové podmínky v ČR byly do značné míry určeny nízkými úrokovými sazbami a pokračujícím režimem intervencí. Úrokové sazby na vkladech se během roku 2016 dál snižovaly. Pokračoval odliv peněžních prostředků z term</w:t>
      </w:r>
      <w:r w:rsidR="00174E7D">
        <w:rPr>
          <w:rFonts w:cs="Arial"/>
          <w:szCs w:val="20"/>
        </w:rPr>
        <w:t>í</w:t>
      </w:r>
      <w:r>
        <w:rPr>
          <w:rFonts w:cs="Arial"/>
          <w:szCs w:val="20"/>
        </w:rPr>
        <w:t>novaných účtů ve prospěch běžných ú</w:t>
      </w:r>
      <w:r w:rsidR="007256B7">
        <w:rPr>
          <w:rFonts w:cs="Arial"/>
          <w:szCs w:val="20"/>
        </w:rPr>
        <w:t>čtů. Vzhledem k nízkým sazbám a</w:t>
      </w:r>
      <w:r w:rsidR="007256B7" w:rsidRPr="00F94681">
        <w:rPr>
          <w:rFonts w:cs="Arial"/>
          <w:szCs w:val="20"/>
        </w:rPr>
        <w:t> </w:t>
      </w:r>
      <w:r>
        <w:rPr>
          <w:rFonts w:cs="Arial"/>
          <w:szCs w:val="20"/>
        </w:rPr>
        <w:t>snadné dostupnosti rostl objem úvěrů poskytnutých domácnostem. Očekávané změny pravidel pro</w:t>
      </w:r>
      <w:r w:rsidR="00717726">
        <w:rPr>
          <w:rFonts w:cs="Arial"/>
          <w:szCs w:val="20"/>
        </w:rPr>
        <w:t xml:space="preserve"> poskytování </w:t>
      </w:r>
      <w:r>
        <w:rPr>
          <w:rFonts w:cs="Arial"/>
          <w:szCs w:val="20"/>
        </w:rPr>
        <w:t>hypoték v závěru roku urychlily nárůst objemu těchto úvěrů.</w:t>
      </w:r>
    </w:p>
    <w:p w:rsidR="00E60FCE" w:rsidRPr="008550EA" w:rsidRDefault="00E60FCE" w:rsidP="008550EA">
      <w:pPr>
        <w:rPr>
          <w:rFonts w:cs="Arial"/>
          <w:szCs w:val="20"/>
        </w:rPr>
      </w:pPr>
    </w:p>
    <w:p w:rsidR="00E60FCE" w:rsidRPr="00FD55BA" w:rsidRDefault="00F94681" w:rsidP="00E60FCE">
      <w:pPr>
        <w:pStyle w:val="Odstavecseseznamem"/>
        <w:numPr>
          <w:ilvl w:val="0"/>
          <w:numId w:val="18"/>
        </w:numPr>
        <w:spacing w:line="240" w:lineRule="auto"/>
        <w:ind w:left="426"/>
        <w:contextualSpacing/>
        <w:jc w:val="both"/>
        <w:rPr>
          <w:rFonts w:cs="Arial"/>
          <w:szCs w:val="20"/>
        </w:rPr>
      </w:pPr>
      <w:r w:rsidRPr="00F94681">
        <w:rPr>
          <w:rFonts w:cs="Arial"/>
          <w:szCs w:val="20"/>
        </w:rPr>
        <w:t xml:space="preserve">Situace na trhu práce se v roce 2016 nadále zlepšovala. Tempo růstu celkové zaměstnanosti sílilo již </w:t>
      </w:r>
      <w:r w:rsidRPr="00FD55BA">
        <w:rPr>
          <w:rFonts w:cs="Arial"/>
          <w:szCs w:val="20"/>
        </w:rPr>
        <w:t>třetí rok v</w:t>
      </w:r>
      <w:r w:rsidR="008550EA" w:rsidRPr="00FD55BA">
        <w:rPr>
          <w:rFonts w:cs="Arial"/>
          <w:szCs w:val="20"/>
        </w:rPr>
        <w:t> </w:t>
      </w:r>
      <w:r w:rsidRPr="00FD55BA">
        <w:rPr>
          <w:rFonts w:cs="Arial"/>
          <w:szCs w:val="20"/>
        </w:rPr>
        <w:t>řadě</w:t>
      </w:r>
      <w:r w:rsidR="008550EA" w:rsidRPr="00FD55BA">
        <w:rPr>
          <w:rFonts w:cs="Arial"/>
          <w:szCs w:val="20"/>
        </w:rPr>
        <w:t>,</w:t>
      </w:r>
      <w:r w:rsidRPr="00FD55BA">
        <w:rPr>
          <w:rFonts w:cs="Arial"/>
          <w:szCs w:val="20"/>
        </w:rPr>
        <w:t xml:space="preserve"> loni dosáhlo 1,8 %</w:t>
      </w:r>
      <w:r w:rsidRPr="00FD55BA">
        <w:rPr>
          <w:rStyle w:val="Znakapoznpodarou"/>
          <w:szCs w:val="20"/>
        </w:rPr>
        <w:footnoteReference w:id="1"/>
      </w:r>
      <w:r w:rsidRPr="00FD55BA">
        <w:rPr>
          <w:rFonts w:cs="Arial"/>
          <w:szCs w:val="20"/>
        </w:rPr>
        <w:t xml:space="preserve">. </w:t>
      </w:r>
      <w:r w:rsidR="00FC2CF4" w:rsidRPr="00FD55BA">
        <w:rPr>
          <w:rFonts w:cs="Arial"/>
          <w:szCs w:val="20"/>
        </w:rPr>
        <w:t>K vyšší zaměstnanosti přispěl z více ne</w:t>
      </w:r>
      <w:r w:rsidR="00356244" w:rsidRPr="00FD55BA">
        <w:rPr>
          <w:rFonts w:cs="Arial"/>
          <w:szCs w:val="20"/>
        </w:rPr>
        <w:t>ž 40 % zpracovatelský průmysl, v průběhu roku se však stále více prosazovaly i služby. Práci mělo na</w:t>
      </w:r>
      <w:r w:rsidR="00356244" w:rsidRPr="00FD55BA">
        <w:rPr>
          <w:rFonts w:cs="Arial"/>
          <w:color w:val="0D0D0D"/>
          <w:spacing w:val="-4"/>
          <w:szCs w:val="20"/>
        </w:rPr>
        <w:t xml:space="preserve"> sklonku loňského roku rekordních 5,32 mil. lidí. </w:t>
      </w:r>
      <w:r w:rsidR="00FD55BA" w:rsidRPr="00FD55BA">
        <w:rPr>
          <w:rFonts w:cs="Arial"/>
          <w:color w:val="0D0D0D"/>
          <w:spacing w:val="-4"/>
          <w:szCs w:val="20"/>
        </w:rPr>
        <w:t>Z</w:t>
      </w:r>
      <w:r w:rsidR="00356244" w:rsidRPr="00FD55BA">
        <w:rPr>
          <w:rFonts w:cs="Arial"/>
          <w:color w:val="0D0D0D"/>
          <w:spacing w:val="-4"/>
          <w:szCs w:val="20"/>
        </w:rPr>
        <w:t xml:space="preserve">výšil </w:t>
      </w:r>
      <w:r w:rsidR="00FD55BA" w:rsidRPr="00FD55BA">
        <w:rPr>
          <w:rFonts w:cs="Arial"/>
          <w:color w:val="0D0D0D"/>
          <w:spacing w:val="-4"/>
          <w:szCs w:val="20"/>
        </w:rPr>
        <w:t xml:space="preserve">se však </w:t>
      </w:r>
      <w:r w:rsidR="00356244" w:rsidRPr="00FD55BA">
        <w:rPr>
          <w:rFonts w:cs="Arial"/>
          <w:color w:val="0D0D0D"/>
          <w:spacing w:val="-4"/>
          <w:szCs w:val="20"/>
        </w:rPr>
        <w:t>i podíl podniků, které považovaly nedostatek pracovní síly za důležitou bariéru svého růstu.</w:t>
      </w:r>
      <w:r w:rsidR="00FD55BA" w:rsidRPr="00FD55BA">
        <w:rPr>
          <w:rFonts w:cs="Arial"/>
          <w:color w:val="0D0D0D"/>
          <w:spacing w:val="-4"/>
          <w:szCs w:val="20"/>
        </w:rPr>
        <w:t xml:space="preserve"> Obecná míra nezaměstnanosti se po celý rok dále snižovala především zásluh</w:t>
      </w:r>
      <w:r w:rsidR="00B3448C">
        <w:rPr>
          <w:rFonts w:cs="Arial"/>
          <w:color w:val="0D0D0D"/>
          <w:spacing w:val="-4"/>
          <w:szCs w:val="20"/>
        </w:rPr>
        <w:t>o</w:t>
      </w:r>
      <w:r w:rsidR="00FD55BA" w:rsidRPr="00FD55BA">
        <w:rPr>
          <w:rFonts w:cs="Arial"/>
          <w:color w:val="0D0D0D"/>
          <w:spacing w:val="-4"/>
          <w:szCs w:val="20"/>
        </w:rPr>
        <w:t xml:space="preserve">u redukce počtu dlouhodobě nezaměstnaných a v prosinci 2016 činila 3,6 %. </w:t>
      </w:r>
      <w:r w:rsidR="00FD55BA" w:rsidRPr="00FD55BA">
        <w:rPr>
          <w:rFonts w:cs="Arial"/>
          <w:bCs/>
          <w:iCs/>
          <w:color w:val="0D0D0D"/>
          <w:spacing w:val="-2"/>
          <w:szCs w:val="20"/>
        </w:rPr>
        <w:t>Nabídka volných pracovních míst se nadále rozšiřovala, nejlépe se uplatňovali specialisté a kvalifikovaní manuální pracovníci</w:t>
      </w:r>
      <w:r w:rsidR="00FD55BA" w:rsidRPr="00FD55BA">
        <w:rPr>
          <w:rFonts w:cs="Arial"/>
          <w:color w:val="0D0D0D"/>
          <w:spacing w:val="-4"/>
          <w:szCs w:val="20"/>
        </w:rPr>
        <w:t xml:space="preserve">. </w:t>
      </w:r>
      <w:r w:rsidR="00FD55BA" w:rsidRPr="00FD55BA">
        <w:rPr>
          <w:rFonts w:cs="Arial"/>
          <w:bCs/>
          <w:iCs/>
          <w:color w:val="0D0D0D"/>
          <w:spacing w:val="-2"/>
          <w:szCs w:val="20"/>
        </w:rPr>
        <w:t xml:space="preserve">Dobrá finanční situace podniků i sílící obtíže při hledání nových pracovníků tlačily na zvyšování </w:t>
      </w:r>
      <w:r w:rsidR="00FD55BA">
        <w:rPr>
          <w:rFonts w:cs="Arial"/>
          <w:bCs/>
          <w:iCs/>
          <w:color w:val="0D0D0D"/>
          <w:spacing w:val="-2"/>
          <w:szCs w:val="20"/>
        </w:rPr>
        <w:t xml:space="preserve">nominálních </w:t>
      </w:r>
      <w:r w:rsidR="00FD55BA" w:rsidRPr="00FD55BA">
        <w:rPr>
          <w:rFonts w:cs="Arial"/>
          <w:bCs/>
          <w:iCs/>
          <w:color w:val="0D0D0D"/>
          <w:spacing w:val="-2"/>
          <w:szCs w:val="20"/>
        </w:rPr>
        <w:t>mezd. Ty loni vzrostly o 4,2 %, nejvíce od roku 2008.</w:t>
      </w:r>
      <w:r w:rsidR="00442197">
        <w:rPr>
          <w:rFonts w:cs="Arial"/>
          <w:bCs/>
          <w:iCs/>
          <w:color w:val="0D0D0D"/>
          <w:spacing w:val="-2"/>
          <w:szCs w:val="20"/>
        </w:rPr>
        <w:t xml:space="preserve"> Navyšování minim</w:t>
      </w:r>
      <w:r w:rsidR="00993F56">
        <w:rPr>
          <w:rFonts w:cs="Arial"/>
          <w:bCs/>
          <w:iCs/>
          <w:color w:val="0D0D0D"/>
          <w:spacing w:val="-2"/>
          <w:szCs w:val="20"/>
        </w:rPr>
        <w:t>ální mzdy společně s posílením výdělků v odvětvích s dominancí státu</w:t>
      </w:r>
      <w:r w:rsidR="00442197">
        <w:rPr>
          <w:rFonts w:cs="Arial"/>
          <w:bCs/>
          <w:iCs/>
          <w:color w:val="0D0D0D"/>
          <w:spacing w:val="-2"/>
          <w:szCs w:val="20"/>
        </w:rPr>
        <w:t xml:space="preserve"> se promítly v 6% růstu mzdového mediánu </w:t>
      </w:r>
      <w:r w:rsidR="00993F56">
        <w:rPr>
          <w:rFonts w:cs="Arial"/>
          <w:bCs/>
          <w:iCs/>
          <w:color w:val="0D0D0D"/>
          <w:spacing w:val="-2"/>
          <w:szCs w:val="20"/>
        </w:rPr>
        <w:t>ve 4.</w:t>
      </w:r>
      <w:r w:rsidR="00D03866" w:rsidRPr="00FD55BA">
        <w:rPr>
          <w:rFonts w:cs="Arial"/>
          <w:szCs w:val="20"/>
        </w:rPr>
        <w:t> </w:t>
      </w:r>
      <w:r w:rsidR="00993F56">
        <w:rPr>
          <w:rFonts w:cs="Arial"/>
          <w:bCs/>
          <w:iCs/>
          <w:color w:val="0D0D0D"/>
          <w:spacing w:val="-2"/>
          <w:szCs w:val="20"/>
        </w:rPr>
        <w:t xml:space="preserve">čtvrtletí 2016 </w:t>
      </w:r>
      <w:r w:rsidR="00442197">
        <w:rPr>
          <w:rFonts w:cs="Arial"/>
          <w:bCs/>
          <w:iCs/>
          <w:color w:val="0D0D0D"/>
          <w:spacing w:val="-2"/>
          <w:szCs w:val="20"/>
        </w:rPr>
        <w:t>a přispěly tak ke snížení mzdové diferenciace</w:t>
      </w:r>
      <w:r w:rsidR="00080A41">
        <w:rPr>
          <w:rFonts w:cs="Arial"/>
          <w:bCs/>
          <w:iCs/>
          <w:color w:val="0D0D0D"/>
          <w:spacing w:val="-2"/>
          <w:szCs w:val="20"/>
        </w:rPr>
        <w:t xml:space="preserve"> zaměstnanců</w:t>
      </w:r>
      <w:r w:rsidR="00442197">
        <w:rPr>
          <w:rFonts w:cs="Arial"/>
          <w:bCs/>
          <w:iCs/>
          <w:color w:val="0D0D0D"/>
          <w:spacing w:val="-2"/>
          <w:szCs w:val="20"/>
        </w:rPr>
        <w:t xml:space="preserve">. Navzdory sílící inflaci na konci roku rostly </w:t>
      </w:r>
      <w:r w:rsidR="00993F56">
        <w:rPr>
          <w:rFonts w:cs="Arial"/>
          <w:bCs/>
          <w:iCs/>
          <w:color w:val="0D0D0D"/>
          <w:spacing w:val="-2"/>
          <w:szCs w:val="20"/>
        </w:rPr>
        <w:t xml:space="preserve">průměrné </w:t>
      </w:r>
      <w:r w:rsidR="00442197">
        <w:rPr>
          <w:rFonts w:cs="Arial"/>
          <w:bCs/>
          <w:iCs/>
          <w:color w:val="0D0D0D"/>
          <w:spacing w:val="-2"/>
          <w:szCs w:val="20"/>
        </w:rPr>
        <w:t>reálné mzdy za celý rok o 3,5 %, tedy nejvyšším te</w:t>
      </w:r>
      <w:r w:rsidR="00B3448C">
        <w:rPr>
          <w:rFonts w:cs="Arial"/>
          <w:bCs/>
          <w:iCs/>
          <w:color w:val="0D0D0D"/>
          <w:spacing w:val="-2"/>
          <w:szCs w:val="20"/>
        </w:rPr>
        <w:t>m</w:t>
      </w:r>
      <w:r w:rsidR="00442197">
        <w:rPr>
          <w:rFonts w:cs="Arial"/>
          <w:bCs/>
          <w:iCs/>
          <w:color w:val="0D0D0D"/>
          <w:spacing w:val="-2"/>
          <w:szCs w:val="20"/>
        </w:rPr>
        <w:t>pem od roku 2007.</w:t>
      </w:r>
    </w:p>
    <w:p w:rsidR="00F94681" w:rsidRPr="00F94681" w:rsidRDefault="00F94681" w:rsidP="00F94681">
      <w:pPr>
        <w:spacing w:line="240" w:lineRule="auto"/>
        <w:contextualSpacing/>
        <w:jc w:val="both"/>
        <w:rPr>
          <w:rFonts w:cs="Arial"/>
          <w:szCs w:val="20"/>
        </w:rPr>
      </w:pPr>
    </w:p>
    <w:p w:rsidR="00FD55BA" w:rsidRPr="00E41A59" w:rsidRDefault="00E60FCE" w:rsidP="00FD55BA">
      <w:pPr>
        <w:pStyle w:val="Bezmezer"/>
        <w:numPr>
          <w:ilvl w:val="0"/>
          <w:numId w:val="18"/>
        </w:numPr>
        <w:ind w:left="425" w:hanging="357"/>
        <w:rPr>
          <w:rFonts w:cs="Arial"/>
          <w:szCs w:val="20"/>
        </w:rPr>
      </w:pPr>
      <w:r>
        <w:rPr>
          <w:rFonts w:cs="Arial"/>
          <w:szCs w:val="20"/>
        </w:rPr>
        <w:t xml:space="preserve">Hospodaření státního rozpočtu </w:t>
      </w:r>
      <w:r w:rsidR="00A7727E">
        <w:rPr>
          <w:rFonts w:cs="Arial"/>
          <w:szCs w:val="20"/>
        </w:rPr>
        <w:t xml:space="preserve">(SR) </w:t>
      </w:r>
      <w:r>
        <w:rPr>
          <w:rFonts w:cs="Arial"/>
          <w:szCs w:val="20"/>
        </w:rPr>
        <w:t xml:space="preserve">skončilo kladným saldem ve výši 61,8 mld. korun. </w:t>
      </w:r>
      <w:r>
        <w:rPr>
          <w:rFonts w:cs="Arial"/>
          <w:color w:val="0D0D0D"/>
          <w:spacing w:val="-4"/>
        </w:rPr>
        <w:t xml:space="preserve">Rozpočtový přebytek byl </w:t>
      </w:r>
      <w:r w:rsidRPr="00F75EEE">
        <w:rPr>
          <w:rFonts w:cs="Arial"/>
          <w:color w:val="0D0D0D"/>
          <w:spacing w:val="-4"/>
        </w:rPr>
        <w:t>napo</w:t>
      </w:r>
      <w:r w:rsidR="00C01B84">
        <w:rPr>
          <w:rFonts w:cs="Arial"/>
          <w:color w:val="0D0D0D"/>
          <w:spacing w:val="-4"/>
        </w:rPr>
        <w:t>sledy dosažen v období let 1993</w:t>
      </w:r>
      <w:r w:rsidR="00C01B84" w:rsidRPr="008B5159">
        <w:rPr>
          <w:rFonts w:cs="Arial"/>
          <w:color w:val="0D0D0D" w:themeColor="text1" w:themeTint="F2"/>
          <w:spacing w:val="-4"/>
        </w:rPr>
        <w:t>–</w:t>
      </w:r>
      <w:r w:rsidRPr="00F75EEE">
        <w:rPr>
          <w:rFonts w:cs="Arial"/>
          <w:color w:val="0D0D0D"/>
          <w:spacing w:val="-4"/>
        </w:rPr>
        <w:t>1995</w:t>
      </w:r>
      <w:r w:rsidR="00A7727E">
        <w:rPr>
          <w:rFonts w:cs="Arial"/>
          <w:color w:val="0D0D0D"/>
          <w:spacing w:val="-4"/>
        </w:rPr>
        <w:t>. Loňské příjmy i výdaje SR byly výrazně</w:t>
      </w:r>
      <w:r>
        <w:rPr>
          <w:rFonts w:cs="Arial"/>
          <w:color w:val="0D0D0D"/>
          <w:spacing w:val="-4"/>
        </w:rPr>
        <w:t xml:space="preserve"> </w:t>
      </w:r>
      <w:r w:rsidR="00A7727E">
        <w:rPr>
          <w:rFonts w:cs="Arial"/>
          <w:szCs w:val="20"/>
        </w:rPr>
        <w:t>ovlivněny</w:t>
      </w:r>
      <w:r>
        <w:rPr>
          <w:rFonts w:cs="Arial"/>
          <w:szCs w:val="20"/>
        </w:rPr>
        <w:t xml:space="preserve"> nepravidelnost</w:t>
      </w:r>
      <w:r w:rsidR="00A7727E">
        <w:rPr>
          <w:rFonts w:cs="Arial"/>
          <w:szCs w:val="20"/>
        </w:rPr>
        <w:t>m</w:t>
      </w:r>
      <w:r>
        <w:rPr>
          <w:rFonts w:cs="Arial"/>
          <w:szCs w:val="20"/>
        </w:rPr>
        <w:t xml:space="preserve">i v čerpání prostředků z rozpočtu EU. </w:t>
      </w:r>
      <w:r w:rsidR="00080A41">
        <w:rPr>
          <w:rFonts w:cs="Arial"/>
          <w:szCs w:val="20"/>
        </w:rPr>
        <w:t>Výdaje SR na i</w:t>
      </w:r>
      <w:r>
        <w:rPr>
          <w:rFonts w:cs="Arial"/>
          <w:szCs w:val="20"/>
        </w:rPr>
        <w:t>nvestice se meziročně propadly o 52 % (proti roku 2014 o čtvrtinu) a jejich podíl na</w:t>
      </w:r>
      <w:r w:rsidR="00143FA3">
        <w:rPr>
          <w:rFonts w:cs="Arial"/>
          <w:szCs w:val="20"/>
        </w:rPr>
        <w:t xml:space="preserve"> celkových výdajích rozpočtu poklesl pod 7 %</w:t>
      </w:r>
      <w:r>
        <w:rPr>
          <w:rFonts w:cs="Arial"/>
          <w:szCs w:val="20"/>
        </w:rPr>
        <w:t>.</w:t>
      </w:r>
      <w:r w:rsidR="00A7727E">
        <w:rPr>
          <w:rFonts w:cs="Arial"/>
          <w:szCs w:val="20"/>
        </w:rPr>
        <w:t xml:space="preserve"> </w:t>
      </w:r>
      <w:r w:rsidR="008F2097" w:rsidRPr="00AB3287">
        <w:rPr>
          <w:rFonts w:cs="Arial"/>
          <w:szCs w:val="20"/>
        </w:rPr>
        <w:t>Stabilní</w:t>
      </w:r>
      <w:r w:rsidR="008F2097">
        <w:rPr>
          <w:rFonts w:cs="Arial"/>
          <w:szCs w:val="20"/>
        </w:rPr>
        <w:t xml:space="preserve"> růst ekonomiky se odrazil </w:t>
      </w:r>
      <w:r w:rsidR="008F2097" w:rsidRPr="00AB3287">
        <w:rPr>
          <w:rFonts w:cs="Arial"/>
          <w:szCs w:val="20"/>
        </w:rPr>
        <w:t>ve vyšším inkasu zejména přímých daní</w:t>
      </w:r>
      <w:r w:rsidR="008F2097">
        <w:rPr>
          <w:rFonts w:cs="Arial"/>
          <w:szCs w:val="20"/>
        </w:rPr>
        <w:t>, ale i v deficitu důchodového účt</w:t>
      </w:r>
      <w:r w:rsidR="00B3448C">
        <w:rPr>
          <w:rFonts w:cs="Arial"/>
          <w:szCs w:val="20"/>
        </w:rPr>
        <w:t>u</w:t>
      </w:r>
      <w:r w:rsidR="008F2097">
        <w:rPr>
          <w:rFonts w:cs="Arial"/>
          <w:szCs w:val="20"/>
        </w:rPr>
        <w:t xml:space="preserve">, jenž se meziročně snížil </w:t>
      </w:r>
      <w:r w:rsidR="00A43EA2">
        <w:rPr>
          <w:rFonts w:cs="Arial"/>
          <w:szCs w:val="20"/>
        </w:rPr>
        <w:t>bezmála</w:t>
      </w:r>
      <w:r w:rsidR="008F2097">
        <w:rPr>
          <w:rFonts w:cs="Arial"/>
          <w:szCs w:val="20"/>
        </w:rPr>
        <w:t xml:space="preserve"> o polovinu. </w:t>
      </w:r>
      <w:r w:rsidR="008F2097">
        <w:rPr>
          <w:rFonts w:cs="Arial"/>
          <w:color w:val="0D0D0D"/>
          <w:spacing w:val="-4"/>
        </w:rPr>
        <w:t xml:space="preserve">Státní dluh za </w:t>
      </w:r>
      <w:r w:rsidR="00A43EA2">
        <w:rPr>
          <w:rFonts w:cs="Arial"/>
          <w:color w:val="0D0D0D"/>
          <w:spacing w:val="-4"/>
        </w:rPr>
        <w:t>loňský rok poklesl</w:t>
      </w:r>
      <w:r w:rsidR="008F2097" w:rsidRPr="00FC144D">
        <w:rPr>
          <w:rFonts w:cs="Arial"/>
          <w:color w:val="0D0D0D"/>
          <w:spacing w:val="-4"/>
        </w:rPr>
        <w:t xml:space="preserve"> o</w:t>
      </w:r>
      <w:r w:rsidR="008F2097">
        <w:rPr>
          <w:rFonts w:cs="Arial"/>
          <w:szCs w:val="20"/>
        </w:rPr>
        <w:t> </w:t>
      </w:r>
      <w:r w:rsidR="008F2097" w:rsidRPr="00FC144D">
        <w:rPr>
          <w:rFonts w:cs="Arial"/>
          <w:color w:val="0D0D0D"/>
          <w:spacing w:val="-4"/>
        </w:rPr>
        <w:t>3,6</w:t>
      </w:r>
      <w:r w:rsidR="008F2097">
        <w:rPr>
          <w:rFonts w:cs="Arial"/>
          <w:szCs w:val="20"/>
        </w:rPr>
        <w:t> </w:t>
      </w:r>
      <w:r w:rsidR="008F2097" w:rsidRPr="00FC144D">
        <w:rPr>
          <w:rFonts w:cs="Arial"/>
          <w:color w:val="0D0D0D"/>
          <w:spacing w:val="-4"/>
        </w:rPr>
        <w:t>% (na 1613,4 mld. korun)</w:t>
      </w:r>
      <w:r w:rsidR="008F2097">
        <w:rPr>
          <w:rFonts w:cs="Arial"/>
          <w:color w:val="0D0D0D"/>
          <w:spacing w:val="-4"/>
        </w:rPr>
        <w:t>, nejvíce od vzniku samostatné ČR.</w:t>
      </w:r>
    </w:p>
    <w:p w:rsidR="00220838" w:rsidRPr="00220838" w:rsidRDefault="00220838" w:rsidP="00220838">
      <w:pPr>
        <w:pStyle w:val="Odstavecseseznamem"/>
        <w:ind w:left="0"/>
        <w:rPr>
          <w:sz w:val="2"/>
        </w:rPr>
      </w:pPr>
    </w:p>
    <w:p w:rsidR="00960769" w:rsidRPr="00A74192" w:rsidRDefault="00CD7E35" w:rsidP="009F777A">
      <w:pPr>
        <w:pStyle w:val="Nadpis1"/>
        <w:numPr>
          <w:ilvl w:val="0"/>
          <w:numId w:val="12"/>
        </w:numPr>
        <w:ind w:left="709"/>
        <w:jc w:val="both"/>
      </w:pPr>
      <w:bookmarkStart w:id="6" w:name="_Toc469299930"/>
      <w:bookmarkStart w:id="7" w:name="_Toc469327799"/>
      <w:r w:rsidRPr="00A74192">
        <w:lastRenderedPageBreak/>
        <w:t>Souhrnná výkonnost</w:t>
      </w:r>
      <w:bookmarkEnd w:id="6"/>
      <w:bookmarkEnd w:id="7"/>
    </w:p>
    <w:tbl>
      <w:tblPr>
        <w:tblW w:w="5000" w:type="pct"/>
        <w:tblInd w:w="108" w:type="dxa"/>
        <w:tblLayout w:type="fixed"/>
        <w:tblLook w:val="00A0"/>
      </w:tblPr>
      <w:tblGrid>
        <w:gridCol w:w="987"/>
        <w:gridCol w:w="1129"/>
        <w:gridCol w:w="280"/>
        <w:gridCol w:w="2529"/>
        <w:gridCol w:w="887"/>
        <w:gridCol w:w="4042"/>
      </w:tblGrid>
      <w:tr w:rsidR="003875C2" w:rsidRPr="00A74192" w:rsidTr="00701382">
        <w:tc>
          <w:tcPr>
            <w:tcW w:w="1074" w:type="pct"/>
            <w:gridSpan w:val="2"/>
          </w:tcPr>
          <w:p w:rsidR="003875C2" w:rsidRPr="00A74192" w:rsidRDefault="003875C2" w:rsidP="00A9497A">
            <w:pPr>
              <w:spacing w:line="240" w:lineRule="auto"/>
              <w:rPr>
                <w:sz w:val="16"/>
                <w:szCs w:val="16"/>
                <w:highlight w:val="yellow"/>
              </w:rPr>
            </w:pPr>
            <w:r>
              <w:rPr>
                <w:rFonts w:cs="Arial"/>
                <w:sz w:val="16"/>
                <w:szCs w:val="16"/>
              </w:rPr>
              <w:t>Hrubý domácí produkt v roce 2016 vzrostl o 2,3 %. Ve srovnání s rokem 2015 růst zpomalil, především kvůli meziročnímu propadu investiční aktivity.</w:t>
            </w:r>
          </w:p>
        </w:tc>
        <w:tc>
          <w:tcPr>
            <w:tcW w:w="142" w:type="pct"/>
          </w:tcPr>
          <w:p w:rsidR="003875C2" w:rsidRPr="00A74192" w:rsidRDefault="003875C2" w:rsidP="00D94859">
            <w:pPr>
              <w:pStyle w:val="Textpoznpodarou"/>
              <w:jc w:val="both"/>
            </w:pPr>
          </w:p>
        </w:tc>
        <w:tc>
          <w:tcPr>
            <w:tcW w:w="3784" w:type="pct"/>
            <w:gridSpan w:val="3"/>
          </w:tcPr>
          <w:p w:rsidR="003875C2" w:rsidRDefault="003875C2" w:rsidP="00A9497A">
            <w:pPr>
              <w:pStyle w:val="Textpoznpodarou"/>
              <w:jc w:val="both"/>
              <w:rPr>
                <w:rFonts w:cs="Arial"/>
                <w:sz w:val="16"/>
                <w:szCs w:val="16"/>
              </w:rPr>
            </w:pPr>
            <w:r w:rsidRPr="005E2AB2">
              <w:rPr>
                <w:rFonts w:cs="Arial"/>
              </w:rPr>
              <w:t xml:space="preserve">Hrubý domácí produkt (HDP) </w:t>
            </w:r>
            <w:r w:rsidR="00E63EC6">
              <w:rPr>
                <w:rFonts w:cs="Arial"/>
              </w:rPr>
              <w:t>v roce</w:t>
            </w:r>
            <w:r w:rsidRPr="005E2AB2">
              <w:rPr>
                <w:rFonts w:cs="Arial"/>
              </w:rPr>
              <w:t xml:space="preserve"> 2016 vzrostl o 2,3 %</w:t>
            </w:r>
            <w:r w:rsidR="007A4D58" w:rsidRPr="00A74192">
              <w:rPr>
                <w:rStyle w:val="Znakapoznpodarou"/>
                <w:rFonts w:cs="Arial"/>
              </w:rPr>
              <w:footnoteReference w:id="2"/>
            </w:r>
            <w:r w:rsidRPr="005E2AB2">
              <w:rPr>
                <w:rFonts w:cs="Arial"/>
              </w:rPr>
              <w:t xml:space="preserve">. </w:t>
            </w:r>
            <w:r>
              <w:rPr>
                <w:rFonts w:cs="Arial"/>
              </w:rPr>
              <w:t>Česká ekonomika rostla v roce 2016 polovičním tempem ve srovnání s rokem 2015, kdy byl v</w:t>
            </w:r>
            <w:r w:rsidRPr="005E2AB2">
              <w:rPr>
                <w:rFonts w:cs="Arial"/>
              </w:rPr>
              <w:t>ýrazný</w:t>
            </w:r>
            <w:r>
              <w:rPr>
                <w:rFonts w:cs="Arial"/>
              </w:rPr>
              <w:t xml:space="preserve"> růst</w:t>
            </w:r>
            <w:r w:rsidRPr="005E2AB2">
              <w:rPr>
                <w:rFonts w:cs="Arial"/>
              </w:rPr>
              <w:t xml:space="preserve"> </w:t>
            </w:r>
            <w:r>
              <w:rPr>
                <w:rFonts w:cs="Arial"/>
              </w:rPr>
              <w:t>podpořen</w:t>
            </w:r>
            <w:r w:rsidRPr="005E2AB2">
              <w:rPr>
                <w:rFonts w:cs="Arial"/>
              </w:rPr>
              <w:t xml:space="preserve"> mimořádnou kombinací faktorů, které se v roce 2016 neopakovaly. Zmírnění růstové dynamiky začalo už v závěrečném čtvrtletí roku 2015 a během prvních třech čtvrtletí roku 2016 se meziroční přírůstky dále snižovaly (3</w:t>
            </w:r>
            <w:r>
              <w:rPr>
                <w:rFonts w:cs="Arial"/>
              </w:rPr>
              <w:t>,0</w:t>
            </w:r>
            <w:r w:rsidRPr="005E2AB2">
              <w:rPr>
                <w:rFonts w:cs="Arial"/>
              </w:rPr>
              <w:t xml:space="preserve"> %, 2,6</w:t>
            </w:r>
            <w:r w:rsidR="00E63EC6">
              <w:rPr>
                <w:rFonts w:cs="Arial"/>
              </w:rPr>
              <w:t> </w:t>
            </w:r>
            <w:r w:rsidRPr="005E2AB2">
              <w:rPr>
                <w:rFonts w:cs="Arial"/>
              </w:rPr>
              <w:t xml:space="preserve">%, 1,8 %). </w:t>
            </w:r>
            <w:r>
              <w:rPr>
                <w:rFonts w:cs="Arial"/>
              </w:rPr>
              <w:t>V</w:t>
            </w:r>
            <w:r w:rsidRPr="005E2AB2">
              <w:rPr>
                <w:rFonts w:cs="Arial"/>
              </w:rPr>
              <w:t> závěru roku se meziroční tempo růstu mírně zvýšilo na 1,9 %. Meziroční růst hrubé přidané hodnoty (HPH) korespondoval s HDP a během roku se zmírňoval (2,7 %, 2,6 %, 1,6 % a 1,6 % v jednotlivých čtvrtletích). Celkově HPH vzrostla o 2,1 %. Růst HDP podporovala domácí poptávka</w:t>
            </w:r>
            <w:r w:rsidR="00E63EC6">
              <w:rPr>
                <w:rFonts w:cs="Arial"/>
              </w:rPr>
              <w:t xml:space="preserve"> (výdaje na konečnou spotřebu domácností)</w:t>
            </w:r>
            <w:r w:rsidRPr="005E2AB2">
              <w:rPr>
                <w:rFonts w:cs="Arial"/>
              </w:rPr>
              <w:t>, jejíž význam po celý rok sílil</w:t>
            </w:r>
            <w:r w:rsidR="00E63EC6">
              <w:rPr>
                <w:rFonts w:cs="Arial"/>
              </w:rPr>
              <w:t xml:space="preserve"> i rostoucí přebytek bilance zahraničního obchodu, který byl klíčovým pro hospodářský růst především v první polovině roku 2016.</w:t>
            </w:r>
            <w:r w:rsidRPr="005E2AB2">
              <w:rPr>
                <w:rFonts w:cs="Arial"/>
              </w:rPr>
              <w:t xml:space="preserve"> Naopak investiční aktivita, která stála za mimořádnými výsledky roku 2015, byla po celý loňský rok utlumena. </w:t>
            </w:r>
            <w:r>
              <w:rPr>
                <w:rFonts w:cs="Arial"/>
              </w:rPr>
              <w:t>Řada ukazatelů svědčila o</w:t>
            </w:r>
            <w:r w:rsidR="00E63EC6">
              <w:rPr>
                <w:rFonts w:cs="Arial"/>
              </w:rPr>
              <w:t> </w:t>
            </w:r>
            <w:r>
              <w:rPr>
                <w:rFonts w:cs="Arial"/>
              </w:rPr>
              <w:t>příznivém vývoji ekonomiky.</w:t>
            </w:r>
          </w:p>
          <w:p w:rsidR="003875C2" w:rsidRPr="00E60FCE" w:rsidRDefault="003875C2" w:rsidP="00A9497A">
            <w:pPr>
              <w:pStyle w:val="Textpoznpodarou"/>
              <w:jc w:val="both"/>
              <w:rPr>
                <w:rFonts w:cs="Arial"/>
                <w:sz w:val="14"/>
                <w:szCs w:val="14"/>
              </w:rPr>
            </w:pPr>
          </w:p>
        </w:tc>
      </w:tr>
      <w:tr w:rsidR="003875C2" w:rsidRPr="00A74192" w:rsidTr="00701382">
        <w:tc>
          <w:tcPr>
            <w:tcW w:w="1074" w:type="pct"/>
            <w:gridSpan w:val="2"/>
          </w:tcPr>
          <w:p w:rsidR="003875C2" w:rsidRPr="005E2AB2" w:rsidRDefault="003875C2" w:rsidP="00A9497A">
            <w:pPr>
              <w:spacing w:line="240" w:lineRule="auto"/>
              <w:rPr>
                <w:rFonts w:cs="Arial"/>
                <w:sz w:val="16"/>
                <w:szCs w:val="16"/>
              </w:rPr>
            </w:pPr>
            <w:r>
              <w:rPr>
                <w:rFonts w:cs="Arial"/>
                <w:sz w:val="16"/>
                <w:szCs w:val="16"/>
              </w:rPr>
              <w:t xml:space="preserve">Mezičtvrtletní růst HDP byl nejsilnější ve 2. čtvrtletí. Ekonomický růst byl podpořen výjimečně dobrými výsledky v průmyslu i zahraničním obchodě. </w:t>
            </w:r>
          </w:p>
        </w:tc>
        <w:tc>
          <w:tcPr>
            <w:tcW w:w="142" w:type="pct"/>
          </w:tcPr>
          <w:p w:rsidR="003875C2" w:rsidRPr="00A74192" w:rsidRDefault="003875C2" w:rsidP="00D94859">
            <w:pPr>
              <w:pStyle w:val="Textpoznpodarou"/>
              <w:jc w:val="both"/>
            </w:pPr>
          </w:p>
        </w:tc>
        <w:tc>
          <w:tcPr>
            <w:tcW w:w="3784" w:type="pct"/>
            <w:gridSpan w:val="3"/>
          </w:tcPr>
          <w:p w:rsidR="003875C2" w:rsidRPr="00E41A59" w:rsidRDefault="00220838" w:rsidP="00A9497A">
            <w:pPr>
              <w:pStyle w:val="Textpoznpodarou"/>
              <w:jc w:val="both"/>
              <w:rPr>
                <w:spacing w:val="-2"/>
                <w:sz w:val="16"/>
              </w:rPr>
            </w:pPr>
            <w:r w:rsidRPr="00220838">
              <w:rPr>
                <w:spacing w:val="-2"/>
              </w:rPr>
              <w:t>Mezičtvrtletní dynamika růstu HDP zaostávala za předchozími dvěma lety. V první polovině roku dosáhly mezičtvrtletní přírůstky HDP 0,4 % a 0,9 %. Výrazné zpomalení nastalo ve 3. čtvrtletí (0,2 %). V závěru roku se růst zrychlil na 0,4 %. Mezičtvrtletní přírůstky HPH činily 0,4 %, 0,7 %, 0,2 % a 0,3 % v jednotlivých čtvrtletích.</w:t>
            </w:r>
          </w:p>
          <w:p w:rsidR="003875C2" w:rsidRPr="00E60FCE" w:rsidRDefault="003875C2" w:rsidP="00A9497A">
            <w:pPr>
              <w:pStyle w:val="Textpoznpodarou"/>
              <w:jc w:val="both"/>
              <w:rPr>
                <w:rFonts w:cs="Arial"/>
                <w:sz w:val="14"/>
                <w:szCs w:val="14"/>
              </w:rPr>
            </w:pPr>
          </w:p>
        </w:tc>
      </w:tr>
      <w:tr w:rsidR="003875C2" w:rsidRPr="00A74192" w:rsidTr="00701382">
        <w:tc>
          <w:tcPr>
            <w:tcW w:w="1074" w:type="pct"/>
            <w:gridSpan w:val="2"/>
          </w:tcPr>
          <w:p w:rsidR="003875C2" w:rsidRDefault="003875C2" w:rsidP="00A9497A">
            <w:pPr>
              <w:spacing w:line="240" w:lineRule="auto"/>
              <w:rPr>
                <w:rFonts w:cs="Arial"/>
                <w:sz w:val="16"/>
                <w:szCs w:val="16"/>
              </w:rPr>
            </w:pPr>
          </w:p>
          <w:p w:rsidR="003875C2" w:rsidRDefault="003875C2" w:rsidP="00A9497A">
            <w:pPr>
              <w:spacing w:line="240" w:lineRule="auto"/>
              <w:rPr>
                <w:rFonts w:cs="Arial"/>
                <w:sz w:val="16"/>
                <w:szCs w:val="16"/>
              </w:rPr>
            </w:pPr>
          </w:p>
          <w:p w:rsidR="003875C2" w:rsidRPr="005E2AB2" w:rsidRDefault="003875C2" w:rsidP="00A9497A">
            <w:pPr>
              <w:spacing w:line="240" w:lineRule="auto"/>
              <w:rPr>
                <w:rFonts w:cs="Arial"/>
                <w:sz w:val="16"/>
                <w:szCs w:val="16"/>
              </w:rPr>
            </w:pPr>
            <w:r>
              <w:rPr>
                <w:rFonts w:cs="Arial"/>
                <w:sz w:val="16"/>
                <w:szCs w:val="16"/>
              </w:rPr>
              <w:t xml:space="preserve">Meziroční tempo českého hospodářského růstu se v druhé polovině roku srovnalo s průměrem EU. Pro většinu evropských zemí byl rok 2016 úspěšný. Silný růst pokračoval na Slovensku, stabilně rostla německá ekonomika.   </w:t>
            </w:r>
          </w:p>
        </w:tc>
        <w:tc>
          <w:tcPr>
            <w:tcW w:w="142" w:type="pct"/>
          </w:tcPr>
          <w:p w:rsidR="003875C2" w:rsidRPr="00A74192" w:rsidRDefault="003875C2" w:rsidP="00D94859">
            <w:pPr>
              <w:pStyle w:val="Textpoznpodarou"/>
              <w:jc w:val="both"/>
            </w:pPr>
          </w:p>
        </w:tc>
        <w:tc>
          <w:tcPr>
            <w:tcW w:w="3784" w:type="pct"/>
            <w:gridSpan w:val="3"/>
          </w:tcPr>
          <w:p w:rsidR="003875C2" w:rsidRPr="005E2AB2" w:rsidRDefault="003875C2" w:rsidP="00A9497A">
            <w:pPr>
              <w:pStyle w:val="Textpoznpodarou"/>
              <w:jc w:val="both"/>
              <w:rPr>
                <w:rFonts w:cs="Arial"/>
                <w:sz w:val="18"/>
                <w:szCs w:val="18"/>
              </w:rPr>
            </w:pPr>
            <w:r w:rsidRPr="005E2AB2">
              <w:rPr>
                <w:rFonts w:cs="Arial"/>
              </w:rPr>
              <w:t xml:space="preserve">Meziroční tempo hospodářského růstu v Česku se během roku 2016 </w:t>
            </w:r>
            <w:r>
              <w:rPr>
                <w:rFonts w:cs="Arial"/>
              </w:rPr>
              <w:t xml:space="preserve">shora </w:t>
            </w:r>
            <w:r w:rsidRPr="005E2AB2">
              <w:rPr>
                <w:rFonts w:cs="Arial"/>
              </w:rPr>
              <w:t>přiblížilo růstu v EU a v</w:t>
            </w:r>
            <w:r>
              <w:rPr>
                <w:rFonts w:cs="Arial"/>
              </w:rPr>
              <w:t>e</w:t>
            </w:r>
            <w:r w:rsidRPr="005E2AB2">
              <w:rPr>
                <w:rFonts w:cs="Arial"/>
              </w:rPr>
              <w:t> druhé polovině roku se mu vyrovnalo. Mezičtvrtletní růst ekonomiky EU se v posledních třech letech poměrně stabilně pohybuje okolo 0,5</w:t>
            </w:r>
            <w:r>
              <w:rPr>
                <w:rFonts w:cs="Arial"/>
              </w:rPr>
              <w:t> </w:t>
            </w:r>
            <w:r w:rsidRPr="005E2AB2">
              <w:rPr>
                <w:rFonts w:cs="Arial"/>
              </w:rPr>
              <w:t>% a Česko (s výjimkou 2. čtvrtletí) jej v roce 2016 nepřekonalo.</w:t>
            </w:r>
            <w:r>
              <w:rPr>
                <w:rFonts w:cs="Arial"/>
              </w:rPr>
              <w:t xml:space="preserve"> </w:t>
            </w:r>
            <w:r w:rsidRPr="005E2AB2">
              <w:rPr>
                <w:rFonts w:cs="Arial"/>
              </w:rPr>
              <w:t>Rok 2016 byl pro většinu evropských zemí</w:t>
            </w:r>
            <w:r w:rsidRPr="005E2AB2">
              <w:rPr>
                <w:rStyle w:val="Znakapoznpodarou"/>
                <w:rFonts w:cs="Arial"/>
              </w:rPr>
              <w:footnoteReference w:id="3"/>
            </w:r>
            <w:r w:rsidRPr="005E2AB2">
              <w:rPr>
                <w:rFonts w:cs="Arial"/>
              </w:rPr>
              <w:t xml:space="preserve"> z hlediska ekonomického vývoje </w:t>
            </w:r>
            <w:r>
              <w:rPr>
                <w:rFonts w:cs="Arial"/>
              </w:rPr>
              <w:t>příznivý</w:t>
            </w:r>
            <w:r w:rsidRPr="005E2AB2">
              <w:rPr>
                <w:rFonts w:cs="Arial"/>
              </w:rPr>
              <w:t>. HDP meziročně klesl pouze v Řecku, ostatní ekonom</w:t>
            </w:r>
            <w:r w:rsidR="00E63EC6">
              <w:rPr>
                <w:rFonts w:cs="Arial"/>
              </w:rPr>
              <w:t>i</w:t>
            </w:r>
            <w:r w:rsidRPr="005E2AB2">
              <w:rPr>
                <w:rFonts w:cs="Arial"/>
              </w:rPr>
              <w:t>ky zažívaly alespoň mírný meziroční růst. Nejsilnější nárůst HDP v roce 2016 zaznamenalo Rumunsko (4,8</w:t>
            </w:r>
            <w:r>
              <w:rPr>
                <w:rFonts w:cs="Arial"/>
              </w:rPr>
              <w:t> </w:t>
            </w:r>
            <w:r w:rsidRPr="005E2AB2">
              <w:rPr>
                <w:rFonts w:cs="Arial"/>
              </w:rPr>
              <w:t>%), následováno Španělskem (3,3 %). Sousedům Česka a jeho nejbližším ekonomickým partnerům se rovněž dařilo. Německá ekonomika meziročně vzrostla o 1,8 %, rakousk</w:t>
            </w:r>
            <w:r>
              <w:rPr>
                <w:rFonts w:cs="Arial"/>
              </w:rPr>
              <w:t>ý HDP se zvýšil</w:t>
            </w:r>
            <w:r w:rsidRPr="005E2AB2">
              <w:rPr>
                <w:rFonts w:cs="Arial"/>
              </w:rPr>
              <w:t xml:space="preserve"> o 1,5 %. Meziroční růst na Slovensku v průběhu roku mírně zpomaloval, přesto slovenská ekonomika za rok 2016 vzrostla o 3,3 % a patřila k nejrychleji rostoucím v EU. </w:t>
            </w:r>
            <w:r>
              <w:rPr>
                <w:rFonts w:cs="Arial"/>
              </w:rPr>
              <w:t xml:space="preserve">Růst polské ekonomiky </w:t>
            </w:r>
            <w:r w:rsidRPr="005E2AB2">
              <w:rPr>
                <w:rFonts w:cs="Arial"/>
              </w:rPr>
              <w:t>v</w:t>
            </w:r>
            <w:r>
              <w:rPr>
                <w:rFonts w:cs="Arial"/>
              </w:rPr>
              <w:t> posledním čtvrtletí</w:t>
            </w:r>
            <w:r w:rsidRPr="005E2AB2">
              <w:rPr>
                <w:rFonts w:cs="Arial"/>
              </w:rPr>
              <w:t xml:space="preserve"> </w:t>
            </w:r>
            <w:r>
              <w:rPr>
                <w:rFonts w:cs="Arial"/>
              </w:rPr>
              <w:t>zrychlil</w:t>
            </w:r>
            <w:r w:rsidRPr="005E2AB2">
              <w:rPr>
                <w:rFonts w:cs="Arial"/>
              </w:rPr>
              <w:t xml:space="preserve"> a za celý rok </w:t>
            </w:r>
            <w:r>
              <w:rPr>
                <w:rFonts w:cs="Arial"/>
              </w:rPr>
              <w:t>se polský HDP zvýšil o</w:t>
            </w:r>
            <w:r w:rsidRPr="005E2AB2">
              <w:rPr>
                <w:rFonts w:cs="Arial"/>
              </w:rPr>
              <w:t xml:space="preserve"> 2,9</w:t>
            </w:r>
            <w:r>
              <w:rPr>
                <w:rFonts w:cs="Arial"/>
              </w:rPr>
              <w:t xml:space="preserve"> </w:t>
            </w:r>
            <w:r w:rsidRPr="005E2AB2">
              <w:rPr>
                <w:rFonts w:cs="Arial"/>
              </w:rPr>
              <w:t>%.</w:t>
            </w:r>
          </w:p>
          <w:p w:rsidR="003875C2" w:rsidRPr="00E60FCE" w:rsidRDefault="003875C2" w:rsidP="00A9497A">
            <w:pPr>
              <w:pStyle w:val="Textpoznpodarou"/>
              <w:jc w:val="both"/>
              <w:rPr>
                <w:rFonts w:cs="Arial"/>
                <w:sz w:val="14"/>
                <w:szCs w:val="14"/>
                <w:highlight w:val="yellow"/>
              </w:rPr>
            </w:pPr>
          </w:p>
        </w:tc>
      </w:tr>
      <w:tr w:rsidR="003875C2" w:rsidRPr="00A74192" w:rsidTr="00701382">
        <w:tc>
          <w:tcPr>
            <w:tcW w:w="1074" w:type="pct"/>
            <w:gridSpan w:val="2"/>
          </w:tcPr>
          <w:p w:rsidR="003875C2" w:rsidRPr="005E2AB2" w:rsidRDefault="003875C2" w:rsidP="00A9497A">
            <w:pPr>
              <w:spacing w:line="240" w:lineRule="auto"/>
              <w:rPr>
                <w:rFonts w:cs="Arial"/>
                <w:sz w:val="16"/>
                <w:szCs w:val="16"/>
              </w:rPr>
            </w:pPr>
            <w:r>
              <w:rPr>
                <w:rFonts w:cs="Arial"/>
                <w:sz w:val="16"/>
                <w:szCs w:val="16"/>
              </w:rPr>
              <w:t>Růst výdajů na konečnou spotřebu domácností se významnou měrou podílel na růstu HDP v roce 2016. Významně se projevil i růst přebytku bilance zahraničního obchodu. Tvorba hrubého fixního kapitálu zaostávala za rokem 2015.</w:t>
            </w:r>
          </w:p>
        </w:tc>
        <w:tc>
          <w:tcPr>
            <w:tcW w:w="142" w:type="pct"/>
          </w:tcPr>
          <w:p w:rsidR="003875C2" w:rsidRPr="00A74192" w:rsidRDefault="003875C2" w:rsidP="00D94859">
            <w:pPr>
              <w:pStyle w:val="Textpoznpodarou"/>
              <w:jc w:val="both"/>
              <w:rPr>
                <w:rFonts w:cs="Arial"/>
              </w:rPr>
            </w:pPr>
          </w:p>
        </w:tc>
        <w:tc>
          <w:tcPr>
            <w:tcW w:w="3784" w:type="pct"/>
            <w:gridSpan w:val="3"/>
          </w:tcPr>
          <w:p w:rsidR="001E29AF" w:rsidRPr="00E41A59" w:rsidRDefault="003875C2" w:rsidP="001E29AF">
            <w:pPr>
              <w:pStyle w:val="Textpoznpodarou"/>
              <w:jc w:val="both"/>
              <w:rPr>
                <w:rFonts w:cs="Arial"/>
                <w:sz w:val="18"/>
                <w:szCs w:val="18"/>
              </w:rPr>
            </w:pPr>
            <w:r w:rsidRPr="00E41A59">
              <w:rPr>
                <w:rFonts w:cs="Arial"/>
              </w:rPr>
              <w:t>Po celý rok byl meziroční růst HDP tažen výdaji na konečnou spotřebu domácností. Jejich příspěvek k celkovému nárůstu HDP</w:t>
            </w:r>
            <w:r w:rsidRPr="00E41A59">
              <w:rPr>
                <w:rStyle w:val="Znakapoznpodarou"/>
                <w:rFonts w:cs="Arial"/>
              </w:rPr>
              <w:footnoteReference w:id="4"/>
            </w:r>
            <w:r w:rsidRPr="00E41A59">
              <w:rPr>
                <w:rFonts w:cs="Arial"/>
              </w:rPr>
              <w:t xml:space="preserve"> činil </w:t>
            </w:r>
            <w:r w:rsidR="003F32AB" w:rsidRPr="00E41A59">
              <w:rPr>
                <w:rFonts w:cs="Arial"/>
              </w:rPr>
              <w:t>+</w:t>
            </w:r>
            <w:r w:rsidRPr="00E41A59">
              <w:rPr>
                <w:rFonts w:cs="Arial"/>
              </w:rPr>
              <w:t xml:space="preserve">1,1 p.b. a v průběhu roku jeho význam sílil. V první polovině roku dosáhl +0,9 p.b. a +1,0 p.b. a ve 3. a 4. kvartálu zesílil na +1,3 p.b. a +1,4 p.b. Naopak příspěvek výdajů na konečnou spotřebu vládních institucí, který v prvních dvou čtvrtletích dosáhl +0,4 p.b. a +0,5 p.b, ve třetím kvartálu zeslabil na +0,2 a v závěrečném čtvrtletí byl nulový. Silněji a významněji než v minulém roce přispívala k růstu HDP bilance vývozu a dovozu (celkem +1,2 p.b.). Její příspěvek v první polovině roku překonal i výše zmíněnou spotřebu domácností, když dosáhl </w:t>
            </w:r>
            <w:r w:rsidR="003F32AB" w:rsidRPr="00E41A59">
              <w:rPr>
                <w:rFonts w:cs="Arial"/>
              </w:rPr>
              <w:t>+</w:t>
            </w:r>
            <w:r w:rsidRPr="00E41A59">
              <w:rPr>
                <w:rFonts w:cs="Arial"/>
              </w:rPr>
              <w:t>1,2 p.b. a </w:t>
            </w:r>
            <w:r w:rsidR="003F32AB" w:rsidRPr="00E41A59">
              <w:rPr>
                <w:rFonts w:cs="Arial"/>
              </w:rPr>
              <w:t>+</w:t>
            </w:r>
            <w:r w:rsidRPr="00E41A59">
              <w:rPr>
                <w:rFonts w:cs="Arial"/>
              </w:rPr>
              <w:t>2,0 p.b.</w:t>
            </w:r>
            <w:r w:rsidR="003F32AB" w:rsidRPr="00E41A59">
              <w:rPr>
                <w:rFonts w:cs="Arial"/>
              </w:rPr>
              <w:t xml:space="preserve"> </w:t>
            </w:r>
            <w:r w:rsidRPr="00E41A59">
              <w:rPr>
                <w:rFonts w:cs="Arial"/>
              </w:rPr>
              <w:t>Ve třetím čtvrtletí, které bylo z pohledu výsledků zahraničního obchodu méně úspěšné, oslabil na +0,5 p.b. a v závěru roku se zvýšil na +0,9</w:t>
            </w:r>
            <w:r w:rsidR="003F32AB" w:rsidRPr="00E41A59">
              <w:rPr>
                <w:rFonts w:cs="Arial"/>
              </w:rPr>
              <w:t> </w:t>
            </w:r>
            <w:r w:rsidRPr="00E41A59">
              <w:rPr>
                <w:rFonts w:cs="Arial"/>
              </w:rPr>
              <w:t xml:space="preserve">p.b. Hlavně v druhé polovině roku zesílil kladný příspěvek změny zásob k růstu (+0,9 p.b. a +1,0 p.b. ve 3. a 4. čtvrtletí). Příspěvek již zmiňované investiční aktivity reprezentované tvorbou hrubého fixního kapitálu byl záporný (celkově </w:t>
            </w:r>
            <w:r w:rsidR="003F32AB" w:rsidRPr="00E41A59">
              <w:rPr>
                <w:rFonts w:cs="Arial"/>
              </w:rPr>
              <w:t>-</w:t>
            </w:r>
            <w:r w:rsidRPr="00E41A59">
              <w:rPr>
                <w:rFonts w:cs="Arial"/>
              </w:rPr>
              <w:t>0,9 p.b.).</w:t>
            </w:r>
          </w:p>
          <w:p w:rsidR="003875C2" w:rsidRPr="00E60FCE" w:rsidRDefault="003875C2" w:rsidP="001E29AF">
            <w:pPr>
              <w:pStyle w:val="Textpoznpodarou"/>
              <w:jc w:val="both"/>
              <w:rPr>
                <w:rFonts w:cs="Arial"/>
                <w:sz w:val="14"/>
                <w:szCs w:val="14"/>
                <w:highlight w:val="yellow"/>
              </w:rPr>
            </w:pPr>
            <w:r w:rsidRPr="005E2AB2">
              <w:rPr>
                <w:rFonts w:cs="Arial"/>
              </w:rPr>
              <w:t xml:space="preserve"> </w:t>
            </w:r>
          </w:p>
        </w:tc>
      </w:tr>
      <w:tr w:rsidR="003875C2" w:rsidRPr="00A74192" w:rsidTr="00701382">
        <w:tc>
          <w:tcPr>
            <w:tcW w:w="1074" w:type="pct"/>
            <w:gridSpan w:val="2"/>
          </w:tcPr>
          <w:p w:rsidR="003875C2" w:rsidRPr="005E2AB2" w:rsidRDefault="003875C2" w:rsidP="00A9497A">
            <w:pPr>
              <w:spacing w:line="240" w:lineRule="auto"/>
              <w:rPr>
                <w:rFonts w:cs="Arial"/>
                <w:sz w:val="16"/>
                <w:szCs w:val="16"/>
              </w:rPr>
            </w:pPr>
            <w:r>
              <w:rPr>
                <w:rFonts w:cs="Arial"/>
                <w:sz w:val="16"/>
                <w:szCs w:val="16"/>
              </w:rPr>
              <w:t>Domácnosti si v roce 2016 ve větší míře pořizovaly statky dlouhodobé spotřeby.</w:t>
            </w:r>
          </w:p>
        </w:tc>
        <w:tc>
          <w:tcPr>
            <w:tcW w:w="142" w:type="pct"/>
          </w:tcPr>
          <w:p w:rsidR="003875C2" w:rsidRPr="00A74192" w:rsidRDefault="003875C2" w:rsidP="00D94859">
            <w:pPr>
              <w:pStyle w:val="Textpoznpodarou"/>
              <w:jc w:val="both"/>
              <w:rPr>
                <w:rFonts w:cs="Arial"/>
              </w:rPr>
            </w:pPr>
          </w:p>
        </w:tc>
        <w:tc>
          <w:tcPr>
            <w:tcW w:w="3784" w:type="pct"/>
            <w:gridSpan w:val="3"/>
          </w:tcPr>
          <w:p w:rsidR="003875C2" w:rsidRPr="005E2AB2" w:rsidRDefault="003875C2" w:rsidP="00A9497A">
            <w:pPr>
              <w:pStyle w:val="Textpoznpodarou"/>
              <w:jc w:val="both"/>
              <w:rPr>
                <w:rFonts w:cs="Arial"/>
                <w:sz w:val="18"/>
                <w:szCs w:val="18"/>
              </w:rPr>
            </w:pPr>
            <w:r w:rsidRPr="005E2AB2">
              <w:rPr>
                <w:rFonts w:cs="Arial"/>
              </w:rPr>
              <w:t>Růst spotřeby domácností v roce 2016 činil 2,9 % a byl tažen především silným nárůstem v kategorii předmětů dlouhodobé spotřeby (6,2 %). V závěrečném čtvrtletí roku se meziroční růst výdajů na spotřebu těchto statků zpomalil na 3,4</w:t>
            </w:r>
            <w:r>
              <w:rPr>
                <w:rFonts w:cs="Arial"/>
              </w:rPr>
              <w:t> %,</w:t>
            </w:r>
            <w:r w:rsidRPr="005E2AB2">
              <w:rPr>
                <w:rFonts w:cs="Arial"/>
              </w:rPr>
              <w:t xml:space="preserve"> ale byl nahrazen poměrně silným meziročním navýšením u předmětů střednědobé spotřeby (8,4 %). V posledním kvartálu roku 2016 zrychlil i růst </w:t>
            </w:r>
            <w:r w:rsidRPr="005E2AB2">
              <w:rPr>
                <w:rFonts w:cs="Arial"/>
              </w:rPr>
              <w:lastRenderedPageBreak/>
              <w:t xml:space="preserve">výdajů na </w:t>
            </w:r>
            <w:r w:rsidRPr="00D84949">
              <w:rPr>
                <w:rFonts w:cs="Arial"/>
              </w:rPr>
              <w:t>netrvanlivé statky</w:t>
            </w:r>
            <w:r w:rsidRPr="005E2AB2">
              <w:rPr>
                <w:rFonts w:cs="Arial"/>
              </w:rPr>
              <w:t xml:space="preserve"> na 3,1 %. Ve srovnání s předchozími lety výrazněji </w:t>
            </w:r>
            <w:r>
              <w:rPr>
                <w:rFonts w:cs="Arial"/>
              </w:rPr>
              <w:t>vz</w:t>
            </w:r>
            <w:r w:rsidRPr="005E2AB2">
              <w:rPr>
                <w:rFonts w:cs="Arial"/>
              </w:rPr>
              <w:t>rostly výdaje na služby (celkový meziroční nárůst o 2,5 %).</w:t>
            </w:r>
          </w:p>
          <w:p w:rsidR="003875C2" w:rsidRPr="00E60FCE" w:rsidRDefault="003875C2" w:rsidP="00A9497A">
            <w:pPr>
              <w:pStyle w:val="Textpoznpodarou"/>
              <w:jc w:val="both"/>
              <w:rPr>
                <w:rFonts w:cs="Arial"/>
                <w:sz w:val="14"/>
                <w:szCs w:val="14"/>
              </w:rPr>
            </w:pPr>
          </w:p>
        </w:tc>
      </w:tr>
      <w:tr w:rsidR="003875C2" w:rsidRPr="00A74192" w:rsidTr="00701382">
        <w:tc>
          <w:tcPr>
            <w:tcW w:w="1074" w:type="pct"/>
            <w:gridSpan w:val="2"/>
          </w:tcPr>
          <w:p w:rsidR="003875C2" w:rsidRPr="005E2AB2" w:rsidRDefault="003875C2" w:rsidP="00A9497A">
            <w:pPr>
              <w:spacing w:line="240" w:lineRule="auto"/>
              <w:rPr>
                <w:rFonts w:cs="Arial"/>
                <w:sz w:val="16"/>
                <w:szCs w:val="16"/>
              </w:rPr>
            </w:pPr>
            <w:r>
              <w:rPr>
                <w:rFonts w:cs="Arial"/>
                <w:sz w:val="16"/>
                <w:szCs w:val="16"/>
              </w:rPr>
              <w:lastRenderedPageBreak/>
              <w:t>Příznivá ekonomická situace vedla ke zvýšení objemu vyplácených mezd, v závěru roku byl však reálný nárůst mezd utlumen.</w:t>
            </w:r>
          </w:p>
        </w:tc>
        <w:tc>
          <w:tcPr>
            <w:tcW w:w="142" w:type="pct"/>
          </w:tcPr>
          <w:p w:rsidR="003875C2" w:rsidRPr="00A74192" w:rsidRDefault="003875C2" w:rsidP="00D94859">
            <w:pPr>
              <w:pStyle w:val="Textpoznpodarou"/>
              <w:jc w:val="both"/>
              <w:rPr>
                <w:rFonts w:cs="Arial"/>
              </w:rPr>
            </w:pPr>
          </w:p>
        </w:tc>
        <w:tc>
          <w:tcPr>
            <w:tcW w:w="3784" w:type="pct"/>
            <w:gridSpan w:val="3"/>
          </w:tcPr>
          <w:p w:rsidR="003875C2" w:rsidRPr="00E41A59" w:rsidRDefault="00220838" w:rsidP="00A9497A">
            <w:pPr>
              <w:pStyle w:val="Textpoznpodarou"/>
              <w:jc w:val="both"/>
              <w:rPr>
                <w:spacing w:val="-2"/>
                <w:sz w:val="18"/>
                <w:highlight w:val="yellow"/>
              </w:rPr>
            </w:pPr>
            <w:r w:rsidRPr="00220838">
              <w:rPr>
                <w:spacing w:val="-2"/>
              </w:rPr>
              <w:t>Růst spotřeby byl podpořen pozitivním očekáváním spotřebitelů i nárůstem výdělků. Nárůst objemu vyplacených mezd v roce 2016 se v porovnání s rokem 2015 zrychlil a dosáhl 5,5 %. V prvních třech čtvrtletích roku byl růst silnější (6,0 %, 5,4</w:t>
            </w:r>
            <w:r w:rsidR="00E41A59" w:rsidRPr="00E41A59">
              <w:rPr>
                <w:rFonts w:cs="Arial"/>
                <w:spacing w:val="-2"/>
              </w:rPr>
              <w:t> </w:t>
            </w:r>
            <w:r w:rsidRPr="00220838">
              <w:rPr>
                <w:spacing w:val="-2"/>
              </w:rPr>
              <w:t>% a 5,7 %) a v závěrečném kvartálu mírně polevil na 5,0 %. Především na konci roku se projevilo zvýšení cenové hladiny a v reálném vyjádření se růst objemu vyplacených mezd zredukoval (5,9 %, 5,4 %, 4,8 % a 3,6 % v jednotlivých čtvrtletích</w:t>
            </w:r>
            <w:r w:rsidR="003875C2" w:rsidRPr="00E41A59">
              <w:rPr>
                <w:rFonts w:cs="Arial"/>
                <w:spacing w:val="-2"/>
              </w:rPr>
              <w:t>)</w:t>
            </w:r>
            <w:r w:rsidR="00E372FD" w:rsidRPr="00E41A59">
              <w:rPr>
                <w:rStyle w:val="Znakapoznpodarou"/>
                <w:rFonts w:cs="Arial"/>
                <w:spacing w:val="-2"/>
              </w:rPr>
              <w:t xml:space="preserve"> </w:t>
            </w:r>
            <w:r w:rsidR="00E372FD" w:rsidRPr="00E41A59">
              <w:rPr>
                <w:rStyle w:val="Znakapoznpodarou"/>
                <w:rFonts w:cs="Arial"/>
                <w:spacing w:val="-2"/>
              </w:rPr>
              <w:footnoteReference w:id="5"/>
            </w:r>
            <w:r w:rsidR="003875C2" w:rsidRPr="00E41A59">
              <w:rPr>
                <w:rFonts w:cs="Arial"/>
                <w:spacing w:val="-2"/>
              </w:rPr>
              <w:t>.</w:t>
            </w:r>
            <w:r w:rsidRPr="00220838">
              <w:rPr>
                <w:spacing w:val="-2"/>
              </w:rPr>
              <w:t xml:space="preserve"> Do růstu objemu vyplacených mezd a platů se částečně promítlo průběžné navyšování minimálních mezd, které je patrné především u nárůstu v odvětví obchod, doprava, ubytování a pohostinství o 6,2 %. Objem vyplácených mezd výrazně rostl i ve zpracovatelském průmyslu (6,6 %). Ve srovnání s předchozím rokem se zrychlila dynamika růstu v odvětví informačních a</w:t>
            </w:r>
            <w:r w:rsidR="00E41A59" w:rsidRPr="00E41A59">
              <w:rPr>
                <w:rFonts w:cs="Arial"/>
                <w:spacing w:val="-2"/>
              </w:rPr>
              <w:t> </w:t>
            </w:r>
            <w:r w:rsidRPr="00220838">
              <w:rPr>
                <w:spacing w:val="-2"/>
              </w:rPr>
              <w:t>komunikačních činností (7,6 %) nebo u profesních, vědeckých, technických a</w:t>
            </w:r>
            <w:r w:rsidR="00E41A59" w:rsidRPr="00E41A59">
              <w:rPr>
                <w:rFonts w:cs="Arial"/>
                <w:spacing w:val="-2"/>
              </w:rPr>
              <w:t> </w:t>
            </w:r>
            <w:r w:rsidRPr="00220838">
              <w:rPr>
                <w:spacing w:val="-2"/>
              </w:rPr>
              <w:t>administrativních činností (6,5 %), částečně i kvůli nárůstu zaměstnanosti. Mírněji než v předchozím roce rostl objem vyplácených mezd u činností v oblasti nemovitostí (3,2 %). Ve stavebnictví, které zažívá dlouhodobý útlum, vzrostl objem vyplácených mezd o 2,1 % za současného poklesu zaměstnanosti o 0,8 %.</w:t>
            </w:r>
            <w:r w:rsidRPr="00220838">
              <w:rPr>
                <w:spacing w:val="-2"/>
                <w:highlight w:val="yellow"/>
              </w:rPr>
              <w:t xml:space="preserve">  </w:t>
            </w:r>
          </w:p>
          <w:p w:rsidR="003875C2" w:rsidRPr="00E60FCE" w:rsidRDefault="003875C2" w:rsidP="00A9497A">
            <w:pPr>
              <w:pStyle w:val="Textpoznpodarou"/>
              <w:jc w:val="both"/>
              <w:rPr>
                <w:rFonts w:cs="Arial"/>
                <w:sz w:val="14"/>
                <w:szCs w:val="14"/>
                <w:highlight w:val="yellow"/>
              </w:rPr>
            </w:pPr>
          </w:p>
        </w:tc>
      </w:tr>
      <w:tr w:rsidR="003875C2" w:rsidRPr="00A74192" w:rsidTr="00701382">
        <w:tc>
          <w:tcPr>
            <w:tcW w:w="1074" w:type="pct"/>
            <w:gridSpan w:val="2"/>
          </w:tcPr>
          <w:p w:rsidR="003875C2" w:rsidRPr="005E2AB2" w:rsidRDefault="003875C2" w:rsidP="00A9497A">
            <w:pPr>
              <w:spacing w:line="240" w:lineRule="auto"/>
              <w:rPr>
                <w:rFonts w:cs="Arial"/>
                <w:sz w:val="16"/>
                <w:szCs w:val="16"/>
              </w:rPr>
            </w:pPr>
            <w:r>
              <w:rPr>
                <w:rFonts w:cs="Arial"/>
                <w:sz w:val="16"/>
                <w:szCs w:val="16"/>
              </w:rPr>
              <w:t xml:space="preserve">V průběhu roku se zpomalil meziroční růst výdajů na vládní spotřebu. </w:t>
            </w:r>
          </w:p>
        </w:tc>
        <w:tc>
          <w:tcPr>
            <w:tcW w:w="142" w:type="pct"/>
          </w:tcPr>
          <w:p w:rsidR="003875C2" w:rsidRPr="00A74192" w:rsidRDefault="003875C2" w:rsidP="00D94859">
            <w:pPr>
              <w:pStyle w:val="Textpoznpodarou"/>
              <w:jc w:val="both"/>
              <w:rPr>
                <w:rFonts w:cs="Arial"/>
              </w:rPr>
            </w:pPr>
          </w:p>
        </w:tc>
        <w:tc>
          <w:tcPr>
            <w:tcW w:w="3784" w:type="pct"/>
            <w:gridSpan w:val="3"/>
          </w:tcPr>
          <w:p w:rsidR="003875C2" w:rsidRPr="005E2AB2" w:rsidRDefault="003875C2" w:rsidP="00A9497A">
            <w:pPr>
              <w:pStyle w:val="Textpoznpodarou"/>
              <w:jc w:val="both"/>
              <w:rPr>
                <w:rFonts w:cs="Arial"/>
              </w:rPr>
            </w:pPr>
            <w:r w:rsidRPr="005E2AB2">
              <w:rPr>
                <w:rFonts w:cs="Arial"/>
              </w:rPr>
              <w:t>Celkový meziroční růst výdajů na spotřebu</w:t>
            </w:r>
            <w:r w:rsidR="001E29AF">
              <w:rPr>
                <w:rFonts w:cs="Arial"/>
              </w:rPr>
              <w:t xml:space="preserve"> vládních institucí</w:t>
            </w:r>
            <w:r w:rsidR="00080A41">
              <w:rPr>
                <w:rFonts w:cs="Arial"/>
              </w:rPr>
              <w:t xml:space="preserve"> činil 1,5 %, což bylo o </w:t>
            </w:r>
            <w:r w:rsidRPr="005E2AB2">
              <w:rPr>
                <w:rFonts w:cs="Arial"/>
              </w:rPr>
              <w:t>0,5 p.b. méně než v roce 2015. Růst byl soustředěn především do prvních dvou čtvrtletí, kdy dosáhl 2,3 % a 2,7 %. V</w:t>
            </w:r>
            <w:r w:rsidR="00E63EC6">
              <w:rPr>
                <w:rFonts w:cs="Arial"/>
              </w:rPr>
              <w:t>e druhé polovině roku</w:t>
            </w:r>
            <w:r w:rsidRPr="005E2AB2">
              <w:rPr>
                <w:rFonts w:cs="Arial"/>
              </w:rPr>
              <w:t xml:space="preserve"> se tak vysoké tempo neudrželo</w:t>
            </w:r>
            <w:r w:rsidR="001E29AF">
              <w:rPr>
                <w:rFonts w:cs="Arial"/>
              </w:rPr>
              <w:t>. Ve 3. čtvrtletí činil meziroční nárůst</w:t>
            </w:r>
            <w:r w:rsidR="00E63EC6">
              <w:rPr>
                <w:rFonts w:cs="Arial"/>
              </w:rPr>
              <w:t xml:space="preserve"> 1</w:t>
            </w:r>
            <w:r w:rsidR="003F32AB">
              <w:rPr>
                <w:rFonts w:cs="Arial"/>
              </w:rPr>
              <w:t>,0</w:t>
            </w:r>
            <w:r w:rsidR="00E63EC6">
              <w:rPr>
                <w:rFonts w:cs="Arial"/>
              </w:rPr>
              <w:t xml:space="preserve"> % a v z</w:t>
            </w:r>
            <w:r w:rsidRPr="005E2AB2">
              <w:rPr>
                <w:rFonts w:cs="Arial"/>
              </w:rPr>
              <w:t>ávěrečném čtvrtletí se hodnota výdajů na konečnou spotřebu vládních institucí nelišila od úrovně stejného období předchozího roku.</w:t>
            </w:r>
          </w:p>
          <w:p w:rsidR="003875C2" w:rsidRPr="00E60FCE" w:rsidRDefault="003875C2" w:rsidP="00A9497A">
            <w:pPr>
              <w:pStyle w:val="Textpoznpodarou"/>
              <w:jc w:val="both"/>
              <w:rPr>
                <w:rFonts w:cs="Arial"/>
                <w:sz w:val="14"/>
                <w:szCs w:val="14"/>
                <w:highlight w:val="yellow"/>
              </w:rPr>
            </w:pPr>
          </w:p>
        </w:tc>
      </w:tr>
      <w:tr w:rsidR="003875C2" w:rsidRPr="00A74192" w:rsidTr="00701382">
        <w:tc>
          <w:tcPr>
            <w:tcW w:w="1074" w:type="pct"/>
            <w:gridSpan w:val="2"/>
          </w:tcPr>
          <w:p w:rsidR="003875C2" w:rsidRPr="005E2AB2" w:rsidRDefault="003875C2" w:rsidP="00A9497A">
            <w:pPr>
              <w:spacing w:line="240" w:lineRule="auto"/>
              <w:rPr>
                <w:rFonts w:cs="Arial"/>
                <w:sz w:val="16"/>
                <w:szCs w:val="16"/>
              </w:rPr>
            </w:pPr>
            <w:r>
              <w:rPr>
                <w:rFonts w:cs="Arial"/>
                <w:sz w:val="16"/>
                <w:szCs w:val="16"/>
              </w:rPr>
              <w:t xml:space="preserve">Výdaje na tvorbu hrubého fixního kapitálu se meziročně snížily. Způsobil to hlavně propad investic do ostatních budov a staveb. </w:t>
            </w:r>
          </w:p>
        </w:tc>
        <w:tc>
          <w:tcPr>
            <w:tcW w:w="142" w:type="pct"/>
          </w:tcPr>
          <w:p w:rsidR="003875C2" w:rsidRPr="00A74192" w:rsidRDefault="003875C2" w:rsidP="00D94859">
            <w:pPr>
              <w:pStyle w:val="Textpoznpodarou"/>
              <w:jc w:val="both"/>
              <w:rPr>
                <w:rFonts w:cs="Arial"/>
              </w:rPr>
            </w:pPr>
          </w:p>
        </w:tc>
        <w:tc>
          <w:tcPr>
            <w:tcW w:w="3784" w:type="pct"/>
            <w:gridSpan w:val="3"/>
          </w:tcPr>
          <w:p w:rsidR="003875C2" w:rsidRPr="005E2AB2" w:rsidRDefault="003875C2" w:rsidP="00A9497A">
            <w:pPr>
              <w:pStyle w:val="Textpoznpodarou"/>
              <w:jc w:val="both"/>
              <w:rPr>
                <w:rFonts w:cs="Arial"/>
                <w:sz w:val="18"/>
                <w:szCs w:val="18"/>
              </w:rPr>
            </w:pPr>
            <w:r w:rsidRPr="005E2AB2">
              <w:rPr>
                <w:rFonts w:cs="Arial"/>
              </w:rPr>
              <w:t xml:space="preserve">Výdaje na tvorbu hrubého fixního kapitálu, které </w:t>
            </w:r>
            <w:r>
              <w:rPr>
                <w:rFonts w:cs="Arial"/>
              </w:rPr>
              <w:t>reprezentují</w:t>
            </w:r>
            <w:r w:rsidRPr="005E2AB2">
              <w:rPr>
                <w:rFonts w:cs="Arial"/>
              </w:rPr>
              <w:t xml:space="preserve"> investiční aktivitu v ekonomice, klesly v roce 2016 o 3,6 %. Tento propad je výsledkem kombinace dočerpávání evropských fondů v roce 2015 a </w:t>
            </w:r>
            <w:r w:rsidR="00E63EC6">
              <w:rPr>
                <w:rFonts w:cs="Arial"/>
              </w:rPr>
              <w:t>pomalého tempa přípravy i realizace projektů pro následující p</w:t>
            </w:r>
            <w:r w:rsidRPr="005E2AB2">
              <w:rPr>
                <w:rFonts w:cs="Arial"/>
              </w:rPr>
              <w:t>rogramové období.</w:t>
            </w:r>
            <w:r>
              <w:rPr>
                <w:rFonts w:cs="Arial"/>
              </w:rPr>
              <w:t xml:space="preserve"> V</w:t>
            </w:r>
            <w:r w:rsidR="00E63EC6">
              <w:rPr>
                <w:rFonts w:cs="Arial"/>
              </w:rPr>
              <w:t xml:space="preserve"> </w:t>
            </w:r>
            <w:r w:rsidRPr="005E2AB2">
              <w:rPr>
                <w:rFonts w:cs="Arial"/>
              </w:rPr>
              <w:t>1.</w:t>
            </w:r>
            <w:r w:rsidR="00E63EC6">
              <w:rPr>
                <w:rFonts w:cs="Arial"/>
              </w:rPr>
              <w:t xml:space="preserve"> </w:t>
            </w:r>
            <w:r w:rsidRPr="005E2AB2">
              <w:rPr>
                <w:rFonts w:cs="Arial"/>
              </w:rPr>
              <w:t>čtvrtletí ještě investiční aktivita meziročně vzrostla o</w:t>
            </w:r>
            <w:r>
              <w:rPr>
                <w:rFonts w:cs="Arial"/>
              </w:rPr>
              <w:t> </w:t>
            </w:r>
            <w:r w:rsidRPr="005E2AB2">
              <w:rPr>
                <w:rFonts w:cs="Arial"/>
              </w:rPr>
              <w:t xml:space="preserve">1,8 %, ale v následujících třech kvartálech nastal pokles, který se v průběhu roku prohloubil až na </w:t>
            </w:r>
            <w:r w:rsidR="003F32AB">
              <w:rPr>
                <w:rFonts w:cs="Arial"/>
              </w:rPr>
              <w:t>-</w:t>
            </w:r>
            <w:r w:rsidRPr="005E2AB2">
              <w:rPr>
                <w:rFonts w:cs="Arial"/>
              </w:rPr>
              <w:t>5</w:t>
            </w:r>
            <w:r>
              <w:rPr>
                <w:rFonts w:cs="Arial"/>
              </w:rPr>
              <w:t>,0</w:t>
            </w:r>
            <w:r w:rsidRPr="005E2AB2">
              <w:rPr>
                <w:rFonts w:cs="Arial"/>
              </w:rPr>
              <w:t xml:space="preserve"> % ve 4. čtvrtletí. Meziroční propad byl způsoben především výpadkem investic do ostatních budov a staveb o 13,4 %. Tato kategorie zahrnuje velké infrastrukturní projekty často financované pomocí dotací </w:t>
            </w:r>
            <w:r>
              <w:rPr>
                <w:rFonts w:cs="Arial"/>
              </w:rPr>
              <w:t xml:space="preserve">(v </w:t>
            </w:r>
            <w:r w:rsidRPr="005E2AB2">
              <w:rPr>
                <w:rFonts w:cs="Arial"/>
              </w:rPr>
              <w:t>předchozím roce zde investice výrazně vzrostly</w:t>
            </w:r>
            <w:r>
              <w:rPr>
                <w:rFonts w:cs="Arial"/>
              </w:rPr>
              <w:t>)</w:t>
            </w:r>
            <w:r w:rsidRPr="005E2AB2">
              <w:rPr>
                <w:rFonts w:cs="Arial"/>
              </w:rPr>
              <w:t>. Podobný vývoj měl</w:t>
            </w:r>
            <w:r>
              <w:rPr>
                <w:rFonts w:cs="Arial"/>
              </w:rPr>
              <w:t xml:space="preserve">y investice do </w:t>
            </w:r>
            <w:r w:rsidRPr="005E2AB2">
              <w:rPr>
                <w:rFonts w:cs="Arial"/>
              </w:rPr>
              <w:t>ICT, ostatní</w:t>
            </w:r>
            <w:r>
              <w:rPr>
                <w:rFonts w:cs="Arial"/>
              </w:rPr>
              <w:t>ch</w:t>
            </w:r>
            <w:r w:rsidRPr="005E2AB2">
              <w:rPr>
                <w:rFonts w:cs="Arial"/>
              </w:rPr>
              <w:t xml:space="preserve"> stroj</w:t>
            </w:r>
            <w:r>
              <w:rPr>
                <w:rFonts w:cs="Arial"/>
              </w:rPr>
              <w:t>ů</w:t>
            </w:r>
            <w:r w:rsidRPr="005E2AB2">
              <w:rPr>
                <w:rFonts w:cs="Arial"/>
              </w:rPr>
              <w:t xml:space="preserve"> a zařízení a zbraňov</w:t>
            </w:r>
            <w:r>
              <w:rPr>
                <w:rFonts w:cs="Arial"/>
              </w:rPr>
              <w:t>ých systémů</w:t>
            </w:r>
            <w:r w:rsidRPr="005E2AB2">
              <w:rPr>
                <w:rFonts w:cs="Arial"/>
              </w:rPr>
              <w:t>, které zaznamenal</w:t>
            </w:r>
            <w:r>
              <w:rPr>
                <w:rFonts w:cs="Arial"/>
              </w:rPr>
              <w:t>y</w:t>
            </w:r>
            <w:r w:rsidRPr="005E2AB2">
              <w:rPr>
                <w:rFonts w:cs="Arial"/>
              </w:rPr>
              <w:t xml:space="preserve"> 5,4% meziroční pokles.</w:t>
            </w:r>
          </w:p>
          <w:p w:rsidR="003875C2" w:rsidRPr="00E60FCE" w:rsidRDefault="003875C2" w:rsidP="00A9497A">
            <w:pPr>
              <w:pStyle w:val="Textpoznpodarou"/>
              <w:jc w:val="both"/>
              <w:rPr>
                <w:rFonts w:cs="Arial"/>
                <w:sz w:val="14"/>
                <w:szCs w:val="14"/>
              </w:rPr>
            </w:pPr>
          </w:p>
        </w:tc>
      </w:tr>
      <w:tr w:rsidR="003875C2" w:rsidRPr="00A74192" w:rsidTr="00701382">
        <w:tc>
          <w:tcPr>
            <w:tcW w:w="1074" w:type="pct"/>
            <w:gridSpan w:val="2"/>
          </w:tcPr>
          <w:p w:rsidR="003875C2" w:rsidRPr="005E2AB2" w:rsidRDefault="003875C2" w:rsidP="00A9497A">
            <w:pPr>
              <w:spacing w:line="240" w:lineRule="auto"/>
              <w:rPr>
                <w:rFonts w:cs="Arial"/>
                <w:sz w:val="16"/>
                <w:szCs w:val="16"/>
              </w:rPr>
            </w:pPr>
            <w:r>
              <w:rPr>
                <w:rFonts w:cs="Arial"/>
                <w:sz w:val="16"/>
                <w:szCs w:val="16"/>
              </w:rPr>
              <w:t>Rostly investice do dopravních prostředků a projektů duševního vlastnictví.</w:t>
            </w:r>
          </w:p>
        </w:tc>
        <w:tc>
          <w:tcPr>
            <w:tcW w:w="142" w:type="pct"/>
          </w:tcPr>
          <w:p w:rsidR="003875C2" w:rsidRPr="00A74192" w:rsidRDefault="003875C2" w:rsidP="00D94859">
            <w:pPr>
              <w:pStyle w:val="Textpoznpodarou"/>
              <w:jc w:val="both"/>
              <w:rPr>
                <w:rFonts w:cs="Arial"/>
              </w:rPr>
            </w:pPr>
          </w:p>
        </w:tc>
        <w:tc>
          <w:tcPr>
            <w:tcW w:w="3784" w:type="pct"/>
            <w:gridSpan w:val="3"/>
          </w:tcPr>
          <w:p w:rsidR="003875C2" w:rsidRPr="005E2AB2" w:rsidRDefault="003875C2" w:rsidP="00A9497A">
            <w:pPr>
              <w:pStyle w:val="Textpoznpodarou"/>
              <w:jc w:val="both"/>
              <w:rPr>
                <w:rFonts w:cs="Arial"/>
                <w:sz w:val="18"/>
                <w:szCs w:val="18"/>
              </w:rPr>
            </w:pPr>
            <w:r w:rsidRPr="005E2AB2">
              <w:rPr>
                <w:rFonts w:cs="Arial"/>
              </w:rPr>
              <w:t>Výše zmíněné investiční kategorie představují více než polovinu objemu tvorby hrubého fixního kapitálu, proto jejich pokles nevykompenzoval ani silný růst investic do dopravních prostředků a zařízení, který navázal na rok 2015 a dosáhl 7,2 %. Výrazně vzrostly investice do projektů duševního vlastnictví (8,1 %</w:t>
            </w:r>
            <w:r w:rsidR="00717726">
              <w:rPr>
                <w:rFonts w:cs="Arial"/>
              </w:rPr>
              <w:t xml:space="preserve"> v roce 2016</w:t>
            </w:r>
            <w:r w:rsidRPr="005E2AB2">
              <w:rPr>
                <w:rFonts w:cs="Arial"/>
              </w:rPr>
              <w:t>, 4</w:t>
            </w:r>
            <w:r w:rsidR="003F32AB">
              <w:rPr>
                <w:rFonts w:cs="Arial"/>
              </w:rPr>
              <w:t>,0</w:t>
            </w:r>
            <w:r w:rsidRPr="005E2AB2">
              <w:rPr>
                <w:rFonts w:cs="Arial"/>
              </w:rPr>
              <w:t xml:space="preserve"> % v roce 2015). Ve srovnání s předchozím rokem oslabil růst investic do obydlí (2,5</w:t>
            </w:r>
            <w:r>
              <w:rPr>
                <w:rFonts w:cs="Arial"/>
              </w:rPr>
              <w:t> </w:t>
            </w:r>
            <w:r w:rsidRPr="005E2AB2">
              <w:rPr>
                <w:rFonts w:cs="Arial"/>
              </w:rPr>
              <w:t>%</w:t>
            </w:r>
            <w:r w:rsidR="00CF7276">
              <w:rPr>
                <w:rFonts w:cs="Arial"/>
              </w:rPr>
              <w:t xml:space="preserve"> v roce 2016</w:t>
            </w:r>
            <w:r w:rsidRPr="005E2AB2">
              <w:rPr>
                <w:rFonts w:cs="Arial"/>
              </w:rPr>
              <w:t>, 8,4 % v roce 2015).</w:t>
            </w:r>
          </w:p>
          <w:p w:rsidR="003875C2" w:rsidRPr="00E60FCE" w:rsidRDefault="003875C2" w:rsidP="00A9497A">
            <w:pPr>
              <w:pStyle w:val="Textpoznpodarou"/>
              <w:jc w:val="both"/>
              <w:rPr>
                <w:rFonts w:cs="Arial"/>
                <w:sz w:val="14"/>
                <w:szCs w:val="14"/>
              </w:rPr>
            </w:pPr>
          </w:p>
        </w:tc>
      </w:tr>
      <w:tr w:rsidR="003875C2" w:rsidRPr="00A74192" w:rsidTr="00701382">
        <w:tc>
          <w:tcPr>
            <w:tcW w:w="1074" w:type="pct"/>
            <w:gridSpan w:val="2"/>
          </w:tcPr>
          <w:p w:rsidR="003875C2" w:rsidRPr="005E2AB2" w:rsidRDefault="003875C2" w:rsidP="00A9497A">
            <w:pPr>
              <w:spacing w:line="240" w:lineRule="auto"/>
              <w:rPr>
                <w:rFonts w:cs="Arial"/>
                <w:sz w:val="16"/>
                <w:szCs w:val="16"/>
              </w:rPr>
            </w:pPr>
            <w:r>
              <w:rPr>
                <w:rFonts w:cs="Arial"/>
                <w:sz w:val="16"/>
                <w:szCs w:val="16"/>
              </w:rPr>
              <w:t>Bilance zahraničního obchodu v roce 2016 byla kladná a překonala předchozí rok o 67,4 mld.</w:t>
            </w:r>
          </w:p>
        </w:tc>
        <w:tc>
          <w:tcPr>
            <w:tcW w:w="142" w:type="pct"/>
          </w:tcPr>
          <w:p w:rsidR="003875C2" w:rsidRPr="00A74192" w:rsidRDefault="003875C2" w:rsidP="00D94859">
            <w:pPr>
              <w:pStyle w:val="Textpoznpodarou"/>
              <w:jc w:val="both"/>
              <w:rPr>
                <w:rFonts w:cs="Arial"/>
              </w:rPr>
            </w:pPr>
          </w:p>
        </w:tc>
        <w:tc>
          <w:tcPr>
            <w:tcW w:w="3784" w:type="pct"/>
            <w:gridSpan w:val="3"/>
          </w:tcPr>
          <w:p w:rsidR="003875C2" w:rsidRPr="005E2AB2" w:rsidRDefault="003875C2" w:rsidP="00A9497A">
            <w:pPr>
              <w:pStyle w:val="Textpoznpodarou"/>
              <w:jc w:val="both"/>
              <w:rPr>
                <w:rFonts w:cs="Arial"/>
                <w:sz w:val="18"/>
                <w:szCs w:val="18"/>
              </w:rPr>
            </w:pPr>
            <w:r w:rsidRPr="005E2AB2">
              <w:rPr>
                <w:rFonts w:cs="Arial"/>
              </w:rPr>
              <w:t>Přebytek bilance zahraničního obchodu se zbožím a službami (v běžných cenách) v roce 2016 činil 347,2 mld. korun, čímž překonal rok 2015 o 67,4 mld. Kladné saldo obchodu se zbožím dosáhlo 248 mld. korun (meziroční nárůst o</w:t>
            </w:r>
            <w:r>
              <w:rPr>
                <w:rFonts w:cs="Arial"/>
              </w:rPr>
              <w:t> </w:t>
            </w:r>
            <w:r w:rsidRPr="005E2AB2">
              <w:rPr>
                <w:rFonts w:cs="Arial"/>
              </w:rPr>
              <w:t>43</w:t>
            </w:r>
            <w:r>
              <w:rPr>
                <w:rFonts w:cs="Arial"/>
              </w:rPr>
              <w:t> </w:t>
            </w:r>
            <w:r w:rsidRPr="005E2AB2">
              <w:rPr>
                <w:rFonts w:cs="Arial"/>
              </w:rPr>
              <w:t xml:space="preserve">mld.) a u služeb dosáhlo 99,3 mld. korun (nárůst o 24,3 mld.). Směnné relace za rok 2016 měly hodnotu 100,9. V prvních třech čtvrtinách roku byly kladné, ale v posledním kvartálu se poprvé od 2. čtvrtletí 2015 dostaly do záporných hodnot (99,8). </w:t>
            </w:r>
          </w:p>
          <w:p w:rsidR="003875C2" w:rsidRPr="00E60FCE" w:rsidRDefault="003875C2" w:rsidP="00A9497A">
            <w:pPr>
              <w:pStyle w:val="Textpoznpodarou"/>
              <w:jc w:val="both"/>
              <w:rPr>
                <w:rFonts w:cs="Arial"/>
                <w:sz w:val="14"/>
                <w:szCs w:val="14"/>
                <w:highlight w:val="yellow"/>
              </w:rPr>
            </w:pPr>
          </w:p>
        </w:tc>
      </w:tr>
      <w:tr w:rsidR="003875C2" w:rsidRPr="00A74192" w:rsidTr="00701382">
        <w:tc>
          <w:tcPr>
            <w:tcW w:w="1074" w:type="pct"/>
            <w:gridSpan w:val="2"/>
          </w:tcPr>
          <w:p w:rsidR="003875C2" w:rsidRPr="005E2AB2" w:rsidRDefault="003875C2" w:rsidP="00E63EC6">
            <w:pPr>
              <w:spacing w:line="240" w:lineRule="auto"/>
              <w:rPr>
                <w:rFonts w:cs="Arial"/>
                <w:sz w:val="16"/>
                <w:szCs w:val="16"/>
              </w:rPr>
            </w:pPr>
            <w:r>
              <w:rPr>
                <w:rFonts w:cs="Arial"/>
                <w:sz w:val="16"/>
                <w:szCs w:val="16"/>
              </w:rPr>
              <w:t>V průběhu roku klesaly zisky ze směnných relací.</w:t>
            </w:r>
          </w:p>
        </w:tc>
        <w:tc>
          <w:tcPr>
            <w:tcW w:w="142" w:type="pct"/>
          </w:tcPr>
          <w:p w:rsidR="003875C2" w:rsidRPr="00A74192" w:rsidRDefault="003875C2" w:rsidP="00D94859">
            <w:pPr>
              <w:pStyle w:val="Textpoznpodarou"/>
              <w:jc w:val="both"/>
              <w:rPr>
                <w:rFonts w:cs="Arial"/>
              </w:rPr>
            </w:pPr>
          </w:p>
        </w:tc>
        <w:tc>
          <w:tcPr>
            <w:tcW w:w="3784" w:type="pct"/>
            <w:gridSpan w:val="3"/>
          </w:tcPr>
          <w:p w:rsidR="003875C2" w:rsidRPr="005E2AB2" w:rsidRDefault="003875C2" w:rsidP="00A9497A">
            <w:pPr>
              <w:pStyle w:val="Textpoznpodarou"/>
              <w:jc w:val="both"/>
              <w:rPr>
                <w:sz w:val="18"/>
                <w:szCs w:val="18"/>
              </w:rPr>
            </w:pPr>
            <w:r w:rsidRPr="005E2AB2">
              <w:t>Reálný hrubý domácí důchod (RHDD), který na rozdíl od HDP zohledňuje dodatečné zisky, nebo ztráty z vývoje cen v zahraničním obchodě, resp. zisky, nebo ztráty ze směnných relací, vzrostl v roce 2016 o 3,1 % (bez očištění o</w:t>
            </w:r>
            <w:r>
              <w:t> </w:t>
            </w:r>
            <w:r w:rsidRPr="005E2AB2">
              <w:t>sezónní a kalendářní vlivy). V průběhu prvních tří čtvrtletí RHDD překonával růst HDP, ale jeho dynamika slábla a ve 4. čtvrtletí zaostával</w:t>
            </w:r>
            <w:r w:rsidR="00CF7276">
              <w:t>a</w:t>
            </w:r>
            <w:r w:rsidRPr="005E2AB2">
              <w:t xml:space="preserve"> za růstem HDP o</w:t>
            </w:r>
            <w:r>
              <w:t> </w:t>
            </w:r>
            <w:r w:rsidRPr="005E2AB2">
              <w:t>0,6 p.b. Zisk ze směnných relací se v průběhu roku snižoval a v posledním kvartálu došlo k mírné ztrátě.</w:t>
            </w:r>
          </w:p>
          <w:p w:rsidR="003875C2" w:rsidRPr="00E60FCE" w:rsidRDefault="003875C2" w:rsidP="00A9497A">
            <w:pPr>
              <w:pStyle w:val="Textpoznpodarou"/>
              <w:jc w:val="both"/>
              <w:rPr>
                <w:rFonts w:cs="Arial"/>
                <w:sz w:val="14"/>
                <w:szCs w:val="14"/>
                <w:highlight w:val="yellow"/>
              </w:rPr>
            </w:pPr>
            <w:r w:rsidRPr="005E2AB2">
              <w:t xml:space="preserve">  </w:t>
            </w:r>
          </w:p>
        </w:tc>
      </w:tr>
      <w:tr w:rsidR="003875C2" w:rsidRPr="00A74192" w:rsidTr="00701382">
        <w:tc>
          <w:tcPr>
            <w:tcW w:w="1074" w:type="pct"/>
            <w:gridSpan w:val="2"/>
          </w:tcPr>
          <w:p w:rsidR="003875C2" w:rsidRPr="005E2AB2" w:rsidRDefault="003875C2" w:rsidP="00A9497A">
            <w:pPr>
              <w:spacing w:line="240" w:lineRule="auto"/>
              <w:rPr>
                <w:rFonts w:cs="Arial"/>
                <w:sz w:val="16"/>
                <w:szCs w:val="16"/>
              </w:rPr>
            </w:pPr>
            <w:r>
              <w:rPr>
                <w:rFonts w:cs="Arial"/>
                <w:sz w:val="16"/>
                <w:szCs w:val="16"/>
              </w:rPr>
              <w:lastRenderedPageBreak/>
              <w:t>Zpracovatelský průmysl  přispěl více než po</w:t>
            </w:r>
            <w:r w:rsidR="00AE6734">
              <w:rPr>
                <w:rFonts w:cs="Arial"/>
                <w:sz w:val="16"/>
                <w:szCs w:val="16"/>
              </w:rPr>
              <w:t>lovinou k celkovému růstu HPH a </w:t>
            </w:r>
            <w:r>
              <w:rPr>
                <w:rFonts w:cs="Arial"/>
                <w:sz w:val="16"/>
                <w:szCs w:val="16"/>
              </w:rPr>
              <w:t>je tak nejvýznamnějším zdrojem růstu.</w:t>
            </w:r>
          </w:p>
        </w:tc>
        <w:tc>
          <w:tcPr>
            <w:tcW w:w="142" w:type="pct"/>
          </w:tcPr>
          <w:p w:rsidR="003875C2" w:rsidRPr="00A74192" w:rsidRDefault="003875C2" w:rsidP="00D94859">
            <w:pPr>
              <w:pStyle w:val="Textpoznpodarou"/>
              <w:jc w:val="both"/>
              <w:rPr>
                <w:rFonts w:cs="Arial"/>
              </w:rPr>
            </w:pPr>
          </w:p>
        </w:tc>
        <w:tc>
          <w:tcPr>
            <w:tcW w:w="3784" w:type="pct"/>
            <w:gridSpan w:val="3"/>
          </w:tcPr>
          <w:p w:rsidR="003875C2" w:rsidRPr="005E2AB2" w:rsidRDefault="003875C2" w:rsidP="00A9497A">
            <w:pPr>
              <w:pStyle w:val="Textpoznpodarou"/>
              <w:jc w:val="both"/>
              <w:rPr>
                <w:rFonts w:cs="Arial"/>
                <w:sz w:val="18"/>
                <w:szCs w:val="18"/>
              </w:rPr>
            </w:pPr>
            <w:r w:rsidRPr="005E2AB2">
              <w:rPr>
                <w:rFonts w:cs="Arial"/>
              </w:rPr>
              <w:t xml:space="preserve">V roce 2016 se na růstu HDP nejvýrazněji podílel zpracovatelský průmysl. I když se jeho hrubá přidaná hodnota nezvýšila tak výrazně </w:t>
            </w:r>
            <w:r>
              <w:rPr>
                <w:rFonts w:cs="Arial"/>
              </w:rPr>
              <w:t xml:space="preserve">jako </w:t>
            </w:r>
            <w:r w:rsidRPr="005E2AB2">
              <w:rPr>
                <w:rFonts w:cs="Arial"/>
              </w:rPr>
              <w:t>v předchozích dvou letech (4,8 %, v roce 2015 to bylo 8,2 %), jeho příspěvek k celkovému růstu HPH činil +1,3 p.b., tedy více než polovinu</w:t>
            </w:r>
            <w:r>
              <w:rPr>
                <w:rFonts w:cs="Arial"/>
              </w:rPr>
              <w:t xml:space="preserve"> (podobně jako v roce 2015).</w:t>
            </w:r>
            <w:r w:rsidRPr="005E2AB2">
              <w:rPr>
                <w:rFonts w:cs="Arial"/>
              </w:rPr>
              <w:t xml:space="preserve"> Zpracovatelský průmysl přispíval k růstu HPH rovnoměrně ve všech čtvrtletích roku. Dalším výrazněji rostoucím odvětvím byly činnosti v oblasti nemovitostí (nárůst o 3,2 %), které sice rostly pomaleji než v roce 2015, ale jejich příspěvek k růstu HPH činil +0,3 p.b. a rovněž byl stabilní po celý rok.  </w:t>
            </w:r>
          </w:p>
          <w:p w:rsidR="003875C2" w:rsidRPr="00E60FCE" w:rsidRDefault="003875C2" w:rsidP="00A9497A">
            <w:pPr>
              <w:pStyle w:val="Textpoznpodarou"/>
              <w:jc w:val="both"/>
              <w:rPr>
                <w:rFonts w:cs="Arial"/>
                <w:sz w:val="14"/>
                <w:szCs w:val="14"/>
              </w:rPr>
            </w:pPr>
          </w:p>
        </w:tc>
      </w:tr>
      <w:tr w:rsidR="003875C2" w:rsidRPr="00A74192" w:rsidTr="00701382">
        <w:tc>
          <w:tcPr>
            <w:tcW w:w="1074" w:type="pct"/>
            <w:gridSpan w:val="2"/>
          </w:tcPr>
          <w:p w:rsidR="003875C2" w:rsidRPr="00A74192" w:rsidRDefault="003875C2" w:rsidP="00A9497A">
            <w:pPr>
              <w:spacing w:line="240" w:lineRule="auto"/>
              <w:rPr>
                <w:rFonts w:cs="Arial"/>
                <w:sz w:val="16"/>
                <w:szCs w:val="16"/>
              </w:rPr>
            </w:pPr>
            <w:r>
              <w:rPr>
                <w:rFonts w:cs="Arial"/>
                <w:sz w:val="16"/>
                <w:szCs w:val="16"/>
              </w:rPr>
              <w:t>Meziročně se zredukoval příspěvek odvět</w:t>
            </w:r>
            <w:r w:rsidR="00AE6734">
              <w:rPr>
                <w:rFonts w:cs="Arial"/>
                <w:sz w:val="16"/>
                <w:szCs w:val="16"/>
              </w:rPr>
              <w:t>ví obchod, doprava, ubytování a </w:t>
            </w:r>
            <w:r>
              <w:rPr>
                <w:rFonts w:cs="Arial"/>
                <w:sz w:val="16"/>
                <w:szCs w:val="16"/>
              </w:rPr>
              <w:t>pohostinství. Výrazně klesla HPH ve stavebnictví.</w:t>
            </w:r>
          </w:p>
        </w:tc>
        <w:tc>
          <w:tcPr>
            <w:tcW w:w="142" w:type="pct"/>
          </w:tcPr>
          <w:p w:rsidR="003875C2" w:rsidRPr="00A74192" w:rsidRDefault="003875C2" w:rsidP="00D94859">
            <w:pPr>
              <w:pStyle w:val="Textpoznpodarou"/>
              <w:jc w:val="both"/>
              <w:rPr>
                <w:rFonts w:cs="Arial"/>
              </w:rPr>
            </w:pPr>
          </w:p>
        </w:tc>
        <w:tc>
          <w:tcPr>
            <w:tcW w:w="3784" w:type="pct"/>
            <w:gridSpan w:val="3"/>
          </w:tcPr>
          <w:p w:rsidR="003875C2" w:rsidRPr="005E2AB2" w:rsidRDefault="003875C2" w:rsidP="00A9497A">
            <w:pPr>
              <w:pStyle w:val="Textpoznpodarou"/>
              <w:jc w:val="both"/>
              <w:rPr>
                <w:rFonts w:cs="Arial"/>
                <w:sz w:val="18"/>
                <w:szCs w:val="18"/>
              </w:rPr>
            </w:pPr>
            <w:r w:rsidRPr="005E2AB2">
              <w:rPr>
                <w:rFonts w:cs="Arial"/>
              </w:rPr>
              <w:t xml:space="preserve">V průběhu roku 2016 došlo ke zpomalení růstu v odvětví obchod, doprava, ubytování a pohostinství, jehož příspěvek k růstu HPH v roce 2015 činil +0,7 p.b. Během 1. čtvrtletí roku 2016 ještě </w:t>
            </w:r>
            <w:r>
              <w:rPr>
                <w:rFonts w:cs="Arial"/>
              </w:rPr>
              <w:t xml:space="preserve">uvedené </w:t>
            </w:r>
            <w:r w:rsidR="00080A41">
              <w:rPr>
                <w:rFonts w:cs="Arial"/>
              </w:rPr>
              <w:t>odvětví přispělo +0,5 p.b.,</w:t>
            </w:r>
            <w:r w:rsidRPr="005E2AB2">
              <w:rPr>
                <w:rFonts w:cs="Arial"/>
              </w:rPr>
              <w:t xml:space="preserve"> ale následně </w:t>
            </w:r>
            <w:r w:rsidR="003F32AB">
              <w:rPr>
                <w:rFonts w:cs="Arial"/>
              </w:rPr>
              <w:t>se příspěvky zredukovaly až na -</w:t>
            </w:r>
            <w:r w:rsidRPr="005E2AB2">
              <w:rPr>
                <w:rFonts w:cs="Arial"/>
              </w:rPr>
              <w:t>0,1 p.b. v</w:t>
            </w:r>
            <w:r>
              <w:rPr>
                <w:rFonts w:cs="Arial"/>
              </w:rPr>
              <w:t> </w:t>
            </w:r>
            <w:r w:rsidRPr="005E2AB2">
              <w:rPr>
                <w:rFonts w:cs="Arial"/>
              </w:rPr>
              <w:t>závěr</w:t>
            </w:r>
            <w:r>
              <w:rPr>
                <w:rFonts w:cs="Arial"/>
              </w:rPr>
              <w:t>u roku. C</w:t>
            </w:r>
            <w:r w:rsidRPr="005E2AB2">
              <w:rPr>
                <w:rFonts w:cs="Arial"/>
              </w:rPr>
              <w:t xml:space="preserve">elkový příspěvek v roce 2016 byl +0,2 p.b.. Dalšími odvětvími, která neudržela růst z předchozího roku, jsou informační a komunikační činnosti a profesní, vědecké, technické a administrativní činnosti. Obě </w:t>
            </w:r>
            <w:r>
              <w:rPr>
                <w:rFonts w:cs="Arial"/>
              </w:rPr>
              <w:t xml:space="preserve">odvětví </w:t>
            </w:r>
            <w:r w:rsidRPr="005E2AB2">
              <w:rPr>
                <w:rFonts w:cs="Arial"/>
              </w:rPr>
              <w:t xml:space="preserve">přispěla k nárůstu HPH v roce 2016 </w:t>
            </w:r>
            <w:r>
              <w:rPr>
                <w:rFonts w:cs="Arial"/>
              </w:rPr>
              <w:t xml:space="preserve">shodně jen </w:t>
            </w:r>
            <w:r w:rsidRPr="005E2AB2">
              <w:rPr>
                <w:rFonts w:cs="Arial"/>
              </w:rPr>
              <w:t>0,1 p.b. Rok 2016 byl neúspěšným pro stavebnictví, jehož HPH klesla o</w:t>
            </w:r>
            <w:r>
              <w:rPr>
                <w:rFonts w:cs="Arial"/>
              </w:rPr>
              <w:t> </w:t>
            </w:r>
            <w:r w:rsidRPr="005E2AB2">
              <w:rPr>
                <w:rFonts w:cs="Arial"/>
              </w:rPr>
              <w:t>5,8</w:t>
            </w:r>
            <w:r>
              <w:rPr>
                <w:rFonts w:cs="Arial"/>
              </w:rPr>
              <w:t> </w:t>
            </w:r>
            <w:r w:rsidRPr="005E2AB2">
              <w:rPr>
                <w:rFonts w:cs="Arial"/>
              </w:rPr>
              <w:t xml:space="preserve">%. Negativní dopad na celkový růst HPH ze strany tohoto odvětví se v průběhu roku prohluboval a celkově dosáhl </w:t>
            </w:r>
            <w:r w:rsidR="003F32AB">
              <w:rPr>
                <w:rFonts w:cs="Arial"/>
              </w:rPr>
              <w:t>-</w:t>
            </w:r>
            <w:r w:rsidRPr="005E2AB2">
              <w:rPr>
                <w:rFonts w:cs="Arial"/>
              </w:rPr>
              <w:t xml:space="preserve">0,3 p.b. </w:t>
            </w:r>
          </w:p>
          <w:p w:rsidR="003875C2" w:rsidRPr="005E2AB2" w:rsidRDefault="003875C2" w:rsidP="00A9497A">
            <w:pPr>
              <w:pStyle w:val="Textpoznpodarou"/>
              <w:jc w:val="both"/>
              <w:rPr>
                <w:rFonts w:cs="Arial"/>
                <w:sz w:val="18"/>
                <w:szCs w:val="18"/>
                <w:highlight w:val="yellow"/>
              </w:rPr>
            </w:pPr>
          </w:p>
        </w:tc>
      </w:tr>
      <w:tr w:rsidR="00701382" w:rsidRPr="00A74192" w:rsidTr="00701382">
        <w:tc>
          <w:tcPr>
            <w:tcW w:w="501" w:type="pct"/>
          </w:tcPr>
          <w:p w:rsidR="00701382" w:rsidRDefault="00701382" w:rsidP="00BE2C15">
            <w:pPr>
              <w:pStyle w:val="Textpoznpodarou"/>
              <w:rPr>
                <w:rFonts w:cs="Arial"/>
                <w:lang w:eastAsia="en-US"/>
              </w:rPr>
            </w:pPr>
            <w:r w:rsidRPr="00A74192">
              <w:rPr>
                <w:rFonts w:cs="Arial"/>
                <w:lang w:eastAsia="en-US"/>
              </w:rPr>
              <w:t xml:space="preserve">Graf č. </w:t>
            </w:r>
          </w:p>
          <w:p w:rsidR="00701382" w:rsidRPr="00A74192" w:rsidRDefault="00701382" w:rsidP="00BE2C15">
            <w:pPr>
              <w:pStyle w:val="Textpoznpodarou"/>
              <w:rPr>
                <w:rFonts w:cs="Arial"/>
                <w:lang w:eastAsia="en-US"/>
              </w:rPr>
            </w:pPr>
            <w:r w:rsidRPr="00A74192">
              <w:rPr>
                <w:rFonts w:cs="Arial"/>
                <w:lang w:eastAsia="en-US"/>
              </w:rPr>
              <w:t>1</w:t>
            </w:r>
          </w:p>
        </w:tc>
        <w:tc>
          <w:tcPr>
            <w:tcW w:w="1998" w:type="pct"/>
            <w:gridSpan w:val="3"/>
          </w:tcPr>
          <w:p w:rsidR="00701382" w:rsidRPr="00A74192" w:rsidRDefault="00701382" w:rsidP="00AD4FEF">
            <w:pPr>
              <w:pStyle w:val="Textpoznpodarou"/>
              <w:jc w:val="both"/>
              <w:rPr>
                <w:rFonts w:cs="Arial"/>
                <w:lang w:eastAsia="en-US"/>
              </w:rPr>
            </w:pPr>
            <w:r w:rsidRPr="00A74192">
              <w:rPr>
                <w:rFonts w:cs="Arial"/>
                <w:b/>
                <w:lang w:eastAsia="en-US"/>
              </w:rPr>
              <w:t>HDP</w:t>
            </w:r>
            <w:r>
              <w:rPr>
                <w:rFonts w:cs="Arial"/>
                <w:b/>
                <w:lang w:eastAsia="en-US"/>
              </w:rPr>
              <w:t> </w:t>
            </w:r>
            <w:r w:rsidRPr="00A74192">
              <w:rPr>
                <w:rFonts w:cs="Arial"/>
                <w:lang w:eastAsia="en-US"/>
              </w:rPr>
              <w:t>(stálé</w:t>
            </w:r>
            <w:r>
              <w:rPr>
                <w:rFonts w:cs="Arial"/>
                <w:lang w:eastAsia="en-US"/>
              </w:rPr>
              <w:t> </w:t>
            </w:r>
            <w:r w:rsidRPr="00A74192">
              <w:rPr>
                <w:rFonts w:cs="Arial"/>
                <w:lang w:eastAsia="en-US"/>
              </w:rPr>
              <w:t>ceny,</w:t>
            </w:r>
            <w:r>
              <w:rPr>
                <w:rFonts w:cs="Arial"/>
                <w:lang w:eastAsia="en-US"/>
              </w:rPr>
              <w:t> </w:t>
            </w:r>
            <w:r w:rsidRPr="00A74192">
              <w:rPr>
                <w:rFonts w:cs="Arial"/>
                <w:lang w:eastAsia="en-US"/>
              </w:rPr>
              <w:t>očištěno</w:t>
            </w:r>
            <w:r>
              <w:rPr>
                <w:rFonts w:cs="Arial"/>
                <w:lang w:eastAsia="en-US"/>
              </w:rPr>
              <w:t> </w:t>
            </w:r>
            <w:r w:rsidRPr="00A74192">
              <w:rPr>
                <w:rFonts w:cs="Arial"/>
                <w:lang w:eastAsia="en-US"/>
              </w:rPr>
              <w:t>o</w:t>
            </w:r>
            <w:r>
              <w:rPr>
                <w:rFonts w:cs="Arial"/>
                <w:lang w:eastAsia="en-US"/>
              </w:rPr>
              <w:t> </w:t>
            </w:r>
            <w:r w:rsidRPr="00A74192">
              <w:rPr>
                <w:rFonts w:cs="Arial"/>
                <w:lang w:eastAsia="en-US"/>
              </w:rPr>
              <w:t>sezónní a kalendářní vlivy, v %)</w:t>
            </w:r>
          </w:p>
        </w:tc>
        <w:tc>
          <w:tcPr>
            <w:tcW w:w="450" w:type="pct"/>
          </w:tcPr>
          <w:p w:rsidR="00701382" w:rsidRDefault="00701382" w:rsidP="00AD4FEF">
            <w:pPr>
              <w:pStyle w:val="Textpoznpodarou"/>
              <w:ind w:left="-71" w:right="-250"/>
              <w:rPr>
                <w:rFonts w:cs="Arial"/>
                <w:lang w:eastAsia="en-US"/>
              </w:rPr>
            </w:pPr>
            <w:r w:rsidRPr="00A74192">
              <w:rPr>
                <w:rFonts w:cs="Arial"/>
                <w:lang w:eastAsia="en-US"/>
              </w:rPr>
              <w:t xml:space="preserve">Graf č. </w:t>
            </w:r>
          </w:p>
          <w:p w:rsidR="00701382" w:rsidRPr="00A74192" w:rsidRDefault="00701382" w:rsidP="00AD4FEF">
            <w:pPr>
              <w:pStyle w:val="Textpoznpodarou"/>
              <w:ind w:left="-71" w:right="-250"/>
              <w:rPr>
                <w:rFonts w:cs="Arial"/>
                <w:lang w:eastAsia="en-US"/>
              </w:rPr>
            </w:pPr>
            <w:r w:rsidRPr="00A74192">
              <w:rPr>
                <w:rFonts w:cs="Arial"/>
                <w:lang w:eastAsia="en-US"/>
              </w:rPr>
              <w:t>2</w:t>
            </w:r>
          </w:p>
        </w:tc>
        <w:tc>
          <w:tcPr>
            <w:tcW w:w="2051" w:type="pct"/>
          </w:tcPr>
          <w:p w:rsidR="00701382" w:rsidRPr="00A74192" w:rsidRDefault="00701382" w:rsidP="001752CB">
            <w:pPr>
              <w:pStyle w:val="Textpoznpodarou"/>
              <w:ind w:right="34"/>
              <w:jc w:val="both"/>
              <w:rPr>
                <w:rFonts w:cs="Arial"/>
                <w:lang w:eastAsia="en-US"/>
              </w:rPr>
            </w:pPr>
            <w:r w:rsidRPr="00A74192">
              <w:rPr>
                <w:rFonts w:cs="Arial"/>
                <w:b/>
                <w:lang w:eastAsia="en-US"/>
              </w:rPr>
              <w:t xml:space="preserve">HDP </w:t>
            </w:r>
            <w:r w:rsidRPr="00A74192">
              <w:rPr>
                <w:rFonts w:cs="Arial"/>
                <w:lang w:eastAsia="en-US"/>
              </w:rPr>
              <w:t xml:space="preserve">(stálé ceny, očištěno o sezónní a kalendářní vlivy, y/y v %, pravá osa) </w:t>
            </w:r>
            <w:r w:rsidRPr="00A74192">
              <w:rPr>
                <w:rFonts w:cs="Arial"/>
                <w:b/>
                <w:lang w:eastAsia="en-US"/>
              </w:rPr>
              <w:t>a indikátory důvěry</w:t>
            </w:r>
            <w:r w:rsidRPr="00A74192">
              <w:rPr>
                <w:rFonts w:cs="Arial"/>
                <w:lang w:eastAsia="en-US"/>
              </w:rPr>
              <w:t xml:space="preserve"> (2005=100, levá osa)</w:t>
            </w:r>
          </w:p>
        </w:tc>
      </w:tr>
      <w:tr w:rsidR="00701382" w:rsidRPr="00A74192" w:rsidTr="00701382">
        <w:tc>
          <w:tcPr>
            <w:tcW w:w="2499" w:type="pct"/>
            <w:gridSpan w:val="4"/>
          </w:tcPr>
          <w:p w:rsidR="00701382" w:rsidRPr="00A74192" w:rsidRDefault="00906225" w:rsidP="00BE2C15">
            <w:pPr>
              <w:pStyle w:val="Textpoznpodarou"/>
              <w:ind w:left="-108"/>
              <w:jc w:val="both"/>
              <w:rPr>
                <w:rFonts w:cs="Arial"/>
                <w:color w:val="FF0000"/>
                <w:lang w:eastAsia="en-US"/>
              </w:rPr>
            </w:pPr>
            <w:r>
              <w:rPr>
                <w:rFonts w:cs="Arial"/>
                <w:noProof/>
                <w:color w:val="FF0000"/>
              </w:rPr>
              <w:drawing>
                <wp:inline distT="0" distB="0" distL="0" distR="0">
                  <wp:extent cx="3079750" cy="2435860"/>
                  <wp:effectExtent l="19050" t="0" r="6350" b="0"/>
                  <wp:docPr id="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6"/>
                          <a:srcRect/>
                          <a:stretch>
                            <a:fillRect/>
                          </a:stretch>
                        </pic:blipFill>
                        <pic:spPr bwMode="auto">
                          <a:xfrm>
                            <a:off x="0" y="0"/>
                            <a:ext cx="3079750" cy="2435860"/>
                          </a:xfrm>
                          <a:prstGeom prst="rect">
                            <a:avLst/>
                          </a:prstGeom>
                          <a:noFill/>
                          <a:ln w="9525">
                            <a:noFill/>
                            <a:miter lim="800000"/>
                            <a:headEnd/>
                            <a:tailEnd/>
                          </a:ln>
                        </pic:spPr>
                      </pic:pic>
                    </a:graphicData>
                  </a:graphic>
                </wp:inline>
              </w:drawing>
            </w:r>
          </w:p>
        </w:tc>
        <w:tc>
          <w:tcPr>
            <w:tcW w:w="2501" w:type="pct"/>
            <w:gridSpan w:val="2"/>
          </w:tcPr>
          <w:p w:rsidR="00701382" w:rsidRPr="0085188D" w:rsidRDefault="00906225" w:rsidP="00701382">
            <w:pPr>
              <w:pStyle w:val="Textpoznpodarou"/>
              <w:ind w:left="-71"/>
              <w:jc w:val="both"/>
              <w:rPr>
                <w:rFonts w:cs="Arial"/>
                <w:color w:val="FF0000"/>
                <w:sz w:val="6"/>
                <w:szCs w:val="6"/>
                <w:lang w:eastAsia="en-US"/>
              </w:rPr>
            </w:pPr>
            <w:r>
              <w:rPr>
                <w:rFonts w:cs="Arial"/>
                <w:noProof/>
                <w:color w:val="FF0000"/>
                <w:sz w:val="6"/>
                <w:szCs w:val="6"/>
              </w:rPr>
              <w:drawing>
                <wp:inline distT="0" distB="0" distL="0" distR="0">
                  <wp:extent cx="3079750" cy="2428875"/>
                  <wp:effectExtent l="19050" t="0" r="6350" b="0"/>
                  <wp:docPr id="2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7"/>
                          <a:srcRect/>
                          <a:stretch>
                            <a:fillRect/>
                          </a:stretch>
                        </pic:blipFill>
                        <pic:spPr bwMode="auto">
                          <a:xfrm>
                            <a:off x="0" y="0"/>
                            <a:ext cx="3079750" cy="2428875"/>
                          </a:xfrm>
                          <a:prstGeom prst="rect">
                            <a:avLst/>
                          </a:prstGeom>
                          <a:noFill/>
                          <a:ln w="9525">
                            <a:noFill/>
                            <a:miter lim="800000"/>
                            <a:headEnd/>
                            <a:tailEnd/>
                          </a:ln>
                        </pic:spPr>
                      </pic:pic>
                    </a:graphicData>
                  </a:graphic>
                </wp:inline>
              </w:drawing>
            </w:r>
          </w:p>
        </w:tc>
      </w:tr>
      <w:tr w:rsidR="00701382" w:rsidRPr="00A74192" w:rsidTr="00701382">
        <w:tc>
          <w:tcPr>
            <w:tcW w:w="501" w:type="pct"/>
          </w:tcPr>
          <w:p w:rsidR="00701382" w:rsidRDefault="00701382" w:rsidP="00BE2C15">
            <w:pPr>
              <w:pStyle w:val="Textpoznpodarou"/>
              <w:rPr>
                <w:rFonts w:cs="Arial"/>
                <w:lang w:eastAsia="en-US"/>
              </w:rPr>
            </w:pPr>
            <w:r w:rsidRPr="00A74192">
              <w:rPr>
                <w:rFonts w:cs="Arial"/>
                <w:lang w:eastAsia="en-US"/>
              </w:rPr>
              <w:t xml:space="preserve">Graf č. </w:t>
            </w:r>
          </w:p>
          <w:p w:rsidR="00701382" w:rsidRPr="00A74192" w:rsidRDefault="00701382" w:rsidP="00BE2C15">
            <w:pPr>
              <w:pStyle w:val="Textpoznpodarou"/>
              <w:rPr>
                <w:rFonts w:cs="Arial"/>
                <w:lang w:eastAsia="en-US"/>
              </w:rPr>
            </w:pPr>
            <w:r w:rsidRPr="00A74192">
              <w:rPr>
                <w:rFonts w:cs="Arial"/>
                <w:lang w:eastAsia="en-US"/>
              </w:rPr>
              <w:t>3</w:t>
            </w:r>
          </w:p>
        </w:tc>
        <w:tc>
          <w:tcPr>
            <w:tcW w:w="1998" w:type="pct"/>
            <w:gridSpan w:val="3"/>
          </w:tcPr>
          <w:p w:rsidR="00701382" w:rsidRPr="00A74192" w:rsidRDefault="00701382" w:rsidP="00AD4FEF">
            <w:pPr>
              <w:pStyle w:val="Textpoznpodarou"/>
              <w:ind w:right="139"/>
              <w:rPr>
                <w:rFonts w:cs="Arial"/>
                <w:lang w:eastAsia="en-US"/>
              </w:rPr>
            </w:pPr>
            <w:r w:rsidRPr="00A74192">
              <w:rPr>
                <w:rFonts w:cs="Arial"/>
                <w:b/>
                <w:lang w:eastAsia="en-US"/>
              </w:rPr>
              <w:t>Příspěvky výdajových složek ke změně HDP*</w:t>
            </w:r>
            <w:r w:rsidRPr="00A74192">
              <w:rPr>
                <w:rFonts w:cs="Arial"/>
                <w:lang w:eastAsia="en-US"/>
              </w:rPr>
              <w:t xml:space="preserve"> (stálé ceny, y/y, příspěvky v p.b., HDP v %)</w:t>
            </w:r>
          </w:p>
        </w:tc>
        <w:tc>
          <w:tcPr>
            <w:tcW w:w="450" w:type="pct"/>
          </w:tcPr>
          <w:p w:rsidR="00701382" w:rsidRDefault="00701382" w:rsidP="001752CB">
            <w:pPr>
              <w:pStyle w:val="Textpoznpodarou"/>
              <w:ind w:left="-71" w:right="-108"/>
              <w:rPr>
                <w:rFonts w:cs="Arial"/>
                <w:lang w:eastAsia="en-US"/>
              </w:rPr>
            </w:pPr>
            <w:r w:rsidRPr="00A74192">
              <w:rPr>
                <w:rFonts w:cs="Arial"/>
                <w:lang w:eastAsia="en-US"/>
              </w:rPr>
              <w:t xml:space="preserve">Graf č. </w:t>
            </w:r>
          </w:p>
          <w:p w:rsidR="00701382" w:rsidRPr="00A74192" w:rsidRDefault="00701382" w:rsidP="001752CB">
            <w:pPr>
              <w:pStyle w:val="Textpoznpodarou"/>
              <w:ind w:left="-71" w:right="-108"/>
              <w:rPr>
                <w:rFonts w:cs="Arial"/>
                <w:lang w:eastAsia="en-US"/>
              </w:rPr>
            </w:pPr>
            <w:r w:rsidRPr="00A74192">
              <w:rPr>
                <w:rFonts w:cs="Arial"/>
                <w:lang w:eastAsia="en-US"/>
              </w:rPr>
              <w:t>4</w:t>
            </w:r>
          </w:p>
        </w:tc>
        <w:tc>
          <w:tcPr>
            <w:tcW w:w="2051" w:type="pct"/>
          </w:tcPr>
          <w:p w:rsidR="00701382" w:rsidRPr="00A74192" w:rsidRDefault="00701382" w:rsidP="001752CB">
            <w:pPr>
              <w:pStyle w:val="Textpoznpodarou"/>
              <w:rPr>
                <w:rFonts w:cs="Arial"/>
                <w:lang w:eastAsia="en-US"/>
              </w:rPr>
            </w:pPr>
            <w:r w:rsidRPr="00A74192">
              <w:rPr>
                <w:rFonts w:cs="Arial"/>
                <w:b/>
                <w:lang w:eastAsia="en-US"/>
              </w:rPr>
              <w:t>Příspěvky odvětví ke změně HPH</w:t>
            </w:r>
            <w:r w:rsidRPr="00A74192">
              <w:rPr>
                <w:rFonts w:cs="Arial"/>
                <w:lang w:eastAsia="en-US"/>
              </w:rPr>
              <w:t xml:space="preserve"> (stálé ceny, y/y, příspěvky v p.b., HPH v %)</w:t>
            </w:r>
          </w:p>
        </w:tc>
      </w:tr>
      <w:tr w:rsidR="00701382" w:rsidRPr="00A74192" w:rsidTr="00701382">
        <w:tc>
          <w:tcPr>
            <w:tcW w:w="2499" w:type="pct"/>
            <w:gridSpan w:val="4"/>
          </w:tcPr>
          <w:p w:rsidR="00701382" w:rsidRPr="00A74192" w:rsidRDefault="00906225" w:rsidP="00BE2C15">
            <w:pPr>
              <w:pStyle w:val="Textpoznpodarou"/>
              <w:ind w:left="-108"/>
              <w:jc w:val="both"/>
              <w:rPr>
                <w:rFonts w:cs="Arial"/>
                <w:color w:val="FF0000"/>
                <w:sz w:val="22"/>
                <w:lang w:eastAsia="en-US"/>
              </w:rPr>
            </w:pPr>
            <w:r>
              <w:rPr>
                <w:rFonts w:cs="Arial"/>
                <w:noProof/>
                <w:color w:val="FF0000"/>
                <w:sz w:val="22"/>
              </w:rPr>
              <w:drawing>
                <wp:inline distT="0" distB="0" distL="0" distR="0">
                  <wp:extent cx="3086735" cy="2443480"/>
                  <wp:effectExtent l="19050" t="0" r="0" b="0"/>
                  <wp:docPr id="2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8"/>
                          <a:srcRect/>
                          <a:stretch>
                            <a:fillRect/>
                          </a:stretch>
                        </pic:blipFill>
                        <pic:spPr bwMode="auto">
                          <a:xfrm>
                            <a:off x="0" y="0"/>
                            <a:ext cx="3086735" cy="2443480"/>
                          </a:xfrm>
                          <a:prstGeom prst="rect">
                            <a:avLst/>
                          </a:prstGeom>
                          <a:noFill/>
                          <a:ln w="9525">
                            <a:noFill/>
                            <a:miter lim="800000"/>
                            <a:headEnd/>
                            <a:tailEnd/>
                          </a:ln>
                        </pic:spPr>
                      </pic:pic>
                    </a:graphicData>
                  </a:graphic>
                </wp:inline>
              </w:drawing>
            </w:r>
          </w:p>
        </w:tc>
        <w:tc>
          <w:tcPr>
            <w:tcW w:w="2501" w:type="pct"/>
            <w:gridSpan w:val="2"/>
          </w:tcPr>
          <w:p w:rsidR="00701382" w:rsidRPr="00A74192" w:rsidRDefault="00906225" w:rsidP="00BE2C15">
            <w:pPr>
              <w:pStyle w:val="Textpoznpodarou"/>
              <w:ind w:left="-109"/>
              <w:jc w:val="both"/>
              <w:rPr>
                <w:rFonts w:cs="Arial"/>
                <w:color w:val="FF0000"/>
                <w:sz w:val="22"/>
                <w:lang w:eastAsia="en-US"/>
              </w:rPr>
            </w:pPr>
            <w:r>
              <w:rPr>
                <w:rFonts w:cs="Arial"/>
                <w:noProof/>
                <w:color w:val="FF0000"/>
                <w:sz w:val="22"/>
              </w:rPr>
              <w:drawing>
                <wp:inline distT="0" distB="0" distL="0" distR="0">
                  <wp:extent cx="3086735" cy="2443480"/>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9"/>
                          <a:srcRect/>
                          <a:stretch>
                            <a:fillRect/>
                          </a:stretch>
                        </pic:blipFill>
                        <pic:spPr bwMode="auto">
                          <a:xfrm>
                            <a:off x="0" y="0"/>
                            <a:ext cx="3086735" cy="2443480"/>
                          </a:xfrm>
                          <a:prstGeom prst="rect">
                            <a:avLst/>
                          </a:prstGeom>
                          <a:noFill/>
                          <a:ln w="9525">
                            <a:noFill/>
                            <a:miter lim="800000"/>
                            <a:headEnd/>
                            <a:tailEnd/>
                          </a:ln>
                        </pic:spPr>
                      </pic:pic>
                    </a:graphicData>
                  </a:graphic>
                </wp:inline>
              </w:drawing>
            </w:r>
          </w:p>
        </w:tc>
      </w:tr>
      <w:tr w:rsidR="00701382" w:rsidRPr="00A74192" w:rsidTr="00701382">
        <w:tc>
          <w:tcPr>
            <w:tcW w:w="2499" w:type="pct"/>
            <w:gridSpan w:val="4"/>
          </w:tcPr>
          <w:p w:rsidR="00701382" w:rsidRPr="00F31D53" w:rsidRDefault="00701382" w:rsidP="00BE2C15">
            <w:pPr>
              <w:pStyle w:val="Textpoznpodarou"/>
              <w:ind w:left="-108"/>
              <w:jc w:val="both"/>
              <w:rPr>
                <w:rFonts w:cs="Arial"/>
                <w:sz w:val="18"/>
                <w:szCs w:val="18"/>
                <w:lang w:eastAsia="en-US"/>
              </w:rPr>
            </w:pPr>
            <w:r w:rsidRPr="00F31D53">
              <w:rPr>
                <w:rFonts w:cs="Arial"/>
                <w:sz w:val="18"/>
                <w:szCs w:val="18"/>
                <w:lang w:eastAsia="en-US"/>
              </w:rPr>
              <w:t>*po vyloučení dovozu pro konečné užití</w:t>
            </w:r>
          </w:p>
        </w:tc>
        <w:tc>
          <w:tcPr>
            <w:tcW w:w="2501" w:type="pct"/>
            <w:gridSpan w:val="2"/>
          </w:tcPr>
          <w:p w:rsidR="00701382" w:rsidRPr="00F31D53" w:rsidRDefault="00701382" w:rsidP="00393D74">
            <w:pPr>
              <w:pStyle w:val="Textpoznpodarou"/>
              <w:ind w:left="-109"/>
              <w:jc w:val="right"/>
              <w:rPr>
                <w:rFonts w:cs="Arial"/>
                <w:sz w:val="18"/>
                <w:szCs w:val="18"/>
                <w:lang w:eastAsia="en-US"/>
              </w:rPr>
            </w:pPr>
            <w:r w:rsidRPr="00F31D53">
              <w:rPr>
                <w:rFonts w:cs="Arial"/>
                <w:sz w:val="18"/>
                <w:szCs w:val="18"/>
                <w:lang w:eastAsia="en-US"/>
              </w:rPr>
              <w:t>Zdroj:ČSÚ</w:t>
            </w:r>
            <w:r w:rsidR="00720958">
              <w:rPr>
                <w:rFonts w:cs="Arial"/>
                <w:sz w:val="18"/>
                <w:szCs w:val="18"/>
                <w:lang w:eastAsia="en-US"/>
              </w:rPr>
              <w:t>, Eurostat</w:t>
            </w:r>
          </w:p>
        </w:tc>
      </w:tr>
    </w:tbl>
    <w:p w:rsidR="00ED3A94" w:rsidRPr="00A74192" w:rsidRDefault="00ED3A94" w:rsidP="00D94859">
      <w:pPr>
        <w:pStyle w:val="Textpoznpodarou"/>
        <w:jc w:val="both"/>
        <w:rPr>
          <w:sz w:val="2"/>
          <w:szCs w:val="2"/>
        </w:rPr>
      </w:pPr>
    </w:p>
    <w:p w:rsidR="005E4483" w:rsidRDefault="005E4483" w:rsidP="005D073B">
      <w:pPr>
        <w:pStyle w:val="Nadpis1"/>
        <w:numPr>
          <w:ilvl w:val="0"/>
          <w:numId w:val="12"/>
        </w:numPr>
        <w:ind w:left="709" w:hanging="357"/>
        <w:jc w:val="both"/>
      </w:pPr>
      <w:bookmarkStart w:id="8" w:name="_Toc454185150"/>
      <w:bookmarkStart w:id="9" w:name="_Toc469327800"/>
      <w:r>
        <w:lastRenderedPageBreak/>
        <w:t>Výkonnost odvětví</w:t>
      </w:r>
      <w:bookmarkEnd w:id="8"/>
      <w:bookmarkEnd w:id="9"/>
    </w:p>
    <w:tbl>
      <w:tblPr>
        <w:tblW w:w="4986" w:type="pct"/>
        <w:tblInd w:w="107" w:type="dxa"/>
        <w:tblLayout w:type="fixed"/>
        <w:tblLook w:val="00A0"/>
      </w:tblPr>
      <w:tblGrid>
        <w:gridCol w:w="1997"/>
        <w:gridCol w:w="283"/>
        <w:gridCol w:w="7546"/>
      </w:tblGrid>
      <w:tr w:rsidR="00492991" w:rsidRPr="00DE32DB" w:rsidTr="008A03DE">
        <w:trPr>
          <w:trHeight w:val="145"/>
        </w:trPr>
        <w:tc>
          <w:tcPr>
            <w:tcW w:w="1016" w:type="pct"/>
          </w:tcPr>
          <w:p w:rsidR="00492991" w:rsidRDefault="00492991" w:rsidP="008A03DE">
            <w:pPr>
              <w:spacing w:line="240" w:lineRule="auto"/>
              <w:rPr>
                <w:color w:val="0D0D0D"/>
                <w:spacing w:val="-4"/>
                <w:sz w:val="16"/>
                <w:szCs w:val="16"/>
              </w:rPr>
            </w:pPr>
            <w:r>
              <w:rPr>
                <w:color w:val="0D0D0D"/>
                <w:spacing w:val="-4"/>
                <w:sz w:val="16"/>
                <w:szCs w:val="16"/>
              </w:rPr>
              <w:t>Meziroční růst HPH</w:t>
            </w:r>
            <w:r w:rsidRPr="00E9571B">
              <w:rPr>
                <w:color w:val="0D0D0D"/>
                <w:spacing w:val="-4"/>
                <w:sz w:val="16"/>
                <w:szCs w:val="16"/>
              </w:rPr>
              <w:t xml:space="preserve"> </w:t>
            </w:r>
            <w:r>
              <w:rPr>
                <w:color w:val="0D0D0D"/>
                <w:spacing w:val="-4"/>
                <w:sz w:val="16"/>
                <w:szCs w:val="16"/>
              </w:rPr>
              <w:t>v</w:t>
            </w:r>
            <w:r w:rsidRPr="00E9571B">
              <w:rPr>
                <w:color w:val="0D0D0D"/>
                <w:spacing w:val="-4"/>
                <w:sz w:val="16"/>
                <w:szCs w:val="16"/>
              </w:rPr>
              <w:t>loni zvolňoval a v celoročním úhrnu byl nejslabší za poslední tři roky</w:t>
            </w:r>
            <w:r w:rsidR="00AE6734">
              <w:rPr>
                <w:color w:val="0D0D0D"/>
                <w:spacing w:val="-4"/>
                <w:sz w:val="16"/>
                <w:szCs w:val="16"/>
              </w:rPr>
              <w:t>.</w:t>
            </w:r>
          </w:p>
          <w:p w:rsidR="00492991" w:rsidRDefault="00492991" w:rsidP="008A03DE">
            <w:pPr>
              <w:spacing w:line="240" w:lineRule="auto"/>
              <w:rPr>
                <w:color w:val="0D0D0D"/>
                <w:spacing w:val="-4"/>
                <w:sz w:val="16"/>
                <w:szCs w:val="16"/>
              </w:rPr>
            </w:pPr>
          </w:p>
          <w:p w:rsidR="00492991" w:rsidRDefault="00492991" w:rsidP="008A03DE">
            <w:pPr>
              <w:spacing w:line="240" w:lineRule="auto"/>
              <w:rPr>
                <w:color w:val="0D0D0D"/>
                <w:spacing w:val="-4"/>
                <w:sz w:val="16"/>
                <w:szCs w:val="16"/>
              </w:rPr>
            </w:pPr>
          </w:p>
          <w:p w:rsidR="00492991" w:rsidRDefault="00492991" w:rsidP="008A03DE">
            <w:pPr>
              <w:spacing w:line="240" w:lineRule="auto"/>
              <w:rPr>
                <w:color w:val="0D0D0D"/>
                <w:spacing w:val="-4"/>
                <w:sz w:val="16"/>
                <w:szCs w:val="16"/>
              </w:rPr>
            </w:pPr>
            <w:r>
              <w:rPr>
                <w:color w:val="0D0D0D"/>
                <w:spacing w:val="-4"/>
                <w:sz w:val="16"/>
                <w:szCs w:val="16"/>
              </w:rPr>
              <w:t>Zvolňování růstu HPH během loňského roku bylo způsobeno slabšími výkony váhově významných skupin odvětví služeb a také prohloubením nepříznivého vývoje ve stavebnictví</w:t>
            </w:r>
            <w:r w:rsidR="00AE6734">
              <w:rPr>
                <w:color w:val="0D0D0D"/>
                <w:spacing w:val="-4"/>
                <w:sz w:val="16"/>
                <w:szCs w:val="16"/>
              </w:rPr>
              <w:t>.</w:t>
            </w:r>
          </w:p>
          <w:p w:rsidR="00492991" w:rsidRDefault="00492991" w:rsidP="008A03DE">
            <w:pPr>
              <w:spacing w:line="240" w:lineRule="auto"/>
              <w:rPr>
                <w:color w:val="0D0D0D"/>
                <w:spacing w:val="-4"/>
                <w:sz w:val="16"/>
                <w:szCs w:val="16"/>
              </w:rPr>
            </w:pPr>
          </w:p>
          <w:p w:rsidR="00492991" w:rsidRDefault="00492991" w:rsidP="008A03DE">
            <w:pPr>
              <w:spacing w:line="240" w:lineRule="auto"/>
              <w:rPr>
                <w:color w:val="0D0D0D"/>
                <w:spacing w:val="-4"/>
                <w:sz w:val="16"/>
                <w:szCs w:val="16"/>
              </w:rPr>
            </w:pPr>
          </w:p>
          <w:p w:rsidR="00492991" w:rsidRPr="00E9571B" w:rsidRDefault="00492991" w:rsidP="008A03DE">
            <w:pPr>
              <w:spacing w:line="240" w:lineRule="auto"/>
              <w:rPr>
                <w:color w:val="0D0D0D"/>
                <w:spacing w:val="-4"/>
                <w:sz w:val="16"/>
                <w:szCs w:val="16"/>
              </w:rPr>
            </w:pPr>
            <w:r>
              <w:rPr>
                <w:color w:val="0D0D0D"/>
                <w:spacing w:val="-4"/>
                <w:sz w:val="16"/>
                <w:szCs w:val="16"/>
              </w:rPr>
              <w:t>Velmi dobrá úroda vedla k nejvyššímu růstu HPH v odvětví zemědělství, lesnictví a rybářství od roku 2009, za poslední tři se jeho přidaná hodnota zvýšila o čtvrtinu</w:t>
            </w:r>
            <w:r w:rsidR="00AE6734">
              <w:rPr>
                <w:color w:val="0D0D0D"/>
                <w:spacing w:val="-4"/>
                <w:sz w:val="16"/>
                <w:szCs w:val="16"/>
              </w:rPr>
              <w:t>.</w:t>
            </w:r>
          </w:p>
          <w:p w:rsidR="00492991" w:rsidRPr="00DE32DB" w:rsidRDefault="00492991" w:rsidP="008A03DE">
            <w:pPr>
              <w:spacing w:line="240" w:lineRule="auto"/>
              <w:rPr>
                <w:color w:val="0D0D0D"/>
                <w:spacing w:val="-4"/>
                <w:sz w:val="16"/>
                <w:szCs w:val="16"/>
              </w:rPr>
            </w:pPr>
          </w:p>
        </w:tc>
        <w:tc>
          <w:tcPr>
            <w:tcW w:w="144" w:type="pct"/>
          </w:tcPr>
          <w:p w:rsidR="00492991" w:rsidRPr="00567A02" w:rsidRDefault="00492991" w:rsidP="008A03DE">
            <w:pPr>
              <w:pStyle w:val="Textpoznpodarou"/>
              <w:jc w:val="both"/>
              <w:rPr>
                <w:color w:val="0D0D0D"/>
                <w:spacing w:val="-4"/>
              </w:rPr>
            </w:pPr>
          </w:p>
        </w:tc>
        <w:tc>
          <w:tcPr>
            <w:tcW w:w="3840" w:type="pct"/>
          </w:tcPr>
          <w:p w:rsidR="00492991" w:rsidRPr="00E455BE" w:rsidRDefault="00492991" w:rsidP="008A03DE">
            <w:pPr>
              <w:pStyle w:val="Textpoznpodarou"/>
              <w:jc w:val="both"/>
              <w:rPr>
                <w:color w:val="0D0D0D"/>
                <w:spacing w:val="-4"/>
              </w:rPr>
            </w:pPr>
            <w:r w:rsidRPr="00567A02">
              <w:rPr>
                <w:color w:val="0D0D0D"/>
                <w:spacing w:val="-4"/>
              </w:rPr>
              <w:t>Výkon všech odvětví ekonomiky dle hrubé přidané hodnoty (HPH)</w:t>
            </w:r>
            <w:r w:rsidRPr="00567A02">
              <w:rPr>
                <w:rStyle w:val="Znakapoznpodarou"/>
                <w:color w:val="0D0D0D"/>
                <w:spacing w:val="-4"/>
              </w:rPr>
              <w:footnoteReference w:id="6"/>
            </w:r>
            <w:r>
              <w:rPr>
                <w:color w:val="0D0D0D"/>
                <w:spacing w:val="-4"/>
              </w:rPr>
              <w:t xml:space="preserve"> byl proti roku 2015 vyšší o 2,1</w:t>
            </w:r>
            <w:r w:rsidRPr="00567A02">
              <w:rPr>
                <w:color w:val="0D0D0D"/>
                <w:spacing w:val="-4"/>
              </w:rPr>
              <w:t xml:space="preserve"> %. Vlivem postupného </w:t>
            </w:r>
            <w:r>
              <w:rPr>
                <w:color w:val="0D0D0D"/>
                <w:spacing w:val="-4"/>
              </w:rPr>
              <w:t>odeznění mimořádných stimulačních faktorů</w:t>
            </w:r>
            <w:r w:rsidRPr="00567A02">
              <w:rPr>
                <w:color w:val="0D0D0D"/>
                <w:spacing w:val="-4"/>
              </w:rPr>
              <w:t xml:space="preserve"> se růst HPH během loňského roku zvolňoval. To bylo patrné především v mezikvartálním srovnání – </w:t>
            </w:r>
            <w:r>
              <w:rPr>
                <w:color w:val="0D0D0D"/>
                <w:spacing w:val="-4"/>
              </w:rPr>
              <w:t>v druhé polovině roku postupně +0,2 %, resp.</w:t>
            </w:r>
            <w:r w:rsidRPr="00567A02">
              <w:rPr>
                <w:color w:val="0D0D0D"/>
                <w:spacing w:val="-4"/>
              </w:rPr>
              <w:t xml:space="preserve"> +0,3 % (v obou případech šlo o nejslabší tempa od 3. čtvrtletí 2013</w:t>
            </w:r>
            <w:r>
              <w:rPr>
                <w:color w:val="0D0D0D"/>
                <w:spacing w:val="-4"/>
              </w:rPr>
              <w:t xml:space="preserve">, kde se česká ekonomika pozvolna vymaňovala z vleklé recese). Klíčovou hnací roli si držel, podobně jako ve většině období hospodářského růstu, zpracovatelský průmysl. K loňskému </w:t>
            </w:r>
            <w:r w:rsidR="00C574CF">
              <w:rPr>
                <w:color w:val="0D0D0D"/>
                <w:spacing w:val="-4"/>
              </w:rPr>
              <w:t xml:space="preserve">2,1% růstu celkové HPH </w:t>
            </w:r>
            <w:r>
              <w:rPr>
                <w:color w:val="0D0D0D"/>
                <w:spacing w:val="-4"/>
              </w:rPr>
              <w:t xml:space="preserve">přispěl 1,3 p.b. Jeho role byla ještě umocněna v druhé polovině roku, když výrazný růst </w:t>
            </w:r>
            <w:r w:rsidRPr="00BB1C6B">
              <w:rPr>
                <w:color w:val="0D0D0D"/>
                <w:spacing w:val="-4"/>
              </w:rPr>
              <w:t xml:space="preserve">HPH ve váhově významném seskupení odvětví </w:t>
            </w:r>
            <w:r>
              <w:rPr>
                <w:color w:val="0D0D0D"/>
                <w:spacing w:val="-4"/>
              </w:rPr>
              <w:t>obchod, doprava, ubytování a</w:t>
            </w:r>
            <w:r w:rsidRPr="00567A02">
              <w:rPr>
                <w:color w:val="0D0D0D"/>
                <w:spacing w:val="-4"/>
              </w:rPr>
              <w:t> </w:t>
            </w:r>
            <w:r w:rsidRPr="00BB1C6B">
              <w:rPr>
                <w:color w:val="0D0D0D"/>
                <w:spacing w:val="-4"/>
              </w:rPr>
              <w:t>pohostinství</w:t>
            </w:r>
            <w:r>
              <w:rPr>
                <w:color w:val="0D0D0D"/>
                <w:spacing w:val="-4"/>
              </w:rPr>
              <w:t xml:space="preserve"> po 2,5 letech vyprchal. Na úspěšné předchozí roky loni naopak plně </w:t>
            </w:r>
            <w:r w:rsidRPr="00357E6B">
              <w:rPr>
                <w:color w:val="0D0D0D"/>
                <w:spacing w:val="-4"/>
              </w:rPr>
              <w:t>navázaly činnosti v oblasti nemovitostí</w:t>
            </w:r>
            <w:r>
              <w:rPr>
                <w:color w:val="0D0D0D"/>
                <w:spacing w:val="-4"/>
              </w:rPr>
              <w:t xml:space="preserve"> a zejména</w:t>
            </w:r>
            <w:r w:rsidRPr="00357E6B">
              <w:rPr>
                <w:color w:val="0D0D0D"/>
                <w:spacing w:val="-4"/>
              </w:rPr>
              <w:t xml:space="preserve"> odvětví </w:t>
            </w:r>
            <w:r>
              <w:rPr>
                <w:color w:val="0D0D0D"/>
                <w:spacing w:val="-4"/>
              </w:rPr>
              <w:t>zemědělství, lesnictví a</w:t>
            </w:r>
            <w:r w:rsidRPr="00567A02">
              <w:rPr>
                <w:color w:val="0D0D0D"/>
                <w:spacing w:val="-4"/>
              </w:rPr>
              <w:t> </w:t>
            </w:r>
            <w:r w:rsidRPr="00E455BE">
              <w:rPr>
                <w:color w:val="0D0D0D"/>
                <w:spacing w:val="-4"/>
              </w:rPr>
              <w:t>rybářství. K</w:t>
            </w:r>
            <w:r>
              <w:rPr>
                <w:color w:val="0D0D0D"/>
                <w:spacing w:val="-4"/>
              </w:rPr>
              <w:t> silnému růstu</w:t>
            </w:r>
            <w:r w:rsidRPr="00E455BE">
              <w:rPr>
                <w:color w:val="0D0D0D"/>
                <w:spacing w:val="-4"/>
              </w:rPr>
              <w:t xml:space="preserve"> HPH (o 9,5 %) přispěla velmi dobrá úroda všech základních zemědělských plodin (u obilovin byla dokonce třetí nejvyšší v historii samostatné ČR).</w:t>
            </w:r>
            <w:r>
              <w:rPr>
                <w:color w:val="0D0D0D"/>
                <w:spacing w:val="-4"/>
              </w:rPr>
              <w:t xml:space="preserve"> </w:t>
            </w:r>
            <w:r w:rsidR="00A71279">
              <w:rPr>
                <w:spacing w:val="-4"/>
              </w:rPr>
              <w:t>Snižování</w:t>
            </w:r>
            <w:r>
              <w:rPr>
                <w:spacing w:val="-4"/>
              </w:rPr>
              <w:t xml:space="preserve"> mimořádných zdrojů veřejných zakázek utlumilo výkony stavebnictví. HPH </w:t>
            </w:r>
            <w:r w:rsidR="00C574CF">
              <w:rPr>
                <w:spacing w:val="-4"/>
              </w:rPr>
              <w:t xml:space="preserve">se ve stavebnictví </w:t>
            </w:r>
            <w:r>
              <w:rPr>
                <w:spacing w:val="-4"/>
              </w:rPr>
              <w:t>mezikvartálně snižovala již od 4. čtvrtletí 2015, za pět čtvrtletí se zredukovala v úhrnu o</w:t>
            </w:r>
            <w:r w:rsidRPr="005E4483">
              <w:rPr>
                <w:spacing w:val="-4"/>
              </w:rPr>
              <w:t> </w:t>
            </w:r>
            <w:r>
              <w:rPr>
                <w:spacing w:val="-4"/>
              </w:rPr>
              <w:t>11,3 %. Dlouhodobě nej</w:t>
            </w:r>
            <w:r w:rsidR="00C574CF">
              <w:rPr>
                <w:spacing w:val="-4"/>
              </w:rPr>
              <w:t>istá situace v odvětví se vybírala</w:t>
            </w:r>
            <w:r>
              <w:rPr>
                <w:spacing w:val="-4"/>
              </w:rPr>
              <w:t xml:space="preserve"> svou daň na zaměstnanosti. Počet odpracovaných hodin byl ve druhém loňském pololetí meziročně o 4</w:t>
            </w:r>
            <w:r w:rsidR="00C574CF">
              <w:rPr>
                <w:spacing w:val="-4"/>
              </w:rPr>
              <w:t>,0</w:t>
            </w:r>
            <w:r>
              <w:rPr>
                <w:spacing w:val="-4"/>
              </w:rPr>
              <w:t xml:space="preserve"> % nižší. S problémy se potýkala i nezpracovatelská průmyslová odvětví. Jejich negativní příspěvek k meziročnímu růstu HPH se ale loni výrazně redukoval (na -0,1 p.b., o rok dříve -0,8 p.b.), v poslední čtvrtině roku byl dokonce vlivem vývoje v energetice již kladný (poprvé po devíti čtvrtletích).</w:t>
            </w:r>
          </w:p>
          <w:p w:rsidR="00492991" w:rsidRPr="00567A02" w:rsidRDefault="00492991" w:rsidP="008A03DE">
            <w:pPr>
              <w:pStyle w:val="Textpoznpodarou"/>
              <w:jc w:val="both"/>
              <w:rPr>
                <w:color w:val="0D0D0D"/>
                <w:spacing w:val="-4"/>
                <w:sz w:val="14"/>
                <w:szCs w:val="14"/>
              </w:rPr>
            </w:pPr>
          </w:p>
        </w:tc>
      </w:tr>
      <w:tr w:rsidR="00492991" w:rsidRPr="00A74192" w:rsidTr="008A03DE">
        <w:trPr>
          <w:trHeight w:val="145"/>
        </w:trPr>
        <w:tc>
          <w:tcPr>
            <w:tcW w:w="1016" w:type="pct"/>
            <w:shd w:val="clear" w:color="auto" w:fill="auto"/>
          </w:tcPr>
          <w:p w:rsidR="00492991" w:rsidRPr="00E7316A" w:rsidRDefault="00492991" w:rsidP="008A03DE">
            <w:pPr>
              <w:spacing w:line="240" w:lineRule="auto"/>
              <w:rPr>
                <w:spacing w:val="-2"/>
                <w:sz w:val="16"/>
                <w:szCs w:val="16"/>
              </w:rPr>
            </w:pPr>
            <w:r w:rsidRPr="00E7316A">
              <w:rPr>
                <w:spacing w:val="-2"/>
                <w:sz w:val="16"/>
                <w:szCs w:val="16"/>
              </w:rPr>
              <w:t xml:space="preserve">Meziroční růst průmyslové produkce </w:t>
            </w:r>
            <w:r>
              <w:rPr>
                <w:spacing w:val="-2"/>
                <w:sz w:val="16"/>
                <w:szCs w:val="16"/>
              </w:rPr>
              <w:t>v</w:t>
            </w:r>
            <w:r w:rsidRPr="00E7316A">
              <w:rPr>
                <w:spacing w:val="-2"/>
                <w:sz w:val="16"/>
                <w:szCs w:val="16"/>
              </w:rPr>
              <w:t> </w:t>
            </w:r>
            <w:r>
              <w:rPr>
                <w:spacing w:val="-2"/>
                <w:sz w:val="16"/>
                <w:szCs w:val="16"/>
              </w:rPr>
              <w:t>průběhu roku 2016</w:t>
            </w:r>
            <w:r w:rsidRPr="00E7316A">
              <w:rPr>
                <w:spacing w:val="-2"/>
                <w:sz w:val="16"/>
                <w:szCs w:val="16"/>
              </w:rPr>
              <w:t xml:space="preserve"> zpomaloval vlivem vysoké srovnávací základny, slabších výsledků klíčových exportních oborů v letním období i neplánovaného omezení výrobních kapacit chemického průmyslu a energetiky po většinu roku</w:t>
            </w:r>
            <w:r w:rsidR="00AE6734">
              <w:rPr>
                <w:spacing w:val="-2"/>
                <w:sz w:val="16"/>
                <w:szCs w:val="16"/>
              </w:rPr>
              <w:t>.</w:t>
            </w:r>
          </w:p>
        </w:tc>
        <w:tc>
          <w:tcPr>
            <w:tcW w:w="144" w:type="pct"/>
          </w:tcPr>
          <w:p w:rsidR="00492991" w:rsidRPr="005E4483" w:rsidRDefault="00492991" w:rsidP="008A03DE">
            <w:pPr>
              <w:pStyle w:val="Textpoznpodarou"/>
              <w:jc w:val="both"/>
              <w:rPr>
                <w:spacing w:val="-4"/>
              </w:rPr>
            </w:pPr>
          </w:p>
        </w:tc>
        <w:tc>
          <w:tcPr>
            <w:tcW w:w="3840" w:type="pct"/>
          </w:tcPr>
          <w:p w:rsidR="00492991" w:rsidRPr="00F5304A" w:rsidRDefault="00492991" w:rsidP="008A03DE">
            <w:pPr>
              <w:pStyle w:val="Textpoznpodarou"/>
              <w:jc w:val="both"/>
              <w:rPr>
                <w:spacing w:val="-4"/>
              </w:rPr>
            </w:pPr>
            <w:r>
              <w:rPr>
                <w:spacing w:val="-4"/>
              </w:rPr>
              <w:t xml:space="preserve">Pokračování růstových tendencí hlavních odvětví ekonomiky potvrzují i podrobnější výsledky podnikových statistik. </w:t>
            </w:r>
            <w:r w:rsidRPr="005E4483">
              <w:rPr>
                <w:color w:val="000000"/>
                <w:spacing w:val="-4"/>
              </w:rPr>
              <w:t>Výkon průmyslu</w:t>
            </w:r>
            <w:r w:rsidRPr="005E4483">
              <w:rPr>
                <w:color w:val="000000"/>
                <w:spacing w:val="-4"/>
                <w:vertAlign w:val="superscript"/>
              </w:rPr>
              <w:footnoteReference w:id="7"/>
            </w:r>
            <w:r w:rsidRPr="005E4483">
              <w:rPr>
                <w:color w:val="000000"/>
                <w:spacing w:val="-4"/>
              </w:rPr>
              <w:t xml:space="preserve"> (dle </w:t>
            </w:r>
            <w:r w:rsidRPr="00F5304A">
              <w:rPr>
                <w:color w:val="000000"/>
                <w:spacing w:val="-4"/>
              </w:rPr>
              <w:t>indexu průmyslové produkce)</w:t>
            </w:r>
            <w:r>
              <w:rPr>
                <w:color w:val="000000"/>
                <w:spacing w:val="-4"/>
              </w:rPr>
              <w:t xml:space="preserve"> v</w:t>
            </w:r>
            <w:r w:rsidRPr="005E4483">
              <w:rPr>
                <w:spacing w:val="-4"/>
              </w:rPr>
              <w:t> </w:t>
            </w:r>
            <w:r>
              <w:rPr>
                <w:color w:val="000000"/>
                <w:spacing w:val="-4"/>
              </w:rPr>
              <w:t>roce 2016 posílil o 2,9</w:t>
            </w:r>
            <w:r>
              <w:rPr>
                <w:spacing w:val="-4"/>
              </w:rPr>
              <w:t> </w:t>
            </w:r>
            <w:r>
              <w:rPr>
                <w:color w:val="000000"/>
                <w:spacing w:val="-4"/>
              </w:rPr>
              <w:t>% (resp. 2,3</w:t>
            </w:r>
            <w:r w:rsidRPr="005E4483">
              <w:rPr>
                <w:color w:val="000000"/>
                <w:spacing w:val="-4"/>
              </w:rPr>
              <w:t xml:space="preserve"> % po očištění o</w:t>
            </w:r>
            <w:r w:rsidRPr="005E4483">
              <w:rPr>
                <w:spacing w:val="-4"/>
              </w:rPr>
              <w:t> </w:t>
            </w:r>
            <w:r w:rsidRPr="005E4483">
              <w:rPr>
                <w:color w:val="000000"/>
                <w:spacing w:val="-4"/>
              </w:rPr>
              <w:t>kalendářní efekty)</w:t>
            </w:r>
            <w:r w:rsidRPr="005E4483">
              <w:rPr>
                <w:rStyle w:val="Znakapoznpodarou"/>
                <w:color w:val="000000"/>
                <w:spacing w:val="-4"/>
              </w:rPr>
              <w:footnoteReference w:id="8"/>
            </w:r>
            <w:r w:rsidRPr="005E4483">
              <w:rPr>
                <w:color w:val="000000"/>
                <w:spacing w:val="-4"/>
              </w:rPr>
              <w:t>.</w:t>
            </w:r>
            <w:r>
              <w:rPr>
                <w:color w:val="000000"/>
                <w:spacing w:val="-4"/>
              </w:rPr>
              <w:t xml:space="preserve"> Přestože se proti rokům 2014 a 2015 loňské tempo růstu snížilo zhruba o</w:t>
            </w:r>
            <w:r w:rsidRPr="005E4483">
              <w:rPr>
                <w:spacing w:val="-4"/>
              </w:rPr>
              <w:t> </w:t>
            </w:r>
            <w:r>
              <w:rPr>
                <w:color w:val="000000"/>
                <w:spacing w:val="-4"/>
              </w:rPr>
              <w:t xml:space="preserve">polovinu, stále převyšovalo dynamiku celé EU (o 0,9 p.b.). Náznaky zpomalení v Česku byly patrné již z nižšího objemu nových zakázek v druhé polovině roku 2015 (ve strojírenství či výrobě elektrických zařízení), resp. jejich propadu v chemickém průmyslu v důsledku vážných havárií. S omezením výrobních kapacit se během většiny loňského roku potýkalo i objemově významné odvětví energetiky (tvořící dvanáctinu produkce celého průmyslu). Na loňské produkci průmyslu se negativně podepsaly i slabší výsledky </w:t>
            </w:r>
            <w:r w:rsidRPr="005E4483">
              <w:rPr>
                <w:spacing w:val="-4"/>
              </w:rPr>
              <w:t>v letních měsících. Během nich se produkce snížila o téměř 2 % a zaznamenala tak nejhlubší mezičtvrt</w:t>
            </w:r>
            <w:r w:rsidR="00AE6734">
              <w:rPr>
                <w:spacing w:val="-4"/>
              </w:rPr>
              <w:t>letní pokles od konce roku 2012</w:t>
            </w:r>
            <w:r w:rsidRPr="005E4483">
              <w:rPr>
                <w:spacing w:val="-4"/>
              </w:rPr>
              <w:t xml:space="preserve"> </w:t>
            </w:r>
            <w:r>
              <w:rPr>
                <w:spacing w:val="-4"/>
              </w:rPr>
              <w:t>(v klíčovém exportním odvětví – výrobě motorových vozidel – dokonce o 4 %). Poslední loňské čtvrtletí ale naznačilo, že šlo pouze o jednorázový výkyv. Průmyslu umožnilo plně se nadechnout také obnovení výrobních kapacit v elektrárnách i chemickém průmyslu.</w:t>
            </w:r>
          </w:p>
          <w:p w:rsidR="00492991" w:rsidRPr="005D073B" w:rsidRDefault="00492991" w:rsidP="008A03DE">
            <w:pPr>
              <w:pStyle w:val="Textpoznpodarou"/>
              <w:jc w:val="both"/>
              <w:rPr>
                <w:spacing w:val="-4"/>
                <w:sz w:val="13"/>
                <w:szCs w:val="13"/>
              </w:rPr>
            </w:pPr>
          </w:p>
        </w:tc>
      </w:tr>
      <w:tr w:rsidR="00492991" w:rsidRPr="00A74192" w:rsidTr="008A03DE">
        <w:trPr>
          <w:trHeight w:val="145"/>
        </w:trPr>
        <w:tc>
          <w:tcPr>
            <w:tcW w:w="1016" w:type="pct"/>
            <w:shd w:val="clear" w:color="auto" w:fill="auto"/>
          </w:tcPr>
          <w:p w:rsidR="00492991" w:rsidRPr="00431053" w:rsidRDefault="00492991" w:rsidP="008A03DE">
            <w:pPr>
              <w:spacing w:line="240" w:lineRule="auto"/>
              <w:rPr>
                <w:color w:val="0D0D0D"/>
                <w:spacing w:val="-4"/>
                <w:sz w:val="16"/>
                <w:szCs w:val="16"/>
              </w:rPr>
            </w:pPr>
            <w:r w:rsidRPr="00431053">
              <w:rPr>
                <w:color w:val="0D0D0D"/>
                <w:spacing w:val="-4"/>
                <w:sz w:val="16"/>
                <w:szCs w:val="16"/>
              </w:rPr>
              <w:t xml:space="preserve">Dlouhodobě dominantní postavení výroby motorových vozidel v rámci průmyslu bylo v roce </w:t>
            </w:r>
            <w:r>
              <w:rPr>
                <w:color w:val="0D0D0D"/>
                <w:spacing w:val="-4"/>
                <w:sz w:val="16"/>
                <w:szCs w:val="16"/>
              </w:rPr>
              <w:t>2016</w:t>
            </w:r>
            <w:r w:rsidRPr="00431053">
              <w:rPr>
                <w:color w:val="0D0D0D"/>
                <w:spacing w:val="-4"/>
                <w:sz w:val="16"/>
                <w:szCs w:val="16"/>
              </w:rPr>
              <w:t xml:space="preserve"> ještě umocněno</w:t>
            </w:r>
            <w:r w:rsidR="00AE6734">
              <w:rPr>
                <w:color w:val="0D0D0D"/>
                <w:spacing w:val="-4"/>
                <w:sz w:val="16"/>
                <w:szCs w:val="16"/>
              </w:rPr>
              <w:t>.</w:t>
            </w:r>
          </w:p>
          <w:p w:rsidR="00492991" w:rsidRPr="005E4483" w:rsidRDefault="00492991" w:rsidP="008A03DE">
            <w:pPr>
              <w:spacing w:line="240" w:lineRule="auto"/>
              <w:rPr>
                <w:spacing w:val="-4"/>
                <w:sz w:val="16"/>
                <w:szCs w:val="16"/>
              </w:rPr>
            </w:pPr>
          </w:p>
        </w:tc>
        <w:tc>
          <w:tcPr>
            <w:tcW w:w="144" w:type="pct"/>
          </w:tcPr>
          <w:p w:rsidR="00492991" w:rsidRPr="005E4483" w:rsidRDefault="00492991" w:rsidP="008A03DE">
            <w:pPr>
              <w:pStyle w:val="Textpoznpodarou"/>
              <w:jc w:val="both"/>
              <w:rPr>
                <w:spacing w:val="-4"/>
              </w:rPr>
            </w:pPr>
          </w:p>
        </w:tc>
        <w:tc>
          <w:tcPr>
            <w:tcW w:w="3840" w:type="pct"/>
          </w:tcPr>
          <w:p w:rsidR="00492991" w:rsidRPr="00E7316A" w:rsidRDefault="00492991" w:rsidP="008A03DE">
            <w:pPr>
              <w:pStyle w:val="Textpoznpodarou"/>
              <w:jc w:val="both"/>
              <w:rPr>
                <w:spacing w:val="-4"/>
              </w:rPr>
            </w:pPr>
            <w:r w:rsidRPr="00E7316A">
              <w:rPr>
                <w:spacing w:val="-4"/>
              </w:rPr>
              <w:t>Produkci</w:t>
            </w:r>
            <w:r>
              <w:rPr>
                <w:spacing w:val="-4"/>
              </w:rPr>
              <w:t xml:space="preserve"> celého průmyslu tradičně táhla výroba motorových vozidel. Její dominantní postavení se ve srovnání s předchozím obdobím let 2014 a 2015 ještě zvýraznilo, když k mez</w:t>
            </w:r>
            <w:r w:rsidR="005A5F82">
              <w:rPr>
                <w:spacing w:val="-4"/>
              </w:rPr>
              <w:t>iročnímu růstu loni přispěla 2,0</w:t>
            </w:r>
            <w:r>
              <w:rPr>
                <w:spacing w:val="-4"/>
              </w:rPr>
              <w:t xml:space="preserve"> p.b. (spolu s nejbližšími subdodavatelskými obory 2,5 p.b.). Svědčí o tom i fakt, že jako jediné průmyslové odvětví ze svých dvojciferných růstů z předchozích let neslevilo (za poslední tři roky jeho produkce expandovala o 41 %, růst v celém průmyslu činil 13 %). R</w:t>
            </w:r>
            <w:r>
              <w:rPr>
                <w:color w:val="000000"/>
                <w:spacing w:val="-4"/>
              </w:rPr>
              <w:t>ostoucí poptávka</w:t>
            </w:r>
            <w:r w:rsidRPr="005E4483">
              <w:rPr>
                <w:color w:val="000000"/>
                <w:spacing w:val="-4"/>
              </w:rPr>
              <w:t xml:space="preserve"> na evropských i asijských trzích</w:t>
            </w:r>
            <w:r>
              <w:rPr>
                <w:color w:val="000000"/>
                <w:spacing w:val="-4"/>
              </w:rPr>
              <w:t xml:space="preserve"> stimulovala produkci, což se odrazilo i v opětovném pokoření rekordu </w:t>
            </w:r>
            <w:r>
              <w:rPr>
                <w:spacing w:val="-4"/>
              </w:rPr>
              <w:t>počtu</w:t>
            </w:r>
            <w:r w:rsidRPr="005E4483">
              <w:rPr>
                <w:spacing w:val="-4"/>
              </w:rPr>
              <w:t xml:space="preserve"> vyrobených </w:t>
            </w:r>
            <w:r>
              <w:rPr>
                <w:spacing w:val="-4"/>
              </w:rPr>
              <w:t>motorových vozidel v Česku</w:t>
            </w:r>
            <w:r w:rsidRPr="005E4483">
              <w:rPr>
                <w:rStyle w:val="Znakapoznpodarou"/>
                <w:spacing w:val="-4"/>
              </w:rPr>
              <w:footnoteReference w:id="9"/>
            </w:r>
            <w:r w:rsidRPr="005E4483">
              <w:rPr>
                <w:spacing w:val="-4"/>
              </w:rPr>
              <w:t>.</w:t>
            </w:r>
            <w:r>
              <w:rPr>
                <w:spacing w:val="-4"/>
              </w:rPr>
              <w:t xml:space="preserve"> Z tohoto vývoje profitovali i výrobci příslušných meziproduktů – dařilo se především gumárenství (ale např. ve výrobě elektrických zařízení činil růst produkce 0,7 %). Podobně skromného výsledku dosáhli loni i výrobci ostatních (hlavně kolejových) dopravních prostředků, v pozadí zde stála slabší tuzemská poptávka (ve srovnání se silným rokem 2015). </w:t>
            </w:r>
          </w:p>
          <w:p w:rsidR="00492991" w:rsidRPr="005D073B" w:rsidRDefault="00492991" w:rsidP="008A03DE">
            <w:pPr>
              <w:pStyle w:val="Textpoznpodarou"/>
              <w:jc w:val="both"/>
              <w:rPr>
                <w:spacing w:val="-4"/>
                <w:sz w:val="13"/>
                <w:szCs w:val="13"/>
              </w:rPr>
            </w:pPr>
          </w:p>
        </w:tc>
      </w:tr>
      <w:tr w:rsidR="00492991" w:rsidRPr="00A74192" w:rsidTr="008A03DE">
        <w:trPr>
          <w:trHeight w:val="145"/>
        </w:trPr>
        <w:tc>
          <w:tcPr>
            <w:tcW w:w="1016" w:type="pct"/>
            <w:shd w:val="clear" w:color="auto" w:fill="auto"/>
          </w:tcPr>
          <w:p w:rsidR="00492991" w:rsidRPr="0092012E" w:rsidRDefault="00492991" w:rsidP="008A03DE">
            <w:pPr>
              <w:spacing w:line="240" w:lineRule="auto"/>
              <w:rPr>
                <w:color w:val="0D0D0D"/>
                <w:spacing w:val="-4"/>
                <w:sz w:val="16"/>
                <w:szCs w:val="16"/>
              </w:rPr>
            </w:pPr>
            <w:r w:rsidRPr="0092012E">
              <w:rPr>
                <w:color w:val="0D0D0D"/>
                <w:spacing w:val="-4"/>
                <w:sz w:val="16"/>
                <w:szCs w:val="16"/>
              </w:rPr>
              <w:t xml:space="preserve">Pokračoval růst produkce ve váhově významné </w:t>
            </w:r>
            <w:r w:rsidRPr="0092012E">
              <w:rPr>
                <w:color w:val="0D0D0D"/>
                <w:spacing w:val="-4"/>
                <w:sz w:val="16"/>
                <w:szCs w:val="16"/>
              </w:rPr>
              <w:lastRenderedPageBreak/>
              <w:t xml:space="preserve">kovovýrobě i strojírenství, </w:t>
            </w:r>
            <w:r>
              <w:rPr>
                <w:color w:val="0D0D0D"/>
                <w:spacing w:val="-4"/>
                <w:sz w:val="16"/>
                <w:szCs w:val="16"/>
              </w:rPr>
              <w:t>dařilo se i výrobcům počítačů, elektronických a</w:t>
            </w:r>
            <w:r w:rsidRPr="00431053">
              <w:rPr>
                <w:color w:val="0D0D0D"/>
                <w:spacing w:val="-4"/>
                <w:sz w:val="16"/>
                <w:szCs w:val="16"/>
              </w:rPr>
              <w:t> </w:t>
            </w:r>
            <w:r>
              <w:rPr>
                <w:color w:val="0D0D0D"/>
                <w:spacing w:val="-4"/>
                <w:sz w:val="16"/>
                <w:szCs w:val="16"/>
              </w:rPr>
              <w:t>optických přístrojů</w:t>
            </w:r>
            <w:r w:rsidR="00AE6734">
              <w:rPr>
                <w:color w:val="0D0D0D"/>
                <w:spacing w:val="-4"/>
                <w:sz w:val="16"/>
                <w:szCs w:val="16"/>
              </w:rPr>
              <w:t>.</w:t>
            </w:r>
          </w:p>
        </w:tc>
        <w:tc>
          <w:tcPr>
            <w:tcW w:w="144" w:type="pct"/>
          </w:tcPr>
          <w:p w:rsidR="00492991" w:rsidRPr="005E4483" w:rsidRDefault="00492991" w:rsidP="008A03DE">
            <w:pPr>
              <w:pStyle w:val="Textpoznpodarou"/>
              <w:jc w:val="both"/>
              <w:rPr>
                <w:spacing w:val="-4"/>
              </w:rPr>
            </w:pPr>
          </w:p>
        </w:tc>
        <w:tc>
          <w:tcPr>
            <w:tcW w:w="3840" w:type="pct"/>
          </w:tcPr>
          <w:p w:rsidR="00492991" w:rsidRDefault="00492991" w:rsidP="008A03DE">
            <w:pPr>
              <w:pStyle w:val="Textpoznpodarou"/>
              <w:jc w:val="both"/>
              <w:rPr>
                <w:spacing w:val="-4"/>
              </w:rPr>
            </w:pPr>
            <w:r>
              <w:rPr>
                <w:spacing w:val="-4"/>
              </w:rPr>
              <w:t xml:space="preserve">V rámci </w:t>
            </w:r>
            <w:r w:rsidRPr="002E3808">
              <w:rPr>
                <w:spacing w:val="-4"/>
              </w:rPr>
              <w:t xml:space="preserve">ostatních významnějších zpracovatelských </w:t>
            </w:r>
            <w:r>
              <w:rPr>
                <w:spacing w:val="-4"/>
              </w:rPr>
              <w:t>oborů zaznamenala vloni nadprůměrný růst</w:t>
            </w:r>
            <w:r w:rsidRPr="005E4483">
              <w:rPr>
                <w:spacing w:val="-4"/>
              </w:rPr>
              <w:t xml:space="preserve"> </w:t>
            </w:r>
            <w:r>
              <w:rPr>
                <w:spacing w:val="-4"/>
              </w:rPr>
              <w:t xml:space="preserve">kovovýroba (o 4,5 %), jejíž produkce </w:t>
            </w:r>
            <w:r w:rsidRPr="005E4483">
              <w:rPr>
                <w:spacing w:val="-4"/>
              </w:rPr>
              <w:t xml:space="preserve">poprvé </w:t>
            </w:r>
            <w:r>
              <w:rPr>
                <w:spacing w:val="-4"/>
              </w:rPr>
              <w:t xml:space="preserve">překonala úroveň </w:t>
            </w:r>
            <w:r>
              <w:rPr>
                <w:spacing w:val="-4"/>
              </w:rPr>
              <w:lastRenderedPageBreak/>
              <w:t>konjunkturního roku 2007</w:t>
            </w:r>
            <w:r>
              <w:rPr>
                <w:rStyle w:val="Znakapoznpodarou"/>
                <w:spacing w:val="-4"/>
              </w:rPr>
              <w:footnoteReference w:id="10"/>
            </w:r>
            <w:r>
              <w:rPr>
                <w:spacing w:val="-4"/>
              </w:rPr>
              <w:t>. Silně proexportní</w:t>
            </w:r>
            <w:r w:rsidRPr="005E4483">
              <w:rPr>
                <w:spacing w:val="-4"/>
              </w:rPr>
              <w:t xml:space="preserve"> </w:t>
            </w:r>
            <w:r>
              <w:rPr>
                <w:spacing w:val="-4"/>
              </w:rPr>
              <w:t>výroba počítačů, elektronických a </w:t>
            </w:r>
            <w:r w:rsidRPr="005E4483">
              <w:rPr>
                <w:spacing w:val="-4"/>
              </w:rPr>
              <w:t>optický</w:t>
            </w:r>
            <w:r>
              <w:rPr>
                <w:spacing w:val="-4"/>
              </w:rPr>
              <w:t>ch přístrojů jako jeden z mála oborů svůj meziroční růst zrychlil (na 5,6 % z 2,8 % v roce 2015). Ve strojírenství vykompenzovala vyšší zahraniční poptávka méně příznivý vývoj v tuzemsku a promítla se do vyšší produkce (o 1 %). Větší diverzifikace tohoto oboru ho činila odolnějším s ohledem na výkyvy v poptávce. Strojírenská produkce se tak navyšovala již sedmý rok v řadě a proti roku 2007 byla loni o téměř desetinu vyšší (podobně jako v celém průmyslu).</w:t>
            </w:r>
          </w:p>
          <w:p w:rsidR="00492991" w:rsidRPr="00656A4E" w:rsidRDefault="00492991" w:rsidP="008A03DE">
            <w:pPr>
              <w:pStyle w:val="Textpoznpodarou"/>
              <w:jc w:val="both"/>
              <w:rPr>
                <w:spacing w:val="-4"/>
                <w:sz w:val="13"/>
                <w:szCs w:val="13"/>
              </w:rPr>
            </w:pPr>
          </w:p>
        </w:tc>
      </w:tr>
      <w:tr w:rsidR="00492991" w:rsidRPr="00A74192" w:rsidTr="008A03DE">
        <w:trPr>
          <w:trHeight w:val="145"/>
        </w:trPr>
        <w:tc>
          <w:tcPr>
            <w:tcW w:w="1016" w:type="pct"/>
            <w:shd w:val="clear" w:color="auto" w:fill="auto"/>
          </w:tcPr>
          <w:p w:rsidR="00492991" w:rsidRPr="005E4483" w:rsidRDefault="00492991" w:rsidP="008A03DE">
            <w:pPr>
              <w:spacing w:line="240" w:lineRule="auto"/>
              <w:rPr>
                <w:spacing w:val="-4"/>
                <w:sz w:val="16"/>
                <w:szCs w:val="16"/>
              </w:rPr>
            </w:pPr>
            <w:r>
              <w:rPr>
                <w:spacing w:val="-4"/>
                <w:sz w:val="16"/>
                <w:szCs w:val="16"/>
              </w:rPr>
              <w:lastRenderedPageBreak/>
              <w:t>Z menších zpracovatelských oborů pokračoval dynamický růst produkce v nábytkářství, jakož i mírné oživení v textilním průmyslu</w:t>
            </w:r>
            <w:r w:rsidR="00AE6734">
              <w:rPr>
                <w:spacing w:val="-4"/>
                <w:sz w:val="16"/>
                <w:szCs w:val="16"/>
              </w:rPr>
              <w:t>.</w:t>
            </w:r>
          </w:p>
        </w:tc>
        <w:tc>
          <w:tcPr>
            <w:tcW w:w="144" w:type="pct"/>
          </w:tcPr>
          <w:p w:rsidR="00492991" w:rsidRPr="005E4483" w:rsidRDefault="00492991" w:rsidP="008A03DE">
            <w:pPr>
              <w:pStyle w:val="Textpoznpodarou"/>
              <w:jc w:val="both"/>
              <w:rPr>
                <w:spacing w:val="-4"/>
              </w:rPr>
            </w:pPr>
          </w:p>
        </w:tc>
        <w:tc>
          <w:tcPr>
            <w:tcW w:w="3840" w:type="pct"/>
          </w:tcPr>
          <w:p w:rsidR="00492991" w:rsidRDefault="00492991" w:rsidP="008A03DE">
            <w:pPr>
              <w:pStyle w:val="Textpoznpodarou"/>
              <w:jc w:val="both"/>
              <w:rPr>
                <w:spacing w:val="-4"/>
              </w:rPr>
            </w:pPr>
            <w:r w:rsidRPr="005E4483">
              <w:rPr>
                <w:spacing w:val="-4"/>
              </w:rPr>
              <w:t xml:space="preserve">Z menších odvětví se </w:t>
            </w:r>
            <w:r>
              <w:rPr>
                <w:spacing w:val="-4"/>
              </w:rPr>
              <w:t xml:space="preserve">nadále </w:t>
            </w:r>
            <w:r w:rsidRPr="005E4483">
              <w:rPr>
                <w:spacing w:val="-4"/>
              </w:rPr>
              <w:t xml:space="preserve">dařilo výrobcům </w:t>
            </w:r>
            <w:r>
              <w:rPr>
                <w:spacing w:val="-4"/>
              </w:rPr>
              <w:t>nábytku, jejichž produkce za poslední čtyři roky vzrostla o více než čtvrtinu (za svým dosavadním vrcholem z roku 2007 ale stále o 6 % zaostávala). Mírně vyšší tempo než celý zpracovatelský průmysl (+3,7 %) vykázaly loni textilní i kožedělný průmysl. Dlouhodobě utl</w:t>
            </w:r>
            <w:r w:rsidR="00A71279">
              <w:rPr>
                <w:spacing w:val="-4"/>
              </w:rPr>
              <w:t xml:space="preserve">umené oděvnictví po </w:t>
            </w:r>
            <w:r>
              <w:rPr>
                <w:spacing w:val="-4"/>
              </w:rPr>
              <w:t xml:space="preserve">oživení </w:t>
            </w:r>
            <w:r w:rsidR="00A71279">
              <w:rPr>
                <w:spacing w:val="-4"/>
              </w:rPr>
              <w:t xml:space="preserve">v roce 2015 </w:t>
            </w:r>
            <w:r>
              <w:rPr>
                <w:spacing w:val="-4"/>
              </w:rPr>
              <w:t>(tažené vyšší z</w:t>
            </w:r>
            <w:r w:rsidR="00A71279">
              <w:rPr>
                <w:spacing w:val="-4"/>
              </w:rPr>
              <w:t>ahraniční poptávkou) vloni</w:t>
            </w:r>
            <w:r>
              <w:rPr>
                <w:spacing w:val="-4"/>
              </w:rPr>
              <w:t xml:space="preserve"> stagnovalo, když zvýšení poptávky z tuzemska pouze vyrovnalo mírný meziroční pokles váhově významnější zahraniční poptávky. I vlivem nižší srovnávací základny dosáhlo svižného růstu tiskárenství, které je tradičně zaměřené převážně na tuzemský trh.</w:t>
            </w:r>
          </w:p>
          <w:p w:rsidR="00492991" w:rsidRPr="00656A4E" w:rsidRDefault="00492991" w:rsidP="008A03DE">
            <w:pPr>
              <w:pStyle w:val="Textpoznpodarou"/>
              <w:jc w:val="both"/>
              <w:rPr>
                <w:spacing w:val="-4"/>
                <w:sz w:val="13"/>
                <w:szCs w:val="13"/>
              </w:rPr>
            </w:pPr>
          </w:p>
        </w:tc>
      </w:tr>
      <w:tr w:rsidR="00492991" w:rsidRPr="00A74192" w:rsidTr="008A03DE">
        <w:trPr>
          <w:trHeight w:val="145"/>
        </w:trPr>
        <w:tc>
          <w:tcPr>
            <w:tcW w:w="1016" w:type="pct"/>
          </w:tcPr>
          <w:p w:rsidR="00492991" w:rsidRDefault="00492991" w:rsidP="008A03DE">
            <w:pPr>
              <w:spacing w:line="240" w:lineRule="auto"/>
              <w:rPr>
                <w:spacing w:val="-4"/>
                <w:sz w:val="16"/>
                <w:szCs w:val="16"/>
              </w:rPr>
            </w:pPr>
            <w:r w:rsidRPr="005E4483">
              <w:rPr>
                <w:spacing w:val="-4"/>
                <w:sz w:val="16"/>
                <w:szCs w:val="16"/>
              </w:rPr>
              <w:t>Z významnějších zpracovatelských oborů klesala produkce jen v hutnictví, chemickém průmyslu a potravinářství</w:t>
            </w:r>
            <w:r w:rsidR="00AE6734">
              <w:rPr>
                <w:spacing w:val="-4"/>
                <w:sz w:val="16"/>
                <w:szCs w:val="16"/>
              </w:rPr>
              <w:t>.</w:t>
            </w:r>
          </w:p>
          <w:p w:rsidR="00492991" w:rsidRDefault="00492991" w:rsidP="008A03DE">
            <w:pPr>
              <w:spacing w:line="240" w:lineRule="auto"/>
              <w:rPr>
                <w:spacing w:val="-4"/>
                <w:sz w:val="16"/>
                <w:szCs w:val="16"/>
              </w:rPr>
            </w:pPr>
          </w:p>
          <w:p w:rsidR="00492991" w:rsidRDefault="00492991" w:rsidP="008A03DE">
            <w:pPr>
              <w:spacing w:line="240" w:lineRule="auto"/>
              <w:rPr>
                <w:spacing w:val="-4"/>
                <w:sz w:val="16"/>
                <w:szCs w:val="16"/>
              </w:rPr>
            </w:pPr>
          </w:p>
          <w:p w:rsidR="00492991" w:rsidRDefault="00492991" w:rsidP="008A03DE">
            <w:pPr>
              <w:spacing w:line="240" w:lineRule="auto"/>
              <w:rPr>
                <w:spacing w:val="-4"/>
                <w:sz w:val="16"/>
                <w:szCs w:val="16"/>
              </w:rPr>
            </w:pPr>
          </w:p>
          <w:p w:rsidR="00AE6734" w:rsidRDefault="00AE6734" w:rsidP="008A03DE">
            <w:pPr>
              <w:spacing w:line="240" w:lineRule="auto"/>
              <w:rPr>
                <w:spacing w:val="-4"/>
                <w:sz w:val="16"/>
                <w:szCs w:val="16"/>
              </w:rPr>
            </w:pPr>
          </w:p>
          <w:p w:rsidR="00492991" w:rsidRPr="005E4483" w:rsidRDefault="00492991" w:rsidP="008A03DE">
            <w:pPr>
              <w:spacing w:line="240" w:lineRule="auto"/>
              <w:rPr>
                <w:spacing w:val="-4"/>
                <w:sz w:val="16"/>
                <w:szCs w:val="16"/>
              </w:rPr>
            </w:pPr>
            <w:r>
              <w:rPr>
                <w:spacing w:val="-4"/>
                <w:sz w:val="16"/>
                <w:szCs w:val="16"/>
              </w:rPr>
              <w:t>Dopad neplánovaných odstavek na celoroční produkci byl v chemickém průmyslu hlubší než v</w:t>
            </w:r>
            <w:r w:rsidR="00AE6734">
              <w:rPr>
                <w:spacing w:val="-4"/>
                <w:sz w:val="16"/>
                <w:szCs w:val="16"/>
              </w:rPr>
              <w:t> </w:t>
            </w:r>
            <w:r>
              <w:rPr>
                <w:spacing w:val="-4"/>
                <w:sz w:val="16"/>
                <w:szCs w:val="16"/>
              </w:rPr>
              <w:t>energetice</w:t>
            </w:r>
            <w:r w:rsidR="00AE6734">
              <w:rPr>
                <w:spacing w:val="-4"/>
                <w:sz w:val="16"/>
                <w:szCs w:val="16"/>
              </w:rPr>
              <w:t>.</w:t>
            </w:r>
          </w:p>
          <w:p w:rsidR="00492991" w:rsidRPr="005E4483" w:rsidRDefault="00492991" w:rsidP="008A03DE">
            <w:pPr>
              <w:spacing w:line="240" w:lineRule="auto"/>
              <w:rPr>
                <w:spacing w:val="-4"/>
                <w:sz w:val="16"/>
                <w:szCs w:val="16"/>
              </w:rPr>
            </w:pPr>
          </w:p>
        </w:tc>
        <w:tc>
          <w:tcPr>
            <w:tcW w:w="144" w:type="pct"/>
          </w:tcPr>
          <w:p w:rsidR="00492991" w:rsidRPr="005E4483" w:rsidRDefault="00492991" w:rsidP="008A03DE">
            <w:pPr>
              <w:pStyle w:val="Textpoznpodarou"/>
              <w:jc w:val="both"/>
              <w:rPr>
                <w:spacing w:val="-4"/>
              </w:rPr>
            </w:pPr>
          </w:p>
        </w:tc>
        <w:tc>
          <w:tcPr>
            <w:tcW w:w="3840" w:type="pct"/>
          </w:tcPr>
          <w:p w:rsidR="00492991" w:rsidRPr="00431053" w:rsidRDefault="00492991" w:rsidP="008A03DE">
            <w:pPr>
              <w:pStyle w:val="Textpoznpodarou"/>
              <w:jc w:val="both"/>
              <w:rPr>
                <w:color w:val="000000"/>
                <w:spacing w:val="-4"/>
              </w:rPr>
            </w:pPr>
            <w:r>
              <w:rPr>
                <w:spacing w:val="-4"/>
              </w:rPr>
              <w:t>Růst produkce celého průmyslu v roce 2016 brzdil nejvíce chemický průmysl, jehož výkon byl více než rok omezený vinou havárií</w:t>
            </w:r>
            <w:r>
              <w:rPr>
                <w:rStyle w:val="Znakapoznpodarou"/>
                <w:spacing w:val="-4"/>
              </w:rPr>
              <w:footnoteReference w:id="11"/>
            </w:r>
            <w:r w:rsidR="00AE6734">
              <w:rPr>
                <w:spacing w:val="-4"/>
              </w:rPr>
              <w:t xml:space="preserve">. Přestože ve </w:t>
            </w:r>
            <w:r>
              <w:rPr>
                <w:spacing w:val="-4"/>
              </w:rPr>
              <w:t>2. polovině loňského roku došlo k postupné obnově kapacit, proti roku 2015 se celoroční produkce nacházela o 7 % níže</w:t>
            </w:r>
            <w:r>
              <w:rPr>
                <w:rStyle w:val="Znakapoznpodarou"/>
                <w:spacing w:val="-4"/>
              </w:rPr>
              <w:footnoteReference w:id="12"/>
            </w:r>
            <w:r>
              <w:rPr>
                <w:spacing w:val="-4"/>
              </w:rPr>
              <w:t xml:space="preserve">. V energetice neměly neplánované odstávky na celé odvětví tak zásadní dopad, neboť produkce se za celý rok navýšila o 0,5 % a zároveň vzrostla poprvé od roku 2010. </w:t>
            </w:r>
            <w:r w:rsidRPr="005E4483">
              <w:rPr>
                <w:spacing w:val="-4"/>
              </w:rPr>
              <w:t>Naopak vnější vlivy (ceny komodit na světovýc</w:t>
            </w:r>
            <w:r>
              <w:rPr>
                <w:spacing w:val="-4"/>
              </w:rPr>
              <w:t>h trzích) se negativně promítaly</w:t>
            </w:r>
            <w:r w:rsidRPr="005E4483">
              <w:rPr>
                <w:spacing w:val="-4"/>
              </w:rPr>
              <w:t xml:space="preserve"> </w:t>
            </w:r>
            <w:r w:rsidRPr="00922BB9">
              <w:rPr>
                <w:spacing w:val="-4"/>
              </w:rPr>
              <w:t>v</w:t>
            </w:r>
            <w:r>
              <w:rPr>
                <w:spacing w:val="-4"/>
              </w:rPr>
              <w:t> těžbě a dobývání, kde se řízený útlum těžby (především černého uhlí) odrážel v prudkých poklesech produkce (v roce 2016 o 9 %, za posledních pět let o 27 </w:t>
            </w:r>
            <w:r w:rsidRPr="00411B5B">
              <w:rPr>
                <w:spacing w:val="-4"/>
              </w:rPr>
              <w:t>%).</w:t>
            </w:r>
            <w:r w:rsidRPr="00411B5B">
              <w:rPr>
                <w:color w:val="000000"/>
                <w:spacing w:val="-4"/>
              </w:rPr>
              <w:t xml:space="preserve"> Přetlak nabídky oceli na evropských trzích vyústil</w:t>
            </w:r>
            <w:r>
              <w:rPr>
                <w:color w:val="000000"/>
                <w:spacing w:val="-4"/>
              </w:rPr>
              <w:t xml:space="preserve"> v </w:t>
            </w:r>
            <w:r w:rsidRPr="005E4483">
              <w:rPr>
                <w:color w:val="000000"/>
                <w:spacing w:val="-4"/>
              </w:rPr>
              <w:t>hutnictví a slévárenství</w:t>
            </w:r>
            <w:r>
              <w:rPr>
                <w:color w:val="000000"/>
                <w:spacing w:val="-4"/>
              </w:rPr>
              <w:t xml:space="preserve"> v mírné </w:t>
            </w:r>
            <w:r w:rsidRPr="005E4483">
              <w:rPr>
                <w:color w:val="000000"/>
                <w:spacing w:val="-4"/>
              </w:rPr>
              <w:t xml:space="preserve">snížení produkce </w:t>
            </w:r>
            <w:r>
              <w:rPr>
                <w:color w:val="000000"/>
                <w:spacing w:val="-4"/>
              </w:rPr>
              <w:t>(o 0,5</w:t>
            </w:r>
            <w:r w:rsidR="00AE6734">
              <w:rPr>
                <w:color w:val="000000"/>
                <w:spacing w:val="-4"/>
              </w:rPr>
              <w:t xml:space="preserve"> </w:t>
            </w:r>
            <w:r>
              <w:rPr>
                <w:color w:val="000000"/>
                <w:spacing w:val="-4"/>
              </w:rPr>
              <w:t>%, podobně jako v Německu či celé EU)</w:t>
            </w:r>
            <w:r>
              <w:rPr>
                <w:rStyle w:val="Znakapoznpodarou"/>
                <w:color w:val="000000"/>
                <w:spacing w:val="-4"/>
              </w:rPr>
              <w:footnoteReference w:id="13"/>
            </w:r>
            <w:r>
              <w:rPr>
                <w:color w:val="000000"/>
                <w:spacing w:val="-4"/>
              </w:rPr>
              <w:t>. Nejslabší výsledek za posledních pět let loni dosáhlo stabilní</w:t>
            </w:r>
            <w:r w:rsidRPr="005E4483">
              <w:rPr>
                <w:color w:val="000000"/>
                <w:spacing w:val="-4"/>
              </w:rPr>
              <w:t xml:space="preserve"> (před</w:t>
            </w:r>
            <w:r>
              <w:rPr>
                <w:color w:val="000000"/>
                <w:spacing w:val="-4"/>
              </w:rPr>
              <w:t>evším na domácí trh orientované</w:t>
            </w:r>
            <w:r w:rsidRPr="005E4483">
              <w:rPr>
                <w:color w:val="000000"/>
                <w:spacing w:val="-4"/>
              </w:rPr>
              <w:t xml:space="preserve">) odvětví </w:t>
            </w:r>
            <w:r>
              <w:rPr>
                <w:color w:val="000000"/>
                <w:spacing w:val="-4"/>
              </w:rPr>
              <w:t>potravinářského průmyslu (-2,5 %, v Německu +1 %, v Polsku +6,4 %). Snížení objemu veřejných zakázek v inženýrském stavitelství i slabší intenzita zahajované bytové výstavby se projevily ve výrobě</w:t>
            </w:r>
            <w:r w:rsidRPr="00431053">
              <w:rPr>
                <w:color w:val="000000"/>
                <w:spacing w:val="-4"/>
              </w:rPr>
              <w:t xml:space="preserve"> ostatních nekovových minerálních výrobků</w:t>
            </w:r>
            <w:r>
              <w:rPr>
                <w:color w:val="000000"/>
                <w:spacing w:val="-4"/>
              </w:rPr>
              <w:t>, kde produkce po oživení v letech 2014 a 2015 loni stagnovala.</w:t>
            </w:r>
          </w:p>
          <w:p w:rsidR="00492991" w:rsidRPr="00656A4E" w:rsidRDefault="00492991" w:rsidP="008A03DE">
            <w:pPr>
              <w:pStyle w:val="Textpoznpodarou"/>
              <w:jc w:val="both"/>
              <w:rPr>
                <w:spacing w:val="-4"/>
                <w:sz w:val="13"/>
                <w:szCs w:val="13"/>
              </w:rPr>
            </w:pPr>
          </w:p>
        </w:tc>
      </w:tr>
      <w:tr w:rsidR="00492991" w:rsidRPr="00A74192" w:rsidTr="008A03DE">
        <w:tc>
          <w:tcPr>
            <w:tcW w:w="1016" w:type="pct"/>
          </w:tcPr>
          <w:p w:rsidR="00492991" w:rsidRPr="005E4483" w:rsidRDefault="00492991" w:rsidP="008A03DE">
            <w:pPr>
              <w:spacing w:line="240" w:lineRule="auto"/>
              <w:rPr>
                <w:spacing w:val="-4"/>
                <w:sz w:val="16"/>
                <w:szCs w:val="16"/>
              </w:rPr>
            </w:pPr>
            <w:r>
              <w:rPr>
                <w:spacing w:val="-4"/>
                <w:sz w:val="16"/>
                <w:szCs w:val="16"/>
              </w:rPr>
              <w:t>Pokračoval dlouhodobě příznivější vývoj průmyslových tržeb z přímého vývozu nad tržbami z</w:t>
            </w:r>
            <w:r w:rsidR="00AE6734">
              <w:rPr>
                <w:spacing w:val="-4"/>
                <w:sz w:val="16"/>
                <w:szCs w:val="16"/>
              </w:rPr>
              <w:t> </w:t>
            </w:r>
            <w:r>
              <w:rPr>
                <w:spacing w:val="-4"/>
                <w:sz w:val="16"/>
                <w:szCs w:val="16"/>
              </w:rPr>
              <w:t>tuzemska</w:t>
            </w:r>
            <w:r w:rsidR="00AE6734">
              <w:rPr>
                <w:spacing w:val="-4"/>
                <w:sz w:val="16"/>
                <w:szCs w:val="16"/>
              </w:rPr>
              <w:t>.</w:t>
            </w:r>
          </w:p>
        </w:tc>
        <w:tc>
          <w:tcPr>
            <w:tcW w:w="144" w:type="pct"/>
          </w:tcPr>
          <w:p w:rsidR="00492991" w:rsidRPr="005E4483" w:rsidRDefault="00492991" w:rsidP="008A03DE">
            <w:pPr>
              <w:pStyle w:val="Textpoznpodarou"/>
              <w:jc w:val="both"/>
              <w:rPr>
                <w:spacing w:val="-4"/>
              </w:rPr>
            </w:pPr>
          </w:p>
        </w:tc>
        <w:tc>
          <w:tcPr>
            <w:tcW w:w="3840" w:type="pct"/>
          </w:tcPr>
          <w:p w:rsidR="00492991" w:rsidRPr="009219D1" w:rsidRDefault="00492991" w:rsidP="008A03DE">
            <w:pPr>
              <w:pStyle w:val="Textpoznpodarou"/>
              <w:jc w:val="both"/>
              <w:rPr>
                <w:spacing w:val="-4"/>
              </w:rPr>
            </w:pPr>
            <w:r>
              <w:rPr>
                <w:spacing w:val="-4"/>
              </w:rPr>
              <w:t>Trendy v průmyslové produkci úzce souvisí s vývojem tržeb. Ty proti roku 2015 vzrostly nominálně o 1 %, neboť příznivější vý</w:t>
            </w:r>
            <w:r w:rsidR="005A5F82">
              <w:rPr>
                <w:spacing w:val="-4"/>
              </w:rPr>
              <w:t>voj tržeb z přímého vývozu (+2,7</w:t>
            </w:r>
            <w:r>
              <w:rPr>
                <w:spacing w:val="-4"/>
              </w:rPr>
              <w:t xml:space="preserve"> %) dokázal vykompenzovat mírný pokles domácích tržeb (-1,3 %). V posledním loňském čtvrtletí však domácí tržby ožily (+2,3 %), když profitovaly z meziročního posílení v chemickém průmyslu i energetiky. </w:t>
            </w:r>
          </w:p>
          <w:p w:rsidR="00492991" w:rsidRPr="00656A4E" w:rsidRDefault="00492991" w:rsidP="008A03DE">
            <w:pPr>
              <w:pStyle w:val="Textpoznpodarou"/>
              <w:jc w:val="both"/>
              <w:rPr>
                <w:spacing w:val="-4"/>
                <w:sz w:val="13"/>
                <w:szCs w:val="13"/>
              </w:rPr>
            </w:pPr>
          </w:p>
        </w:tc>
      </w:tr>
      <w:tr w:rsidR="00492991" w:rsidRPr="00A74192" w:rsidTr="008A03DE">
        <w:tc>
          <w:tcPr>
            <w:tcW w:w="1016" w:type="pct"/>
          </w:tcPr>
          <w:p w:rsidR="00492991" w:rsidRDefault="00492991" w:rsidP="008A03DE">
            <w:pPr>
              <w:spacing w:line="240" w:lineRule="auto"/>
              <w:rPr>
                <w:spacing w:val="-4"/>
                <w:sz w:val="16"/>
                <w:szCs w:val="16"/>
              </w:rPr>
            </w:pPr>
            <w:r>
              <w:rPr>
                <w:spacing w:val="-4"/>
                <w:sz w:val="16"/>
                <w:szCs w:val="16"/>
              </w:rPr>
              <w:t>Důvěra podnikatelů v průmyslu na konci roku sílila a dosáhla nevyšších hodnot za posledních 5,5 roku</w:t>
            </w:r>
            <w:r w:rsidR="00AE6734">
              <w:rPr>
                <w:spacing w:val="-4"/>
                <w:sz w:val="16"/>
                <w:szCs w:val="16"/>
              </w:rPr>
              <w:t>.</w:t>
            </w:r>
          </w:p>
          <w:p w:rsidR="00492991" w:rsidRDefault="00492991" w:rsidP="008A03DE">
            <w:pPr>
              <w:spacing w:line="240" w:lineRule="auto"/>
              <w:rPr>
                <w:spacing w:val="-4"/>
                <w:sz w:val="16"/>
                <w:szCs w:val="16"/>
              </w:rPr>
            </w:pPr>
          </w:p>
          <w:p w:rsidR="00492991" w:rsidRDefault="00492991" w:rsidP="008A03DE">
            <w:pPr>
              <w:spacing w:line="240" w:lineRule="auto"/>
              <w:rPr>
                <w:spacing w:val="-4"/>
                <w:sz w:val="16"/>
                <w:szCs w:val="16"/>
              </w:rPr>
            </w:pPr>
          </w:p>
          <w:p w:rsidR="00492991" w:rsidRDefault="00492991" w:rsidP="008A03DE">
            <w:pPr>
              <w:spacing w:line="240" w:lineRule="auto"/>
              <w:rPr>
                <w:spacing w:val="-4"/>
                <w:sz w:val="16"/>
                <w:szCs w:val="16"/>
              </w:rPr>
            </w:pPr>
            <w:r>
              <w:rPr>
                <w:spacing w:val="-4"/>
                <w:sz w:val="16"/>
                <w:szCs w:val="16"/>
              </w:rPr>
              <w:t xml:space="preserve">Podíl podniků potýkajících se s nedostatkem pracovní síly narůstá již od počátku roku 2015, </w:t>
            </w:r>
          </w:p>
          <w:p w:rsidR="00492991" w:rsidRDefault="00492991" w:rsidP="008A03DE">
            <w:pPr>
              <w:spacing w:line="240" w:lineRule="auto"/>
              <w:rPr>
                <w:spacing w:val="-4"/>
                <w:sz w:val="16"/>
                <w:szCs w:val="16"/>
              </w:rPr>
            </w:pPr>
            <w:r>
              <w:rPr>
                <w:spacing w:val="-4"/>
                <w:sz w:val="16"/>
                <w:szCs w:val="16"/>
              </w:rPr>
              <w:t>ve 4. čtvrtletí citelně zrychlil a dosáhl úrov</w:t>
            </w:r>
            <w:r w:rsidR="00AE6734">
              <w:rPr>
                <w:spacing w:val="-4"/>
                <w:sz w:val="16"/>
                <w:szCs w:val="16"/>
              </w:rPr>
              <w:t>ně konjunkturních let 2007-2008.</w:t>
            </w:r>
          </w:p>
          <w:p w:rsidR="00492991" w:rsidRPr="002F3882" w:rsidRDefault="00492991" w:rsidP="008A03DE">
            <w:pPr>
              <w:spacing w:line="240" w:lineRule="auto"/>
              <w:rPr>
                <w:color w:val="0D0D0D"/>
                <w:spacing w:val="-4"/>
                <w:sz w:val="16"/>
                <w:szCs w:val="16"/>
              </w:rPr>
            </w:pPr>
          </w:p>
        </w:tc>
        <w:tc>
          <w:tcPr>
            <w:tcW w:w="144" w:type="pct"/>
          </w:tcPr>
          <w:p w:rsidR="00492991" w:rsidRPr="005E4483" w:rsidRDefault="00492991" w:rsidP="008A03DE">
            <w:pPr>
              <w:pStyle w:val="Textpoznpodarou"/>
              <w:jc w:val="both"/>
              <w:rPr>
                <w:spacing w:val="-4"/>
              </w:rPr>
            </w:pPr>
          </w:p>
        </w:tc>
        <w:tc>
          <w:tcPr>
            <w:tcW w:w="3840" w:type="pct"/>
          </w:tcPr>
          <w:p w:rsidR="00492991" w:rsidRDefault="00492991" w:rsidP="008A03DE">
            <w:pPr>
              <w:pStyle w:val="Textpoznpodarou"/>
              <w:jc w:val="both"/>
              <w:rPr>
                <w:color w:val="000000"/>
                <w:spacing w:val="-4"/>
              </w:rPr>
            </w:pPr>
            <w:r>
              <w:rPr>
                <w:spacing w:val="-4"/>
              </w:rPr>
              <w:t>O vyhlídkách průmyslu v letošním roce napovídají trendy v hodnotě nových zakázek</w:t>
            </w:r>
            <w:r>
              <w:rPr>
                <w:rStyle w:val="Znakapoznpodarou"/>
                <w:spacing w:val="-4"/>
              </w:rPr>
              <w:footnoteReference w:id="14"/>
            </w:r>
            <w:r>
              <w:rPr>
                <w:spacing w:val="-4"/>
              </w:rPr>
              <w:t>. Ty ve 4. čtvrtletí 2016 vzrostly meziročně o 5,9 % – nejvíce ve výrobě motorových vozidel (+11,3 %), příznivé tendence ale signalizovaly všechny hlavní obory (vyjma výroby elektrických zařízení). Důležité bylo i to, že vedle zahraniční poptávky (+8,1 %) mírně rostly i zakázky z tuzemska (+1,7 </w:t>
            </w:r>
            <w:r w:rsidRPr="00AC3430">
              <w:rPr>
                <w:spacing w:val="-4"/>
              </w:rPr>
              <w:t>%). Pozitivní nálada podnikatelů v</w:t>
            </w:r>
            <w:r>
              <w:rPr>
                <w:spacing w:val="-4"/>
              </w:rPr>
              <w:t> </w:t>
            </w:r>
            <w:r w:rsidRPr="00AC3430">
              <w:rPr>
                <w:spacing w:val="-4"/>
              </w:rPr>
              <w:t>průmyslu</w:t>
            </w:r>
            <w:r>
              <w:rPr>
                <w:spacing w:val="-4"/>
              </w:rPr>
              <w:t xml:space="preserve"> po</w:t>
            </w:r>
            <w:r w:rsidR="00A71279">
              <w:rPr>
                <w:spacing w:val="-4"/>
              </w:rPr>
              <w:t xml:space="preserve"> celý rok přetrvávala, na </w:t>
            </w:r>
            <w:r>
              <w:rPr>
                <w:spacing w:val="-4"/>
              </w:rPr>
              <w:t xml:space="preserve">konci roku navíc mírně sílila. Dle aktuálních údajů </w:t>
            </w:r>
            <w:r w:rsidRPr="00143FA3">
              <w:rPr>
                <w:spacing w:val="-4"/>
              </w:rPr>
              <w:t xml:space="preserve">(z ledna 2017) </w:t>
            </w:r>
            <w:r w:rsidRPr="00143FA3">
              <w:rPr>
                <w:color w:val="000000"/>
                <w:spacing w:val="-4"/>
              </w:rPr>
              <w:t>očekávalo</w:t>
            </w:r>
            <w:r>
              <w:rPr>
                <w:color w:val="000000"/>
                <w:spacing w:val="-4"/>
              </w:rPr>
              <w:t xml:space="preserve"> růst</w:t>
            </w:r>
            <w:r w:rsidRPr="005E4483">
              <w:rPr>
                <w:color w:val="000000"/>
                <w:spacing w:val="-4"/>
              </w:rPr>
              <w:t xml:space="preserve"> výrobní činnosti v příštích t</w:t>
            </w:r>
            <w:r>
              <w:rPr>
                <w:color w:val="000000"/>
                <w:spacing w:val="-4"/>
              </w:rPr>
              <w:t>řech měsících 22</w:t>
            </w:r>
            <w:r>
              <w:rPr>
                <w:spacing w:val="-4"/>
              </w:rPr>
              <w:t> </w:t>
            </w:r>
            <w:r>
              <w:rPr>
                <w:color w:val="000000"/>
                <w:spacing w:val="-4"/>
              </w:rPr>
              <w:t>%</w:t>
            </w:r>
            <w:r w:rsidRPr="005E4483">
              <w:rPr>
                <w:color w:val="000000"/>
                <w:spacing w:val="-4"/>
              </w:rPr>
              <w:t xml:space="preserve"> prům</w:t>
            </w:r>
            <w:r>
              <w:rPr>
                <w:color w:val="000000"/>
                <w:spacing w:val="-4"/>
              </w:rPr>
              <w:t xml:space="preserve">yslových podniků (obdobně jako </w:t>
            </w:r>
            <w:r w:rsidR="00A71279">
              <w:rPr>
                <w:color w:val="000000"/>
                <w:spacing w:val="-4"/>
              </w:rPr>
              <w:t>o rok dříve</w:t>
            </w:r>
            <w:r w:rsidRPr="005E4483">
              <w:rPr>
                <w:color w:val="000000"/>
                <w:spacing w:val="-4"/>
              </w:rPr>
              <w:t>).</w:t>
            </w:r>
            <w:r>
              <w:rPr>
                <w:color w:val="000000"/>
                <w:spacing w:val="-4"/>
              </w:rPr>
              <w:t xml:space="preserve"> Zvyšovat zaměstnanost plánovalo 19</w:t>
            </w:r>
            <w:r>
              <w:rPr>
                <w:spacing w:val="-4"/>
              </w:rPr>
              <w:t> </w:t>
            </w:r>
            <w:r>
              <w:rPr>
                <w:color w:val="000000"/>
                <w:spacing w:val="-4"/>
              </w:rPr>
              <w:t>%</w:t>
            </w:r>
            <w:r w:rsidR="00AA57A4">
              <w:rPr>
                <w:color w:val="000000"/>
                <w:spacing w:val="-4"/>
              </w:rPr>
              <w:t xml:space="preserve"> podniků</w:t>
            </w:r>
            <w:r>
              <w:rPr>
                <w:color w:val="000000"/>
                <w:spacing w:val="-4"/>
              </w:rPr>
              <w:t xml:space="preserve"> (před rokem 13 %). Výrazně se zlepšila očekávání v energetice, negativní výhledy se prohloubily v těžebním průmyslu.</w:t>
            </w:r>
            <w:r w:rsidRPr="005E4483">
              <w:rPr>
                <w:color w:val="000000"/>
                <w:spacing w:val="-4"/>
              </w:rPr>
              <w:t xml:space="preserve"> </w:t>
            </w:r>
            <w:r>
              <w:rPr>
                <w:color w:val="000000"/>
                <w:spacing w:val="-4"/>
              </w:rPr>
              <w:t xml:space="preserve">Podíl podniků, </w:t>
            </w:r>
            <w:r w:rsidRPr="005E4483">
              <w:rPr>
                <w:color w:val="000000"/>
                <w:spacing w:val="-4"/>
              </w:rPr>
              <w:t>považují</w:t>
            </w:r>
            <w:r>
              <w:rPr>
                <w:color w:val="000000"/>
                <w:spacing w:val="-4"/>
              </w:rPr>
              <w:t>cích</w:t>
            </w:r>
            <w:r w:rsidRPr="005E4483">
              <w:rPr>
                <w:color w:val="000000"/>
                <w:spacing w:val="-4"/>
              </w:rPr>
              <w:t xml:space="preserve"> nedostatek pracovní síly za bariéru růstu</w:t>
            </w:r>
            <w:r>
              <w:rPr>
                <w:color w:val="000000"/>
                <w:spacing w:val="-4"/>
              </w:rPr>
              <w:t xml:space="preserve"> v posledním loňském čtvrtletí výrazně zrychlil (na 29 %) a na počátku letošního roku činil již 33 %. I přesto však zůstává hlavní bariérou růstu nedostatečná poptávka (43 %), s níž se potýkal např. potravinářský průmysl.</w:t>
            </w:r>
          </w:p>
          <w:p w:rsidR="00492991" w:rsidRPr="00656A4E" w:rsidRDefault="00492991" w:rsidP="008A03DE">
            <w:pPr>
              <w:pStyle w:val="Textpoznpodarou"/>
              <w:jc w:val="both"/>
              <w:rPr>
                <w:spacing w:val="-4"/>
                <w:sz w:val="13"/>
                <w:szCs w:val="13"/>
              </w:rPr>
            </w:pPr>
          </w:p>
        </w:tc>
      </w:tr>
      <w:tr w:rsidR="00492991" w:rsidRPr="00A74192" w:rsidTr="008A03DE">
        <w:tc>
          <w:tcPr>
            <w:tcW w:w="1016" w:type="pct"/>
          </w:tcPr>
          <w:p w:rsidR="00492991" w:rsidRPr="005E4483" w:rsidRDefault="00492991" w:rsidP="008A03DE">
            <w:pPr>
              <w:spacing w:line="240" w:lineRule="auto"/>
              <w:rPr>
                <w:color w:val="000000"/>
                <w:spacing w:val="-4"/>
                <w:sz w:val="16"/>
                <w:szCs w:val="16"/>
              </w:rPr>
            </w:pPr>
            <w:r>
              <w:rPr>
                <w:color w:val="000000"/>
                <w:spacing w:val="-4"/>
                <w:sz w:val="16"/>
                <w:szCs w:val="16"/>
              </w:rPr>
              <w:lastRenderedPageBreak/>
              <w:t>Inženýrské stavitelství se potýkalo s dopady velmi nerovnoměrného čerpání veřejných investic vlivem nastavení programových období EU, nižší produkci pozemního stavitelství ovlivnila rovněž administrativní náročnost stavebních řízení</w:t>
            </w:r>
            <w:r w:rsidR="00AE6734">
              <w:rPr>
                <w:color w:val="000000"/>
                <w:spacing w:val="-4"/>
                <w:sz w:val="16"/>
                <w:szCs w:val="16"/>
              </w:rPr>
              <w:t>.</w:t>
            </w:r>
          </w:p>
        </w:tc>
        <w:tc>
          <w:tcPr>
            <w:tcW w:w="144" w:type="pct"/>
          </w:tcPr>
          <w:p w:rsidR="00492991" w:rsidRPr="005E4483" w:rsidRDefault="00492991" w:rsidP="008A03DE">
            <w:pPr>
              <w:pStyle w:val="Textpoznpodarou"/>
              <w:jc w:val="both"/>
              <w:rPr>
                <w:color w:val="000000"/>
                <w:spacing w:val="-4"/>
              </w:rPr>
            </w:pPr>
          </w:p>
        </w:tc>
        <w:tc>
          <w:tcPr>
            <w:tcW w:w="3840" w:type="pct"/>
          </w:tcPr>
          <w:p w:rsidR="00492991" w:rsidRPr="001857D6" w:rsidRDefault="00492991" w:rsidP="008A03DE">
            <w:pPr>
              <w:pStyle w:val="Textpoznpodarou"/>
              <w:jc w:val="both"/>
              <w:rPr>
                <w:color w:val="000000"/>
                <w:spacing w:val="-2"/>
              </w:rPr>
            </w:pPr>
            <w:r w:rsidRPr="001857D6">
              <w:rPr>
                <w:spacing w:val="-2"/>
              </w:rPr>
              <w:t>Produkce ve stavebnictví se</w:t>
            </w:r>
            <w:r w:rsidR="000F6CFB" w:rsidRPr="001857D6">
              <w:rPr>
                <w:spacing w:val="-2"/>
              </w:rPr>
              <w:t xml:space="preserve"> po růstu z let 2014</w:t>
            </w:r>
            <w:r w:rsidR="000F6CFB" w:rsidRPr="001857D6">
              <w:rPr>
                <w:rFonts w:cs="Arial"/>
                <w:color w:val="0D0D0D" w:themeColor="text1" w:themeTint="F2"/>
                <w:spacing w:val="-2"/>
              </w:rPr>
              <w:t>–</w:t>
            </w:r>
            <w:r w:rsidRPr="001857D6">
              <w:rPr>
                <w:spacing w:val="-2"/>
              </w:rPr>
              <w:t>2015 loni opět vrátila k hlubším poklesům. Proti roku 2015 se snížila o 6,1 %</w:t>
            </w:r>
            <w:r w:rsidRPr="001857D6">
              <w:rPr>
                <w:rStyle w:val="Znakapoznpodarou"/>
                <w:spacing w:val="-2"/>
              </w:rPr>
              <w:footnoteReference w:id="15"/>
            </w:r>
            <w:r w:rsidRPr="001857D6">
              <w:rPr>
                <w:spacing w:val="-2"/>
              </w:rPr>
              <w:t xml:space="preserve">, v inženýrském stavitelství dokonce o 16 % (nejhlubší pokles po roce 2000). Efekt vysoké srovnávací základny (vlivem zrychlené realizace veřejných zakázek u infrastrukturálních projektů) a pomalého náběhu investic v novém programovém období se projevoval po většinu roku. V mezičtvrtletním vyjádření se však stavebnictví ve druhé polovině roku z poklesů již vymanilo, byť </w:t>
            </w:r>
            <w:r w:rsidR="001857D6">
              <w:rPr>
                <w:spacing w:val="-2"/>
              </w:rPr>
              <w:t>pro</w:t>
            </w:r>
            <w:r w:rsidRPr="001857D6">
              <w:rPr>
                <w:spacing w:val="-2"/>
              </w:rPr>
              <w:t>zatím jen zásluhou pozemního stavitelství. Zatímco proti konjunkturnímu roku 2008 loňská produkce o pětinu zaostávala, ve vztahu k roku 2014 (ve kterém se již zčásti projevoval efekt sílícího dočerpávání evropských dotací) byla vlivem pozemního stavitel</w:t>
            </w:r>
            <w:r w:rsidR="004761D2" w:rsidRPr="001857D6">
              <w:rPr>
                <w:spacing w:val="-2"/>
              </w:rPr>
              <w:t>ství vyšší o 0,6 % (v inženýrském stavitelství</w:t>
            </w:r>
            <w:r w:rsidRPr="001857D6">
              <w:rPr>
                <w:spacing w:val="-2"/>
              </w:rPr>
              <w:t xml:space="preserve"> činil pokles 1,6 %). </w:t>
            </w:r>
          </w:p>
          <w:p w:rsidR="00492991" w:rsidRPr="00656A4E" w:rsidRDefault="00492991" w:rsidP="008A03DE">
            <w:pPr>
              <w:pStyle w:val="Textpoznpodarou"/>
              <w:jc w:val="both"/>
              <w:rPr>
                <w:color w:val="000000"/>
                <w:spacing w:val="-4"/>
                <w:sz w:val="13"/>
                <w:szCs w:val="13"/>
              </w:rPr>
            </w:pPr>
          </w:p>
        </w:tc>
      </w:tr>
      <w:tr w:rsidR="00492991" w:rsidRPr="00A74192" w:rsidTr="008A03DE">
        <w:tc>
          <w:tcPr>
            <w:tcW w:w="1016" w:type="pct"/>
            <w:shd w:val="clear" w:color="auto" w:fill="auto"/>
          </w:tcPr>
          <w:p w:rsidR="00492991" w:rsidRDefault="00492991" w:rsidP="008A03DE">
            <w:pPr>
              <w:pStyle w:val="Textpoznpodarou"/>
              <w:rPr>
                <w:spacing w:val="-4"/>
                <w:sz w:val="16"/>
                <w:szCs w:val="16"/>
              </w:rPr>
            </w:pPr>
            <w:r>
              <w:rPr>
                <w:spacing w:val="-4"/>
                <w:sz w:val="16"/>
                <w:szCs w:val="16"/>
              </w:rPr>
              <w:t>Meziroční pokles hodnoty</w:t>
            </w:r>
            <w:r w:rsidRPr="005E4483">
              <w:rPr>
                <w:spacing w:val="-4"/>
                <w:sz w:val="16"/>
                <w:szCs w:val="16"/>
              </w:rPr>
              <w:t xml:space="preserve"> nových stavebních zakázek </w:t>
            </w:r>
            <w:r>
              <w:rPr>
                <w:spacing w:val="-4"/>
                <w:sz w:val="16"/>
                <w:szCs w:val="16"/>
              </w:rPr>
              <w:t>(trvající pět čtvrtletí</w:t>
            </w:r>
            <w:r w:rsidRPr="005E4483">
              <w:rPr>
                <w:spacing w:val="-4"/>
                <w:sz w:val="16"/>
                <w:szCs w:val="16"/>
              </w:rPr>
              <w:t xml:space="preserve"> v</w:t>
            </w:r>
            <w:r>
              <w:rPr>
                <w:spacing w:val="-4"/>
                <w:sz w:val="16"/>
                <w:szCs w:val="16"/>
              </w:rPr>
              <w:t> </w:t>
            </w:r>
            <w:r w:rsidRPr="005E4483">
              <w:rPr>
                <w:spacing w:val="-4"/>
                <w:sz w:val="16"/>
                <w:szCs w:val="16"/>
              </w:rPr>
              <w:t>řadě</w:t>
            </w:r>
            <w:r>
              <w:rPr>
                <w:spacing w:val="-4"/>
                <w:sz w:val="16"/>
                <w:szCs w:val="16"/>
              </w:rPr>
              <w:t>) se na konci roku zastavil (+10 %) výhradně vlivem pozemního stavitelství</w:t>
            </w:r>
            <w:r w:rsidR="004761D2">
              <w:rPr>
                <w:spacing w:val="-4"/>
                <w:sz w:val="16"/>
                <w:szCs w:val="16"/>
              </w:rPr>
              <w:t>,</w:t>
            </w:r>
            <w:r>
              <w:rPr>
                <w:spacing w:val="-4"/>
                <w:sz w:val="16"/>
                <w:szCs w:val="16"/>
              </w:rPr>
              <w:t>…</w:t>
            </w:r>
          </w:p>
          <w:p w:rsidR="00492991" w:rsidRDefault="00492991" w:rsidP="008A03DE">
            <w:pPr>
              <w:pStyle w:val="Textpoznpodarou"/>
              <w:rPr>
                <w:spacing w:val="-4"/>
                <w:sz w:val="16"/>
                <w:szCs w:val="16"/>
              </w:rPr>
            </w:pPr>
          </w:p>
          <w:p w:rsidR="00492991" w:rsidRDefault="00492991" w:rsidP="008A03DE">
            <w:pPr>
              <w:pStyle w:val="Textpoznpodarou"/>
              <w:rPr>
                <w:spacing w:val="-4"/>
                <w:sz w:val="16"/>
                <w:szCs w:val="16"/>
              </w:rPr>
            </w:pPr>
            <w:r>
              <w:rPr>
                <w:spacing w:val="-4"/>
                <w:sz w:val="16"/>
                <w:szCs w:val="16"/>
              </w:rPr>
              <w:t>…celková zásoba práce však zůstala na konci roku druhá nejnižší po roce 2001</w:t>
            </w:r>
            <w:r w:rsidR="00AE6734">
              <w:rPr>
                <w:spacing w:val="-4"/>
                <w:sz w:val="16"/>
                <w:szCs w:val="16"/>
              </w:rPr>
              <w:t>.</w:t>
            </w:r>
          </w:p>
          <w:p w:rsidR="00492991" w:rsidRDefault="00492991" w:rsidP="008A03DE">
            <w:pPr>
              <w:pStyle w:val="Textpoznpodarou"/>
              <w:rPr>
                <w:spacing w:val="-4"/>
                <w:sz w:val="16"/>
                <w:szCs w:val="16"/>
              </w:rPr>
            </w:pPr>
          </w:p>
          <w:p w:rsidR="00492991" w:rsidRPr="005E4483" w:rsidRDefault="00492991" w:rsidP="008A03DE">
            <w:pPr>
              <w:pStyle w:val="Textpoznpodarou"/>
              <w:rPr>
                <w:spacing w:val="-4"/>
                <w:sz w:val="16"/>
                <w:szCs w:val="16"/>
              </w:rPr>
            </w:pPr>
            <w:r>
              <w:rPr>
                <w:spacing w:val="-4"/>
                <w:sz w:val="16"/>
                <w:szCs w:val="16"/>
              </w:rPr>
              <w:t>Saldo důvěry podnikatelů ve stavebnictví kleslo v září na dvouleté minimum a nadále zůstává ve výrazně negativním pásmu</w:t>
            </w:r>
            <w:r w:rsidR="00AE6734">
              <w:rPr>
                <w:spacing w:val="-4"/>
                <w:sz w:val="16"/>
                <w:szCs w:val="16"/>
              </w:rPr>
              <w:t>.</w:t>
            </w:r>
          </w:p>
          <w:p w:rsidR="00492991" w:rsidRPr="005E4483" w:rsidRDefault="00492991" w:rsidP="008A03DE">
            <w:pPr>
              <w:spacing w:line="240" w:lineRule="auto"/>
              <w:rPr>
                <w:spacing w:val="-4"/>
                <w:sz w:val="16"/>
                <w:szCs w:val="16"/>
              </w:rPr>
            </w:pPr>
          </w:p>
        </w:tc>
        <w:tc>
          <w:tcPr>
            <w:tcW w:w="144" w:type="pct"/>
          </w:tcPr>
          <w:p w:rsidR="00492991" w:rsidRPr="005E4483" w:rsidRDefault="00492991" w:rsidP="008A03DE">
            <w:pPr>
              <w:pStyle w:val="Textpoznpodarou"/>
              <w:jc w:val="both"/>
              <w:rPr>
                <w:spacing w:val="-4"/>
              </w:rPr>
            </w:pPr>
          </w:p>
        </w:tc>
        <w:tc>
          <w:tcPr>
            <w:tcW w:w="3840" w:type="pct"/>
          </w:tcPr>
          <w:p w:rsidR="00492991" w:rsidRPr="000A3729" w:rsidRDefault="00492991" w:rsidP="008A03DE">
            <w:pPr>
              <w:pStyle w:val="Textpoznpodarou"/>
              <w:jc w:val="both"/>
              <w:rPr>
                <w:color w:val="000000"/>
                <w:spacing w:val="-4"/>
              </w:rPr>
            </w:pPr>
            <w:r w:rsidRPr="0093268F">
              <w:rPr>
                <w:spacing w:val="-4"/>
              </w:rPr>
              <w:t>Odlišný vývoj obou hlavních oborů stavebnictví byl loni dobře patrný u nových zakázek</w:t>
            </w:r>
            <w:r>
              <w:rPr>
                <w:rStyle w:val="Znakapoznpodarou"/>
                <w:spacing w:val="-4"/>
              </w:rPr>
              <w:footnoteReference w:id="16"/>
            </w:r>
            <w:r w:rsidRPr="0093268F">
              <w:rPr>
                <w:spacing w:val="-4"/>
              </w:rPr>
              <w:t>.</w:t>
            </w:r>
            <w:r>
              <w:rPr>
                <w:spacing w:val="-4"/>
              </w:rPr>
              <w:t xml:space="preserve"> Zatímco ty v pozemním stavitelství meziročně o více než pětinu narostly (na 86 mld. korun, nejvyšší objem po roce 2008), u inženýrských staveb se po celý rok snižovaly</w:t>
            </w:r>
            <w:r w:rsidRPr="00564B88">
              <w:rPr>
                <w:spacing w:val="-4"/>
              </w:rPr>
              <w:t xml:space="preserve">. </w:t>
            </w:r>
            <w:r>
              <w:rPr>
                <w:spacing w:val="-4"/>
              </w:rPr>
              <w:t>Útlum celého odvětví</w:t>
            </w:r>
            <w:r w:rsidR="00A71279">
              <w:rPr>
                <w:spacing w:val="-4"/>
              </w:rPr>
              <w:t xml:space="preserve"> souvisel s absencí většího</w:t>
            </w:r>
            <w:r>
              <w:rPr>
                <w:spacing w:val="-4"/>
              </w:rPr>
              <w:t xml:space="preserve"> množství významnější</w:t>
            </w:r>
            <w:r w:rsidR="00A71279">
              <w:rPr>
                <w:spacing w:val="-4"/>
              </w:rPr>
              <w:t>ch</w:t>
            </w:r>
            <w:r>
              <w:rPr>
                <w:spacing w:val="-4"/>
              </w:rPr>
              <w:t xml:space="preserve"> staveb. Průměrná velikost nově uzavřené zakázky v tuzemsku během roku oscilovala kolem 3 mil. korun a byla tak nejnižší od 1. čtvrtletí 2013. Pokles celkové</w:t>
            </w:r>
            <w:r w:rsidRPr="00564B88">
              <w:rPr>
                <w:spacing w:val="-4"/>
              </w:rPr>
              <w:t xml:space="preserve"> zásob</w:t>
            </w:r>
            <w:r>
              <w:rPr>
                <w:spacing w:val="-4"/>
              </w:rPr>
              <w:t>y</w:t>
            </w:r>
            <w:r w:rsidRPr="00564B88">
              <w:rPr>
                <w:spacing w:val="-4"/>
              </w:rPr>
              <w:t xml:space="preserve"> práce (ve formě</w:t>
            </w:r>
            <w:r w:rsidRPr="005E4483">
              <w:rPr>
                <w:spacing w:val="-4"/>
              </w:rPr>
              <w:t xml:space="preserve"> všech dosud ne</w:t>
            </w:r>
            <w:r>
              <w:rPr>
                <w:spacing w:val="-4"/>
              </w:rPr>
              <w:t xml:space="preserve">realizovaných stavebních zakázek) se po šesti předešlých čtvrtletích na samém konci loňského roku zastavil (vlivem nižší srovnávací základny, neboť v průběhu 4. čtvrtletí 2015 vrcholila finalizace veřejných zakázek). I přesto byl loňský objem zásoby zakázek druhý nejnižší od roku 2001. Příznivěji vyznívá pro stavebnictví jiný předstihový ukazatel – orientační hodnota stavebních povolení. Ta se proti roku 2015 navýšila o 11,5 %, z velké části zásluhou svižného růstu u nebytových budov (o 39 </w:t>
            </w:r>
            <w:r w:rsidRPr="000A3729">
              <w:rPr>
                <w:spacing w:val="-4"/>
              </w:rPr>
              <w:t xml:space="preserve">%). </w:t>
            </w:r>
            <w:r w:rsidRPr="000A3729">
              <w:rPr>
                <w:color w:val="000000"/>
                <w:spacing w:val="-4"/>
              </w:rPr>
              <w:t xml:space="preserve">Naopak </w:t>
            </w:r>
            <w:r>
              <w:rPr>
                <w:color w:val="000000"/>
                <w:spacing w:val="-4"/>
              </w:rPr>
              <w:t xml:space="preserve">negativní </w:t>
            </w:r>
            <w:r w:rsidRPr="000A3729">
              <w:rPr>
                <w:color w:val="000000"/>
                <w:spacing w:val="-4"/>
              </w:rPr>
              <w:t>saldo důvěry podnikatelů</w:t>
            </w:r>
            <w:r>
              <w:rPr>
                <w:color w:val="000000"/>
                <w:spacing w:val="-4"/>
              </w:rPr>
              <w:t xml:space="preserve"> ve stavebnictví se hlavně v první polovině roku nadále prohlubovalo a ani jeho konec obrat nepřinesl. V drtivé většině států, jež jsou významnými příjemci podpory z fondů EU, byl však vloni vývoj důvěry příznivější. Snížení stavební činnosti v příštích třech měsících očekávala v lednu 2017 třetina podniků v ČR (o rok dříve čtvrtina), snižování stavu pracovníků předpokládala čtvrtina (resp. 18 %) a zvyšování jen 3,5 % z nich. Mírně nadpoloviční většina podniků pokládala, podobně jako před rokem, za bariéru růstu nedostatečnou poptávku (nedostatek zaměstnanců jen 11 % podniků). </w:t>
            </w:r>
          </w:p>
          <w:p w:rsidR="00492991" w:rsidRPr="00656A4E" w:rsidRDefault="00492991" w:rsidP="008A03DE">
            <w:pPr>
              <w:pStyle w:val="Textpoznpodarou"/>
              <w:jc w:val="both"/>
              <w:rPr>
                <w:spacing w:val="-4"/>
                <w:sz w:val="13"/>
                <w:szCs w:val="13"/>
              </w:rPr>
            </w:pPr>
          </w:p>
        </w:tc>
      </w:tr>
      <w:tr w:rsidR="00492991" w:rsidRPr="00A74192" w:rsidTr="008A03DE">
        <w:tc>
          <w:tcPr>
            <w:tcW w:w="1016" w:type="pct"/>
            <w:shd w:val="clear" w:color="auto" w:fill="auto"/>
          </w:tcPr>
          <w:p w:rsidR="00492991" w:rsidRDefault="00492991" w:rsidP="008A03DE">
            <w:pPr>
              <w:spacing w:line="240" w:lineRule="auto"/>
              <w:rPr>
                <w:spacing w:val="-4"/>
                <w:sz w:val="16"/>
                <w:szCs w:val="16"/>
              </w:rPr>
            </w:pPr>
            <w:r>
              <w:rPr>
                <w:spacing w:val="-4"/>
                <w:sz w:val="16"/>
                <w:szCs w:val="16"/>
              </w:rPr>
              <w:t>Oživování zahajované bytové výstavby bylo v roce 2016 jen mírné</w:t>
            </w:r>
            <w:r w:rsidR="00AE6734">
              <w:rPr>
                <w:spacing w:val="-4"/>
                <w:sz w:val="16"/>
                <w:szCs w:val="16"/>
              </w:rPr>
              <w:t>.</w:t>
            </w:r>
          </w:p>
          <w:p w:rsidR="00492991" w:rsidRDefault="00492991" w:rsidP="008A03DE">
            <w:pPr>
              <w:spacing w:line="240" w:lineRule="auto"/>
              <w:rPr>
                <w:spacing w:val="-4"/>
                <w:sz w:val="16"/>
                <w:szCs w:val="16"/>
              </w:rPr>
            </w:pPr>
          </w:p>
          <w:p w:rsidR="00492991" w:rsidRPr="005E4483" w:rsidRDefault="00492991" w:rsidP="008A03DE">
            <w:pPr>
              <w:spacing w:line="240" w:lineRule="auto"/>
              <w:rPr>
                <w:spacing w:val="-4"/>
                <w:sz w:val="16"/>
                <w:szCs w:val="16"/>
              </w:rPr>
            </w:pPr>
            <w:r>
              <w:rPr>
                <w:spacing w:val="-4"/>
                <w:sz w:val="16"/>
                <w:szCs w:val="16"/>
              </w:rPr>
              <w:t>Počet dokončených bytů byl proti rekordnímu roku 2007 o více než třetinu nižší</w:t>
            </w:r>
            <w:r w:rsidR="00AE6734">
              <w:rPr>
                <w:spacing w:val="-4"/>
                <w:sz w:val="16"/>
                <w:szCs w:val="16"/>
              </w:rPr>
              <w:t>.</w:t>
            </w:r>
          </w:p>
        </w:tc>
        <w:tc>
          <w:tcPr>
            <w:tcW w:w="144" w:type="pct"/>
          </w:tcPr>
          <w:p w:rsidR="00492991" w:rsidRPr="005E4483" w:rsidRDefault="00492991" w:rsidP="008A03DE">
            <w:pPr>
              <w:rPr>
                <w:spacing w:val="-4"/>
                <w:szCs w:val="20"/>
              </w:rPr>
            </w:pPr>
          </w:p>
        </w:tc>
        <w:tc>
          <w:tcPr>
            <w:tcW w:w="3840" w:type="pct"/>
          </w:tcPr>
          <w:p w:rsidR="00492991" w:rsidRDefault="00492991" w:rsidP="008A03DE">
            <w:pPr>
              <w:pStyle w:val="Textpoznpodarou"/>
              <w:jc w:val="both"/>
              <w:rPr>
                <w:spacing w:val="-4"/>
              </w:rPr>
            </w:pPr>
            <w:r>
              <w:rPr>
                <w:spacing w:val="-4"/>
              </w:rPr>
              <w:t>K oživení stavebnict</w:t>
            </w:r>
            <w:r w:rsidR="00663CFD">
              <w:rPr>
                <w:spacing w:val="-4"/>
              </w:rPr>
              <w:t xml:space="preserve">ví </w:t>
            </w:r>
            <w:r>
              <w:rPr>
                <w:spacing w:val="-4"/>
              </w:rPr>
              <w:t xml:space="preserve">navzdory četným předpokladům (rostoucí příjmy domácností, nízké úrokové sazby) příliš nepřispěla ani bytová výstavba. Byť počet zahájených bytů vzrostl již třetí rok v řadě, dlouhodobé minimum z roku 2013 (22,1 tis.) loni překonal jen o necelou čtvrtinu. Nízká byla hlavně četnost bytů v bytových domech (5,9 tis., vlivem propadu výstavby v Praze) a </w:t>
            </w:r>
            <w:r w:rsidRPr="005E4483">
              <w:rPr>
                <w:spacing w:val="-4"/>
              </w:rPr>
              <w:t>výstavba bytů v domech pro seniory.</w:t>
            </w:r>
            <w:r>
              <w:rPr>
                <w:spacing w:val="-4"/>
              </w:rPr>
              <w:t xml:space="preserve"> Nízký objem výstavby doprovázený sílící kupní silou domácností se nejen v Praze odrazil ve zrychlení růstu nabídkových i realizovaných cen rezidenčních nemovitostí.</w:t>
            </w:r>
          </w:p>
          <w:p w:rsidR="00492991" w:rsidRPr="00656A4E" w:rsidRDefault="00492991" w:rsidP="008A03DE">
            <w:pPr>
              <w:pStyle w:val="Textpoznpodarou"/>
              <w:jc w:val="both"/>
              <w:rPr>
                <w:spacing w:val="-4"/>
                <w:sz w:val="13"/>
                <w:szCs w:val="13"/>
              </w:rPr>
            </w:pPr>
          </w:p>
        </w:tc>
      </w:tr>
      <w:tr w:rsidR="00492991" w:rsidRPr="00A74192" w:rsidTr="008A03DE">
        <w:tc>
          <w:tcPr>
            <w:tcW w:w="1016" w:type="pct"/>
            <w:shd w:val="clear" w:color="auto" w:fill="auto"/>
          </w:tcPr>
          <w:p w:rsidR="00492991" w:rsidRDefault="00492991" w:rsidP="008A03DE">
            <w:pPr>
              <w:pStyle w:val="Textpoznpodarou"/>
              <w:rPr>
                <w:spacing w:val="-4"/>
                <w:sz w:val="16"/>
                <w:szCs w:val="16"/>
              </w:rPr>
            </w:pPr>
            <w:r>
              <w:rPr>
                <w:spacing w:val="-4"/>
                <w:sz w:val="16"/>
                <w:szCs w:val="16"/>
              </w:rPr>
              <w:t>Tržby ve službách zpomalily svůj meziroční růst na 1,2 % (z předloňských 3 %)</w:t>
            </w:r>
            <w:r w:rsidR="004761D2">
              <w:rPr>
                <w:spacing w:val="-4"/>
                <w:sz w:val="16"/>
                <w:szCs w:val="16"/>
              </w:rPr>
              <w:t>,</w:t>
            </w:r>
            <w:r>
              <w:rPr>
                <w:spacing w:val="-4"/>
                <w:sz w:val="16"/>
                <w:szCs w:val="16"/>
              </w:rPr>
              <w:t>…</w:t>
            </w:r>
          </w:p>
          <w:p w:rsidR="00492991" w:rsidRDefault="00492991" w:rsidP="008A03DE">
            <w:pPr>
              <w:pStyle w:val="Textpoznpodarou"/>
              <w:rPr>
                <w:spacing w:val="-4"/>
                <w:sz w:val="16"/>
                <w:szCs w:val="16"/>
              </w:rPr>
            </w:pPr>
          </w:p>
          <w:p w:rsidR="00492991" w:rsidRDefault="00492991" w:rsidP="008A03DE">
            <w:pPr>
              <w:pStyle w:val="Textpoznpodarou"/>
              <w:rPr>
                <w:spacing w:val="-4"/>
                <w:sz w:val="16"/>
                <w:szCs w:val="16"/>
              </w:rPr>
            </w:pPr>
            <w:r>
              <w:rPr>
                <w:spacing w:val="-4"/>
                <w:sz w:val="16"/>
                <w:szCs w:val="16"/>
              </w:rPr>
              <w:t xml:space="preserve">…v pozadí stál hlubší pokles v </w:t>
            </w:r>
            <w:r w:rsidRPr="005E4483">
              <w:rPr>
                <w:spacing w:val="-4"/>
                <w:sz w:val="16"/>
                <w:szCs w:val="16"/>
              </w:rPr>
              <w:t>profesních, vědeckých a technických činnostech</w:t>
            </w:r>
            <w:r>
              <w:rPr>
                <w:spacing w:val="-4"/>
                <w:sz w:val="16"/>
                <w:szCs w:val="16"/>
              </w:rPr>
              <w:t xml:space="preserve"> vázaný zčásti na vývoj stavebnictví (architektonické a inženýrské činnosti) a též mírný pok</w:t>
            </w:r>
            <w:r w:rsidR="004761D2">
              <w:rPr>
                <w:spacing w:val="-4"/>
                <w:sz w:val="16"/>
                <w:szCs w:val="16"/>
              </w:rPr>
              <w:t>les v pozemní a potrubní dopravě</w:t>
            </w:r>
            <w:r w:rsidR="00AE6734">
              <w:rPr>
                <w:spacing w:val="-4"/>
                <w:sz w:val="16"/>
                <w:szCs w:val="16"/>
              </w:rPr>
              <w:t>.</w:t>
            </w:r>
          </w:p>
          <w:p w:rsidR="00492991" w:rsidRDefault="00492991" w:rsidP="008A03DE">
            <w:pPr>
              <w:pStyle w:val="Textpoznpodarou"/>
              <w:rPr>
                <w:spacing w:val="-4"/>
                <w:sz w:val="16"/>
                <w:szCs w:val="16"/>
              </w:rPr>
            </w:pPr>
          </w:p>
          <w:p w:rsidR="00492991" w:rsidRPr="005E4483" w:rsidRDefault="00492991" w:rsidP="008A03DE">
            <w:pPr>
              <w:pStyle w:val="Textpoznpodarou"/>
              <w:rPr>
                <w:spacing w:val="-4"/>
                <w:sz w:val="16"/>
                <w:szCs w:val="16"/>
              </w:rPr>
            </w:pPr>
            <w:r>
              <w:rPr>
                <w:spacing w:val="-4"/>
                <w:sz w:val="16"/>
                <w:szCs w:val="16"/>
              </w:rPr>
              <w:t>Loňské tržby ve službách za úrovní dosaženou v konjunkturním roce 2008 o téměř 9 % zaostávaly především vlivem útlumu profesních, vědeckých a </w:t>
            </w:r>
            <w:r w:rsidRPr="005E4483">
              <w:rPr>
                <w:spacing w:val="-4"/>
                <w:sz w:val="16"/>
                <w:szCs w:val="16"/>
              </w:rPr>
              <w:t>technických činnost</w:t>
            </w:r>
            <w:r>
              <w:rPr>
                <w:spacing w:val="-4"/>
                <w:sz w:val="16"/>
                <w:szCs w:val="16"/>
              </w:rPr>
              <w:t>í</w:t>
            </w:r>
            <w:r w:rsidR="00AE6734">
              <w:rPr>
                <w:spacing w:val="-4"/>
                <w:sz w:val="16"/>
                <w:szCs w:val="16"/>
              </w:rPr>
              <w:t>.</w:t>
            </w:r>
          </w:p>
        </w:tc>
        <w:tc>
          <w:tcPr>
            <w:tcW w:w="144" w:type="pct"/>
          </w:tcPr>
          <w:p w:rsidR="00492991" w:rsidRPr="005E4483" w:rsidRDefault="00492991" w:rsidP="008A03DE">
            <w:pPr>
              <w:pStyle w:val="Textpoznpodarou"/>
              <w:jc w:val="both"/>
              <w:rPr>
                <w:spacing w:val="-4"/>
              </w:rPr>
            </w:pPr>
          </w:p>
        </w:tc>
        <w:tc>
          <w:tcPr>
            <w:tcW w:w="3840" w:type="pct"/>
          </w:tcPr>
          <w:p w:rsidR="00492991" w:rsidRDefault="00492991" w:rsidP="008A03DE">
            <w:pPr>
              <w:pStyle w:val="Textpoznpodarou"/>
              <w:jc w:val="both"/>
              <w:rPr>
                <w:color w:val="000000"/>
                <w:spacing w:val="-4"/>
              </w:rPr>
            </w:pPr>
            <w:r w:rsidRPr="001857D6">
              <w:rPr>
                <w:spacing w:val="-2"/>
              </w:rPr>
              <w:t>Ve vybraných službách</w:t>
            </w:r>
            <w:r w:rsidRPr="001857D6">
              <w:rPr>
                <w:color w:val="000000"/>
                <w:spacing w:val="-2"/>
                <w:vertAlign w:val="superscript"/>
              </w:rPr>
              <w:footnoteReference w:id="17"/>
            </w:r>
            <w:r w:rsidR="009E1124" w:rsidRPr="001857D6">
              <w:rPr>
                <w:spacing w:val="-2"/>
              </w:rPr>
              <w:t xml:space="preserve"> se</w:t>
            </w:r>
            <w:r w:rsidRPr="001857D6">
              <w:rPr>
                <w:spacing w:val="-2"/>
              </w:rPr>
              <w:t xml:space="preserve"> tržby </w:t>
            </w:r>
            <w:r w:rsidR="009E1124" w:rsidRPr="001857D6">
              <w:rPr>
                <w:spacing w:val="-2"/>
              </w:rPr>
              <w:t xml:space="preserve">reálně zvýšily o 1,2 % (v roce 2015 o </w:t>
            </w:r>
            <w:r w:rsidRPr="001857D6">
              <w:rPr>
                <w:spacing w:val="-2"/>
              </w:rPr>
              <w:t xml:space="preserve">3,0 %). Na tomto růstu se podílela drtivá většina dílčích odvětví vyjma </w:t>
            </w:r>
            <w:r w:rsidRPr="001857D6">
              <w:rPr>
                <w:color w:val="000000"/>
                <w:spacing w:val="-2"/>
              </w:rPr>
              <w:t>profesních, vědeckých a</w:t>
            </w:r>
            <w:r w:rsidRPr="001857D6">
              <w:rPr>
                <w:spacing w:val="-2"/>
              </w:rPr>
              <w:t> </w:t>
            </w:r>
            <w:r w:rsidRPr="001857D6">
              <w:rPr>
                <w:color w:val="000000"/>
                <w:spacing w:val="-2"/>
              </w:rPr>
              <w:t>technických činností</w:t>
            </w:r>
            <w:r w:rsidR="009E1124" w:rsidRPr="001857D6">
              <w:rPr>
                <w:color w:val="000000"/>
                <w:spacing w:val="-2"/>
              </w:rPr>
              <w:t xml:space="preserve"> (-2,3 %), jejichž</w:t>
            </w:r>
            <w:r w:rsidRPr="001857D6">
              <w:rPr>
                <w:color w:val="000000"/>
                <w:spacing w:val="-2"/>
              </w:rPr>
              <w:t xml:space="preserve"> 3% růst </w:t>
            </w:r>
            <w:r w:rsidR="009E1124" w:rsidRPr="001857D6">
              <w:rPr>
                <w:color w:val="000000"/>
                <w:spacing w:val="-2"/>
              </w:rPr>
              <w:t xml:space="preserve">v roce 2015 </w:t>
            </w:r>
            <w:r w:rsidRPr="001857D6">
              <w:rPr>
                <w:color w:val="000000"/>
                <w:spacing w:val="-2"/>
              </w:rPr>
              <w:t>byl v dlouhém obdob</w:t>
            </w:r>
            <w:r w:rsidRPr="001857D6">
              <w:rPr>
                <w:color w:val="0D0D0D"/>
                <w:spacing w:val="-2"/>
              </w:rPr>
              <w:t>í od konce silné konjunktury v předešlé dekádě</w:t>
            </w:r>
            <w:r w:rsidRPr="001857D6">
              <w:rPr>
                <w:color w:val="FF0000"/>
                <w:spacing w:val="-2"/>
              </w:rPr>
              <w:t xml:space="preserve"> </w:t>
            </w:r>
            <w:r w:rsidRPr="001857D6">
              <w:rPr>
                <w:color w:val="000000"/>
                <w:spacing w:val="-2"/>
              </w:rPr>
              <w:t xml:space="preserve">ojedinělý. Zčásti souvisel i s rozvojem projektové činnosti vázané na dočerpávání prostředků z EU </w:t>
            </w:r>
            <w:r w:rsidRPr="001857D6">
              <w:rPr>
                <w:spacing w:val="-2"/>
              </w:rPr>
              <w:t xml:space="preserve">– </w:t>
            </w:r>
            <w:r w:rsidRPr="001857D6">
              <w:rPr>
                <w:color w:val="000000"/>
                <w:spacing w:val="-2"/>
              </w:rPr>
              <w:t>zejména tržby v architektonických a inženýrských činnostech (v</w:t>
            </w:r>
            <w:r w:rsidRPr="001857D6">
              <w:rPr>
                <w:spacing w:val="-2"/>
              </w:rPr>
              <w:t> </w:t>
            </w:r>
            <w:r w:rsidRPr="001857D6">
              <w:rPr>
                <w:color w:val="000000"/>
                <w:spacing w:val="-2"/>
              </w:rPr>
              <w:t xml:space="preserve">roce 2015: +2,8 </w:t>
            </w:r>
            <w:r w:rsidR="00220838" w:rsidRPr="00220838">
              <w:rPr>
                <w:color w:val="0D0D0D" w:themeColor="text1" w:themeTint="F2"/>
                <w:spacing w:val="-2"/>
              </w:rPr>
              <w:t xml:space="preserve">%, vloni </w:t>
            </w:r>
            <w:r w:rsidRPr="001857D6">
              <w:rPr>
                <w:color w:val="000000"/>
                <w:spacing w:val="-2"/>
              </w:rPr>
              <w:t>-7,3 %). Naopak právní a účetnické činnosti či reklama a</w:t>
            </w:r>
            <w:r w:rsidRPr="001857D6">
              <w:rPr>
                <w:spacing w:val="-2"/>
              </w:rPr>
              <w:t> </w:t>
            </w:r>
            <w:r w:rsidRPr="001857D6">
              <w:rPr>
                <w:color w:val="000000"/>
                <w:spacing w:val="-2"/>
              </w:rPr>
              <w:t>průzkum trhu v mírném růstu pokračovaly. Váhově významné odvětví dopravy a</w:t>
            </w:r>
            <w:r w:rsidRPr="001857D6">
              <w:rPr>
                <w:spacing w:val="-2"/>
              </w:rPr>
              <w:t> </w:t>
            </w:r>
            <w:r w:rsidRPr="001857D6">
              <w:rPr>
                <w:color w:val="000000"/>
                <w:spacing w:val="-2"/>
              </w:rPr>
              <w:t>skladování ze solidně rostoucího průmyslu i</w:t>
            </w:r>
            <w:r w:rsidRPr="001857D6">
              <w:rPr>
                <w:spacing w:val="-2"/>
              </w:rPr>
              <w:t> </w:t>
            </w:r>
            <w:r w:rsidRPr="001857D6">
              <w:rPr>
                <w:color w:val="000000"/>
                <w:spacing w:val="-2"/>
              </w:rPr>
              <w:t>zahraničního obchodu profitovalo jen částeč</w:t>
            </w:r>
            <w:r w:rsidR="009E1124" w:rsidRPr="001857D6">
              <w:rPr>
                <w:color w:val="000000"/>
                <w:spacing w:val="-2"/>
              </w:rPr>
              <w:t>ně, neboť jeho tržby posílily o </w:t>
            </w:r>
            <w:r w:rsidRPr="001857D6">
              <w:rPr>
                <w:color w:val="000000"/>
                <w:spacing w:val="-2"/>
              </w:rPr>
              <w:t>1,1 % (v</w:t>
            </w:r>
            <w:r w:rsidRPr="001857D6">
              <w:rPr>
                <w:spacing w:val="-2"/>
              </w:rPr>
              <w:t> </w:t>
            </w:r>
            <w:r w:rsidRPr="001857D6">
              <w:rPr>
                <w:color w:val="000000"/>
                <w:spacing w:val="-2"/>
              </w:rPr>
              <w:t>roce 2015 o 0,4 %). Mírný pokles v pozemní a potrubní dopravě (-0,3 %) a</w:t>
            </w:r>
            <w:r w:rsidRPr="001857D6">
              <w:rPr>
                <w:spacing w:val="-2"/>
              </w:rPr>
              <w:t> </w:t>
            </w:r>
            <w:r w:rsidRPr="001857D6">
              <w:rPr>
                <w:color w:val="000000"/>
                <w:spacing w:val="-2"/>
              </w:rPr>
              <w:t xml:space="preserve">poštovních i kurýrních činnostech </w:t>
            </w:r>
            <w:r w:rsidR="009E1124" w:rsidRPr="001857D6">
              <w:rPr>
                <w:color w:val="000000"/>
                <w:spacing w:val="-2"/>
              </w:rPr>
              <w:t xml:space="preserve">(-1,0 %) </w:t>
            </w:r>
            <w:r w:rsidRPr="001857D6">
              <w:rPr>
                <w:color w:val="000000"/>
                <w:spacing w:val="-2"/>
              </w:rPr>
              <w:t>byl vyvážen příznivějším</w:t>
            </w:r>
            <w:r w:rsidR="009E1124" w:rsidRPr="001857D6">
              <w:rPr>
                <w:color w:val="000000"/>
                <w:spacing w:val="-2"/>
              </w:rPr>
              <w:t xml:space="preserve"> vývojem ve skladování (+3,7 %) </w:t>
            </w:r>
            <w:r w:rsidRPr="001857D6">
              <w:rPr>
                <w:color w:val="000000"/>
                <w:spacing w:val="-2"/>
              </w:rPr>
              <w:t xml:space="preserve">a také v ostatních druzích dopravy. Dařilo se stravování </w:t>
            </w:r>
            <w:r w:rsidR="009E1124" w:rsidRPr="001857D6">
              <w:rPr>
                <w:color w:val="000000"/>
                <w:spacing w:val="-2"/>
              </w:rPr>
              <w:t>a pohostinství, kde vysoký</w:t>
            </w:r>
            <w:r w:rsidRPr="001857D6">
              <w:rPr>
                <w:color w:val="000000"/>
                <w:spacing w:val="-2"/>
              </w:rPr>
              <w:t xml:space="preserve"> růst </w:t>
            </w:r>
            <w:r w:rsidR="009E1124" w:rsidRPr="001857D6">
              <w:rPr>
                <w:color w:val="000000"/>
                <w:spacing w:val="-2"/>
              </w:rPr>
              <w:t>za rok 2015 (+5,0 %) v následujícím roce</w:t>
            </w:r>
            <w:r w:rsidRPr="001857D6">
              <w:rPr>
                <w:color w:val="000000"/>
                <w:spacing w:val="-2"/>
              </w:rPr>
              <w:t xml:space="preserve"> ještě zrychlil na 5,7 </w:t>
            </w:r>
            <w:r w:rsidR="009E1124" w:rsidRPr="001857D6">
              <w:rPr>
                <w:color w:val="000000"/>
                <w:spacing w:val="-2"/>
              </w:rPr>
              <w:t>% (nejvyšší tempo po roce</w:t>
            </w:r>
            <w:r w:rsidRPr="001857D6">
              <w:rPr>
                <w:color w:val="000000"/>
                <w:spacing w:val="-2"/>
              </w:rPr>
              <w:t xml:space="preserve"> 2001). Pokračující růst počtu přenocování zahraničních (+3,8 %) i</w:t>
            </w:r>
            <w:r w:rsidRPr="001857D6">
              <w:rPr>
                <w:spacing w:val="-2"/>
              </w:rPr>
              <w:t> </w:t>
            </w:r>
            <w:r w:rsidRPr="001857D6">
              <w:rPr>
                <w:color w:val="000000"/>
                <w:spacing w:val="-2"/>
              </w:rPr>
              <w:t>domácích (+7</w:t>
            </w:r>
            <w:r w:rsidR="009E1124" w:rsidRPr="001857D6">
              <w:rPr>
                <w:color w:val="000000"/>
                <w:spacing w:val="-2"/>
              </w:rPr>
              <w:t>,0 %) hostů podpořil</w:t>
            </w:r>
            <w:r w:rsidRPr="001857D6">
              <w:rPr>
                <w:color w:val="000000"/>
                <w:spacing w:val="-2"/>
              </w:rPr>
              <w:t xml:space="preserve"> také tržby v ubytování (+4,4 %). Obdobným tempem sílily tržby také v odvětví administrativní a podpůrné činnosti, tažené rychle se rozvíjejícími pracovními agenturami, jejichž tržby se proti roku 2010 více než zdvojnásobily. Dařilo se ale i</w:t>
            </w:r>
            <w:r w:rsidRPr="001857D6">
              <w:rPr>
                <w:spacing w:val="-2"/>
              </w:rPr>
              <w:t> </w:t>
            </w:r>
            <w:r w:rsidRPr="001857D6">
              <w:rPr>
                <w:color w:val="000000"/>
                <w:spacing w:val="-2"/>
              </w:rPr>
              <w:t xml:space="preserve">drtivé většině ostatních činností </w:t>
            </w:r>
            <w:r w:rsidRPr="001857D6">
              <w:rPr>
                <w:color w:val="000000"/>
                <w:spacing w:val="-2"/>
              </w:rPr>
              <w:lastRenderedPageBreak/>
              <w:t>v rámci tohoto odvětví. Výjimku představovaly cestovní agentury a kanceláře (vč. rezervačních činností), kde redukce tržeb pokračovala již čtvrtý rok v řadě</w:t>
            </w:r>
            <w:r>
              <w:rPr>
                <w:rStyle w:val="Znakapoznpodarou"/>
                <w:color w:val="000000"/>
                <w:spacing w:val="-4"/>
              </w:rPr>
              <w:footnoteReference w:id="18"/>
            </w:r>
            <w:r>
              <w:rPr>
                <w:color w:val="000000"/>
                <w:spacing w:val="-4"/>
              </w:rPr>
              <w:t xml:space="preserve">. </w:t>
            </w:r>
          </w:p>
          <w:p w:rsidR="00492991" w:rsidRPr="00656A4E" w:rsidRDefault="00492991" w:rsidP="008A03DE">
            <w:pPr>
              <w:pStyle w:val="Textpoznpodarou"/>
              <w:jc w:val="both"/>
              <w:rPr>
                <w:spacing w:val="-4"/>
                <w:sz w:val="13"/>
                <w:szCs w:val="13"/>
              </w:rPr>
            </w:pPr>
          </w:p>
        </w:tc>
      </w:tr>
      <w:tr w:rsidR="00492991" w:rsidRPr="00E53C14" w:rsidTr="008A03DE">
        <w:tc>
          <w:tcPr>
            <w:tcW w:w="1016" w:type="pct"/>
            <w:shd w:val="clear" w:color="auto" w:fill="auto"/>
          </w:tcPr>
          <w:p w:rsidR="00492991" w:rsidRDefault="00492991" w:rsidP="008A03DE">
            <w:pPr>
              <w:pStyle w:val="Textpoznpodarou"/>
              <w:rPr>
                <w:spacing w:val="-4"/>
                <w:sz w:val="16"/>
                <w:szCs w:val="16"/>
              </w:rPr>
            </w:pPr>
            <w:r>
              <w:rPr>
                <w:spacing w:val="-4"/>
                <w:sz w:val="16"/>
                <w:szCs w:val="16"/>
              </w:rPr>
              <w:lastRenderedPageBreak/>
              <w:t>Příznivé podmínky pro svižný růst maloobchod-ních tržeb nadále přetrvávaly, tržby táhl především prodej nepotravinářského zboží</w:t>
            </w:r>
            <w:r w:rsidR="00AE6734">
              <w:rPr>
                <w:spacing w:val="-4"/>
                <w:sz w:val="16"/>
                <w:szCs w:val="16"/>
              </w:rPr>
              <w:t>.</w:t>
            </w:r>
          </w:p>
          <w:p w:rsidR="00492991" w:rsidRDefault="00492991" w:rsidP="008A03DE">
            <w:pPr>
              <w:pStyle w:val="Textpoznpodarou"/>
              <w:rPr>
                <w:spacing w:val="-4"/>
                <w:sz w:val="16"/>
                <w:szCs w:val="16"/>
              </w:rPr>
            </w:pPr>
          </w:p>
          <w:p w:rsidR="00492991" w:rsidRDefault="00492991" w:rsidP="008A03DE">
            <w:pPr>
              <w:pStyle w:val="Textpoznpodarou"/>
              <w:rPr>
                <w:spacing w:val="-4"/>
                <w:sz w:val="16"/>
                <w:szCs w:val="16"/>
              </w:rPr>
            </w:pPr>
          </w:p>
          <w:p w:rsidR="00492991" w:rsidRDefault="00492991" w:rsidP="008A03DE">
            <w:pPr>
              <w:pStyle w:val="Textpoznpodarou"/>
              <w:rPr>
                <w:spacing w:val="-4"/>
                <w:sz w:val="16"/>
                <w:szCs w:val="16"/>
              </w:rPr>
            </w:pPr>
          </w:p>
          <w:p w:rsidR="00492991" w:rsidRDefault="00492991" w:rsidP="008A03DE">
            <w:pPr>
              <w:pStyle w:val="Textpoznpodarou"/>
              <w:rPr>
                <w:spacing w:val="-4"/>
                <w:sz w:val="16"/>
                <w:szCs w:val="16"/>
              </w:rPr>
            </w:pPr>
            <w:r>
              <w:rPr>
                <w:spacing w:val="-4"/>
                <w:sz w:val="16"/>
                <w:szCs w:val="16"/>
              </w:rPr>
              <w:t>Meziroční růst tržeb prodejců potravin během roku slábl, ve 4. čt</w:t>
            </w:r>
            <w:r w:rsidR="00AE6734">
              <w:rPr>
                <w:spacing w:val="-4"/>
                <w:sz w:val="16"/>
                <w:szCs w:val="16"/>
              </w:rPr>
              <w:t>vrtletí zcela vymizel (-0,2 %).</w:t>
            </w:r>
          </w:p>
          <w:p w:rsidR="00492991" w:rsidRDefault="00492991" w:rsidP="008A03DE">
            <w:pPr>
              <w:pStyle w:val="Textpoznpodarou"/>
              <w:rPr>
                <w:spacing w:val="-4"/>
                <w:sz w:val="16"/>
                <w:szCs w:val="16"/>
              </w:rPr>
            </w:pPr>
          </w:p>
          <w:p w:rsidR="009D3CD0" w:rsidRDefault="009D3CD0" w:rsidP="008A03DE">
            <w:pPr>
              <w:pStyle w:val="Textpoznpodarou"/>
              <w:rPr>
                <w:spacing w:val="-4"/>
                <w:sz w:val="16"/>
                <w:szCs w:val="16"/>
              </w:rPr>
            </w:pPr>
          </w:p>
          <w:p w:rsidR="00492991" w:rsidRPr="005E4483" w:rsidRDefault="00DD1878" w:rsidP="008A03DE">
            <w:pPr>
              <w:pStyle w:val="Textpoznpodarou"/>
              <w:rPr>
                <w:spacing w:val="-4"/>
                <w:sz w:val="16"/>
                <w:szCs w:val="16"/>
              </w:rPr>
            </w:pPr>
            <w:r>
              <w:rPr>
                <w:spacing w:val="-4"/>
                <w:sz w:val="16"/>
                <w:szCs w:val="16"/>
              </w:rPr>
              <w:t>Růst m</w:t>
            </w:r>
            <w:r w:rsidR="009D3CD0">
              <w:rPr>
                <w:spacing w:val="-4"/>
                <w:sz w:val="16"/>
                <w:szCs w:val="16"/>
              </w:rPr>
              <w:t>aloobchodní</w:t>
            </w:r>
            <w:r>
              <w:rPr>
                <w:spacing w:val="-4"/>
                <w:sz w:val="16"/>
                <w:szCs w:val="16"/>
              </w:rPr>
              <w:t>ch tržeb v ČR byl loni sedmý nejvyšší ze zemí EU, ze sousedních států se zvyšoval rychleji jen</w:t>
            </w:r>
            <w:r w:rsidR="004761D2">
              <w:rPr>
                <w:spacing w:val="-4"/>
                <w:sz w:val="16"/>
                <w:szCs w:val="16"/>
              </w:rPr>
              <w:t xml:space="preserve"> v </w:t>
            </w:r>
            <w:r>
              <w:rPr>
                <w:spacing w:val="-4"/>
                <w:sz w:val="16"/>
                <w:szCs w:val="16"/>
              </w:rPr>
              <w:t>Polsku</w:t>
            </w:r>
            <w:r w:rsidR="00AE6734">
              <w:rPr>
                <w:spacing w:val="-4"/>
                <w:sz w:val="16"/>
                <w:szCs w:val="16"/>
              </w:rPr>
              <w:t>.</w:t>
            </w:r>
          </w:p>
        </w:tc>
        <w:tc>
          <w:tcPr>
            <w:tcW w:w="144" w:type="pct"/>
          </w:tcPr>
          <w:p w:rsidR="00492991" w:rsidRPr="005E4483" w:rsidRDefault="00492991" w:rsidP="008A03DE">
            <w:pPr>
              <w:pStyle w:val="Textpoznpodarou"/>
              <w:jc w:val="both"/>
              <w:rPr>
                <w:spacing w:val="-4"/>
              </w:rPr>
            </w:pPr>
          </w:p>
        </w:tc>
        <w:tc>
          <w:tcPr>
            <w:tcW w:w="3840" w:type="pct"/>
          </w:tcPr>
          <w:p w:rsidR="00492991" w:rsidRPr="00156294" w:rsidRDefault="00492991" w:rsidP="008A03DE">
            <w:pPr>
              <w:pStyle w:val="Textpoznpodarou"/>
              <w:jc w:val="both"/>
              <w:rPr>
                <w:color w:val="000000"/>
                <w:spacing w:val="-4"/>
              </w:rPr>
            </w:pPr>
            <w:r>
              <w:rPr>
                <w:spacing w:val="-4"/>
              </w:rPr>
              <w:t>Zvyšující se disponibilní pří</w:t>
            </w:r>
            <w:r w:rsidR="009E1124">
              <w:rPr>
                <w:spacing w:val="-4"/>
              </w:rPr>
              <w:t>jmy domácností, sycené</w:t>
            </w:r>
            <w:r>
              <w:rPr>
                <w:spacing w:val="-4"/>
              </w:rPr>
              <w:t xml:space="preserve"> růstem objemu vyplacených mezd a platů v celé ekonomice (+5,5 % v roce 2016, o rok dříve +4,4 %), v kombinaci s velmi optimistickým naladěním spotřebitelů po celý loňský rok vyústily ve svižný růst maloobchodních tržeb (+5,1 % meziročně)</w:t>
            </w:r>
            <w:r>
              <w:rPr>
                <w:rStyle w:val="Znakapoznpodarou"/>
                <w:spacing w:val="-4"/>
              </w:rPr>
              <w:footnoteReference w:id="19"/>
            </w:r>
            <w:r>
              <w:rPr>
                <w:spacing w:val="-4"/>
              </w:rPr>
              <w:t xml:space="preserve">. Zatímco v prvních třech čtvrtletích růst tržeb osciloval okolo 5,5 %, na sklonku roku tempo zmírnilo na 4,2 % – primárně vlivem vývoje tržeb za potraviny. Ty v 1. čtvrtletí 2016 rostly o 5 %, na sklonku roku již jen stagnovaly. Tento vývoj se </w:t>
            </w:r>
            <w:r w:rsidR="005A5F82">
              <w:rPr>
                <w:spacing w:val="-4"/>
              </w:rPr>
              <w:t>primárně týkal</w:t>
            </w:r>
            <w:r>
              <w:rPr>
                <w:spacing w:val="-4"/>
              </w:rPr>
              <w:t xml:space="preserve"> nespecializovaných (především velkých) prodejen</w:t>
            </w:r>
            <w:r>
              <w:rPr>
                <w:rStyle w:val="Znakapoznpodarou"/>
                <w:spacing w:val="-4"/>
              </w:rPr>
              <w:footnoteReference w:id="20"/>
            </w:r>
            <w:r w:rsidR="004036FB">
              <w:rPr>
                <w:spacing w:val="-4"/>
              </w:rPr>
              <w:t>.</w:t>
            </w:r>
            <w:r>
              <w:rPr>
                <w:spacing w:val="-4"/>
              </w:rPr>
              <w:t xml:space="preserve"> Tržby za potraviny ve specializovaných prodejnách ve 4. čtvrtletí o 2,9 % rostly, za celý rok o 3,1 % – tedy vyšším tempem než u nespecializovaných prodejců potravin, což se stalo naposledy v roce 2005. Váhově dominantní segment maloobchodu – prodej nepotravinářského zboží – rostl bez větších výkyvů (za ce</w:t>
            </w:r>
            <w:r w:rsidR="00C13150">
              <w:rPr>
                <w:spacing w:val="-4"/>
              </w:rPr>
              <w:t xml:space="preserve">lý rok o 6,3 %). Táhl ho zejména prodej přes internet a dále prodej </w:t>
            </w:r>
            <w:r>
              <w:rPr>
                <w:spacing w:val="-4"/>
              </w:rPr>
              <w:t>výrobků</w:t>
            </w:r>
            <w:r w:rsidR="00C13150">
              <w:rPr>
                <w:spacing w:val="-4"/>
              </w:rPr>
              <w:t xml:space="preserve"> pro kulturu i</w:t>
            </w:r>
            <w:r w:rsidR="00AE6734">
              <w:rPr>
                <w:spacing w:val="-4"/>
              </w:rPr>
              <w:t> </w:t>
            </w:r>
            <w:r w:rsidRPr="00376B11">
              <w:rPr>
                <w:spacing w:val="-4"/>
              </w:rPr>
              <w:t>rekreaci</w:t>
            </w:r>
            <w:r w:rsidR="00C13150">
              <w:rPr>
                <w:spacing w:val="-4"/>
              </w:rPr>
              <w:t xml:space="preserve"> a </w:t>
            </w:r>
            <w:r>
              <w:rPr>
                <w:spacing w:val="-4"/>
              </w:rPr>
              <w:t>výrobků</w:t>
            </w:r>
            <w:r w:rsidRPr="00376B11">
              <w:rPr>
                <w:spacing w:val="-4"/>
              </w:rPr>
              <w:t xml:space="preserve"> převážně pro domácnost</w:t>
            </w:r>
            <w:r>
              <w:rPr>
                <w:spacing w:val="-4"/>
              </w:rPr>
              <w:t xml:space="preserve">. </w:t>
            </w:r>
            <w:r>
              <w:rPr>
                <w:color w:val="000000"/>
                <w:spacing w:val="-4"/>
              </w:rPr>
              <w:t>Růst ekonomiky i příznivé ceny PHM se odrážely v silném růstu tržeb čerpacích stanic, jenž trval již osm čtvrtletí v řadě (za celý rok o 6,8 %). Procyklicky se vyvíjecí tržby za obchod (vč. oprav a</w:t>
            </w:r>
            <w:r>
              <w:rPr>
                <w:spacing w:val="-4"/>
              </w:rPr>
              <w:t> </w:t>
            </w:r>
            <w:r>
              <w:rPr>
                <w:color w:val="000000"/>
                <w:spacing w:val="-4"/>
              </w:rPr>
              <w:t>údržby)</w:t>
            </w:r>
            <w:r w:rsidRPr="00FA2FCF">
              <w:rPr>
                <w:color w:val="000000"/>
                <w:spacing w:val="-4"/>
              </w:rPr>
              <w:t xml:space="preserve"> motorových </w:t>
            </w:r>
            <w:r w:rsidR="00DD1878">
              <w:rPr>
                <w:color w:val="000000"/>
                <w:spacing w:val="-4"/>
              </w:rPr>
              <w:t>vozidel</w:t>
            </w:r>
            <w:r>
              <w:rPr>
                <w:color w:val="000000"/>
                <w:spacing w:val="-4"/>
              </w:rPr>
              <w:t xml:space="preserve"> za celý rok posílily o 7,6 %, v 2. pololetí však růst slábl a</w:t>
            </w:r>
            <w:r>
              <w:rPr>
                <w:spacing w:val="-4"/>
              </w:rPr>
              <w:t> </w:t>
            </w:r>
            <w:r>
              <w:rPr>
                <w:color w:val="000000"/>
                <w:spacing w:val="-4"/>
              </w:rPr>
              <w:t xml:space="preserve">ve 4. čtvrtletí 2016 (+4,2 %) byl nejslabší od konce poslední recese. </w:t>
            </w:r>
          </w:p>
        </w:tc>
      </w:tr>
    </w:tbl>
    <w:p w:rsidR="00492991" w:rsidRPr="00376B11" w:rsidRDefault="00492991" w:rsidP="00492991">
      <w:pPr>
        <w:pStyle w:val="Textpoznpodarou"/>
        <w:jc w:val="both"/>
        <w:rPr>
          <w:sz w:val="10"/>
          <w:szCs w:val="10"/>
        </w:rPr>
      </w:pPr>
    </w:p>
    <w:tbl>
      <w:tblPr>
        <w:tblW w:w="5000" w:type="pct"/>
        <w:tblInd w:w="80" w:type="dxa"/>
        <w:tblLayout w:type="fixed"/>
        <w:tblCellMar>
          <w:left w:w="28" w:type="dxa"/>
          <w:right w:w="28" w:type="dxa"/>
        </w:tblCellMar>
        <w:tblLook w:val="04A0"/>
      </w:tblPr>
      <w:tblGrid>
        <w:gridCol w:w="724"/>
        <w:gridCol w:w="4132"/>
        <w:gridCol w:w="776"/>
        <w:gridCol w:w="4062"/>
      </w:tblGrid>
      <w:tr w:rsidR="00492991" w:rsidTr="008A03DE">
        <w:tc>
          <w:tcPr>
            <w:tcW w:w="372" w:type="pct"/>
          </w:tcPr>
          <w:p w:rsidR="00492991" w:rsidRDefault="00492991" w:rsidP="008A03DE">
            <w:pPr>
              <w:spacing w:line="240" w:lineRule="auto"/>
            </w:pPr>
            <w:r>
              <w:t>Graf č. 5</w:t>
            </w:r>
          </w:p>
        </w:tc>
        <w:tc>
          <w:tcPr>
            <w:tcW w:w="2117" w:type="pct"/>
          </w:tcPr>
          <w:p w:rsidR="00492991" w:rsidRPr="001D04BA" w:rsidRDefault="00492991" w:rsidP="008A03DE">
            <w:pPr>
              <w:pStyle w:val="Textpoznpodarou"/>
              <w:rPr>
                <w:b/>
              </w:rPr>
            </w:pPr>
            <w:r w:rsidRPr="001D04BA">
              <w:rPr>
                <w:b/>
              </w:rPr>
              <w:t>Produkce v průmyslu a</w:t>
            </w:r>
            <w:r>
              <w:rPr>
                <w:b/>
              </w:rPr>
              <w:t xml:space="preserve"> ve</w:t>
            </w:r>
            <w:r w:rsidRPr="001D04BA">
              <w:rPr>
                <w:b/>
              </w:rPr>
              <w:t xml:space="preserve"> vyb</w:t>
            </w:r>
            <w:r>
              <w:rPr>
                <w:b/>
              </w:rPr>
              <w:t>raných zpracovatelských odvětvích</w:t>
            </w:r>
          </w:p>
          <w:p w:rsidR="00492991" w:rsidRDefault="00492991" w:rsidP="008A03DE">
            <w:pPr>
              <w:pStyle w:val="Textpoznpodarou"/>
              <w:rPr>
                <w:b/>
              </w:rPr>
            </w:pPr>
            <w:r>
              <w:t>(reálně, y/y, očištěno o kalendářní vlivy,</w:t>
            </w:r>
            <w:r w:rsidRPr="001D04BA">
              <w:t xml:space="preserve"> v %)</w:t>
            </w:r>
          </w:p>
        </w:tc>
        <w:tc>
          <w:tcPr>
            <w:tcW w:w="397" w:type="pct"/>
          </w:tcPr>
          <w:p w:rsidR="00492991" w:rsidRDefault="00492991" w:rsidP="008A03DE">
            <w:pPr>
              <w:spacing w:line="240" w:lineRule="auto"/>
              <w:ind w:left="-8" w:right="-28"/>
            </w:pPr>
            <w:r>
              <w:t>Graf č. 6</w:t>
            </w:r>
          </w:p>
        </w:tc>
        <w:tc>
          <w:tcPr>
            <w:tcW w:w="2082" w:type="pct"/>
          </w:tcPr>
          <w:p w:rsidR="00492991" w:rsidRDefault="00492991" w:rsidP="008A03DE">
            <w:pPr>
              <w:spacing w:line="240" w:lineRule="auto"/>
              <w:ind w:left="-28"/>
              <w:rPr>
                <w:b/>
              </w:rPr>
            </w:pPr>
            <w:r w:rsidRPr="004B22DA">
              <w:rPr>
                <w:b/>
                <w:spacing w:val="-2"/>
              </w:rPr>
              <w:t>Nové zakázky v automobilovém průmyslu</w:t>
            </w:r>
            <w:r>
              <w:rPr>
                <w:b/>
              </w:rPr>
              <w:t xml:space="preserve">, v průmyslu celkem </w:t>
            </w:r>
            <w:r>
              <w:rPr>
                <w:bCs/>
              </w:rPr>
              <w:t xml:space="preserve">(b.c., y/y v %) </w:t>
            </w:r>
            <w:r w:rsidRPr="006B4FFB">
              <w:rPr>
                <w:b/>
              </w:rPr>
              <w:t>a</w:t>
            </w:r>
            <w:r>
              <w:rPr>
                <w:b/>
              </w:rPr>
              <w:t xml:space="preserve"> saldo indikátoru důvěry v průmyslu </w:t>
            </w:r>
            <w:r w:rsidRPr="00C1711F">
              <w:t>(pravá osa)</w:t>
            </w:r>
          </w:p>
        </w:tc>
      </w:tr>
      <w:tr w:rsidR="00492991" w:rsidTr="008A03DE">
        <w:tc>
          <w:tcPr>
            <w:tcW w:w="2489" w:type="pct"/>
            <w:gridSpan w:val="2"/>
          </w:tcPr>
          <w:p w:rsidR="00492991" w:rsidRPr="00D07B05" w:rsidRDefault="00906225" w:rsidP="008A03DE">
            <w:pPr>
              <w:pStyle w:val="Textpoznpodarou"/>
              <w:jc w:val="both"/>
              <w:rPr>
                <w:sz w:val="6"/>
                <w:szCs w:val="6"/>
              </w:rPr>
            </w:pPr>
            <w:r>
              <w:rPr>
                <w:noProof/>
                <w:sz w:val="6"/>
                <w:szCs w:val="6"/>
              </w:rPr>
              <w:drawing>
                <wp:inline distT="0" distB="0" distL="0" distR="0">
                  <wp:extent cx="3042920" cy="2106930"/>
                  <wp:effectExtent l="19050" t="0" r="5080" b="0"/>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0"/>
                          <a:srcRect/>
                          <a:stretch>
                            <a:fillRect/>
                          </a:stretch>
                        </pic:blipFill>
                        <pic:spPr bwMode="auto">
                          <a:xfrm>
                            <a:off x="0" y="0"/>
                            <a:ext cx="3042920" cy="2106930"/>
                          </a:xfrm>
                          <a:prstGeom prst="rect">
                            <a:avLst/>
                          </a:prstGeom>
                          <a:noFill/>
                          <a:ln w="9525">
                            <a:noFill/>
                            <a:miter lim="800000"/>
                            <a:headEnd/>
                            <a:tailEnd/>
                          </a:ln>
                        </pic:spPr>
                      </pic:pic>
                    </a:graphicData>
                  </a:graphic>
                </wp:inline>
              </w:drawing>
            </w:r>
          </w:p>
        </w:tc>
        <w:tc>
          <w:tcPr>
            <w:tcW w:w="2479" w:type="pct"/>
            <w:gridSpan w:val="2"/>
          </w:tcPr>
          <w:p w:rsidR="00492991" w:rsidRDefault="00906225" w:rsidP="008A03DE">
            <w:pPr>
              <w:pStyle w:val="Textpoznpodarou"/>
              <w:jc w:val="both"/>
            </w:pPr>
            <w:r>
              <w:rPr>
                <w:noProof/>
              </w:rPr>
              <w:drawing>
                <wp:inline distT="0" distB="0" distL="0" distR="0">
                  <wp:extent cx="3042920" cy="2106930"/>
                  <wp:effectExtent l="19050" t="0" r="5080" b="0"/>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1"/>
                          <a:srcRect/>
                          <a:stretch>
                            <a:fillRect/>
                          </a:stretch>
                        </pic:blipFill>
                        <pic:spPr bwMode="auto">
                          <a:xfrm>
                            <a:off x="0" y="0"/>
                            <a:ext cx="3042920" cy="2106930"/>
                          </a:xfrm>
                          <a:prstGeom prst="rect">
                            <a:avLst/>
                          </a:prstGeom>
                          <a:noFill/>
                          <a:ln w="9525">
                            <a:noFill/>
                            <a:miter lim="800000"/>
                            <a:headEnd/>
                            <a:tailEnd/>
                          </a:ln>
                        </pic:spPr>
                      </pic:pic>
                    </a:graphicData>
                  </a:graphic>
                </wp:inline>
              </w:drawing>
            </w:r>
          </w:p>
        </w:tc>
      </w:tr>
      <w:tr w:rsidR="00492991" w:rsidRPr="0036011F" w:rsidTr="008A03DE">
        <w:tc>
          <w:tcPr>
            <w:tcW w:w="372" w:type="pct"/>
          </w:tcPr>
          <w:p w:rsidR="00492991" w:rsidRDefault="00492991" w:rsidP="008A03DE">
            <w:pPr>
              <w:spacing w:before="20" w:line="240" w:lineRule="auto"/>
            </w:pPr>
            <w:r>
              <w:t>Graf č. 7</w:t>
            </w:r>
          </w:p>
        </w:tc>
        <w:tc>
          <w:tcPr>
            <w:tcW w:w="2117" w:type="pct"/>
          </w:tcPr>
          <w:p w:rsidR="00492991" w:rsidRDefault="00492991" w:rsidP="008A03DE">
            <w:pPr>
              <w:spacing w:before="20" w:line="240" w:lineRule="auto"/>
              <w:rPr>
                <w:b/>
              </w:rPr>
            </w:pPr>
            <w:r>
              <w:rPr>
                <w:b/>
              </w:rPr>
              <w:t xml:space="preserve">Stavební produkce*, hodnota nových zakázek </w:t>
            </w:r>
            <w:r>
              <w:rPr>
                <w:bCs/>
              </w:rPr>
              <w:t xml:space="preserve">(y/y v %) </w:t>
            </w:r>
            <w:r w:rsidRPr="006B4FFB">
              <w:rPr>
                <w:b/>
              </w:rPr>
              <w:t>a</w:t>
            </w:r>
            <w:r>
              <w:rPr>
                <w:b/>
              </w:rPr>
              <w:t xml:space="preserve"> saldo indikátoru    důvěry ve stavebnictví </w:t>
            </w:r>
            <w:r w:rsidRPr="00C1711F">
              <w:t>(pravá osa)</w:t>
            </w:r>
          </w:p>
        </w:tc>
        <w:tc>
          <w:tcPr>
            <w:tcW w:w="397" w:type="pct"/>
          </w:tcPr>
          <w:p w:rsidR="00492991" w:rsidRDefault="00492991" w:rsidP="008A03DE">
            <w:pPr>
              <w:spacing w:before="20" w:line="240" w:lineRule="auto"/>
            </w:pPr>
            <w:r>
              <w:t>Graf č. 8</w:t>
            </w:r>
          </w:p>
        </w:tc>
        <w:tc>
          <w:tcPr>
            <w:tcW w:w="2082" w:type="pct"/>
          </w:tcPr>
          <w:p w:rsidR="00492991" w:rsidRPr="0036011F" w:rsidRDefault="00492991" w:rsidP="008A03DE">
            <w:pPr>
              <w:spacing w:before="20" w:line="240" w:lineRule="auto"/>
              <w:rPr>
                <w:b/>
                <w:spacing w:val="-2"/>
              </w:rPr>
            </w:pPr>
            <w:r>
              <w:rPr>
                <w:b/>
                <w:spacing w:val="-2"/>
              </w:rPr>
              <w:t>Tržby v maloobchodu</w:t>
            </w:r>
            <w:r w:rsidRPr="0036011F">
              <w:rPr>
                <w:b/>
                <w:spacing w:val="-2"/>
              </w:rPr>
              <w:t xml:space="preserve"> * </w:t>
            </w:r>
            <w:r w:rsidRPr="0036011F">
              <w:rPr>
                <w:bCs/>
                <w:spacing w:val="-2"/>
              </w:rPr>
              <w:t xml:space="preserve">(reálně, y/y v %) </w:t>
            </w:r>
            <w:r w:rsidRPr="0036011F">
              <w:rPr>
                <w:b/>
                <w:spacing w:val="-2"/>
              </w:rPr>
              <w:t>saldo indikátoru důvěry spotřebitel</w:t>
            </w:r>
            <w:r>
              <w:rPr>
                <w:b/>
                <w:spacing w:val="-2"/>
              </w:rPr>
              <w:t xml:space="preserve">ů   </w:t>
            </w:r>
            <w:r w:rsidRPr="0036011F">
              <w:rPr>
                <w:spacing w:val="-2"/>
              </w:rPr>
              <w:t>(pravá osa)</w:t>
            </w:r>
          </w:p>
        </w:tc>
      </w:tr>
      <w:tr w:rsidR="00492991" w:rsidTr="008A03DE">
        <w:tc>
          <w:tcPr>
            <w:tcW w:w="2489" w:type="pct"/>
            <w:gridSpan w:val="2"/>
          </w:tcPr>
          <w:p w:rsidR="00492991" w:rsidRPr="00B00F42" w:rsidRDefault="00906225" w:rsidP="008A03DE">
            <w:pPr>
              <w:pStyle w:val="Textpoznpodarou"/>
              <w:jc w:val="both"/>
              <w:rPr>
                <w:sz w:val="6"/>
                <w:szCs w:val="6"/>
              </w:rPr>
            </w:pPr>
            <w:r>
              <w:rPr>
                <w:noProof/>
                <w:sz w:val="6"/>
                <w:szCs w:val="6"/>
              </w:rPr>
              <w:drawing>
                <wp:inline distT="0" distB="0" distL="0" distR="0">
                  <wp:extent cx="3042920" cy="2231390"/>
                  <wp:effectExtent l="19050" t="0" r="508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a:srcRect/>
                          <a:stretch>
                            <a:fillRect/>
                          </a:stretch>
                        </pic:blipFill>
                        <pic:spPr bwMode="auto">
                          <a:xfrm>
                            <a:off x="0" y="0"/>
                            <a:ext cx="3042920" cy="2231390"/>
                          </a:xfrm>
                          <a:prstGeom prst="rect">
                            <a:avLst/>
                          </a:prstGeom>
                          <a:noFill/>
                          <a:ln w="9525">
                            <a:noFill/>
                            <a:miter lim="800000"/>
                            <a:headEnd/>
                            <a:tailEnd/>
                          </a:ln>
                        </pic:spPr>
                      </pic:pic>
                    </a:graphicData>
                  </a:graphic>
                </wp:inline>
              </w:drawing>
            </w:r>
          </w:p>
        </w:tc>
        <w:tc>
          <w:tcPr>
            <w:tcW w:w="2479" w:type="pct"/>
            <w:gridSpan w:val="2"/>
          </w:tcPr>
          <w:p w:rsidR="00492991" w:rsidRDefault="00906225" w:rsidP="008A03DE">
            <w:pPr>
              <w:pStyle w:val="Textpoznpodarou"/>
              <w:jc w:val="both"/>
            </w:pPr>
            <w:r>
              <w:rPr>
                <w:noProof/>
              </w:rPr>
              <w:drawing>
                <wp:inline distT="0" distB="0" distL="0" distR="0">
                  <wp:extent cx="3035935" cy="2231390"/>
                  <wp:effectExtent l="1905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3"/>
                          <a:srcRect/>
                          <a:stretch>
                            <a:fillRect/>
                          </a:stretch>
                        </pic:blipFill>
                        <pic:spPr bwMode="auto">
                          <a:xfrm>
                            <a:off x="0" y="0"/>
                            <a:ext cx="3035935" cy="2231390"/>
                          </a:xfrm>
                          <a:prstGeom prst="rect">
                            <a:avLst/>
                          </a:prstGeom>
                          <a:noFill/>
                          <a:ln w="9525">
                            <a:noFill/>
                            <a:miter lim="800000"/>
                            <a:headEnd/>
                            <a:tailEnd/>
                          </a:ln>
                        </pic:spPr>
                      </pic:pic>
                    </a:graphicData>
                  </a:graphic>
                </wp:inline>
              </w:drawing>
            </w:r>
          </w:p>
        </w:tc>
      </w:tr>
      <w:tr w:rsidR="00492991" w:rsidTr="008A03DE">
        <w:trPr>
          <w:trHeight w:val="58"/>
        </w:trPr>
        <w:tc>
          <w:tcPr>
            <w:tcW w:w="4968" w:type="pct"/>
            <w:gridSpan w:val="4"/>
          </w:tcPr>
          <w:p w:rsidR="00492991" w:rsidRDefault="00492991" w:rsidP="008A03DE">
            <w:pPr>
              <w:pStyle w:val="Zhlav"/>
              <w:spacing w:line="240" w:lineRule="auto"/>
              <w:rPr>
                <w:rFonts w:ascii="Arial" w:eastAsia="Times New Roman" w:hAnsi="Arial" w:cs="Arial"/>
                <w:sz w:val="18"/>
                <w:szCs w:val="18"/>
              </w:rPr>
            </w:pPr>
            <w:r>
              <w:rPr>
                <w:rFonts w:ascii="Arial" w:hAnsi="Arial" w:cs="Arial"/>
                <w:sz w:val="18"/>
                <w:szCs w:val="18"/>
                <w:lang w:eastAsia="cs-CZ"/>
              </w:rPr>
              <w:t xml:space="preserve">*očištěno o kalendářní vlivy                                                                                                                                  </w:t>
            </w:r>
            <w:r w:rsidRPr="000F401E">
              <w:rPr>
                <w:rFonts w:ascii="Arial" w:hAnsi="Arial" w:cs="Arial"/>
                <w:sz w:val="18"/>
                <w:szCs w:val="18"/>
                <w:lang w:eastAsia="cs-CZ"/>
              </w:rPr>
              <w:t>Zdroj: ČSÚ</w:t>
            </w:r>
          </w:p>
        </w:tc>
      </w:tr>
    </w:tbl>
    <w:p w:rsidR="00016033" w:rsidRPr="00492991" w:rsidRDefault="00016033" w:rsidP="005E4483">
      <w:pPr>
        <w:pStyle w:val="Textpoznpodarou"/>
        <w:jc w:val="both"/>
        <w:rPr>
          <w:sz w:val="4"/>
          <w:szCs w:val="4"/>
        </w:rPr>
      </w:pPr>
    </w:p>
    <w:p w:rsidR="00576A3E" w:rsidRPr="00A74192" w:rsidRDefault="00576A3E" w:rsidP="009F777A">
      <w:pPr>
        <w:pStyle w:val="Nadpis1"/>
        <w:numPr>
          <w:ilvl w:val="0"/>
          <w:numId w:val="12"/>
        </w:numPr>
        <w:ind w:left="709"/>
        <w:jc w:val="both"/>
      </w:pPr>
      <w:bookmarkStart w:id="10" w:name="_Toc469299932"/>
      <w:bookmarkStart w:id="11" w:name="_Toc469327801"/>
      <w:r w:rsidRPr="00A74192">
        <w:t>Vnější ekonomické vztahy</w:t>
      </w:r>
      <w:bookmarkEnd w:id="10"/>
      <w:bookmarkEnd w:id="11"/>
    </w:p>
    <w:tbl>
      <w:tblPr>
        <w:tblW w:w="4963" w:type="pct"/>
        <w:tblInd w:w="108" w:type="dxa"/>
        <w:tblLayout w:type="fixed"/>
        <w:tblLook w:val="00A0"/>
      </w:tblPr>
      <w:tblGrid>
        <w:gridCol w:w="818"/>
        <w:gridCol w:w="1279"/>
        <w:gridCol w:w="278"/>
        <w:gridCol w:w="2504"/>
        <w:gridCol w:w="1107"/>
        <w:gridCol w:w="3795"/>
      </w:tblGrid>
      <w:tr w:rsidR="00794870" w:rsidRPr="00A74192" w:rsidTr="007F0316">
        <w:tc>
          <w:tcPr>
            <w:tcW w:w="1072" w:type="pct"/>
            <w:gridSpan w:val="2"/>
          </w:tcPr>
          <w:p w:rsidR="00794870" w:rsidRPr="002804BB" w:rsidRDefault="00794870" w:rsidP="00794870">
            <w:pPr>
              <w:spacing w:line="240" w:lineRule="auto"/>
              <w:rPr>
                <w:sz w:val="16"/>
                <w:szCs w:val="16"/>
                <w:highlight w:val="yellow"/>
              </w:rPr>
            </w:pPr>
            <w:r w:rsidRPr="005B5F05">
              <w:rPr>
                <w:sz w:val="16"/>
                <w:szCs w:val="16"/>
              </w:rPr>
              <w:t>Přebytek salda zboží a</w:t>
            </w:r>
            <w:r>
              <w:rPr>
                <w:sz w:val="16"/>
                <w:szCs w:val="16"/>
              </w:rPr>
              <w:t> </w:t>
            </w:r>
            <w:r w:rsidRPr="005B5F05">
              <w:rPr>
                <w:sz w:val="16"/>
                <w:szCs w:val="16"/>
              </w:rPr>
              <w:t>služeb vedl k rekordnímu kladnému saldu běžného účtu platební bilance</w:t>
            </w:r>
            <w:r w:rsidR="00C7179C">
              <w:rPr>
                <w:sz w:val="16"/>
                <w:szCs w:val="16"/>
              </w:rPr>
              <w:t>.</w:t>
            </w:r>
          </w:p>
        </w:tc>
        <w:tc>
          <w:tcPr>
            <w:tcW w:w="142" w:type="pct"/>
          </w:tcPr>
          <w:p w:rsidR="00794870" w:rsidRPr="00A74192" w:rsidRDefault="00794870" w:rsidP="00D94859">
            <w:pPr>
              <w:pStyle w:val="Textpoznpodarou"/>
              <w:jc w:val="both"/>
              <w:rPr>
                <w:color w:val="FF0000"/>
              </w:rPr>
            </w:pPr>
          </w:p>
        </w:tc>
        <w:tc>
          <w:tcPr>
            <w:tcW w:w="3786" w:type="pct"/>
            <w:gridSpan w:val="3"/>
          </w:tcPr>
          <w:p w:rsidR="00794870" w:rsidRDefault="00794870" w:rsidP="00E372FD">
            <w:pPr>
              <w:pStyle w:val="Textpoznpodarou"/>
              <w:jc w:val="both"/>
              <w:rPr>
                <w:sz w:val="16"/>
                <w:szCs w:val="16"/>
              </w:rPr>
            </w:pPr>
            <w:r w:rsidRPr="00CB067F">
              <w:t xml:space="preserve">V roce 2016 dosáhl </w:t>
            </w:r>
            <w:r w:rsidR="00217980">
              <w:t xml:space="preserve">dle údajů ČNB </w:t>
            </w:r>
            <w:r w:rsidRPr="00CB067F">
              <w:t>přebytek běžného účtu</w:t>
            </w:r>
            <w:r>
              <w:t xml:space="preserve"> platební bilance </w:t>
            </w:r>
            <w:r w:rsidR="00993BE6">
              <w:t>52,6</w:t>
            </w:r>
            <w:r w:rsidR="00217980">
              <w:t> </w:t>
            </w:r>
            <w:r w:rsidRPr="00CB067F">
              <w:t>mld. korun a</w:t>
            </w:r>
            <w:r>
              <w:t> </w:t>
            </w:r>
            <w:r w:rsidRPr="00CB067F">
              <w:t xml:space="preserve">převýšil přebytek </w:t>
            </w:r>
            <w:r>
              <w:t>z předchozího </w:t>
            </w:r>
            <w:r w:rsidRPr="00CB067F">
              <w:t>roku</w:t>
            </w:r>
            <w:r>
              <w:t xml:space="preserve"> </w:t>
            </w:r>
            <w:r w:rsidRPr="00CB067F">
              <w:t xml:space="preserve">o </w:t>
            </w:r>
            <w:r w:rsidR="00993BE6">
              <w:t>41,4</w:t>
            </w:r>
            <w:r w:rsidRPr="00CB067F">
              <w:t xml:space="preserve"> mld. korun.</w:t>
            </w:r>
            <w:r>
              <w:t xml:space="preserve"> Zásluhu na tom má mimořádně vysoké kladné saldo zboží a služeb, které bylo o</w:t>
            </w:r>
            <w:r w:rsidR="00217980">
              <w:t> </w:t>
            </w:r>
            <w:r>
              <w:t>8</w:t>
            </w:r>
            <w:r w:rsidR="001E5469">
              <w:t>5</w:t>
            </w:r>
            <w:r>
              <w:t>,</w:t>
            </w:r>
            <w:r w:rsidR="001E5469">
              <w:t>6</w:t>
            </w:r>
            <w:r>
              <w:t xml:space="preserve"> mld. vyšší než v roce 2015. V opačném směru působil především deficit druhotných důchodů, který se oproti roku 2015 prohloubil o </w:t>
            </w:r>
            <w:r w:rsidR="001E5469">
              <w:t>27,3</w:t>
            </w:r>
            <w:r>
              <w:t xml:space="preserve"> mld. korun. Deficit prvotních důchodu dosáhl 2</w:t>
            </w:r>
            <w:r w:rsidR="001E5469">
              <w:t>71,8</w:t>
            </w:r>
            <w:r>
              <w:t xml:space="preserve"> mld. korun, což je </w:t>
            </w:r>
            <w:r w:rsidR="001E5469">
              <w:t>o 16,9 mld. více než</w:t>
            </w:r>
            <w:r>
              <w:t xml:space="preserve"> v roce 2015. V kapitálovém účtu se promítaly transfery peněz z EU a především jejich výrazný úbytek mezi lety 2016 a 2015. Přebytek kapitálového účtu za rok 2016</w:t>
            </w:r>
            <w:r w:rsidR="001E5469">
              <w:t xml:space="preserve"> dosáhl 53,5</w:t>
            </w:r>
            <w:r>
              <w:t xml:space="preserve"> mld. korun a ve srovnání s rokem 2015 se snížil o </w:t>
            </w:r>
            <w:r w:rsidR="001E5469">
              <w:t>48,4</w:t>
            </w:r>
            <w:r>
              <w:t xml:space="preserve"> mld. Pro srovnání, v roce 2014 kladné saldo kapitálového účtu činilo 32,</w:t>
            </w:r>
            <w:r w:rsidR="00152E53">
              <w:t>3</w:t>
            </w:r>
            <w:r>
              <w:t xml:space="preserve"> mld. korun.</w:t>
            </w:r>
          </w:p>
          <w:p w:rsidR="00E372FD" w:rsidRPr="00E372FD" w:rsidRDefault="00E372FD" w:rsidP="00E372FD">
            <w:pPr>
              <w:pStyle w:val="Textpoznpodarou"/>
              <w:jc w:val="both"/>
              <w:rPr>
                <w:color w:val="FF0000"/>
                <w:sz w:val="16"/>
                <w:szCs w:val="16"/>
                <w:highlight w:val="yellow"/>
              </w:rPr>
            </w:pPr>
          </w:p>
        </w:tc>
      </w:tr>
      <w:tr w:rsidR="00794870" w:rsidRPr="00A74192" w:rsidTr="007F0316">
        <w:tc>
          <w:tcPr>
            <w:tcW w:w="1072" w:type="pct"/>
            <w:gridSpan w:val="2"/>
          </w:tcPr>
          <w:p w:rsidR="00794870" w:rsidRPr="002804BB" w:rsidRDefault="00794870" w:rsidP="008A03DE">
            <w:pPr>
              <w:spacing w:line="240" w:lineRule="auto"/>
              <w:rPr>
                <w:sz w:val="16"/>
                <w:szCs w:val="16"/>
                <w:highlight w:val="yellow"/>
              </w:rPr>
            </w:pPr>
            <w:r w:rsidRPr="005B5F05">
              <w:rPr>
                <w:sz w:val="16"/>
                <w:szCs w:val="16"/>
              </w:rPr>
              <w:t>Nárůst objemu rezervních aktiv převýšil ostatní faktory a finanční účet skončil v přebytku navzdory výraznému přílivu zahraničních investic</w:t>
            </w:r>
            <w:r w:rsidR="00C7179C">
              <w:rPr>
                <w:sz w:val="16"/>
                <w:szCs w:val="16"/>
              </w:rPr>
              <w:t>.</w:t>
            </w:r>
          </w:p>
        </w:tc>
        <w:tc>
          <w:tcPr>
            <w:tcW w:w="142" w:type="pct"/>
          </w:tcPr>
          <w:p w:rsidR="00794870" w:rsidRPr="00A74192" w:rsidRDefault="00794870" w:rsidP="00D94859">
            <w:pPr>
              <w:pStyle w:val="Textpoznpodarou"/>
              <w:jc w:val="both"/>
              <w:rPr>
                <w:color w:val="FF0000"/>
              </w:rPr>
            </w:pPr>
          </w:p>
        </w:tc>
        <w:tc>
          <w:tcPr>
            <w:tcW w:w="3786" w:type="pct"/>
            <w:gridSpan w:val="3"/>
          </w:tcPr>
          <w:p w:rsidR="00E372FD" w:rsidRDefault="00794870" w:rsidP="00E372FD">
            <w:pPr>
              <w:pStyle w:val="Textpoznpodarou"/>
              <w:jc w:val="both"/>
              <w:rPr>
                <w:sz w:val="16"/>
                <w:szCs w:val="16"/>
              </w:rPr>
            </w:pPr>
            <w:r w:rsidRPr="00660239">
              <w:t>Finanční účet skončil v přebytku 1</w:t>
            </w:r>
            <w:r w:rsidR="00152E53">
              <w:t>17</w:t>
            </w:r>
            <w:r w:rsidRPr="00660239">
              <w:t>,</w:t>
            </w:r>
            <w:r w:rsidR="00152E53">
              <w:t>7</w:t>
            </w:r>
            <w:r w:rsidRPr="00660239">
              <w:t xml:space="preserve"> mld. korun, což je o 5</w:t>
            </w:r>
            <w:r w:rsidR="00152E53">
              <w:t>8</w:t>
            </w:r>
            <w:r w:rsidRPr="00660239">
              <w:t>,</w:t>
            </w:r>
            <w:r w:rsidR="00152E53">
              <w:t>1</w:t>
            </w:r>
            <w:r w:rsidRPr="00660239">
              <w:t xml:space="preserve"> mld. korun méně než v roce 2015.</w:t>
            </w:r>
            <w:r>
              <w:t xml:space="preserve"> Kladné saldo výrazně </w:t>
            </w:r>
            <w:r w:rsidR="004D4F13">
              <w:t>navyšovala rezervní aktiva, jejichž o</w:t>
            </w:r>
            <w:r>
              <w:t xml:space="preserve">bjem během roku stabilně </w:t>
            </w:r>
            <w:r w:rsidR="004D4F13">
              <w:t>rostl</w:t>
            </w:r>
            <w:r>
              <w:t xml:space="preserve"> a celkově se zvýšil o 563,5 mld. korun, což je o 212,2 mld. korun více než v předchozím roce. Navýšení devizových rezerv výrazně ovlivnilo konečnou podobu finančního účtu, protože proti kladnému saldu silně působil příliv přímých investic ze zahraničí. Během 2. a 3. čtvrtletí 2016 došlo k výraznému odlivu domácích investic v zahraničí, který byl soustředěn především do dluhových nástrojů. Naproti tomu za rok 2016 do Česka přitekly přímé zahraniční investice ve výši </w:t>
            </w:r>
            <w:r w:rsidR="00152E53">
              <w:t>158,8</w:t>
            </w:r>
            <w:r>
              <w:t xml:space="preserve"> mld. korun (o </w:t>
            </w:r>
            <w:r w:rsidR="00152E53">
              <w:t>117,3</w:t>
            </w:r>
            <w:r>
              <w:t xml:space="preserve"> mld. korun více než v roce 2015).</w:t>
            </w:r>
          </w:p>
          <w:p w:rsidR="00794870" w:rsidRPr="00FC579C" w:rsidRDefault="00794870" w:rsidP="00E372FD">
            <w:pPr>
              <w:pStyle w:val="Textpoznpodarou"/>
              <w:jc w:val="both"/>
            </w:pPr>
            <w:r>
              <w:t xml:space="preserve">     </w:t>
            </w:r>
            <w:r w:rsidRPr="00660239">
              <w:t xml:space="preserve"> </w:t>
            </w:r>
          </w:p>
        </w:tc>
      </w:tr>
      <w:tr w:rsidR="00794870" w:rsidRPr="00A74192" w:rsidTr="007F0316">
        <w:tc>
          <w:tcPr>
            <w:tcW w:w="1072" w:type="pct"/>
            <w:gridSpan w:val="2"/>
          </w:tcPr>
          <w:p w:rsidR="00794870" w:rsidRPr="002804BB" w:rsidRDefault="00794870" w:rsidP="008A03DE">
            <w:pPr>
              <w:spacing w:line="240" w:lineRule="auto"/>
              <w:rPr>
                <w:sz w:val="16"/>
                <w:szCs w:val="16"/>
                <w:highlight w:val="yellow"/>
              </w:rPr>
            </w:pPr>
            <w:r w:rsidRPr="00C30529">
              <w:rPr>
                <w:sz w:val="16"/>
                <w:szCs w:val="16"/>
              </w:rPr>
              <w:t>V roce 201</w:t>
            </w:r>
            <w:r>
              <w:rPr>
                <w:sz w:val="16"/>
                <w:szCs w:val="16"/>
              </w:rPr>
              <w:t>6</w:t>
            </w:r>
            <w:r w:rsidRPr="00C30529">
              <w:rPr>
                <w:sz w:val="16"/>
                <w:szCs w:val="16"/>
              </w:rPr>
              <w:t xml:space="preserve"> se oslabil tok českých portfoliových investic do zahraničí. Pokračoval zájem o české dluhové cenné papíry ze strany zahraničních investorů</w:t>
            </w:r>
            <w:r w:rsidR="00C7179C">
              <w:rPr>
                <w:sz w:val="16"/>
                <w:szCs w:val="16"/>
              </w:rPr>
              <w:t>.</w:t>
            </w:r>
          </w:p>
        </w:tc>
        <w:tc>
          <w:tcPr>
            <w:tcW w:w="142" w:type="pct"/>
          </w:tcPr>
          <w:p w:rsidR="00794870" w:rsidRPr="00A74192" w:rsidRDefault="00794870" w:rsidP="00D94859">
            <w:pPr>
              <w:pStyle w:val="Textpoznpodarou"/>
              <w:rPr>
                <w:color w:val="FF0000"/>
              </w:rPr>
            </w:pPr>
          </w:p>
        </w:tc>
        <w:tc>
          <w:tcPr>
            <w:tcW w:w="3786" w:type="pct"/>
            <w:gridSpan w:val="3"/>
          </w:tcPr>
          <w:p w:rsidR="00794870" w:rsidRDefault="00794870" w:rsidP="00E372FD">
            <w:pPr>
              <w:pStyle w:val="Textpoznpodarou"/>
              <w:jc w:val="both"/>
              <w:rPr>
                <w:sz w:val="16"/>
              </w:rPr>
            </w:pPr>
            <w:r w:rsidRPr="00DE7BBA">
              <w:t xml:space="preserve">Čistý příliv portfoliových investic do Česka v roce 2016 činil </w:t>
            </w:r>
            <w:r w:rsidR="00152E53">
              <w:t>169,5</w:t>
            </w:r>
            <w:r w:rsidRPr="00DE7BBA">
              <w:t xml:space="preserve"> mld. korun, což je o </w:t>
            </w:r>
            <w:r w:rsidR="007F2801">
              <w:t>5,4</w:t>
            </w:r>
            <w:r w:rsidRPr="00DE7BBA">
              <w:t xml:space="preserve"> mld. více než v předchozím roce. Na pasivní straně se tok</w:t>
            </w:r>
            <w:r>
              <w:t xml:space="preserve"> peněz</w:t>
            </w:r>
            <w:r w:rsidR="007F2801">
              <w:t xml:space="preserve"> </w:t>
            </w:r>
            <w:r w:rsidRPr="00DE7BBA">
              <w:t>snížil (</w:t>
            </w:r>
            <w:r>
              <w:t xml:space="preserve">příliv ve výši </w:t>
            </w:r>
            <w:r w:rsidR="007F2801">
              <w:t>191,5</w:t>
            </w:r>
            <w:r>
              <w:t xml:space="preserve"> mld. korun</w:t>
            </w:r>
            <w:r w:rsidRPr="00DE7BBA">
              <w:t xml:space="preserve">, tj. o </w:t>
            </w:r>
            <w:r w:rsidR="007F2801">
              <w:t>44,9</w:t>
            </w:r>
            <w:r w:rsidRPr="00DE7BBA">
              <w:t xml:space="preserve"> mld. méně než v roce 2015). Zvýšení čistého přílivu portfoliových investic je </w:t>
            </w:r>
            <w:r>
              <w:t xml:space="preserve">tak </w:t>
            </w:r>
            <w:r w:rsidRPr="00DE7BBA">
              <w:t>výsledk</w:t>
            </w:r>
            <w:r>
              <w:t>em slabého toku domácích investic do zahraničí. Aktivní strana portfoliových investic dosáhla výsledku 2</w:t>
            </w:r>
            <w:r w:rsidR="007F2801">
              <w:t>1</w:t>
            </w:r>
            <w:r>
              <w:t>,</w:t>
            </w:r>
            <w:r w:rsidR="007F2801">
              <w:t>9</w:t>
            </w:r>
            <w:r>
              <w:t xml:space="preserve"> mld. korun, což je o </w:t>
            </w:r>
            <w:r w:rsidR="007F2801">
              <w:t>50</w:t>
            </w:r>
            <w:r>
              <w:t>,</w:t>
            </w:r>
            <w:r w:rsidR="007F2801">
              <w:t>3</w:t>
            </w:r>
            <w:r>
              <w:t xml:space="preserve"> mld. méně než v roce 2015. Většinu tohoto rozdílu tvoří snížení účastí a podílů v investičních fondech o 3</w:t>
            </w:r>
            <w:r w:rsidR="007F2801">
              <w:t>1</w:t>
            </w:r>
            <w:r>
              <w:t>,</w:t>
            </w:r>
            <w:r w:rsidR="007F2801">
              <w:t>5</w:t>
            </w:r>
            <w:r>
              <w:t xml:space="preserve"> mld. korun. Přetrvával zájem o české dluhové cenné papíry. Celkem jich zahraniční investoři nakoupili za </w:t>
            </w:r>
            <w:r w:rsidR="007F2801">
              <w:t>181,7</w:t>
            </w:r>
            <w:r>
              <w:t xml:space="preserve"> mld. korun (z toho dluhopisy vládních institucí tvořily 1</w:t>
            </w:r>
            <w:r w:rsidR="007F2801">
              <w:t>21</w:t>
            </w:r>
            <w:r>
              <w:t>,</w:t>
            </w:r>
            <w:r w:rsidR="007F2801">
              <w:t>7</w:t>
            </w:r>
            <w:r>
              <w:t xml:space="preserve"> mld. korun). </w:t>
            </w:r>
          </w:p>
          <w:p w:rsidR="00E372FD" w:rsidRPr="00E372FD" w:rsidRDefault="00E372FD" w:rsidP="00E372FD">
            <w:pPr>
              <w:pStyle w:val="Textpoznpodarou"/>
              <w:jc w:val="both"/>
              <w:rPr>
                <w:color w:val="FF0000"/>
                <w:sz w:val="16"/>
                <w:highlight w:val="yellow"/>
              </w:rPr>
            </w:pPr>
          </w:p>
        </w:tc>
      </w:tr>
      <w:tr w:rsidR="00794870" w:rsidRPr="00A74192" w:rsidTr="007F0316">
        <w:tc>
          <w:tcPr>
            <w:tcW w:w="1072" w:type="pct"/>
            <w:gridSpan w:val="2"/>
          </w:tcPr>
          <w:p w:rsidR="00794870" w:rsidRPr="002804BB" w:rsidRDefault="00794870" w:rsidP="008A03DE">
            <w:pPr>
              <w:spacing w:line="240" w:lineRule="auto"/>
              <w:rPr>
                <w:sz w:val="16"/>
                <w:szCs w:val="16"/>
                <w:highlight w:val="yellow"/>
              </w:rPr>
            </w:pPr>
            <w:r w:rsidRPr="00E21263">
              <w:rPr>
                <w:sz w:val="16"/>
                <w:szCs w:val="16"/>
              </w:rPr>
              <w:t>V roce 2016 dosáhla hodnota vývozu rekordních hodnot. Přesto v druhé půli roku exportní výkonnost zaostávala za rokem 2015</w:t>
            </w:r>
            <w:r w:rsidR="00C7179C">
              <w:rPr>
                <w:sz w:val="16"/>
                <w:szCs w:val="16"/>
              </w:rPr>
              <w:t>.</w:t>
            </w:r>
          </w:p>
        </w:tc>
        <w:tc>
          <w:tcPr>
            <w:tcW w:w="142" w:type="pct"/>
          </w:tcPr>
          <w:p w:rsidR="00794870" w:rsidRPr="00A74192" w:rsidRDefault="00794870" w:rsidP="00D94859">
            <w:pPr>
              <w:pStyle w:val="Textpoznpodarou"/>
              <w:jc w:val="both"/>
              <w:rPr>
                <w:color w:val="FF0000"/>
              </w:rPr>
            </w:pPr>
          </w:p>
        </w:tc>
        <w:tc>
          <w:tcPr>
            <w:tcW w:w="3786" w:type="pct"/>
            <w:gridSpan w:val="3"/>
          </w:tcPr>
          <w:p w:rsidR="00794870" w:rsidRDefault="00794870" w:rsidP="00E372FD">
            <w:pPr>
              <w:pStyle w:val="Textpoznpodarou"/>
              <w:jc w:val="both"/>
              <w:rPr>
                <w:sz w:val="16"/>
                <w:szCs w:val="16"/>
              </w:rPr>
            </w:pPr>
            <w:r>
              <w:t>Z hlediska hodnoty vývozu byl rok 2016 rekordní. Z</w:t>
            </w:r>
            <w:r w:rsidRPr="00A21946">
              <w:t xml:space="preserve"> Česka </w:t>
            </w:r>
            <w:r>
              <w:t xml:space="preserve">bylo </w:t>
            </w:r>
            <w:r w:rsidRPr="00A21946">
              <w:t xml:space="preserve">vyvezeno zboží v hodnotě </w:t>
            </w:r>
            <w:r w:rsidRPr="00217980">
              <w:t>3</w:t>
            </w:r>
            <w:r w:rsidR="00217980">
              <w:t> </w:t>
            </w:r>
            <w:r w:rsidRPr="00217980">
              <w:t>312</w:t>
            </w:r>
            <w:r w:rsidRPr="00A21946">
              <w:t xml:space="preserve"> mld. korun</w:t>
            </w:r>
            <w:r w:rsidR="00E372FD" w:rsidRPr="00A74192">
              <w:rPr>
                <w:rStyle w:val="Znakapoznpodarou"/>
              </w:rPr>
              <w:footnoteReference w:id="21"/>
            </w:r>
            <w:r>
              <w:t>, což je navýšení o 1,5 % oproti roku 2015. Meziroční tempo růstu exportu se v porovnání s předchozími dvěma lety snížilo. V prvním čtvrtletí vzrostl vývoz o 1,8 %. Druhé čtvrtletí se stalo pro exportéry nejúspěšnějším za celý rok, když vývoz vzrostl o 4,2 %. V druhé polovině roku se však projevila vysoká srovnávací základna roku 2015 kombinovaná s dočasným omezením výrobních kapacit některých důležitých exportérů. Ve 3. kvartálu se export meziročně snížil o 0,9 % a v závěru roku meziroční přírůstek dosáhl jen 0,7 %.</w:t>
            </w:r>
          </w:p>
          <w:p w:rsidR="00E372FD" w:rsidRPr="00E372FD" w:rsidRDefault="00E372FD" w:rsidP="00E372FD">
            <w:pPr>
              <w:pStyle w:val="Textpoznpodarou"/>
              <w:jc w:val="both"/>
              <w:rPr>
                <w:sz w:val="16"/>
                <w:szCs w:val="16"/>
                <w:highlight w:val="yellow"/>
              </w:rPr>
            </w:pPr>
          </w:p>
        </w:tc>
      </w:tr>
      <w:tr w:rsidR="00794870" w:rsidRPr="00A74192" w:rsidTr="007F0316">
        <w:tc>
          <w:tcPr>
            <w:tcW w:w="1072" w:type="pct"/>
            <w:gridSpan w:val="2"/>
          </w:tcPr>
          <w:p w:rsidR="00794870" w:rsidRPr="002804BB" w:rsidRDefault="00794870" w:rsidP="008A03DE">
            <w:pPr>
              <w:spacing w:line="240" w:lineRule="auto"/>
              <w:rPr>
                <w:sz w:val="16"/>
                <w:szCs w:val="16"/>
                <w:highlight w:val="yellow"/>
              </w:rPr>
            </w:pPr>
            <w:r w:rsidRPr="005B5F05">
              <w:rPr>
                <w:sz w:val="16"/>
                <w:szCs w:val="16"/>
              </w:rPr>
              <w:t xml:space="preserve">V druhé polovině roku zpomaloval vývoz do </w:t>
            </w:r>
            <w:r>
              <w:rPr>
                <w:sz w:val="16"/>
                <w:szCs w:val="16"/>
              </w:rPr>
              <w:t>EU</w:t>
            </w:r>
            <w:r w:rsidRPr="005B5F05">
              <w:rPr>
                <w:sz w:val="16"/>
                <w:szCs w:val="16"/>
              </w:rPr>
              <w:t>. Vývoz do zbytku světa naopak rostl</w:t>
            </w:r>
            <w:r w:rsidR="00C7179C">
              <w:rPr>
                <w:sz w:val="16"/>
                <w:szCs w:val="16"/>
              </w:rPr>
              <w:t>.</w:t>
            </w:r>
          </w:p>
        </w:tc>
        <w:tc>
          <w:tcPr>
            <w:tcW w:w="142" w:type="pct"/>
          </w:tcPr>
          <w:p w:rsidR="00794870" w:rsidRPr="00A74192" w:rsidRDefault="00794870" w:rsidP="00D94859">
            <w:pPr>
              <w:pStyle w:val="Textpoznpodarou"/>
              <w:jc w:val="both"/>
            </w:pPr>
          </w:p>
        </w:tc>
        <w:tc>
          <w:tcPr>
            <w:tcW w:w="3786" w:type="pct"/>
            <w:gridSpan w:val="3"/>
          </w:tcPr>
          <w:p w:rsidR="00E372FD" w:rsidRDefault="00794870" w:rsidP="00E372FD">
            <w:pPr>
              <w:pStyle w:val="Textpoznpodarou"/>
              <w:jc w:val="both"/>
              <w:rPr>
                <w:sz w:val="16"/>
                <w:szCs w:val="16"/>
              </w:rPr>
            </w:pPr>
            <w:r w:rsidRPr="00FF3C75">
              <w:t>Vývoz do zemí Evropské unie, který tvořil 84</w:t>
            </w:r>
            <w:r w:rsidR="003857A2">
              <w:t>,0</w:t>
            </w:r>
            <w:r w:rsidRPr="00FF3C75">
              <w:t xml:space="preserve"> % celkové hodnoty českého exportu, meziročně vzrostl o 2,7 % a 5,4 % v 1. a 2. čtvrtletí roku. Druhá polovina roku 2016 již nebyla tak úspěšná, když vývoz do EU klesl o 1</w:t>
            </w:r>
            <w:r>
              <w:t>,1</w:t>
            </w:r>
            <w:r w:rsidRPr="00FF3C75">
              <w:t xml:space="preserve"> %</w:t>
            </w:r>
            <w:r>
              <w:t xml:space="preserve"> ve 3. čtvrtletí a následně dosáhl hodnoty 4. čtvrtletí předchozího roku. Meziroční pokles vývozu se objevil poprvé od 1. čtvrtletí roku 2013 a podílel se na něm především výrazný propad exportu na Slovensko a do Velké Británie. Vývoz do Německa, který tvořil téměř třetinu celkového exportu, v 1. a 2. kvartálu rostl o 0,6 % a 4,4 % a následně klesl o 0,6 % ve 3. kvartálu. V závěru roku pak opět vzrostl (+2,2 %). Naopak export do zemí mimo EU klesal v prvních dvou čtvrtletích a znovu nabral dech v druhé půli roku, když vzrostl o 0,5 % a 4,5 %. </w:t>
            </w:r>
          </w:p>
          <w:p w:rsidR="00E372FD" w:rsidRPr="00E372FD" w:rsidRDefault="00E372FD" w:rsidP="00E372FD">
            <w:pPr>
              <w:pStyle w:val="Textpoznpodarou"/>
              <w:jc w:val="both"/>
              <w:rPr>
                <w:sz w:val="16"/>
                <w:szCs w:val="16"/>
              </w:rPr>
            </w:pPr>
          </w:p>
        </w:tc>
      </w:tr>
      <w:tr w:rsidR="00794870" w:rsidRPr="00A74192" w:rsidTr="007F0316">
        <w:tc>
          <w:tcPr>
            <w:tcW w:w="1072" w:type="pct"/>
            <w:gridSpan w:val="2"/>
          </w:tcPr>
          <w:p w:rsidR="00794870" w:rsidRPr="002804BB" w:rsidRDefault="00794870" w:rsidP="008A03DE">
            <w:pPr>
              <w:spacing w:line="240" w:lineRule="auto"/>
              <w:rPr>
                <w:sz w:val="16"/>
                <w:szCs w:val="16"/>
                <w:highlight w:val="yellow"/>
              </w:rPr>
            </w:pPr>
            <w:r w:rsidRPr="005B5F05">
              <w:rPr>
                <w:sz w:val="16"/>
                <w:szCs w:val="16"/>
              </w:rPr>
              <w:t xml:space="preserve">Motorová vozidla po celý rok zůstala </w:t>
            </w:r>
            <w:r w:rsidRPr="005B5F05">
              <w:rPr>
                <w:sz w:val="16"/>
                <w:szCs w:val="16"/>
              </w:rPr>
              <w:lastRenderedPageBreak/>
              <w:t>nejúspěšnějším a</w:t>
            </w:r>
            <w:r w:rsidR="00C7179C">
              <w:rPr>
                <w:sz w:val="16"/>
                <w:szCs w:val="16"/>
              </w:rPr>
              <w:t> </w:t>
            </w:r>
            <w:r w:rsidRPr="005B5F05">
              <w:rPr>
                <w:sz w:val="16"/>
                <w:szCs w:val="16"/>
              </w:rPr>
              <w:t xml:space="preserve">nejvýznamnějším </w:t>
            </w:r>
            <w:r>
              <w:rPr>
                <w:sz w:val="16"/>
                <w:szCs w:val="16"/>
              </w:rPr>
              <w:t>oddílem</w:t>
            </w:r>
            <w:r w:rsidRPr="005B5F05">
              <w:rPr>
                <w:sz w:val="16"/>
                <w:szCs w:val="16"/>
              </w:rPr>
              <w:t xml:space="preserve"> českého exportu</w:t>
            </w:r>
            <w:r>
              <w:rPr>
                <w:sz w:val="16"/>
                <w:szCs w:val="16"/>
              </w:rPr>
              <w:t>, i když se jeho výkon v druhé polovině roku výrazně zpomalil</w:t>
            </w:r>
            <w:r w:rsidRPr="005B5F05">
              <w:rPr>
                <w:sz w:val="16"/>
                <w:szCs w:val="16"/>
              </w:rPr>
              <w:t>.</w:t>
            </w:r>
            <w:r>
              <w:rPr>
                <w:sz w:val="16"/>
                <w:szCs w:val="16"/>
              </w:rPr>
              <w:t xml:space="preserve"> V závěru roku se podařilo oživit export chemických výrobků</w:t>
            </w:r>
            <w:r w:rsidR="00C7179C">
              <w:rPr>
                <w:sz w:val="16"/>
                <w:szCs w:val="16"/>
              </w:rPr>
              <w:t>.</w:t>
            </w:r>
          </w:p>
        </w:tc>
        <w:tc>
          <w:tcPr>
            <w:tcW w:w="142" w:type="pct"/>
          </w:tcPr>
          <w:p w:rsidR="00794870" w:rsidRPr="00A74192" w:rsidRDefault="00794870" w:rsidP="00D94859">
            <w:pPr>
              <w:pStyle w:val="Textpoznpodarou"/>
              <w:jc w:val="both"/>
            </w:pPr>
          </w:p>
        </w:tc>
        <w:tc>
          <w:tcPr>
            <w:tcW w:w="3786" w:type="pct"/>
            <w:gridSpan w:val="3"/>
          </w:tcPr>
          <w:p w:rsidR="00794870" w:rsidRPr="008B0D9D" w:rsidRDefault="00794870" w:rsidP="008A03DE">
            <w:pPr>
              <w:pStyle w:val="Textpoznpodarou"/>
              <w:jc w:val="both"/>
            </w:pPr>
            <w:r w:rsidRPr="00E65646">
              <w:t xml:space="preserve">Z nejvýznamnějších </w:t>
            </w:r>
            <w:r>
              <w:t>zbožových oddílů</w:t>
            </w:r>
            <w:r w:rsidR="00E372FD">
              <w:t xml:space="preserve"> (p</w:t>
            </w:r>
            <w:r w:rsidR="00E372FD" w:rsidRPr="00E372FD">
              <w:t>odle klasifikace CZ-CPA</w:t>
            </w:r>
            <w:r w:rsidR="00E372FD">
              <w:t xml:space="preserve">) </w:t>
            </w:r>
            <w:r w:rsidRPr="00E65646">
              <w:t xml:space="preserve">se nejvíce dařilo </w:t>
            </w:r>
            <w:r>
              <w:t xml:space="preserve">exportu </w:t>
            </w:r>
            <w:r w:rsidRPr="00E65646">
              <w:t>motorový</w:t>
            </w:r>
            <w:r>
              <w:t>ch</w:t>
            </w:r>
            <w:r w:rsidRPr="00E65646">
              <w:t xml:space="preserve"> vozid</w:t>
            </w:r>
            <w:r>
              <w:t>e</w:t>
            </w:r>
            <w:r w:rsidRPr="00E65646">
              <w:t>l</w:t>
            </w:r>
            <w:r>
              <w:t xml:space="preserve"> a strojů a zařízení. Vývoz motorových vozidel </w:t>
            </w:r>
            <w:r>
              <w:lastRenderedPageBreak/>
              <w:t>v prvních dvou kvartálech meziročně vzrostl nejprve o 10,8 % a následně o</w:t>
            </w:r>
            <w:r w:rsidR="007F0316">
              <w:t> </w:t>
            </w:r>
            <w:r>
              <w:t>16,7</w:t>
            </w:r>
            <w:r w:rsidR="007F0316">
              <w:t> </w:t>
            </w:r>
            <w:r>
              <w:t xml:space="preserve">%. Na zpomalení růstu v druhé polovině roku (+3,0 % a +3,8 %) se podepsala vysoká srovnávací základna předchozího roku. Po sedmi čtvrtletích meziročního poklesu se obnovil růst exportu chemických látek a přípravků, když ve 4. čtvrtletí vzrostl vývoz o 9,2 %. Pokračovala stagnace v oddílu počítače, elektronické a optické přístroje a zařízení, která trvá od 2. čtvrtletí roku 2015. Ve 3. a 4. čtvrtletí meziročně poklesl export potravinářských výrobků o </w:t>
            </w:r>
            <w:r w:rsidR="00CF7276">
              <w:t xml:space="preserve">-1,5 % a </w:t>
            </w:r>
            <w:r w:rsidR="004D4F13">
              <w:noBreakHyphen/>
            </w:r>
            <w:r w:rsidR="00CF7276">
              <w:t>10,1</w:t>
            </w:r>
            <w:r>
              <w:t xml:space="preserve"> %, jedná se však o výsledek srovnání s nadprůměrně úspěšnou druhou polovinou roku 2015. Závěr roku 2016 nebyl příliš úspěšný pro exportéry kovodělných výrobků, kterým se nepodařilo udržet růst trvající více než tři roky. Vývoz v tomto oddílu ve 4. čtvrtletí meziročně klesl o 11,4 %.   </w:t>
            </w:r>
          </w:p>
          <w:p w:rsidR="00794870" w:rsidRPr="00463736" w:rsidRDefault="00794870" w:rsidP="008A03DE">
            <w:pPr>
              <w:pStyle w:val="Textpoznpodarou"/>
              <w:jc w:val="both"/>
              <w:rPr>
                <w:sz w:val="16"/>
                <w:szCs w:val="16"/>
              </w:rPr>
            </w:pPr>
          </w:p>
        </w:tc>
      </w:tr>
      <w:tr w:rsidR="00794870" w:rsidRPr="00A74192" w:rsidTr="007F0316">
        <w:tc>
          <w:tcPr>
            <w:tcW w:w="1072" w:type="pct"/>
            <w:gridSpan w:val="2"/>
          </w:tcPr>
          <w:p w:rsidR="00794870" w:rsidRPr="002804BB" w:rsidRDefault="00794870" w:rsidP="008A03DE">
            <w:pPr>
              <w:spacing w:line="240" w:lineRule="auto"/>
              <w:rPr>
                <w:sz w:val="16"/>
                <w:szCs w:val="16"/>
                <w:highlight w:val="yellow"/>
              </w:rPr>
            </w:pPr>
            <w:r w:rsidRPr="005B5F05">
              <w:rPr>
                <w:sz w:val="16"/>
                <w:szCs w:val="16"/>
              </w:rPr>
              <w:lastRenderedPageBreak/>
              <w:t>Dovoz stagnoval. Obnovení chemické výroby v Česku vedlo ve 4. čtvrtletí k vyššímu dovozu ropy i snížení závislosti na dovozu zahraničních chemických výrobků</w:t>
            </w:r>
            <w:r w:rsidR="00E41A59">
              <w:rPr>
                <w:sz w:val="16"/>
                <w:szCs w:val="16"/>
              </w:rPr>
              <w:t>.</w:t>
            </w:r>
          </w:p>
        </w:tc>
        <w:tc>
          <w:tcPr>
            <w:tcW w:w="142" w:type="pct"/>
          </w:tcPr>
          <w:p w:rsidR="00794870" w:rsidRPr="00A74192" w:rsidRDefault="00794870" w:rsidP="00D94859">
            <w:pPr>
              <w:pStyle w:val="Textpoznpodarou"/>
              <w:jc w:val="both"/>
            </w:pPr>
          </w:p>
        </w:tc>
        <w:tc>
          <w:tcPr>
            <w:tcW w:w="3786" w:type="pct"/>
            <w:gridSpan w:val="3"/>
          </w:tcPr>
          <w:p w:rsidR="00794870" w:rsidRDefault="00794870" w:rsidP="008A03DE">
            <w:pPr>
              <w:pStyle w:val="Textpoznpodarou"/>
              <w:jc w:val="both"/>
              <w:rPr>
                <w:sz w:val="16"/>
                <w:szCs w:val="16"/>
              </w:rPr>
            </w:pPr>
            <w:r>
              <w:t>Celkový import do Česka dosáhl hodnoty 3</w:t>
            </w:r>
            <w:r w:rsidR="00217980">
              <w:t> </w:t>
            </w:r>
            <w:r>
              <w:t xml:space="preserve">145 mld. korun. Dovoz z EU meziročně vzrostl v prvních dvou čtvrtletích shodně o 2,7 % a následně zpomalil a zvýšil se jen o 0,2 % a 0,6 % ve 3. a 4. čtvrtletí. </w:t>
            </w:r>
            <w:r w:rsidR="003857A2">
              <w:t>Výra</w:t>
            </w:r>
            <w:r w:rsidR="003857A2" w:rsidRPr="00512603">
              <w:t>zn</w:t>
            </w:r>
            <w:r w:rsidR="003857A2">
              <w:t>ý p</w:t>
            </w:r>
            <w:r>
              <w:t xml:space="preserve">odíl na růstu </w:t>
            </w:r>
            <w:r w:rsidR="00C205BF">
              <w:t xml:space="preserve">měl </w:t>
            </w:r>
            <w:r>
              <w:t xml:space="preserve">import z Polska, který se v první polovině roku meziročně zvyšoval o 13,6 % </w:t>
            </w:r>
            <w:r w:rsidRPr="003857A2">
              <w:t>a</w:t>
            </w:r>
            <w:r w:rsidR="003857A2">
              <w:t> </w:t>
            </w:r>
            <w:r w:rsidRPr="003857A2">
              <w:t>5</w:t>
            </w:r>
            <w:r>
              <w:t>,9 %. V roce 2016 vzrostl dovoz z Velké Británie o 11,4 %. Import z Německa stagnoval a vzrostl jen o 0,4 %. Klesl dovoz ze Slovenska (v úhrnu za celý rok o 1,1 %) a Rakouska (-3,4 %). Vzhledem k </w:t>
            </w:r>
            <w:r w:rsidR="003857A2">
              <w:t xml:space="preserve">rostoucím cenám ropy i </w:t>
            </w:r>
            <w:r>
              <w:t>obnoveným výrobním kapacitám v chemickém průmyslu a souvisejícímu oživení v tomto odvětví</w:t>
            </w:r>
            <w:r w:rsidR="003857A2">
              <w:t xml:space="preserve"> </w:t>
            </w:r>
            <w:r>
              <w:t xml:space="preserve">se ve 4. čtvrtletí roku 2016 zastavil více než dva roky trvající propad </w:t>
            </w:r>
            <w:r w:rsidR="003857A2">
              <w:t xml:space="preserve">hodnoty </w:t>
            </w:r>
            <w:r>
              <w:t>importu ropy a zemního plynu a zároveň se snížil dovoz chemických látek a výrobků. V roce 2016 vzrostl</w:t>
            </w:r>
            <w:r w:rsidR="00E372FD">
              <w:t>a</w:t>
            </w:r>
            <w:r>
              <w:t xml:space="preserve"> </w:t>
            </w:r>
            <w:r w:rsidR="00E372FD">
              <w:t>hodnota</w:t>
            </w:r>
            <w:r>
              <w:t xml:space="preserve"> dovozu motorových vozidel o</w:t>
            </w:r>
            <w:r w:rsidR="003857A2">
              <w:t> </w:t>
            </w:r>
            <w:r>
              <w:t>12,4</w:t>
            </w:r>
            <w:r w:rsidR="003857A2">
              <w:t> </w:t>
            </w:r>
            <w:r>
              <w:t>% a elektrických zařízení o 5,2 %. Klesl import počítačů a elektronických zařízení o 5,6 % a strojů a zařízení o 3,6 %.</w:t>
            </w:r>
          </w:p>
          <w:p w:rsidR="00794870" w:rsidRPr="00463736" w:rsidRDefault="00794870" w:rsidP="008A03DE">
            <w:pPr>
              <w:pStyle w:val="Textpoznpodarou"/>
              <w:jc w:val="both"/>
              <w:rPr>
                <w:sz w:val="16"/>
                <w:szCs w:val="16"/>
                <w:highlight w:val="yellow"/>
              </w:rPr>
            </w:pPr>
            <w:r>
              <w:t xml:space="preserve">      </w:t>
            </w:r>
          </w:p>
        </w:tc>
      </w:tr>
      <w:tr w:rsidR="00794870" w:rsidRPr="00A74192" w:rsidTr="007F0316">
        <w:tc>
          <w:tcPr>
            <w:tcW w:w="1072" w:type="pct"/>
            <w:gridSpan w:val="2"/>
          </w:tcPr>
          <w:p w:rsidR="00794870" w:rsidRPr="002804BB" w:rsidRDefault="00794870" w:rsidP="008A03DE">
            <w:pPr>
              <w:spacing w:line="240" w:lineRule="auto"/>
              <w:rPr>
                <w:sz w:val="16"/>
                <w:szCs w:val="16"/>
                <w:highlight w:val="yellow"/>
              </w:rPr>
            </w:pPr>
            <w:r w:rsidRPr="004C4645">
              <w:rPr>
                <w:sz w:val="16"/>
                <w:szCs w:val="16"/>
              </w:rPr>
              <w:t>Přebytek zahraničního obchodu dosáhl rekordních hodnot, i přes mírné oslabení exportní výkonnosti v závěru roku</w:t>
            </w:r>
            <w:r w:rsidR="00E41A59">
              <w:rPr>
                <w:sz w:val="16"/>
                <w:szCs w:val="16"/>
              </w:rPr>
              <w:t>.</w:t>
            </w:r>
          </w:p>
        </w:tc>
        <w:tc>
          <w:tcPr>
            <w:tcW w:w="142" w:type="pct"/>
          </w:tcPr>
          <w:p w:rsidR="00794870" w:rsidRPr="00A74192" w:rsidRDefault="00794870" w:rsidP="00D94859">
            <w:pPr>
              <w:pStyle w:val="Textpoznpodarou"/>
              <w:jc w:val="both"/>
            </w:pPr>
          </w:p>
        </w:tc>
        <w:tc>
          <w:tcPr>
            <w:tcW w:w="3786" w:type="pct"/>
            <w:gridSpan w:val="3"/>
          </w:tcPr>
          <w:p w:rsidR="00794870" w:rsidRDefault="00794870" w:rsidP="008A03DE">
            <w:pPr>
              <w:pStyle w:val="Textpoznpodarou"/>
              <w:jc w:val="both"/>
              <w:rPr>
                <w:sz w:val="16"/>
                <w:szCs w:val="16"/>
              </w:rPr>
            </w:pPr>
            <w:r w:rsidRPr="005A4632">
              <w:t>Přebytek zahraničního obchodu v roce 2016 dosáhl 1</w:t>
            </w:r>
            <w:r>
              <w:t>67</w:t>
            </w:r>
            <w:r w:rsidRPr="005A4632">
              <w:t>,</w:t>
            </w:r>
            <w:r>
              <w:t>0</w:t>
            </w:r>
            <w:r w:rsidRPr="005A4632">
              <w:t xml:space="preserve"> mld. korun a </w:t>
            </w:r>
            <w:r w:rsidRPr="0022301B">
              <w:t>překonal přebytek z roku 2015 o 36,1 mld</w:t>
            </w:r>
            <w:r w:rsidR="00004EB0">
              <w:t>.</w:t>
            </w:r>
            <w:r w:rsidRPr="0022301B">
              <w:rPr>
                <w:rStyle w:val="Znakapoznpodarou"/>
              </w:rPr>
              <w:footnoteReference w:id="22"/>
            </w:r>
            <w:r w:rsidRPr="005A4632">
              <w:t xml:space="preserve"> </w:t>
            </w:r>
            <w:r>
              <w:t>Tento rozdíl byl dosažen výhradně v prvních třech čtvrtletích. V závěru roku byl přebytek bilance oproti 4. čtvrtletí 2015 nižší. Kladný přebytek zahraničního obchodu má Česko tradičně s EU. Přebytek obchodu s Německem za celý rok dosáhl 208,4 mld. korun a meziročně se zvýšil o 14,0 mld. Zvýšilo se kladné saldo bilance s Francií (+3,4 mld. korun) a Rakouskem (+6,0 mld.). Česko dosáhlo přebytku obchodu se Slovenskem ve výši 147,8 mld. korun a s Velkou Británií 95,0 mld. korun, ale v porovnání s rokem 2015 se tyto přebytky snížily. Deficit obchodu s Polskem se prohloubil o 8,9 mld. korun a dosáhl 73,0 mld. Přetrvává záporné saldo obchodu se zeměmi mimo EU.</w:t>
            </w:r>
          </w:p>
          <w:p w:rsidR="00794870" w:rsidRPr="00463736" w:rsidRDefault="00794870" w:rsidP="008A03DE">
            <w:pPr>
              <w:pStyle w:val="Textpoznpodarou"/>
              <w:jc w:val="both"/>
              <w:rPr>
                <w:sz w:val="16"/>
                <w:szCs w:val="16"/>
              </w:rPr>
            </w:pPr>
          </w:p>
        </w:tc>
      </w:tr>
      <w:tr w:rsidR="005A3210" w:rsidRPr="00A74192" w:rsidTr="007F0316">
        <w:tblPrEx>
          <w:tblCellMar>
            <w:left w:w="70" w:type="dxa"/>
            <w:right w:w="70" w:type="dxa"/>
          </w:tblCellMar>
          <w:tblLook w:val="0000"/>
        </w:tblPrEx>
        <w:tc>
          <w:tcPr>
            <w:tcW w:w="418" w:type="pct"/>
          </w:tcPr>
          <w:p w:rsidR="00BD5298" w:rsidRPr="00A74192" w:rsidRDefault="007430AB" w:rsidP="00D94859">
            <w:pPr>
              <w:pStyle w:val="Textpoznpodarou"/>
            </w:pPr>
            <w:r>
              <w:t xml:space="preserve">Graf č. </w:t>
            </w:r>
            <w:r w:rsidR="00BD5298" w:rsidRPr="00A74192">
              <w:t>9</w:t>
            </w:r>
          </w:p>
        </w:tc>
        <w:tc>
          <w:tcPr>
            <w:tcW w:w="2076" w:type="pct"/>
            <w:gridSpan w:val="3"/>
          </w:tcPr>
          <w:p w:rsidR="00BD5298" w:rsidRPr="00A74192" w:rsidRDefault="00BD5298" w:rsidP="00D94859">
            <w:pPr>
              <w:pStyle w:val="Textpoznpodarou"/>
              <w:rPr>
                <w:b/>
              </w:rPr>
            </w:pPr>
            <w:r w:rsidRPr="00A74192">
              <w:rPr>
                <w:b/>
              </w:rPr>
              <w:t>Běžný účet platební bilance</w:t>
            </w:r>
          </w:p>
          <w:p w:rsidR="00BD5298" w:rsidRPr="00A74192" w:rsidRDefault="00BD5298" w:rsidP="00E372FD">
            <w:pPr>
              <w:pStyle w:val="Textpoznpodarou"/>
            </w:pPr>
            <w:r w:rsidRPr="00A74192">
              <w:t>(kumulace za </w:t>
            </w:r>
            <w:r w:rsidR="00E372FD">
              <w:t>rok 2016</w:t>
            </w:r>
            <w:r w:rsidRPr="00A74192">
              <w:t xml:space="preserve"> v mld. korun</w:t>
            </w:r>
            <w:r w:rsidR="00E372FD">
              <w:t>, FOB/FOB</w:t>
            </w:r>
            <w:r w:rsidRPr="00A74192">
              <w:t>)</w:t>
            </w:r>
          </w:p>
        </w:tc>
        <w:tc>
          <w:tcPr>
            <w:tcW w:w="566" w:type="pct"/>
          </w:tcPr>
          <w:p w:rsidR="007430AB" w:rsidRDefault="007430AB" w:rsidP="00D94859">
            <w:pPr>
              <w:pStyle w:val="Textpoznpodarou"/>
            </w:pPr>
            <w:r>
              <w:t>Graf č.</w:t>
            </w:r>
          </w:p>
          <w:p w:rsidR="00BD5298" w:rsidRPr="00A74192" w:rsidRDefault="00BD5298" w:rsidP="00D94859">
            <w:pPr>
              <w:pStyle w:val="Textpoznpodarou"/>
            </w:pPr>
            <w:r w:rsidRPr="00A74192">
              <w:t>10</w:t>
            </w:r>
          </w:p>
        </w:tc>
        <w:tc>
          <w:tcPr>
            <w:tcW w:w="1940" w:type="pct"/>
          </w:tcPr>
          <w:p w:rsidR="00BD5298" w:rsidRPr="00A74192" w:rsidRDefault="00C22C59" w:rsidP="006E182C">
            <w:pPr>
              <w:pStyle w:val="Textpoznpodarou"/>
              <w:rPr>
                <w:b/>
              </w:rPr>
            </w:pPr>
            <w:r w:rsidRPr="00DC4FA6">
              <w:rPr>
                <w:b/>
              </w:rPr>
              <w:t>Bilance zahraničního obchodu v národním pojetí v </w:t>
            </w:r>
            <w:r>
              <w:rPr>
                <w:b/>
              </w:rPr>
              <w:t>roce</w:t>
            </w:r>
            <w:r w:rsidRPr="00DC4FA6">
              <w:rPr>
                <w:b/>
              </w:rPr>
              <w:t xml:space="preserve"> 2016 </w:t>
            </w:r>
            <w:r w:rsidRPr="00DC4FA6">
              <w:t>(v mld. korun</w:t>
            </w:r>
            <w:r w:rsidR="00E372FD">
              <w:t>, CIF/FOB</w:t>
            </w:r>
            <w:r w:rsidR="006E182C">
              <w:t>, oddíly CPA</w:t>
            </w:r>
            <w:r w:rsidRPr="00DC4FA6">
              <w:t>)</w:t>
            </w:r>
          </w:p>
        </w:tc>
      </w:tr>
      <w:tr w:rsidR="00CF107E" w:rsidRPr="00A74192" w:rsidTr="007F0316">
        <w:tblPrEx>
          <w:tblCellMar>
            <w:left w:w="70" w:type="dxa"/>
            <w:right w:w="70" w:type="dxa"/>
          </w:tblCellMar>
          <w:tblLook w:val="0000"/>
        </w:tblPrEx>
        <w:trPr>
          <w:trHeight w:val="47"/>
        </w:trPr>
        <w:tc>
          <w:tcPr>
            <w:tcW w:w="2494" w:type="pct"/>
            <w:gridSpan w:val="4"/>
          </w:tcPr>
          <w:p w:rsidR="00BD5298" w:rsidRPr="00A74192" w:rsidRDefault="00906225" w:rsidP="008C6D92">
            <w:pPr>
              <w:pStyle w:val="Textpoznpodarou"/>
              <w:ind w:left="-70"/>
              <w:jc w:val="both"/>
              <w:rPr>
                <w:color w:val="FF0000"/>
              </w:rPr>
            </w:pPr>
            <w:r>
              <w:rPr>
                <w:noProof/>
                <w:color w:val="FF0000"/>
              </w:rPr>
              <w:drawing>
                <wp:inline distT="0" distB="0" distL="0" distR="0">
                  <wp:extent cx="3042920" cy="2406650"/>
                  <wp:effectExtent l="19050" t="0" r="5080" b="0"/>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4"/>
                          <a:srcRect/>
                          <a:stretch>
                            <a:fillRect/>
                          </a:stretch>
                        </pic:blipFill>
                        <pic:spPr bwMode="auto">
                          <a:xfrm>
                            <a:off x="0" y="0"/>
                            <a:ext cx="3042920" cy="2406650"/>
                          </a:xfrm>
                          <a:prstGeom prst="rect">
                            <a:avLst/>
                          </a:prstGeom>
                          <a:noFill/>
                          <a:ln w="9525">
                            <a:noFill/>
                            <a:miter lim="800000"/>
                            <a:headEnd/>
                            <a:tailEnd/>
                          </a:ln>
                        </pic:spPr>
                      </pic:pic>
                    </a:graphicData>
                  </a:graphic>
                </wp:inline>
              </w:drawing>
            </w:r>
          </w:p>
        </w:tc>
        <w:tc>
          <w:tcPr>
            <w:tcW w:w="2506" w:type="pct"/>
            <w:gridSpan w:val="2"/>
          </w:tcPr>
          <w:p w:rsidR="00BD5298" w:rsidRPr="00C22C59" w:rsidRDefault="006E182C" w:rsidP="00C22C59">
            <w:pPr>
              <w:pStyle w:val="Textpoznpodarou"/>
              <w:jc w:val="both"/>
            </w:pPr>
            <w:r>
              <w:rPr>
                <w:noProof/>
              </w:rPr>
              <w:drawing>
                <wp:inline distT="0" distB="0" distL="0" distR="0">
                  <wp:extent cx="3049306" cy="2408830"/>
                  <wp:effectExtent l="19050" t="0" r="0" b="0"/>
                  <wp:docPr id="4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3053086" cy="2411816"/>
                          </a:xfrm>
                          <a:prstGeom prst="rect">
                            <a:avLst/>
                          </a:prstGeom>
                          <a:noFill/>
                          <a:ln w="9525">
                            <a:noFill/>
                            <a:miter lim="800000"/>
                            <a:headEnd/>
                            <a:tailEnd/>
                          </a:ln>
                        </pic:spPr>
                      </pic:pic>
                    </a:graphicData>
                  </a:graphic>
                </wp:inline>
              </w:drawing>
            </w:r>
          </w:p>
        </w:tc>
      </w:tr>
      <w:tr w:rsidR="00CF107E" w:rsidRPr="00A74192" w:rsidTr="007F0316">
        <w:tblPrEx>
          <w:tblCellMar>
            <w:left w:w="70" w:type="dxa"/>
            <w:right w:w="70" w:type="dxa"/>
          </w:tblCellMar>
          <w:tblLook w:val="0000"/>
        </w:tblPrEx>
        <w:trPr>
          <w:trHeight w:val="47"/>
        </w:trPr>
        <w:tc>
          <w:tcPr>
            <w:tcW w:w="2494" w:type="pct"/>
            <w:gridSpan w:val="4"/>
          </w:tcPr>
          <w:p w:rsidR="00BE2C15" w:rsidRPr="00A74192" w:rsidRDefault="00BE2C15" w:rsidP="00D94859">
            <w:pPr>
              <w:pStyle w:val="Textpoznpodarou"/>
              <w:jc w:val="both"/>
              <w:rPr>
                <w:noProof/>
                <w:color w:val="FF0000"/>
              </w:rPr>
            </w:pPr>
          </w:p>
        </w:tc>
        <w:tc>
          <w:tcPr>
            <w:tcW w:w="2506" w:type="pct"/>
            <w:gridSpan w:val="2"/>
          </w:tcPr>
          <w:p w:rsidR="00BD5298" w:rsidRPr="00A74192" w:rsidRDefault="00BD5298" w:rsidP="00D94859">
            <w:pPr>
              <w:pStyle w:val="Textpoznpodarou"/>
              <w:jc w:val="right"/>
              <w:rPr>
                <w:noProof/>
              </w:rPr>
            </w:pPr>
            <w:r w:rsidRPr="00A74192">
              <w:rPr>
                <w:noProof/>
              </w:rPr>
              <w:t>Zdroj: ČNB, ČSÚ</w:t>
            </w:r>
          </w:p>
        </w:tc>
      </w:tr>
    </w:tbl>
    <w:p w:rsidR="007D4281" w:rsidRPr="00A74192" w:rsidRDefault="007D4281" w:rsidP="009F777A">
      <w:pPr>
        <w:pStyle w:val="Nadpis1"/>
        <w:numPr>
          <w:ilvl w:val="0"/>
          <w:numId w:val="12"/>
        </w:numPr>
        <w:ind w:left="709"/>
        <w:jc w:val="both"/>
      </w:pPr>
      <w:bookmarkStart w:id="12" w:name="_Toc469299933"/>
      <w:bookmarkStart w:id="13" w:name="_Toc469327802"/>
      <w:r w:rsidRPr="00A74192">
        <w:lastRenderedPageBreak/>
        <w:t>Ceny</w:t>
      </w:r>
      <w:bookmarkEnd w:id="12"/>
      <w:bookmarkEnd w:id="13"/>
    </w:p>
    <w:tbl>
      <w:tblPr>
        <w:tblW w:w="4963" w:type="pct"/>
        <w:tblInd w:w="108" w:type="dxa"/>
        <w:tblLayout w:type="fixed"/>
        <w:tblLook w:val="00A0"/>
      </w:tblPr>
      <w:tblGrid>
        <w:gridCol w:w="1122"/>
        <w:gridCol w:w="810"/>
        <w:gridCol w:w="282"/>
        <w:gridCol w:w="2606"/>
        <w:gridCol w:w="992"/>
        <w:gridCol w:w="143"/>
        <w:gridCol w:w="3826"/>
      </w:tblGrid>
      <w:tr w:rsidR="00F12A83" w:rsidRPr="00A74192" w:rsidTr="00CC2A1E">
        <w:tc>
          <w:tcPr>
            <w:tcW w:w="988" w:type="pct"/>
            <w:gridSpan w:val="2"/>
          </w:tcPr>
          <w:p w:rsidR="00F12A83" w:rsidRPr="00A74192" w:rsidRDefault="00F12A83" w:rsidP="00F12A83">
            <w:pPr>
              <w:spacing w:line="240" w:lineRule="auto"/>
              <w:ind w:right="-19"/>
              <w:rPr>
                <w:sz w:val="16"/>
                <w:szCs w:val="16"/>
              </w:rPr>
            </w:pPr>
            <w:r>
              <w:rPr>
                <w:sz w:val="16"/>
                <w:szCs w:val="16"/>
              </w:rPr>
              <w:t xml:space="preserve">Celková cenová hladina vzrostla o 1,1 %. </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rPr>
                <w:sz w:val="16"/>
                <w:szCs w:val="16"/>
              </w:rPr>
            </w:pPr>
            <w:r w:rsidRPr="006958F2">
              <w:t>Celková cenová hladina měřená implicitním deflátorem HDP v roce 2016 vzrostla o</w:t>
            </w:r>
            <w:r w:rsidR="004018F7">
              <w:t> </w:t>
            </w:r>
            <w:r w:rsidRPr="006958F2">
              <w:t xml:space="preserve">1,1 </w:t>
            </w:r>
            <w:r>
              <w:t xml:space="preserve">%. V průběhu roku sílil vliv výdajů na konečnou spotřebu. Především v druhé polovině roku začaly růst ceny výrobků a služeb spotřebovávaných domácnostmi (0,9 % ve 3. čtvrtletí, 1,4 % ve 4. čtvrtletí). </w:t>
            </w:r>
          </w:p>
          <w:p w:rsidR="00F12A83" w:rsidRPr="00143FA3" w:rsidRDefault="00F12A83" w:rsidP="008A03DE">
            <w:pPr>
              <w:pStyle w:val="Textpoznpodarou"/>
              <w:ind w:right="-35"/>
              <w:jc w:val="both"/>
              <w:rPr>
                <w:sz w:val="14"/>
                <w:szCs w:val="14"/>
              </w:rPr>
            </w:pPr>
          </w:p>
        </w:tc>
      </w:tr>
      <w:tr w:rsidR="00F12A83" w:rsidRPr="00A74192" w:rsidTr="00CC2A1E">
        <w:tc>
          <w:tcPr>
            <w:tcW w:w="988" w:type="pct"/>
            <w:gridSpan w:val="2"/>
          </w:tcPr>
          <w:p w:rsidR="00F12A83" w:rsidRPr="00A74192" w:rsidRDefault="00F12A83" w:rsidP="00F12A83">
            <w:pPr>
              <w:spacing w:line="240" w:lineRule="auto"/>
              <w:ind w:right="-19"/>
              <w:rPr>
                <w:sz w:val="16"/>
                <w:szCs w:val="16"/>
              </w:rPr>
            </w:pPr>
            <w:r>
              <w:rPr>
                <w:sz w:val="16"/>
                <w:szCs w:val="16"/>
              </w:rPr>
              <w:t>Vývoj spotřebitelských cen v 1. až 3. čtvrtletí 2016 se nelišil od předchozích dvou let. Zlom nastal v</w:t>
            </w:r>
            <w:r w:rsidR="00E41A59">
              <w:rPr>
                <w:sz w:val="16"/>
                <w:szCs w:val="16"/>
              </w:rPr>
              <w:t> </w:t>
            </w:r>
            <w:r>
              <w:rPr>
                <w:sz w:val="16"/>
                <w:szCs w:val="16"/>
              </w:rPr>
              <w:t>listopadu</w:t>
            </w:r>
            <w:r w:rsidR="00E41A59">
              <w:rPr>
                <w:sz w:val="16"/>
                <w:szCs w:val="16"/>
              </w:rPr>
              <w:t xml:space="preserve">, kdy se spotřebitelské ceny </w:t>
            </w:r>
            <w:r>
              <w:rPr>
                <w:sz w:val="16"/>
                <w:szCs w:val="16"/>
              </w:rPr>
              <w:t>po téměř třech letech přiblížily k inflačnímu cíli.</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pPr>
            <w:r w:rsidRPr="005750D9">
              <w:t>První tři čtvrtletí roku 2016 se z hlediska vývoje spotřebitelských cen příliš ne</w:t>
            </w:r>
            <w:r>
              <w:t>lišila</w:t>
            </w:r>
            <w:r w:rsidRPr="005750D9">
              <w:t xml:space="preserve"> od předchozích dvou let. Meziroční růst cen nepřekročil 0,5 % a zůstával pod cílovým pásmem ČNB. Zlom nastal v listopadu, kdy </w:t>
            </w:r>
            <w:r>
              <w:t xml:space="preserve">meziroční nárůst cen </w:t>
            </w:r>
            <w:r w:rsidRPr="005750D9">
              <w:t xml:space="preserve">poprvé od prosince 2013 </w:t>
            </w:r>
            <w:r>
              <w:t xml:space="preserve">překročil </w:t>
            </w:r>
            <w:r w:rsidRPr="005750D9">
              <w:t>1%</w:t>
            </w:r>
            <w:r>
              <w:t xml:space="preserve"> hranici a dostal se</w:t>
            </w:r>
            <w:r w:rsidRPr="005750D9">
              <w:t xml:space="preserve"> na 1,5 %. V prosinci se růst spotřebitelských cen dotkl 2 % a tak průměrný růst cen během 4. čtvrtletí </w:t>
            </w:r>
            <w:r>
              <w:t xml:space="preserve">činil </w:t>
            </w:r>
            <w:r w:rsidRPr="005750D9">
              <w:t>1,4</w:t>
            </w:r>
            <w:r>
              <w:t> </w:t>
            </w:r>
            <w:r w:rsidRPr="005750D9">
              <w:t>%.</w:t>
            </w:r>
            <w:r>
              <w:t xml:space="preserve"> </w:t>
            </w:r>
            <w:r w:rsidRPr="00A74192">
              <w:t>Míra inflace</w:t>
            </w:r>
            <w:r>
              <w:rPr>
                <w:rStyle w:val="Znakapoznpodarou"/>
              </w:rPr>
              <w:footnoteReference w:id="23"/>
            </w:r>
            <w:r w:rsidRPr="00A74192">
              <w:t xml:space="preserve"> se od ledna po květen 2016 rovnala 0,4 %</w:t>
            </w:r>
            <w:r>
              <w:t xml:space="preserve">, </w:t>
            </w:r>
            <w:r w:rsidRPr="00A74192">
              <w:t>od června po září se snížila na 0,3 %</w:t>
            </w:r>
            <w:r>
              <w:t xml:space="preserve"> a během října až prosince dosahovala 0,4 %, 0,5 % a 0,7 %.</w:t>
            </w:r>
          </w:p>
          <w:p w:rsidR="00F12A83" w:rsidRPr="00143FA3" w:rsidRDefault="00F12A83" w:rsidP="008A03DE">
            <w:pPr>
              <w:pStyle w:val="Textpoznpodarou"/>
              <w:ind w:right="-35"/>
              <w:jc w:val="both"/>
              <w:rPr>
                <w:sz w:val="14"/>
                <w:szCs w:val="14"/>
              </w:rPr>
            </w:pPr>
          </w:p>
        </w:tc>
      </w:tr>
      <w:tr w:rsidR="00F12A83" w:rsidRPr="00A74192" w:rsidTr="00CC2A1E">
        <w:tc>
          <w:tcPr>
            <w:tcW w:w="988" w:type="pct"/>
            <w:gridSpan w:val="2"/>
          </w:tcPr>
          <w:p w:rsidR="00F12A83" w:rsidRPr="00A74192" w:rsidRDefault="00F12A83" w:rsidP="004D4F13">
            <w:pPr>
              <w:spacing w:line="240" w:lineRule="auto"/>
              <w:ind w:right="-19"/>
              <w:rPr>
                <w:sz w:val="16"/>
                <w:szCs w:val="16"/>
              </w:rPr>
            </w:pPr>
            <w:r>
              <w:rPr>
                <w:sz w:val="16"/>
                <w:szCs w:val="16"/>
              </w:rPr>
              <w:t>Negativní vliv cen ropy na spotřebitelské ceny patrný především v první polovině roku v závěru roku</w:t>
            </w:r>
            <w:r w:rsidR="004D4F13">
              <w:rPr>
                <w:sz w:val="16"/>
                <w:szCs w:val="16"/>
              </w:rPr>
              <w:t xml:space="preserve"> skončil</w:t>
            </w:r>
            <w:r>
              <w:rPr>
                <w:sz w:val="16"/>
                <w:szCs w:val="16"/>
              </w:rPr>
              <w:t xml:space="preserve">.  </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jc w:val="both"/>
              <w:rPr>
                <w:sz w:val="16"/>
                <w:szCs w:val="16"/>
              </w:rPr>
            </w:pPr>
            <w:r>
              <w:t xml:space="preserve">Růst indexu spotřebitelských cen byl zpočátku roku značně zpomalován vývojem cen pohonných hmot kombinovaným s poklesem cen potravin. Po hlubokém propadu na přelomu let 2015 a 2016 začaly ceny ropy mírně růst a jejich vliv na snižování cenové hladiny během roku slábl. Meziroční růst cenového indexu bez topných olejů a pohonných hmot tak v průběhu prvních tří čtvrtletí roku převyšoval růst celkové cenové hladiny o několik desetin p.b. Až v posledním čtvrtletí se oba indexy vyrovnaly a v prosinci dokonce ceny pohonných hmot mírně přispěly k růstu celkové cenové hladiny.  </w:t>
            </w:r>
          </w:p>
          <w:p w:rsidR="00F12A83" w:rsidRPr="00143FA3" w:rsidRDefault="00F12A83" w:rsidP="008A03DE">
            <w:pPr>
              <w:pStyle w:val="Textpoznpodarou"/>
              <w:jc w:val="both"/>
              <w:rPr>
                <w:sz w:val="14"/>
                <w:szCs w:val="14"/>
              </w:rPr>
            </w:pPr>
          </w:p>
        </w:tc>
      </w:tr>
      <w:tr w:rsidR="00F12A83" w:rsidRPr="00A74192" w:rsidTr="00CC2A1E">
        <w:tc>
          <w:tcPr>
            <w:tcW w:w="988" w:type="pct"/>
            <w:gridSpan w:val="2"/>
          </w:tcPr>
          <w:p w:rsidR="00F12A83" w:rsidRPr="00A74192" w:rsidRDefault="00F12A83" w:rsidP="00F12A83">
            <w:pPr>
              <w:spacing w:line="240" w:lineRule="auto"/>
              <w:ind w:right="-19"/>
              <w:rPr>
                <w:sz w:val="16"/>
                <w:szCs w:val="16"/>
              </w:rPr>
            </w:pPr>
            <w:r>
              <w:rPr>
                <w:sz w:val="16"/>
                <w:szCs w:val="16"/>
              </w:rPr>
              <w:t xml:space="preserve">Po téměř dvou letech se zastavil pokles cen potravin, který měl výrazný vliv na celkovou cenovou hladinu. </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jc w:val="both"/>
              <w:rPr>
                <w:sz w:val="16"/>
                <w:szCs w:val="16"/>
              </w:rPr>
            </w:pPr>
            <w:r>
              <w:t xml:space="preserve">Ceny potravin </w:t>
            </w:r>
            <w:r w:rsidR="0020294A">
              <w:t xml:space="preserve">a nealkoholických nápojů </w:t>
            </w:r>
            <w:r>
              <w:t>od prosince 2014 (s výjimkou června 2015) meziročně klesaly. V indexu spotřebitelských cen mají druhou nejvyšší váhu, není tedy překvapivé, že jejich listopadový a prosincový růst (1,6 % a 3,3 %) podstatně ovlivnil celkovou cenovou hladinu. Do té doby klesaly průměrným meziročním tempem 1,6 %. Zatímco v lednu až říjnu tak ceny potravin průměrně snižovaly celkový růst cen o</w:t>
            </w:r>
            <w:r w:rsidR="004018F7">
              <w:t> </w:t>
            </w:r>
            <w:r>
              <w:t>více než 0,2 p.b., v listopadu přispěly k růstu 0,3 p.b. a v prosinci dokonce 0,6</w:t>
            </w:r>
            <w:r w:rsidR="004018F7">
              <w:t> </w:t>
            </w:r>
            <w:r>
              <w:t xml:space="preserve">p.b. Podzimní nárůst cen způsobilo především meziroční zvýšení cen zeleniny a mléčných výrobků.     </w:t>
            </w:r>
          </w:p>
          <w:p w:rsidR="00F12A83" w:rsidRPr="00143FA3" w:rsidRDefault="00F12A83" w:rsidP="008A03DE">
            <w:pPr>
              <w:pStyle w:val="Textpoznpodarou"/>
              <w:jc w:val="both"/>
              <w:rPr>
                <w:sz w:val="14"/>
                <w:szCs w:val="14"/>
              </w:rPr>
            </w:pPr>
          </w:p>
        </w:tc>
      </w:tr>
      <w:tr w:rsidR="00F12A83" w:rsidRPr="00A74192" w:rsidTr="00CC2A1E">
        <w:tc>
          <w:tcPr>
            <w:tcW w:w="988" w:type="pct"/>
            <w:gridSpan w:val="2"/>
          </w:tcPr>
          <w:p w:rsidR="00F12A83" w:rsidRPr="00A74192" w:rsidRDefault="00F12A83" w:rsidP="00F12A83">
            <w:pPr>
              <w:spacing w:line="240" w:lineRule="auto"/>
              <w:ind w:right="-19"/>
              <w:rPr>
                <w:sz w:val="16"/>
                <w:szCs w:val="16"/>
              </w:rPr>
            </w:pPr>
            <w:r>
              <w:rPr>
                <w:sz w:val="16"/>
                <w:szCs w:val="16"/>
              </w:rPr>
              <w:t xml:space="preserve">Kvůli poklesu cen energií se v nákladech na bydlení a energie příliš </w:t>
            </w:r>
            <w:r w:rsidR="00E41A59">
              <w:rPr>
                <w:sz w:val="16"/>
                <w:szCs w:val="16"/>
              </w:rPr>
              <w:t>neprojevilo zvýšení cen nájmů a </w:t>
            </w:r>
            <w:r>
              <w:rPr>
                <w:sz w:val="16"/>
                <w:szCs w:val="16"/>
              </w:rPr>
              <w:t>imputovaného nájemného.</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rPr>
                <w:sz w:val="16"/>
                <w:szCs w:val="16"/>
              </w:rPr>
            </w:pPr>
            <w:r>
              <w:t>Ceny bydlení, vody, energií a paliv, které jsou pro české spotřebitele nejvýznamnější položkou ve spotřebním koši, rostly v roce 2016 průměrným meziročním tempem 0,6 % a průměrným meziměsíčním tempem 0,1 %. Vzhledem k rychle rostoucím cenám nemovitostí v roce 2016 není překvapivé, že růst cen imputovaného nájemného zrychlil z meziročního nárůstu o 1 % v 1. a 2. čtvrt</w:t>
            </w:r>
            <w:r w:rsidR="00E41A59">
              <w:t xml:space="preserve">letí na 1.5 % ve 4. čtvrtletí. </w:t>
            </w:r>
            <w:r>
              <w:t>Nájemné z bytů zrychlilo svůj růst ještě o čtvrtletí dříve. Celkový růst cen bydlení a energií tak tlumily</w:t>
            </w:r>
            <w:r w:rsidR="0020294A">
              <w:t xml:space="preserve"> </w:t>
            </w:r>
            <w:r w:rsidR="00B853C2">
              <w:t xml:space="preserve">jen </w:t>
            </w:r>
            <w:r w:rsidR="0020294A">
              <w:t xml:space="preserve">výrazně klesající ceny plynu, které převážily i mírný růst cen </w:t>
            </w:r>
            <w:r>
              <w:t>elektřiny a tepla</w:t>
            </w:r>
            <w:r w:rsidR="0020294A">
              <w:t>.</w:t>
            </w:r>
            <w:r>
              <w:t xml:space="preserve"> Vývoj nákladů na dopravu byl v podstatě identický jako u cen potravin. Do listopadu ceny dopravy klesaly průměrným meziročním tempem </w:t>
            </w:r>
            <w:r w:rsidR="00C574CF">
              <w:rPr>
                <w:rFonts w:cs="Arial"/>
              </w:rPr>
              <w:t>-</w:t>
            </w:r>
            <w:r>
              <w:t>2,4 % a v listopadu a prosinci meziročně vzrostly o 1 % a</w:t>
            </w:r>
            <w:r w:rsidR="0020294A">
              <w:t> </w:t>
            </w:r>
            <w:r>
              <w:t>2,5</w:t>
            </w:r>
            <w:r w:rsidR="0020294A">
              <w:t> </w:t>
            </w:r>
            <w:r>
              <w:t xml:space="preserve">%. </w:t>
            </w:r>
          </w:p>
          <w:p w:rsidR="00F12A83" w:rsidRPr="00143FA3" w:rsidRDefault="00F12A83" w:rsidP="008A03DE">
            <w:pPr>
              <w:pStyle w:val="Textpoznpodarou"/>
              <w:ind w:right="-35"/>
              <w:jc w:val="both"/>
              <w:rPr>
                <w:sz w:val="14"/>
                <w:szCs w:val="14"/>
              </w:rPr>
            </w:pPr>
          </w:p>
        </w:tc>
      </w:tr>
      <w:tr w:rsidR="00F12A83" w:rsidRPr="00A74192" w:rsidTr="00CC2A1E">
        <w:tc>
          <w:tcPr>
            <w:tcW w:w="988" w:type="pct"/>
            <w:gridSpan w:val="2"/>
          </w:tcPr>
          <w:p w:rsidR="00F12A83" w:rsidRPr="00A74192" w:rsidRDefault="00A9497A" w:rsidP="00A9497A">
            <w:pPr>
              <w:spacing w:line="240" w:lineRule="auto"/>
              <w:ind w:right="-19"/>
              <w:rPr>
                <w:sz w:val="16"/>
                <w:szCs w:val="16"/>
              </w:rPr>
            </w:pPr>
            <w:r>
              <w:rPr>
                <w:sz w:val="16"/>
                <w:szCs w:val="16"/>
              </w:rPr>
              <w:t>Růst realizovaných cen starších bytů se během roku zrychloval a</w:t>
            </w:r>
            <w:r w:rsidR="00E41A59">
              <w:rPr>
                <w:sz w:val="16"/>
                <w:szCs w:val="16"/>
              </w:rPr>
              <w:t> </w:t>
            </w:r>
            <w:r w:rsidR="00E64AE4">
              <w:rPr>
                <w:sz w:val="16"/>
                <w:szCs w:val="16"/>
              </w:rPr>
              <w:t>reflektov</w:t>
            </w:r>
            <w:r w:rsidR="00A92277">
              <w:rPr>
                <w:sz w:val="16"/>
                <w:szCs w:val="16"/>
              </w:rPr>
              <w:t>al tak převis poptávky na trhu.</w:t>
            </w:r>
            <w:r>
              <w:rPr>
                <w:sz w:val="16"/>
                <w:szCs w:val="16"/>
              </w:rPr>
              <w:t xml:space="preserve"> </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EE3547">
            <w:pPr>
              <w:pStyle w:val="Textpoznpodarou"/>
              <w:ind w:right="-35"/>
              <w:jc w:val="both"/>
              <w:rPr>
                <w:sz w:val="16"/>
                <w:szCs w:val="16"/>
              </w:rPr>
            </w:pPr>
            <w:r>
              <w:t>Vývoj na trhu s nemovitostmi v roce 2016 reflektoval dobrý stav ekonomiky a</w:t>
            </w:r>
            <w:r w:rsidR="004018F7">
              <w:t> </w:t>
            </w:r>
            <w:r>
              <w:t>pozitivní výhledy spotřebitelů. Zvýšení reálných příjmů, nízká nezaměstnanost a</w:t>
            </w:r>
            <w:r w:rsidR="004018F7">
              <w:t> </w:t>
            </w:r>
            <w:r>
              <w:t xml:space="preserve">pozitivní očekávání zvýšily poptávku po nemovitostech. Nabídková strana trhu </w:t>
            </w:r>
            <w:r w:rsidR="00A9497A">
              <w:t xml:space="preserve">však </w:t>
            </w:r>
            <w:r>
              <w:t xml:space="preserve">nedokázala zareagovat v potřebné lhůtě a brzy se zásoba bytů </w:t>
            </w:r>
            <w:r w:rsidR="00745F3C">
              <w:t>snížila</w:t>
            </w:r>
            <w:r>
              <w:t xml:space="preserve">. </w:t>
            </w:r>
            <w:r w:rsidR="00A9497A">
              <w:t xml:space="preserve">Tento fakt odrážel meziroční růst realizovaných cen starších bytů, který v průběhu roku </w:t>
            </w:r>
            <w:r w:rsidR="00EE3547">
              <w:t xml:space="preserve">2016 </w:t>
            </w:r>
            <w:r w:rsidR="00A9497A">
              <w:t>akceleroval a ve 4. čtvrtletí dosáhl 14,5 %. Realizované ceny nových bytů</w:t>
            </w:r>
            <w:r w:rsidR="00A9497A">
              <w:rPr>
                <w:rStyle w:val="Znakapoznpodarou"/>
              </w:rPr>
              <w:footnoteReference w:id="24"/>
            </w:r>
            <w:r w:rsidR="00A9497A">
              <w:t xml:space="preserve"> v závěru roku vzrostly mezičtvrtletně o 5,5 % a meziročně o 9,3 %</w:t>
            </w:r>
            <w:r w:rsidR="00EE3547">
              <w:t xml:space="preserve"> (meziroční růst ve 3. čtvrtletí činil 3,8 %)</w:t>
            </w:r>
            <w:r w:rsidR="00A9497A">
              <w:t xml:space="preserve">. </w:t>
            </w:r>
            <w:r>
              <w:t>Již v posledním čtvrtletí roku 2015 dosáhl meziroční růst nabídkových cen bytů 9,6 % a v prvních dvou čtvrtletích roku 2016 mírně překročil 10 %. Těsně pod hranicí 10</w:t>
            </w:r>
            <w:r w:rsidR="00A9497A">
              <w:t> </w:t>
            </w:r>
            <w:r>
              <w:t xml:space="preserve">% se pak růst nabídkových cen držel ve 3. a 4. čtvrtletí roku. </w:t>
            </w:r>
          </w:p>
          <w:p w:rsidR="00EE3547" w:rsidRPr="00143FA3" w:rsidRDefault="00EE3547" w:rsidP="00EE3547">
            <w:pPr>
              <w:pStyle w:val="Textpoznpodarou"/>
              <w:ind w:right="-35"/>
              <w:jc w:val="both"/>
              <w:rPr>
                <w:sz w:val="14"/>
                <w:szCs w:val="14"/>
              </w:rPr>
            </w:pPr>
          </w:p>
        </w:tc>
      </w:tr>
      <w:tr w:rsidR="00F12A83" w:rsidRPr="00A74192" w:rsidTr="00CC2A1E">
        <w:tc>
          <w:tcPr>
            <w:tcW w:w="988" w:type="pct"/>
            <w:gridSpan w:val="2"/>
          </w:tcPr>
          <w:p w:rsidR="00F12A83" w:rsidRPr="00D24299" w:rsidRDefault="00220838" w:rsidP="00F12A83">
            <w:pPr>
              <w:spacing w:line="240" w:lineRule="auto"/>
              <w:ind w:right="-19"/>
              <w:rPr>
                <w:spacing w:val="-4"/>
                <w:sz w:val="16"/>
              </w:rPr>
            </w:pPr>
            <w:r w:rsidRPr="00220838">
              <w:rPr>
                <w:spacing w:val="-4"/>
                <w:sz w:val="16"/>
              </w:rPr>
              <w:t xml:space="preserve">Podobně </w:t>
            </w:r>
            <w:r w:rsidR="00E41A59" w:rsidRPr="00D24299">
              <w:rPr>
                <w:spacing w:val="-4"/>
                <w:sz w:val="16"/>
                <w:szCs w:val="16"/>
              </w:rPr>
              <w:t>jako</w:t>
            </w:r>
            <w:r w:rsidRPr="00220838">
              <w:rPr>
                <w:spacing w:val="-4"/>
                <w:sz w:val="16"/>
              </w:rPr>
              <w:t xml:space="preserve"> v Česku, i</w:t>
            </w:r>
            <w:r w:rsidR="00E41A59" w:rsidRPr="00D24299">
              <w:rPr>
                <w:spacing w:val="-4"/>
                <w:sz w:val="16"/>
                <w:szCs w:val="16"/>
              </w:rPr>
              <w:t> </w:t>
            </w:r>
            <w:r w:rsidRPr="00220838">
              <w:rPr>
                <w:spacing w:val="-4"/>
                <w:sz w:val="16"/>
              </w:rPr>
              <w:t>v EU došlo v posledním čtvrtletí roku k výraznější změně v cenovém vývoji.</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rPr>
                <w:sz w:val="16"/>
                <w:szCs w:val="16"/>
              </w:rPr>
            </w:pPr>
            <w:r w:rsidRPr="00043FD1">
              <w:t>Cenový vývoj v Česku zapadá do evropského kontextu.</w:t>
            </w:r>
            <w:r>
              <w:t xml:space="preserve"> Meziroční růst cenové hladiny v evropské osmadvacítce se během prvních dvou čtvrtletí příl</w:t>
            </w:r>
            <w:r w:rsidR="004D4F13">
              <w:t>iš nevzdálil od nuly (+0,1 % a -</w:t>
            </w:r>
            <w:r>
              <w:t xml:space="preserve">0,1 %). Ve třetím čtvrtletí již dosáhl 0,3 % a definitivně se odpoutal </w:t>
            </w:r>
            <w:r>
              <w:lastRenderedPageBreak/>
              <w:t>od nuly v posledním kvartálu roku, kdy se ceny meziročně zvýšily o 0,8 %. Prosincová inflace dokonce poprvé od září 2013 překročila 1 % (dosáhla 1,2 %). V prosinci na Slovensku ceny meziročně vzrostly o 0,2 %</w:t>
            </w:r>
            <w:r w:rsidR="00D24299">
              <w:t>,</w:t>
            </w:r>
            <w:r>
              <w:t xml:space="preserve"> a tím skončilo více než dvouleté období deflace. Podobný zlom se odehrál na Kypru, kde přitom v 2.</w:t>
            </w:r>
            <w:r w:rsidR="004018F7">
              <w:t> </w:t>
            </w:r>
            <w:r>
              <w:t xml:space="preserve">čtvrtletí 2016 deflace dosáhla dvou procent. Poměrně stabilně se zvyšovalo tempo růstu cen v Německu, kde v první polovině roku cenová hladina stagnovala, ale v závěrečném čtvrtletí dosáhla již 1% růstu.  </w:t>
            </w:r>
          </w:p>
          <w:p w:rsidR="00F12A83" w:rsidRPr="00143FA3" w:rsidRDefault="00F12A83" w:rsidP="008A03DE">
            <w:pPr>
              <w:pStyle w:val="Textpoznpodarou"/>
              <w:ind w:right="-35"/>
              <w:jc w:val="both"/>
              <w:rPr>
                <w:sz w:val="14"/>
                <w:szCs w:val="14"/>
              </w:rPr>
            </w:pPr>
          </w:p>
        </w:tc>
      </w:tr>
      <w:tr w:rsidR="00F12A83" w:rsidRPr="00A74192" w:rsidTr="00CC2A1E">
        <w:tc>
          <w:tcPr>
            <w:tcW w:w="988" w:type="pct"/>
            <w:gridSpan w:val="2"/>
          </w:tcPr>
          <w:p w:rsidR="00F12A83" w:rsidRPr="00A74192" w:rsidRDefault="00F12A83" w:rsidP="00F12A83">
            <w:pPr>
              <w:spacing w:line="240" w:lineRule="auto"/>
              <w:ind w:right="-19"/>
              <w:rPr>
                <w:rFonts w:cs="Arial"/>
                <w:sz w:val="16"/>
                <w:szCs w:val="16"/>
              </w:rPr>
            </w:pPr>
            <w:r>
              <w:rPr>
                <w:rFonts w:cs="Arial"/>
                <w:sz w:val="16"/>
                <w:szCs w:val="16"/>
              </w:rPr>
              <w:lastRenderedPageBreak/>
              <w:t>Dlouhodobý pokles cen průmyslových výrobců se v druhé polovině roku 2016 zmírnil.</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rPr>
                <w:sz w:val="16"/>
                <w:szCs w:val="16"/>
                <w:highlight w:val="yellow"/>
              </w:rPr>
            </w:pPr>
            <w:r>
              <w:t>Ceny průmyslových výrobců meziročně klesaly od ledna 2014 a snižovaly se i</w:t>
            </w:r>
            <w:r w:rsidR="004018F7">
              <w:t> </w:t>
            </w:r>
            <w:r>
              <w:t xml:space="preserve">během roku 2016. </w:t>
            </w:r>
            <w:r w:rsidRPr="002C0B6D">
              <w:t xml:space="preserve">Do vývoje indexu se úzce promítala situace na světových trzích s ropou i klesající ceny nerostných surovin. Kombinace s pádem cen potravin vedla </w:t>
            </w:r>
            <w:r>
              <w:t>k</w:t>
            </w:r>
            <w:r w:rsidRPr="002C0B6D">
              <w:t xml:space="preserve"> poměrně netypické situac</w:t>
            </w:r>
            <w:r>
              <w:t>i</w:t>
            </w:r>
            <w:r w:rsidRPr="002C0B6D">
              <w:t xml:space="preserve">, kdy konjunktura ani </w:t>
            </w:r>
            <w:r>
              <w:t>rostoucí</w:t>
            </w:r>
            <w:r w:rsidRPr="002C0B6D">
              <w:t xml:space="preserve"> poptávka nebyly následovány zvýšením cen.</w:t>
            </w:r>
            <w:r>
              <w:t xml:space="preserve"> V roce 2016 se však uvolnil tlak, který vyvíjely ceny ropy na index cen průmyslových výrobců</w:t>
            </w:r>
            <w:r w:rsidR="00D24299">
              <w:t>,</w:t>
            </w:r>
            <w:r>
              <w:t xml:space="preserve"> a ten začal mírně růst alespoň v meziměsíčním vyjádření. Meziroční pokles se </w:t>
            </w:r>
            <w:r w:rsidR="00310ADB">
              <w:t xml:space="preserve">v druhé polovině roku </w:t>
            </w:r>
            <w:r>
              <w:t xml:space="preserve">zmírnil </w:t>
            </w:r>
            <w:r w:rsidR="00310ADB">
              <w:t>(ze 4 </w:t>
            </w:r>
            <w:r>
              <w:t xml:space="preserve">% a 4,6 </w:t>
            </w:r>
            <w:r w:rsidR="00310ADB">
              <w:t>% v prvních dvou kvartálech</w:t>
            </w:r>
            <w:r>
              <w:t xml:space="preserve"> na 3,2 % ve třetím a 1,1 % v závěrečném čtvrtletí</w:t>
            </w:r>
            <w:r w:rsidR="00310ADB">
              <w:t>)</w:t>
            </w:r>
            <w:r>
              <w:t>. Tomu pomohlo zvýšení cen v oddílu koksu a rafinovaných ropných výrobků i zmírnění propadu cen potravinářských výrobků. Přetrval výrazný pokles cen v kategorii těžba a dobývání odrážející vysokou nabídku surovin z</w:t>
            </w:r>
            <w:r w:rsidRPr="002D01C4">
              <w:t xml:space="preserve"> Číny</w:t>
            </w:r>
            <w:r>
              <w:t xml:space="preserve"> i odklon vyspělých zemí od používání pevných fosilních paliv. </w:t>
            </w:r>
            <w:r w:rsidRPr="00443E45">
              <w:t>Ceny stavební</w:t>
            </w:r>
            <w:r w:rsidR="00AF2536">
              <w:t>ch</w:t>
            </w:r>
            <w:r w:rsidRPr="00443E45">
              <w:t xml:space="preserve"> pr</w:t>
            </w:r>
            <w:r w:rsidR="00AF2536">
              <w:t>ací</w:t>
            </w:r>
            <w:r w:rsidRPr="00443E45">
              <w:t xml:space="preserve"> během roku rostly průměrným meziročním tempem 1,1 %. Stejn</w:t>
            </w:r>
            <w:r>
              <w:t xml:space="preserve">ý </w:t>
            </w:r>
            <w:r w:rsidRPr="00443E45">
              <w:t>r</w:t>
            </w:r>
            <w:r>
              <w:t>ůst zaznamenaly</w:t>
            </w:r>
            <w:r w:rsidRPr="00443E45">
              <w:t xml:space="preserve"> ceny budov i inženýrských staveb.</w:t>
            </w:r>
            <w:r>
              <w:t xml:space="preserve"> </w:t>
            </w:r>
          </w:p>
          <w:p w:rsidR="00F12A83" w:rsidRPr="00143FA3" w:rsidRDefault="00F12A83" w:rsidP="008A03DE">
            <w:pPr>
              <w:pStyle w:val="Textpoznpodarou"/>
              <w:ind w:right="-35"/>
              <w:jc w:val="both"/>
              <w:rPr>
                <w:sz w:val="14"/>
                <w:szCs w:val="14"/>
              </w:rPr>
            </w:pPr>
          </w:p>
        </w:tc>
      </w:tr>
      <w:tr w:rsidR="00F12A83" w:rsidRPr="00A74192" w:rsidTr="00CC2A1E">
        <w:tc>
          <w:tcPr>
            <w:tcW w:w="988" w:type="pct"/>
            <w:gridSpan w:val="2"/>
          </w:tcPr>
          <w:p w:rsidR="00F12A83" w:rsidRPr="00A74192" w:rsidRDefault="00F12A83" w:rsidP="00F12A83">
            <w:pPr>
              <w:spacing w:line="240" w:lineRule="auto"/>
              <w:ind w:right="-19"/>
              <w:rPr>
                <w:sz w:val="16"/>
                <w:szCs w:val="16"/>
              </w:rPr>
            </w:pPr>
            <w:r>
              <w:rPr>
                <w:sz w:val="16"/>
                <w:szCs w:val="16"/>
              </w:rPr>
              <w:t xml:space="preserve">Ceny průmyslových výrobců v EU meziročně klesaly v prvních třech čtvrtletích, ale v závěru roku </w:t>
            </w:r>
            <w:r w:rsidR="00D24299">
              <w:rPr>
                <w:sz w:val="16"/>
                <w:szCs w:val="16"/>
              </w:rPr>
              <w:t>se projevilo zvýšení cen ropy a </w:t>
            </w:r>
            <w:r>
              <w:rPr>
                <w:sz w:val="16"/>
                <w:szCs w:val="16"/>
              </w:rPr>
              <w:t>vývoj se alespoň částečně otočil k růstu.</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rPr>
                <w:sz w:val="16"/>
                <w:szCs w:val="16"/>
              </w:rPr>
            </w:pPr>
            <w:r>
              <w:t>Ceny průmyslových výrobců v EU měly během roku 2016 podobnou dynamiku jako v Česku. Meziroční změny cen v evropské osmadvacítce byly záporné v 1. až 3.</w:t>
            </w:r>
            <w:r w:rsidR="004018F7">
              <w:t> </w:t>
            </w:r>
            <w:r>
              <w:t>čtvrtletí (</w:t>
            </w:r>
            <w:r w:rsidR="004D4F13">
              <w:t>-</w:t>
            </w:r>
            <w:r>
              <w:t>3,</w:t>
            </w:r>
            <w:r w:rsidR="00AF2536">
              <w:t>7</w:t>
            </w:r>
            <w:r>
              <w:t xml:space="preserve"> %, </w:t>
            </w:r>
            <w:r w:rsidR="004D4F13">
              <w:t>-</w:t>
            </w:r>
            <w:r w:rsidR="00D24299">
              <w:t xml:space="preserve">3,6 % a </w:t>
            </w:r>
            <w:r w:rsidR="004D4F13">
              <w:t>-</w:t>
            </w:r>
            <w:r>
              <w:t xml:space="preserve">1,6 %) a v závěrečném </w:t>
            </w:r>
            <w:r w:rsidR="00D24299">
              <w:t>kvartálu roku 2016 se zvýšily o </w:t>
            </w:r>
            <w:r>
              <w:t>1</w:t>
            </w:r>
            <w:r w:rsidR="003D5E4B">
              <w:t>,1</w:t>
            </w:r>
            <w:r>
              <w:t xml:space="preserve"> %. Ve čtvrtém čtvrtletí se tak významně rozšířila skupina zemí, ve kterých ceny průmyslových výrobců opět meziročně rostou. Výrazný cenový nárůst se odehrál ve Velké B</w:t>
            </w:r>
            <w:r w:rsidR="00AF2536">
              <w:t>ritánii (+5,6 %), v Belgii (+4,8</w:t>
            </w:r>
            <w:r>
              <w:t xml:space="preserve"> %) nebo Švédsku (+3,2 %). Česko se stále drží mezi zeměmi, kde průmysloví výrobci zažívají deflaci. V poklesu </w:t>
            </w:r>
            <w:r w:rsidR="004D4F13">
              <w:t>jej překonalo jen Lucembursko (-</w:t>
            </w:r>
            <w:r>
              <w:t>6,7 %), Slovensko (</w:t>
            </w:r>
            <w:r w:rsidR="00D24299">
              <w:t>-</w:t>
            </w:r>
            <w:r>
              <w:t>2,4 %), Lotyšsko (</w:t>
            </w:r>
            <w:r w:rsidR="004D4F13">
              <w:t>-</w:t>
            </w:r>
            <w:r w:rsidR="00D24299">
              <w:t>2,2 %) a </w:t>
            </w:r>
            <w:r>
              <w:t>Chorvatsko (</w:t>
            </w:r>
            <w:r w:rsidR="004D4F13">
              <w:t>-</w:t>
            </w:r>
            <w:r>
              <w:t xml:space="preserve">1,5 %). </w:t>
            </w:r>
          </w:p>
          <w:p w:rsidR="00F12A83" w:rsidRPr="00143FA3" w:rsidRDefault="00F12A83" w:rsidP="008A03DE">
            <w:pPr>
              <w:pStyle w:val="Textpoznpodarou"/>
              <w:ind w:right="-35"/>
              <w:jc w:val="both"/>
              <w:rPr>
                <w:sz w:val="14"/>
                <w:szCs w:val="14"/>
              </w:rPr>
            </w:pPr>
          </w:p>
        </w:tc>
      </w:tr>
      <w:tr w:rsidR="00F12A83" w:rsidRPr="00A74192" w:rsidTr="00CC2A1E">
        <w:tc>
          <w:tcPr>
            <w:tcW w:w="988" w:type="pct"/>
            <w:gridSpan w:val="2"/>
          </w:tcPr>
          <w:p w:rsidR="00F12A83" w:rsidRPr="00A74192" w:rsidRDefault="00F12A83" w:rsidP="00F12A83">
            <w:pPr>
              <w:spacing w:line="240" w:lineRule="auto"/>
              <w:ind w:right="-19"/>
              <w:rPr>
                <w:sz w:val="16"/>
                <w:szCs w:val="16"/>
              </w:rPr>
            </w:pPr>
            <w:r>
              <w:rPr>
                <w:sz w:val="16"/>
                <w:szCs w:val="16"/>
              </w:rPr>
              <w:t>Ceny zemědělské výroby klesaly. Pokles cen živočišné výroby během roku zpomalil.</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rPr>
                <w:sz w:val="16"/>
                <w:szCs w:val="16"/>
              </w:rPr>
            </w:pPr>
            <w:r>
              <w:t>Ceny zemědělské výroby po celý rok meziročně klesaly. Pokračovaly tím v trendu předchozích dvou let (s krátkou výjimkou podzimu 2015). Oproti ostatním sledovaným cenovým indexům jejich vývoj během roku příliš nenaznačoval změnu tohoto trendu. Meziroční poklesy v 1. až 4. kvartálu roku 2016 dosáhly 2,9 %, 6,9</w:t>
            </w:r>
            <w:r w:rsidR="004018F7">
              <w:t> </w:t>
            </w:r>
            <w:r>
              <w:t xml:space="preserve">%, 5,7 % a 4 %. V úhrnu klesaly ceny rostlinné i živočišné výroby. U rostlinné výroby </w:t>
            </w:r>
            <w:r w:rsidR="00D24299">
              <w:t xml:space="preserve">vzrostly </w:t>
            </w:r>
            <w:r>
              <w:t>ceny v 1. čtvrtletí roku o 3,9 %, ale v následujících kvartálech roku klesaly o 3,2 %, 5,3 % a 5,7 %. Pokles cen rostlinné výroby nezahrnující ovoce a</w:t>
            </w:r>
            <w:r w:rsidR="004018F7">
              <w:t> </w:t>
            </w:r>
            <w:r>
              <w:t>zeleninu byl ještě výraznější. Naopak, meziroční pokles cen živočišné výroby v průběhu roku zpomaloval. Zde se projevilo meziroční zvýšení cen hospodářských zvířat v druhé polovině roku o 2 % a 3,5 % i zpomalení propadu cen mléka z 15,9</w:t>
            </w:r>
            <w:r w:rsidR="004018F7">
              <w:t> </w:t>
            </w:r>
            <w:r>
              <w:t xml:space="preserve">% v 1. čtvrtletí na 6,5 % v posledním čtvrtletí roku 2016.  </w:t>
            </w:r>
          </w:p>
          <w:p w:rsidR="00F12A83" w:rsidRPr="00143FA3" w:rsidRDefault="00F12A83" w:rsidP="008A03DE">
            <w:pPr>
              <w:pStyle w:val="Textpoznpodarou"/>
              <w:ind w:right="-35"/>
              <w:jc w:val="both"/>
              <w:rPr>
                <w:sz w:val="14"/>
                <w:szCs w:val="14"/>
              </w:rPr>
            </w:pPr>
          </w:p>
        </w:tc>
      </w:tr>
      <w:tr w:rsidR="00F12A83" w:rsidRPr="00A74192" w:rsidTr="00CC2A1E">
        <w:tc>
          <w:tcPr>
            <w:tcW w:w="988" w:type="pct"/>
            <w:gridSpan w:val="2"/>
          </w:tcPr>
          <w:p w:rsidR="00F12A83" w:rsidRPr="00A74192" w:rsidRDefault="00F12A83" w:rsidP="00F12A83">
            <w:pPr>
              <w:spacing w:line="240" w:lineRule="auto"/>
              <w:ind w:right="-19"/>
              <w:rPr>
                <w:sz w:val="16"/>
                <w:szCs w:val="16"/>
              </w:rPr>
            </w:pPr>
            <w:r>
              <w:rPr>
                <w:sz w:val="16"/>
                <w:szCs w:val="16"/>
              </w:rPr>
              <w:t>Cen</w:t>
            </w:r>
            <w:r w:rsidR="00D24299">
              <w:rPr>
                <w:sz w:val="16"/>
                <w:szCs w:val="16"/>
              </w:rPr>
              <w:t xml:space="preserve">y tržních služeb </w:t>
            </w:r>
            <w:r>
              <w:rPr>
                <w:sz w:val="16"/>
                <w:szCs w:val="16"/>
              </w:rPr>
              <w:t>zůstaly v průběhu roku 2016 na téměř konstantní úrovni.</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rPr>
                <w:sz w:val="16"/>
                <w:szCs w:val="16"/>
              </w:rPr>
            </w:pPr>
            <w:r>
              <w:t>Ceny tržních služeb v roce 2016 stagnovaly a pokračovaly tak v trendu předchozího roku. Od počátku roku se zvyšovaly průměrným meziročním tempem 0,1 %. Ceny ve většině oddílů klasifikace tržních služeb zůstávaly na konstantní úrovni, přesto se našly některé výjimky. Náklady na služby v oblasti pozemní a</w:t>
            </w:r>
            <w:r w:rsidR="004018F7">
              <w:t> </w:t>
            </w:r>
            <w:r>
              <w:t>potrubní dopravy se po celý rok meziročně snižovaly, i když s</w:t>
            </w:r>
            <w:r w:rsidR="00310ADB">
              <w:t>e jejich pokles v průběhu roku z</w:t>
            </w:r>
            <w:r>
              <w:t>redukoval z 1,3 % v 1. čtvrtletí na 0,5 % ve 4. čtvrtletí. Již tradičně rostly ceny reklamních služeb a průzkumu trhu (0,2 %, 2 %, 2,8 % a 1 % v jednotlivých čtvrtletích roku). Dále lze zmínit ceny poštovních a kurýrních služeb, jejichž růst v průběhu roku posiloval (z 2,2 %</w:t>
            </w:r>
            <w:r w:rsidR="00D24299">
              <w:t xml:space="preserve"> </w:t>
            </w:r>
            <w:r>
              <w:t>v 1. čtvrtletí na 5,6 % shodně ve 3.</w:t>
            </w:r>
            <w:r w:rsidR="004018F7">
              <w:t> </w:t>
            </w:r>
            <w:r>
              <w:t>i</w:t>
            </w:r>
            <w:r w:rsidR="004018F7">
              <w:t> </w:t>
            </w:r>
            <w:r>
              <w:t>4.</w:t>
            </w:r>
            <w:r w:rsidR="004018F7">
              <w:t> </w:t>
            </w:r>
            <w:r>
              <w:t>čtvrtletí 2016).</w:t>
            </w:r>
          </w:p>
          <w:p w:rsidR="00F12A83" w:rsidRPr="00143FA3" w:rsidRDefault="00F12A83" w:rsidP="008A03DE">
            <w:pPr>
              <w:pStyle w:val="Textpoznpodarou"/>
              <w:ind w:right="-35"/>
              <w:jc w:val="both"/>
              <w:rPr>
                <w:sz w:val="14"/>
                <w:szCs w:val="14"/>
              </w:rPr>
            </w:pPr>
          </w:p>
        </w:tc>
      </w:tr>
      <w:tr w:rsidR="00F12A83" w:rsidRPr="00A74192" w:rsidTr="00CC2A1E">
        <w:tc>
          <w:tcPr>
            <w:tcW w:w="988" w:type="pct"/>
            <w:gridSpan w:val="2"/>
          </w:tcPr>
          <w:p w:rsidR="00F12A83" w:rsidRPr="00A74192" w:rsidRDefault="00F12A83" w:rsidP="00F12A83">
            <w:pPr>
              <w:spacing w:line="240" w:lineRule="auto"/>
              <w:ind w:right="-19"/>
              <w:rPr>
                <w:sz w:val="16"/>
                <w:szCs w:val="16"/>
              </w:rPr>
            </w:pPr>
            <w:r>
              <w:rPr>
                <w:sz w:val="16"/>
                <w:szCs w:val="16"/>
              </w:rPr>
              <w:t>Ceny exportu klesaly, ale tempo poklesu se snižovalo.</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rPr>
                <w:sz w:val="16"/>
                <w:szCs w:val="16"/>
              </w:rPr>
            </w:pPr>
            <w:r>
              <w:t>V průběhu roku se ceny vývozu snižovaly, ale tempo meziročního poklesu se mírnilo (</w:t>
            </w:r>
            <w:r w:rsidR="004D4F13">
              <w:t>-</w:t>
            </w:r>
            <w:r>
              <w:t xml:space="preserve">4,2 %, </w:t>
            </w:r>
            <w:r w:rsidR="004D4F13">
              <w:t>-</w:t>
            </w:r>
            <w:r>
              <w:t xml:space="preserve">4,3 %, </w:t>
            </w:r>
            <w:r w:rsidR="004D4F13">
              <w:t>-</w:t>
            </w:r>
            <w:r>
              <w:t xml:space="preserve">2,7 % a </w:t>
            </w:r>
            <w:r w:rsidR="004D4F13">
              <w:t>-</w:t>
            </w:r>
            <w:r>
              <w:t>1,3 % v jednotlivých čtvrtletích). K tomu přispěl vývoj cen nepoživatelných surovin (</w:t>
            </w:r>
            <w:r w:rsidR="004D4F13">
              <w:t>-</w:t>
            </w:r>
            <w:r>
              <w:t xml:space="preserve">13,4 %, </w:t>
            </w:r>
            <w:r w:rsidR="004D4F13">
              <w:t>-</w:t>
            </w:r>
            <w:r>
              <w:t xml:space="preserve">12,2 %, </w:t>
            </w:r>
            <w:r w:rsidR="004D4F13">
              <w:t>-</w:t>
            </w:r>
            <w:r>
              <w:t>7,1 % a +1,1 %) a</w:t>
            </w:r>
            <w:r w:rsidR="004018F7">
              <w:t> </w:t>
            </w:r>
            <w:r>
              <w:t>minerálních paliv (</w:t>
            </w:r>
            <w:r w:rsidR="004D4F13">
              <w:t>-</w:t>
            </w:r>
            <w:r>
              <w:t xml:space="preserve">19,0 %, </w:t>
            </w:r>
            <w:r w:rsidR="004D4F13">
              <w:t>-</w:t>
            </w:r>
            <w:r>
              <w:t xml:space="preserve">17,3 %, </w:t>
            </w:r>
            <w:r w:rsidR="004D4F13">
              <w:t>-</w:t>
            </w:r>
            <w:r>
              <w:t xml:space="preserve">13,6 % a </w:t>
            </w:r>
            <w:r w:rsidR="004D4F13">
              <w:t>-</w:t>
            </w:r>
            <w:r>
              <w:t>1,3 %). Naopak ceny nápojů a</w:t>
            </w:r>
            <w:r w:rsidR="004018F7">
              <w:t> </w:t>
            </w:r>
            <w:r>
              <w:t>tabáku, které v průběhu roku rostly poměrně stabilním tempem (1,5 %, 2,4 %, 2,6</w:t>
            </w:r>
            <w:r w:rsidR="004018F7">
              <w:t> </w:t>
            </w:r>
            <w:r>
              <w:t>%), v posledn</w:t>
            </w:r>
            <w:r w:rsidR="004D4F13">
              <w:t>ím čtvrtletí meziročně klesly (-</w:t>
            </w:r>
            <w:r>
              <w:t xml:space="preserve">2,4 %). </w:t>
            </w:r>
          </w:p>
          <w:p w:rsidR="00F12A83" w:rsidRPr="00143FA3" w:rsidRDefault="00F12A83" w:rsidP="008A03DE">
            <w:pPr>
              <w:pStyle w:val="Textpoznpodarou"/>
              <w:ind w:right="-35"/>
              <w:jc w:val="both"/>
              <w:rPr>
                <w:sz w:val="14"/>
                <w:szCs w:val="14"/>
              </w:rPr>
            </w:pPr>
          </w:p>
        </w:tc>
      </w:tr>
      <w:tr w:rsidR="00F12A83" w:rsidRPr="00A74192" w:rsidTr="00CC2A1E">
        <w:tc>
          <w:tcPr>
            <w:tcW w:w="988" w:type="pct"/>
            <w:gridSpan w:val="2"/>
          </w:tcPr>
          <w:p w:rsidR="00F12A83" w:rsidRPr="00A74192" w:rsidRDefault="00F12A83" w:rsidP="00F12A83">
            <w:pPr>
              <w:spacing w:line="240" w:lineRule="auto"/>
              <w:ind w:right="-19"/>
              <w:rPr>
                <w:sz w:val="16"/>
                <w:szCs w:val="16"/>
              </w:rPr>
            </w:pPr>
            <w:r>
              <w:rPr>
                <w:sz w:val="16"/>
                <w:szCs w:val="16"/>
              </w:rPr>
              <w:lastRenderedPageBreak/>
              <w:t>Ceny dovozu, které</w:t>
            </w:r>
            <w:r w:rsidR="00D24299">
              <w:rPr>
                <w:sz w:val="16"/>
                <w:szCs w:val="16"/>
              </w:rPr>
              <w:t xml:space="preserve"> v 1. </w:t>
            </w:r>
            <w:r w:rsidR="00DC2FA9">
              <w:rPr>
                <w:sz w:val="16"/>
                <w:szCs w:val="16"/>
              </w:rPr>
              <w:t>a 2. čtvrtletí roku 2016</w:t>
            </w:r>
            <w:r>
              <w:rPr>
                <w:sz w:val="16"/>
                <w:szCs w:val="16"/>
              </w:rPr>
              <w:t xml:space="preserve"> v české ekonomice vytvářely deflační tlaky</w:t>
            </w:r>
            <w:r w:rsidR="00DC2FA9">
              <w:rPr>
                <w:sz w:val="16"/>
                <w:szCs w:val="16"/>
              </w:rPr>
              <w:t>,</w:t>
            </w:r>
            <w:r>
              <w:rPr>
                <w:sz w:val="16"/>
                <w:szCs w:val="16"/>
              </w:rPr>
              <w:t xml:space="preserve"> </w:t>
            </w:r>
            <w:r w:rsidR="00DC2FA9">
              <w:rPr>
                <w:sz w:val="16"/>
                <w:szCs w:val="16"/>
              </w:rPr>
              <w:t>zastavily svůj pokles.</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rPr>
                <w:sz w:val="16"/>
                <w:szCs w:val="16"/>
              </w:rPr>
            </w:pPr>
            <w:r w:rsidRPr="00BC3617">
              <w:t>Ceny dovozu</w:t>
            </w:r>
            <w:r>
              <w:t xml:space="preserve"> ve všech čtvrtletích roku 2016 klesaly (</w:t>
            </w:r>
            <w:r w:rsidR="00EA421A">
              <w:rPr>
                <w:rFonts w:cs="Arial"/>
              </w:rPr>
              <w:t>-</w:t>
            </w:r>
            <w:r>
              <w:rPr>
                <w:rFonts w:cs="Arial"/>
              </w:rPr>
              <w:t xml:space="preserve">5,6 %, </w:t>
            </w:r>
            <w:r w:rsidR="00EA421A">
              <w:rPr>
                <w:rFonts w:cs="Arial"/>
              </w:rPr>
              <w:t>-</w:t>
            </w:r>
            <w:r>
              <w:rPr>
                <w:rFonts w:cs="Arial"/>
              </w:rPr>
              <w:t xml:space="preserve">6,3 %, </w:t>
            </w:r>
            <w:r w:rsidR="00EA421A">
              <w:rPr>
                <w:rFonts w:cs="Arial"/>
              </w:rPr>
              <w:t>-</w:t>
            </w:r>
            <w:r>
              <w:rPr>
                <w:rFonts w:cs="Arial"/>
              </w:rPr>
              <w:t>3,7 % a</w:t>
            </w:r>
            <w:r w:rsidR="004018F7">
              <w:rPr>
                <w:rFonts w:cs="Arial"/>
              </w:rPr>
              <w:t> </w:t>
            </w:r>
            <w:r w:rsidR="00EA421A">
              <w:rPr>
                <w:rFonts w:cs="Arial"/>
              </w:rPr>
              <w:noBreakHyphen/>
            </w:r>
            <w:r>
              <w:rPr>
                <w:rFonts w:cs="Arial"/>
              </w:rPr>
              <w:t>0,4</w:t>
            </w:r>
            <w:r w:rsidR="004018F7">
              <w:rPr>
                <w:rFonts w:cs="Arial"/>
              </w:rPr>
              <w:t> </w:t>
            </w:r>
            <w:r>
              <w:rPr>
                <w:rFonts w:cs="Arial"/>
              </w:rPr>
              <w:t>%</w:t>
            </w:r>
            <w:r>
              <w:t>)</w:t>
            </w:r>
            <w:r w:rsidR="00D24299">
              <w:t>,</w:t>
            </w:r>
            <w:r>
              <w:t xml:space="preserve"> a především v 1. a 2. kvartálu byly významným zdrojem deflačních tlaků v české ekonomice. V druhé polovině roku pokles cen značně oslabil a v prosinci ceny importu poprvé po 18 měsících meziročně vzrostly. Ve 4. čtvrtletí výrazněji vzrostly ceny nápojů a tabáku (+3,3 %), potravin a živých zvířat (+2,8 %) a</w:t>
            </w:r>
            <w:r w:rsidR="004018F7">
              <w:t> </w:t>
            </w:r>
            <w:r>
              <w:t>nepoživatelných surovin (+3,2 %). Ceny dovozu minerálních paliv a maziv meziročně výrazně klesaly v prvních třech čtvrtinách roku 2016 (</w:t>
            </w:r>
            <w:r w:rsidR="00EA421A">
              <w:t>-32,6 %, -</w:t>
            </w:r>
            <w:r>
              <w:t>31,7 % a</w:t>
            </w:r>
            <w:r w:rsidR="00EA421A">
              <w:t> -</w:t>
            </w:r>
            <w:r>
              <w:t>20,8 %)</w:t>
            </w:r>
            <w:r w:rsidR="00D24299">
              <w:t xml:space="preserve">, a </w:t>
            </w:r>
            <w:r>
              <w:t xml:space="preserve">významně </w:t>
            </w:r>
            <w:r w:rsidR="00D24299">
              <w:t xml:space="preserve">se tak promítaly </w:t>
            </w:r>
            <w:r>
              <w:t xml:space="preserve">do celkové cenové hladiny. V posledním čtvrtletí se jejich cenový pohyb zmírnil na 1,5% pokles, především díky prosincovému meziročnímu nárůstu o 12,3 %.  </w:t>
            </w:r>
          </w:p>
          <w:p w:rsidR="00F12A83" w:rsidRPr="00143FA3" w:rsidRDefault="00F12A83" w:rsidP="008A03DE">
            <w:pPr>
              <w:pStyle w:val="Textpoznpodarou"/>
              <w:ind w:right="-35"/>
              <w:jc w:val="both"/>
              <w:rPr>
                <w:sz w:val="14"/>
                <w:szCs w:val="14"/>
              </w:rPr>
            </w:pPr>
          </w:p>
        </w:tc>
      </w:tr>
      <w:tr w:rsidR="00F12A83" w:rsidRPr="00A74192" w:rsidTr="00CC2A1E">
        <w:tc>
          <w:tcPr>
            <w:tcW w:w="988" w:type="pct"/>
            <w:gridSpan w:val="2"/>
          </w:tcPr>
          <w:p w:rsidR="00F12A83" w:rsidRPr="00A74192" w:rsidRDefault="00DC2FA9" w:rsidP="00F12A83">
            <w:pPr>
              <w:spacing w:line="240" w:lineRule="auto"/>
              <w:ind w:right="-19"/>
              <w:rPr>
                <w:sz w:val="16"/>
                <w:szCs w:val="16"/>
              </w:rPr>
            </w:pPr>
            <w:r>
              <w:rPr>
                <w:sz w:val="16"/>
                <w:szCs w:val="16"/>
              </w:rPr>
              <w:t>Směnné relace, které byly kladné v 1. až 3. čtvrtletí se dostaly pod nulu v závěru roku.</w:t>
            </w:r>
            <w:r w:rsidR="00F12A83" w:rsidRPr="00A74192">
              <w:rPr>
                <w:sz w:val="16"/>
                <w:szCs w:val="16"/>
              </w:rPr>
              <w:t xml:space="preserve"> </w:t>
            </w:r>
          </w:p>
        </w:tc>
        <w:tc>
          <w:tcPr>
            <w:tcW w:w="144" w:type="pct"/>
          </w:tcPr>
          <w:p w:rsidR="00F12A83" w:rsidRPr="00A74192" w:rsidRDefault="00F12A83" w:rsidP="00D94859">
            <w:pPr>
              <w:pStyle w:val="Textpoznpodarou"/>
              <w:jc w:val="both"/>
            </w:pPr>
          </w:p>
        </w:tc>
        <w:tc>
          <w:tcPr>
            <w:tcW w:w="3868" w:type="pct"/>
            <w:gridSpan w:val="4"/>
          </w:tcPr>
          <w:p w:rsidR="00F12A83" w:rsidRDefault="00F12A83" w:rsidP="008A03DE">
            <w:pPr>
              <w:pStyle w:val="Textpoznpodarou"/>
              <w:ind w:right="-35"/>
              <w:jc w:val="both"/>
              <w:rPr>
                <w:sz w:val="16"/>
                <w:szCs w:val="16"/>
              </w:rPr>
            </w:pPr>
            <w:r>
              <w:t>Směnné relace byly v prvních třech čtvrtinách roku kladné (101,</w:t>
            </w:r>
            <w:r w:rsidR="00AF2536">
              <w:t>5</w:t>
            </w:r>
            <w:r>
              <w:t>, 102,</w:t>
            </w:r>
            <w:r w:rsidR="00AF2536">
              <w:t>1</w:t>
            </w:r>
            <w:r>
              <w:t xml:space="preserve"> a 101,0), na čemž se nejvýrazněji podepsaly kladné směnné relace u minerálních paliv. Ve 4. čtvrtletí se však situace obrátila a směnné relace činily 99,1. V záporném směru působily směnné relace u nápojů a tabáku (94,3) nebo potravin (96,</w:t>
            </w:r>
            <w:r w:rsidR="00AF2536">
              <w:t>4</w:t>
            </w:r>
            <w:r>
              <w:t xml:space="preserve">). </w:t>
            </w:r>
            <w:r w:rsidR="007F0316">
              <w:t>Už od poloviny roku 2015 naráž</w:t>
            </w:r>
            <w:r w:rsidR="00AF2536">
              <w:t>el</w:t>
            </w:r>
            <w:r w:rsidR="007F0316">
              <w:t xml:space="preserve"> kurz </w:t>
            </w:r>
            <w:r w:rsidRPr="00BC3617">
              <w:t>eura na hranicí 27 korun</w:t>
            </w:r>
            <w:r w:rsidR="007F0316">
              <w:t xml:space="preserve"> a neměn</w:t>
            </w:r>
            <w:r w:rsidR="00AF2536">
              <w:t>il</w:t>
            </w:r>
            <w:r w:rsidR="007F0316">
              <w:t xml:space="preserve"> se. V</w:t>
            </w:r>
            <w:r>
              <w:t> 1.</w:t>
            </w:r>
            <w:r w:rsidR="004018F7">
              <w:t> </w:t>
            </w:r>
            <w:r>
              <w:t>a 2. čtvrtletí 2016 ještě koruna meziročně posílila vůči euru o 2,2 % a 1,3 %, ale v druhé polovině roku se směnný kurz vůči předchozímu roku prakticky nezměnil. Kurz koruny vůči dolaru během roku kol</w:t>
            </w:r>
            <w:r w:rsidR="00D24299">
              <w:t xml:space="preserve">ísal, výraznější pohyb nastal ve </w:t>
            </w:r>
            <w:r>
              <w:t>2.</w:t>
            </w:r>
            <w:r w:rsidR="004018F7">
              <w:t> </w:t>
            </w:r>
            <w:r>
              <w:t>čtvrtletí, když koruna vůči této měně posílila o 3,5 % a ve 4. čtvrtletí, když oslabila o 1,4 %. Netradičně silně se do deflačních tlaků promítlo výrazné posílení koruny vůči britské libře.</w:t>
            </w:r>
          </w:p>
          <w:p w:rsidR="00F12A83" w:rsidRPr="00816358" w:rsidRDefault="00F12A83" w:rsidP="008A03DE">
            <w:pPr>
              <w:pStyle w:val="Textpoznpodarou"/>
              <w:ind w:right="-35"/>
              <w:jc w:val="both"/>
              <w:rPr>
                <w:sz w:val="16"/>
                <w:szCs w:val="16"/>
              </w:rPr>
            </w:pPr>
          </w:p>
        </w:tc>
      </w:tr>
      <w:tr w:rsidR="00F06C6F" w:rsidRPr="00A74192" w:rsidTr="00CC2A1E">
        <w:tblPrEx>
          <w:tblLook w:val="04A0"/>
        </w:tblPrEx>
        <w:tc>
          <w:tcPr>
            <w:tcW w:w="574" w:type="pct"/>
          </w:tcPr>
          <w:p w:rsidR="007430AB" w:rsidRDefault="007430AB" w:rsidP="00D94859">
            <w:pPr>
              <w:pStyle w:val="Textpoznpodarou"/>
              <w:rPr>
                <w:sz w:val="18"/>
                <w:szCs w:val="18"/>
              </w:rPr>
            </w:pPr>
            <w:r>
              <w:rPr>
                <w:sz w:val="18"/>
                <w:szCs w:val="18"/>
              </w:rPr>
              <w:t>Graf č.</w:t>
            </w:r>
          </w:p>
          <w:p w:rsidR="0033229B" w:rsidRPr="005B0262" w:rsidRDefault="0033229B" w:rsidP="00D94859">
            <w:pPr>
              <w:pStyle w:val="Textpoznpodarou"/>
              <w:rPr>
                <w:sz w:val="18"/>
                <w:szCs w:val="18"/>
              </w:rPr>
            </w:pPr>
            <w:r w:rsidRPr="005B0262">
              <w:rPr>
                <w:sz w:val="18"/>
                <w:szCs w:val="18"/>
              </w:rPr>
              <w:t>11</w:t>
            </w:r>
          </w:p>
        </w:tc>
        <w:tc>
          <w:tcPr>
            <w:tcW w:w="1890" w:type="pct"/>
            <w:gridSpan w:val="3"/>
          </w:tcPr>
          <w:p w:rsidR="0033229B" w:rsidRPr="005B0262" w:rsidRDefault="0033229B" w:rsidP="00D94859">
            <w:pPr>
              <w:pStyle w:val="Textpoznpodarou"/>
              <w:rPr>
                <w:sz w:val="18"/>
                <w:szCs w:val="18"/>
              </w:rPr>
            </w:pPr>
            <w:r w:rsidRPr="005B0262">
              <w:rPr>
                <w:b/>
                <w:sz w:val="18"/>
                <w:szCs w:val="18"/>
              </w:rPr>
              <w:t>Spotřebitelské ceny jednotlivých typů domácností</w:t>
            </w:r>
            <w:r w:rsidRPr="005B0262">
              <w:rPr>
                <w:sz w:val="18"/>
                <w:szCs w:val="18"/>
              </w:rPr>
              <w:t xml:space="preserve"> (y/y v %)</w:t>
            </w:r>
          </w:p>
        </w:tc>
        <w:tc>
          <w:tcPr>
            <w:tcW w:w="580" w:type="pct"/>
            <w:gridSpan w:val="2"/>
          </w:tcPr>
          <w:p w:rsidR="007430AB" w:rsidRDefault="007430AB" w:rsidP="00D94859">
            <w:pPr>
              <w:pStyle w:val="Textpoznpodarou"/>
              <w:rPr>
                <w:sz w:val="18"/>
                <w:szCs w:val="18"/>
              </w:rPr>
            </w:pPr>
            <w:r>
              <w:rPr>
                <w:sz w:val="18"/>
                <w:szCs w:val="18"/>
              </w:rPr>
              <w:t>Graf č.</w:t>
            </w:r>
          </w:p>
          <w:p w:rsidR="0033229B" w:rsidRPr="005B0262" w:rsidRDefault="0033229B" w:rsidP="00D94859">
            <w:pPr>
              <w:pStyle w:val="Textpoznpodarou"/>
              <w:rPr>
                <w:sz w:val="18"/>
                <w:szCs w:val="18"/>
              </w:rPr>
            </w:pPr>
            <w:r w:rsidRPr="005B0262">
              <w:rPr>
                <w:sz w:val="18"/>
                <w:szCs w:val="18"/>
              </w:rPr>
              <w:t>12</w:t>
            </w:r>
          </w:p>
        </w:tc>
        <w:tc>
          <w:tcPr>
            <w:tcW w:w="1956" w:type="pct"/>
          </w:tcPr>
          <w:p w:rsidR="0033229B" w:rsidRPr="005B0262" w:rsidRDefault="0033229B" w:rsidP="005B0262">
            <w:pPr>
              <w:pStyle w:val="Textpoznpodarou"/>
              <w:rPr>
                <w:sz w:val="18"/>
                <w:szCs w:val="18"/>
              </w:rPr>
            </w:pPr>
            <w:r w:rsidRPr="005B0262">
              <w:rPr>
                <w:b/>
                <w:sz w:val="18"/>
                <w:szCs w:val="18"/>
              </w:rPr>
              <w:t>Ceny ve vybraných oddílech indexu spotřebitelských cen</w:t>
            </w:r>
            <w:r w:rsidRPr="005B0262">
              <w:rPr>
                <w:sz w:val="18"/>
                <w:szCs w:val="18"/>
              </w:rPr>
              <w:t xml:space="preserve"> (y/y v %)</w:t>
            </w:r>
          </w:p>
        </w:tc>
      </w:tr>
      <w:tr w:rsidR="007C32B6" w:rsidRPr="00A74192" w:rsidTr="00CC2A1E">
        <w:tblPrEx>
          <w:tblLook w:val="04A0"/>
        </w:tblPrEx>
        <w:tc>
          <w:tcPr>
            <w:tcW w:w="2464" w:type="pct"/>
            <w:gridSpan w:val="4"/>
          </w:tcPr>
          <w:p w:rsidR="0033229B" w:rsidRPr="00A74192" w:rsidRDefault="00906225" w:rsidP="00E83DAB">
            <w:pPr>
              <w:pStyle w:val="Textpoznpodarou"/>
              <w:ind w:left="-108"/>
              <w:jc w:val="both"/>
            </w:pPr>
            <w:r>
              <w:rPr>
                <w:noProof/>
              </w:rPr>
              <w:drawing>
                <wp:inline distT="0" distB="0" distL="0" distR="0">
                  <wp:extent cx="3018805" cy="2377440"/>
                  <wp:effectExtent l="19050" t="0" r="0" b="0"/>
                  <wp:docPr id="2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3018971" cy="2377571"/>
                          </a:xfrm>
                          <a:prstGeom prst="rect">
                            <a:avLst/>
                          </a:prstGeom>
                          <a:noFill/>
                          <a:ln w="9525">
                            <a:noFill/>
                            <a:miter lim="800000"/>
                            <a:headEnd/>
                            <a:tailEnd/>
                          </a:ln>
                        </pic:spPr>
                      </pic:pic>
                    </a:graphicData>
                  </a:graphic>
                </wp:inline>
              </w:drawing>
            </w:r>
          </w:p>
        </w:tc>
        <w:tc>
          <w:tcPr>
            <w:tcW w:w="2536" w:type="pct"/>
            <w:gridSpan w:val="3"/>
          </w:tcPr>
          <w:p w:rsidR="0085188D" w:rsidRPr="0085188D" w:rsidRDefault="00906225" w:rsidP="00CC2A1E">
            <w:pPr>
              <w:pStyle w:val="Textpoznpodarou"/>
              <w:ind w:left="-108"/>
              <w:jc w:val="both"/>
              <w:rPr>
                <w:sz w:val="6"/>
                <w:szCs w:val="6"/>
              </w:rPr>
            </w:pPr>
            <w:r>
              <w:rPr>
                <w:noProof/>
                <w:sz w:val="6"/>
                <w:szCs w:val="6"/>
              </w:rPr>
              <w:drawing>
                <wp:inline distT="0" distB="0" distL="0" distR="0">
                  <wp:extent cx="3021330" cy="2377440"/>
                  <wp:effectExtent l="19050" t="0" r="7620" b="0"/>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7"/>
                          <a:srcRect/>
                          <a:stretch>
                            <a:fillRect/>
                          </a:stretch>
                        </pic:blipFill>
                        <pic:spPr bwMode="auto">
                          <a:xfrm>
                            <a:off x="0" y="0"/>
                            <a:ext cx="3021330" cy="2377440"/>
                          </a:xfrm>
                          <a:prstGeom prst="rect">
                            <a:avLst/>
                          </a:prstGeom>
                          <a:noFill/>
                          <a:ln w="9525">
                            <a:noFill/>
                            <a:miter lim="800000"/>
                            <a:headEnd/>
                            <a:tailEnd/>
                          </a:ln>
                        </pic:spPr>
                      </pic:pic>
                    </a:graphicData>
                  </a:graphic>
                </wp:inline>
              </w:drawing>
            </w:r>
          </w:p>
        </w:tc>
      </w:tr>
      <w:tr w:rsidR="00F06C6F" w:rsidRPr="00A74192" w:rsidTr="00CC2A1E">
        <w:tblPrEx>
          <w:tblLook w:val="04A0"/>
        </w:tblPrEx>
        <w:tc>
          <w:tcPr>
            <w:tcW w:w="574" w:type="pct"/>
          </w:tcPr>
          <w:p w:rsidR="007430AB" w:rsidRDefault="007430AB" w:rsidP="00D94859">
            <w:pPr>
              <w:pStyle w:val="Textpoznpodarou"/>
              <w:rPr>
                <w:sz w:val="18"/>
                <w:szCs w:val="18"/>
                <w:lang w:eastAsia="en-US"/>
              </w:rPr>
            </w:pPr>
            <w:r>
              <w:rPr>
                <w:sz w:val="18"/>
                <w:szCs w:val="18"/>
                <w:lang w:eastAsia="en-US"/>
              </w:rPr>
              <w:t>Graf č.</w:t>
            </w:r>
          </w:p>
          <w:p w:rsidR="0033229B" w:rsidRPr="005B0262" w:rsidRDefault="0033229B" w:rsidP="00D94859">
            <w:pPr>
              <w:pStyle w:val="Textpoznpodarou"/>
              <w:rPr>
                <w:sz w:val="18"/>
                <w:szCs w:val="18"/>
                <w:lang w:eastAsia="en-US"/>
              </w:rPr>
            </w:pPr>
            <w:r w:rsidRPr="005B0262">
              <w:rPr>
                <w:sz w:val="18"/>
                <w:szCs w:val="18"/>
                <w:lang w:eastAsia="en-US"/>
              </w:rPr>
              <w:t>13</w:t>
            </w:r>
          </w:p>
        </w:tc>
        <w:tc>
          <w:tcPr>
            <w:tcW w:w="1890" w:type="pct"/>
            <w:gridSpan w:val="3"/>
          </w:tcPr>
          <w:p w:rsidR="0033229B" w:rsidRPr="005B0262" w:rsidRDefault="0033229B" w:rsidP="00D94859">
            <w:pPr>
              <w:pStyle w:val="Textpoznpodarou"/>
              <w:rPr>
                <w:color w:val="FF0000"/>
                <w:sz w:val="18"/>
                <w:szCs w:val="18"/>
                <w:lang w:eastAsia="en-US"/>
              </w:rPr>
            </w:pPr>
            <w:r w:rsidRPr="005B0262">
              <w:rPr>
                <w:b/>
                <w:sz w:val="18"/>
                <w:szCs w:val="18"/>
                <w:lang w:eastAsia="en-US"/>
              </w:rPr>
              <w:t>Deflátory</w:t>
            </w:r>
            <w:r w:rsidRPr="005B0262">
              <w:rPr>
                <w:sz w:val="18"/>
                <w:szCs w:val="18"/>
                <w:lang w:eastAsia="en-US"/>
              </w:rPr>
              <w:t xml:space="preserve"> (očištěn</w:t>
            </w:r>
            <w:r w:rsidR="00A05B91" w:rsidRPr="005B0262">
              <w:rPr>
                <w:sz w:val="18"/>
                <w:szCs w:val="18"/>
                <w:lang w:eastAsia="en-US"/>
              </w:rPr>
              <w:t>o</w:t>
            </w:r>
            <w:r w:rsidRPr="005B0262">
              <w:rPr>
                <w:sz w:val="18"/>
                <w:szCs w:val="18"/>
                <w:lang w:eastAsia="en-US"/>
              </w:rPr>
              <w:t xml:space="preserve"> o sezónní a kalendářní vlivy, y/y v %)</w:t>
            </w:r>
          </w:p>
        </w:tc>
        <w:tc>
          <w:tcPr>
            <w:tcW w:w="507" w:type="pct"/>
          </w:tcPr>
          <w:p w:rsidR="007430AB" w:rsidRDefault="007430AB" w:rsidP="005B0262">
            <w:pPr>
              <w:pStyle w:val="Textpoznpodarou"/>
              <w:ind w:left="-77" w:right="-108"/>
              <w:rPr>
                <w:sz w:val="18"/>
                <w:szCs w:val="18"/>
                <w:lang w:eastAsia="en-US"/>
              </w:rPr>
            </w:pPr>
            <w:r>
              <w:rPr>
                <w:sz w:val="18"/>
                <w:szCs w:val="18"/>
                <w:lang w:eastAsia="en-US"/>
              </w:rPr>
              <w:t>Graf č.</w:t>
            </w:r>
          </w:p>
          <w:p w:rsidR="0033229B" w:rsidRPr="005B0262" w:rsidRDefault="0033229B" w:rsidP="005B0262">
            <w:pPr>
              <w:pStyle w:val="Textpoznpodarou"/>
              <w:ind w:left="-77" w:right="-108"/>
              <w:rPr>
                <w:sz w:val="18"/>
                <w:szCs w:val="18"/>
                <w:lang w:eastAsia="en-US"/>
              </w:rPr>
            </w:pPr>
            <w:r w:rsidRPr="005B0262">
              <w:rPr>
                <w:sz w:val="18"/>
                <w:szCs w:val="18"/>
                <w:lang w:eastAsia="en-US"/>
              </w:rPr>
              <w:t>14</w:t>
            </w:r>
          </w:p>
        </w:tc>
        <w:tc>
          <w:tcPr>
            <w:tcW w:w="2029" w:type="pct"/>
            <w:gridSpan w:val="2"/>
          </w:tcPr>
          <w:p w:rsidR="0033229B" w:rsidRPr="005B0262" w:rsidRDefault="0033229B" w:rsidP="005B0262">
            <w:pPr>
              <w:pStyle w:val="Textpoznpodarou"/>
              <w:ind w:right="-108"/>
              <w:rPr>
                <w:sz w:val="18"/>
                <w:szCs w:val="18"/>
                <w:lang w:eastAsia="en-US"/>
              </w:rPr>
            </w:pPr>
            <w:r w:rsidRPr="005B0262">
              <w:rPr>
                <w:b/>
                <w:sz w:val="18"/>
                <w:szCs w:val="18"/>
                <w:lang w:eastAsia="en-US"/>
              </w:rPr>
              <w:t>Ceny výrobců</w:t>
            </w:r>
            <w:r w:rsidR="004F2A4D" w:rsidRPr="005B0262">
              <w:rPr>
                <w:sz w:val="18"/>
                <w:szCs w:val="18"/>
                <w:lang w:eastAsia="en-US"/>
              </w:rPr>
              <w:t xml:space="preserve"> (y/y v %, ceny zem</w:t>
            </w:r>
            <w:r w:rsidR="005B0262" w:rsidRPr="005B0262">
              <w:rPr>
                <w:sz w:val="18"/>
                <w:szCs w:val="18"/>
                <w:lang w:eastAsia="en-US"/>
              </w:rPr>
              <w:t>.</w:t>
            </w:r>
            <w:r w:rsidR="004F2A4D" w:rsidRPr="005B0262">
              <w:rPr>
                <w:sz w:val="18"/>
                <w:szCs w:val="18"/>
                <w:lang w:eastAsia="en-US"/>
              </w:rPr>
              <w:t xml:space="preserve"> </w:t>
            </w:r>
            <w:r w:rsidRPr="005B0262">
              <w:rPr>
                <w:sz w:val="18"/>
                <w:szCs w:val="18"/>
                <w:lang w:eastAsia="en-US"/>
              </w:rPr>
              <w:t>výrobců na pravé ose, ostatní na levé ose)</w:t>
            </w:r>
          </w:p>
        </w:tc>
      </w:tr>
      <w:tr w:rsidR="00A05B91" w:rsidRPr="00A74192" w:rsidTr="00CC2A1E">
        <w:tblPrEx>
          <w:tblLook w:val="04A0"/>
        </w:tblPrEx>
        <w:tc>
          <w:tcPr>
            <w:tcW w:w="2464" w:type="pct"/>
            <w:gridSpan w:val="4"/>
          </w:tcPr>
          <w:p w:rsidR="0033229B" w:rsidRPr="00A74192" w:rsidRDefault="00906225" w:rsidP="00F06C6F">
            <w:pPr>
              <w:pStyle w:val="Textpoznpodarou"/>
              <w:ind w:left="-108"/>
              <w:jc w:val="both"/>
              <w:rPr>
                <w:lang w:eastAsia="en-US"/>
              </w:rPr>
            </w:pPr>
            <w:r>
              <w:rPr>
                <w:noProof/>
              </w:rPr>
              <w:drawing>
                <wp:inline distT="0" distB="0" distL="0" distR="0">
                  <wp:extent cx="3018943" cy="2384755"/>
                  <wp:effectExtent l="19050" t="0" r="0" b="0"/>
                  <wp:docPr id="27"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3018678" cy="2384546"/>
                          </a:xfrm>
                          <a:prstGeom prst="rect">
                            <a:avLst/>
                          </a:prstGeom>
                          <a:noFill/>
                          <a:ln w="9525">
                            <a:noFill/>
                            <a:miter lim="800000"/>
                            <a:headEnd/>
                            <a:tailEnd/>
                          </a:ln>
                        </pic:spPr>
                      </pic:pic>
                    </a:graphicData>
                  </a:graphic>
                </wp:inline>
              </w:drawing>
            </w:r>
          </w:p>
        </w:tc>
        <w:tc>
          <w:tcPr>
            <w:tcW w:w="2536" w:type="pct"/>
            <w:gridSpan w:val="3"/>
          </w:tcPr>
          <w:p w:rsidR="0033229B" w:rsidRPr="00CC2A1E" w:rsidRDefault="00906225" w:rsidP="00CC2A1E">
            <w:pPr>
              <w:pStyle w:val="Textpoznpodarou"/>
              <w:ind w:left="-77"/>
              <w:jc w:val="both"/>
              <w:rPr>
                <w:lang w:eastAsia="en-US"/>
              </w:rPr>
            </w:pPr>
            <w:r>
              <w:rPr>
                <w:noProof/>
              </w:rPr>
              <w:drawing>
                <wp:inline distT="0" distB="0" distL="0" distR="0">
                  <wp:extent cx="3032703" cy="2384755"/>
                  <wp:effectExtent l="19050" t="0" r="0" b="0"/>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3032314" cy="2384449"/>
                          </a:xfrm>
                          <a:prstGeom prst="rect">
                            <a:avLst/>
                          </a:prstGeom>
                          <a:noFill/>
                          <a:ln w="9525">
                            <a:noFill/>
                            <a:miter lim="800000"/>
                            <a:headEnd/>
                            <a:tailEnd/>
                          </a:ln>
                        </pic:spPr>
                      </pic:pic>
                    </a:graphicData>
                  </a:graphic>
                </wp:inline>
              </w:drawing>
            </w:r>
          </w:p>
        </w:tc>
      </w:tr>
      <w:tr w:rsidR="0033229B" w:rsidRPr="005B0262" w:rsidTr="00CC2A1E">
        <w:tblPrEx>
          <w:tblLook w:val="04A0"/>
        </w:tblPrEx>
        <w:tc>
          <w:tcPr>
            <w:tcW w:w="5000" w:type="pct"/>
            <w:gridSpan w:val="7"/>
          </w:tcPr>
          <w:p w:rsidR="0033229B" w:rsidRPr="005B0262" w:rsidRDefault="0033229B" w:rsidP="00D94859">
            <w:pPr>
              <w:pStyle w:val="Textpoznpodarou"/>
              <w:jc w:val="right"/>
              <w:rPr>
                <w:sz w:val="18"/>
                <w:szCs w:val="18"/>
                <w:lang w:eastAsia="en-US"/>
              </w:rPr>
            </w:pPr>
            <w:r w:rsidRPr="005B0262">
              <w:rPr>
                <w:sz w:val="18"/>
                <w:szCs w:val="18"/>
                <w:lang w:eastAsia="en-US"/>
              </w:rPr>
              <w:t>Zdroj: ČSÚ</w:t>
            </w:r>
          </w:p>
        </w:tc>
      </w:tr>
      <w:tr w:rsidR="00B128E5" w:rsidRPr="005B0262" w:rsidTr="00CC2A1E">
        <w:tblPrEx>
          <w:tblLook w:val="04A0"/>
        </w:tblPrEx>
        <w:tc>
          <w:tcPr>
            <w:tcW w:w="5000" w:type="pct"/>
            <w:gridSpan w:val="7"/>
          </w:tcPr>
          <w:p w:rsidR="00B128E5" w:rsidRPr="005B0262" w:rsidRDefault="00B128E5" w:rsidP="00A9497A">
            <w:pPr>
              <w:pStyle w:val="Textpoznpodarou"/>
              <w:rPr>
                <w:sz w:val="18"/>
                <w:szCs w:val="18"/>
                <w:lang w:eastAsia="en-US"/>
              </w:rPr>
            </w:pPr>
          </w:p>
        </w:tc>
      </w:tr>
    </w:tbl>
    <w:p w:rsidR="005752EB" w:rsidRDefault="005752EB" w:rsidP="005752EB">
      <w:pPr>
        <w:pStyle w:val="Nadpis1"/>
        <w:numPr>
          <w:ilvl w:val="0"/>
          <w:numId w:val="12"/>
        </w:numPr>
        <w:ind w:left="709"/>
      </w:pPr>
      <w:bookmarkStart w:id="14" w:name="_Toc454185153"/>
      <w:bookmarkStart w:id="15" w:name="_Toc469327803"/>
      <w:r w:rsidRPr="0051593C">
        <w:lastRenderedPageBreak/>
        <w:t>Trh práce</w:t>
      </w:r>
      <w:bookmarkEnd w:id="14"/>
      <w:bookmarkEnd w:id="15"/>
    </w:p>
    <w:tbl>
      <w:tblPr>
        <w:tblW w:w="4986" w:type="pct"/>
        <w:tblLayout w:type="fixed"/>
        <w:tblCellMar>
          <w:left w:w="28" w:type="dxa"/>
          <w:right w:w="28" w:type="dxa"/>
        </w:tblCellMar>
        <w:tblLook w:val="04A0"/>
      </w:tblPr>
      <w:tblGrid>
        <w:gridCol w:w="2043"/>
        <w:gridCol w:w="275"/>
        <w:gridCol w:w="7349"/>
      </w:tblGrid>
      <w:tr w:rsidR="00E90D67" w:rsidTr="008A03DE">
        <w:tc>
          <w:tcPr>
            <w:tcW w:w="1057" w:type="pct"/>
          </w:tcPr>
          <w:p w:rsidR="00E90D67" w:rsidRDefault="00E90D67" w:rsidP="008A03DE">
            <w:pPr>
              <w:spacing w:line="240" w:lineRule="auto"/>
              <w:rPr>
                <w:rFonts w:cs="Arial"/>
                <w:bCs/>
                <w:iCs/>
                <w:color w:val="0D0D0D"/>
                <w:sz w:val="16"/>
                <w:szCs w:val="16"/>
              </w:rPr>
            </w:pPr>
            <w:r>
              <w:rPr>
                <w:rFonts w:cs="Arial"/>
                <w:bCs/>
                <w:iCs/>
                <w:color w:val="0D0D0D"/>
                <w:sz w:val="16"/>
                <w:szCs w:val="16"/>
              </w:rPr>
              <w:t>Dobře ukotvený ekonomický růst nadále zlepšoval situaci na trhu práce, meziroční růst zaměstnanosti byl loni nejvyšší od roku 2008.</w:t>
            </w:r>
          </w:p>
          <w:p w:rsidR="00E90D67" w:rsidRDefault="00E90D67" w:rsidP="008A03DE">
            <w:pPr>
              <w:spacing w:line="240" w:lineRule="auto"/>
              <w:rPr>
                <w:rFonts w:cs="Arial"/>
                <w:bCs/>
                <w:iCs/>
                <w:color w:val="0D0D0D"/>
                <w:sz w:val="16"/>
                <w:szCs w:val="16"/>
              </w:rPr>
            </w:pPr>
          </w:p>
          <w:p w:rsidR="00E90D67" w:rsidRDefault="00E90D67" w:rsidP="008A03DE">
            <w:pPr>
              <w:spacing w:line="240" w:lineRule="auto"/>
              <w:rPr>
                <w:rFonts w:cs="Arial"/>
                <w:bCs/>
                <w:iCs/>
                <w:color w:val="0D0D0D"/>
                <w:sz w:val="16"/>
                <w:szCs w:val="16"/>
              </w:rPr>
            </w:pPr>
          </w:p>
          <w:p w:rsidR="00E90D67" w:rsidRDefault="00E90D67" w:rsidP="008A03DE">
            <w:pPr>
              <w:spacing w:line="240" w:lineRule="auto"/>
              <w:rPr>
                <w:rFonts w:cs="Arial"/>
                <w:bCs/>
                <w:iCs/>
                <w:color w:val="0D0D0D"/>
                <w:sz w:val="16"/>
                <w:szCs w:val="16"/>
              </w:rPr>
            </w:pPr>
          </w:p>
          <w:p w:rsidR="00E90D67" w:rsidRPr="00B041BD" w:rsidRDefault="00E90D67" w:rsidP="008A03DE">
            <w:pPr>
              <w:spacing w:line="240" w:lineRule="auto"/>
              <w:rPr>
                <w:rFonts w:cs="Arial"/>
                <w:bCs/>
                <w:iCs/>
                <w:color w:val="0D0D0D"/>
                <w:sz w:val="16"/>
                <w:szCs w:val="16"/>
              </w:rPr>
            </w:pPr>
          </w:p>
        </w:tc>
        <w:tc>
          <w:tcPr>
            <w:tcW w:w="142" w:type="pct"/>
          </w:tcPr>
          <w:p w:rsidR="00E90D67" w:rsidRPr="00B041BD" w:rsidRDefault="00E90D67" w:rsidP="008A03DE">
            <w:pPr>
              <w:pStyle w:val="Textpoznpodarou"/>
              <w:jc w:val="both"/>
              <w:rPr>
                <w:color w:val="0D0D0D"/>
              </w:rPr>
            </w:pPr>
          </w:p>
        </w:tc>
        <w:tc>
          <w:tcPr>
            <w:tcW w:w="3801" w:type="pct"/>
          </w:tcPr>
          <w:p w:rsidR="00E90D67" w:rsidRPr="00083BAD" w:rsidRDefault="00E90D67" w:rsidP="008A03DE">
            <w:pPr>
              <w:pStyle w:val="Textpoznpodarou"/>
              <w:jc w:val="both"/>
              <w:rPr>
                <w:rFonts w:cs="Arial"/>
                <w:color w:val="0D0D0D"/>
                <w:spacing w:val="-4"/>
              </w:rPr>
            </w:pPr>
            <w:r w:rsidRPr="00083BAD">
              <w:rPr>
                <w:rFonts w:cs="Arial"/>
                <w:color w:val="0D0D0D"/>
                <w:spacing w:val="-4"/>
              </w:rPr>
              <w:t>Situace na trhu práce se v roce 2016 nadále zle</w:t>
            </w:r>
            <w:r>
              <w:rPr>
                <w:rFonts w:cs="Arial"/>
                <w:color w:val="0D0D0D"/>
                <w:spacing w:val="-4"/>
              </w:rPr>
              <w:t xml:space="preserve">pšovala a v mnoha ohledech měla shodné rysy jako v </w:t>
            </w:r>
            <w:r w:rsidRPr="00083BAD">
              <w:rPr>
                <w:rFonts w:cs="Arial"/>
                <w:color w:val="0D0D0D"/>
                <w:spacing w:val="-4"/>
              </w:rPr>
              <w:t>konjunkturní</w:t>
            </w:r>
            <w:r w:rsidR="00423C04">
              <w:rPr>
                <w:rFonts w:cs="Arial"/>
                <w:color w:val="0D0D0D"/>
                <w:spacing w:val="-4"/>
              </w:rPr>
              <w:t xml:space="preserve">m období </w:t>
            </w:r>
            <w:r w:rsidRPr="00083BAD">
              <w:rPr>
                <w:rFonts w:cs="Arial"/>
                <w:color w:val="0D0D0D"/>
                <w:spacing w:val="-4"/>
              </w:rPr>
              <w:t>minulé dekády. Pokračující ekonomický růst generoval nová pracovní místa. Celková zaměstnanost</w:t>
            </w:r>
            <w:r w:rsidRPr="00083BAD">
              <w:rPr>
                <w:rStyle w:val="Znakapoznpodarou"/>
                <w:color w:val="0D0D0D"/>
                <w:spacing w:val="-4"/>
              </w:rPr>
              <w:footnoteReference w:id="25"/>
            </w:r>
            <w:r w:rsidRPr="00083BAD">
              <w:rPr>
                <w:rFonts w:cs="Arial"/>
                <w:color w:val="0D0D0D"/>
                <w:spacing w:val="-4"/>
              </w:rPr>
              <w:t xml:space="preserve"> v mezikvartálním vyjádření v průbě</w:t>
            </w:r>
            <w:r>
              <w:rPr>
                <w:rFonts w:cs="Arial"/>
                <w:color w:val="0D0D0D"/>
                <w:spacing w:val="-4"/>
              </w:rPr>
              <w:t>hu roku nadále posilovala (kromě</w:t>
            </w:r>
            <w:r w:rsidRPr="00083BAD">
              <w:rPr>
                <w:rFonts w:cs="Arial"/>
                <w:color w:val="0D0D0D"/>
                <w:spacing w:val="-4"/>
              </w:rPr>
              <w:t xml:space="preserve"> dočasné stagnace ve 3. čtvrtletí). P</w:t>
            </w:r>
            <w:r>
              <w:rPr>
                <w:rFonts w:cs="Arial"/>
                <w:color w:val="0D0D0D"/>
                <w:spacing w:val="-4"/>
              </w:rPr>
              <w:t>roti roku 2015</w:t>
            </w:r>
            <w:r w:rsidRPr="00083BAD">
              <w:rPr>
                <w:rFonts w:cs="Arial"/>
                <w:color w:val="0D0D0D"/>
                <w:spacing w:val="-4"/>
              </w:rPr>
              <w:t xml:space="preserve"> pracovalo loni o 1,8 % lidí více (tempo meziročního růstu se zvýšilo již třetí rok v řadě a bylo nejvyšší od roku 2008). Přestože počet pracovníků na sklonku loňského roku poprvé v historii Česka překročil hranici 5,3 mil., </w:t>
            </w:r>
            <w:r>
              <w:rPr>
                <w:rFonts w:cs="Arial"/>
                <w:color w:val="0D0D0D"/>
                <w:spacing w:val="-4"/>
              </w:rPr>
              <w:t xml:space="preserve">zároveň se </w:t>
            </w:r>
            <w:r w:rsidRPr="00083BAD">
              <w:rPr>
                <w:rFonts w:cs="Arial"/>
                <w:color w:val="0D0D0D"/>
                <w:spacing w:val="-4"/>
              </w:rPr>
              <w:t xml:space="preserve">výrazně </w:t>
            </w:r>
            <w:r>
              <w:rPr>
                <w:rFonts w:cs="Arial"/>
                <w:color w:val="0D0D0D"/>
                <w:spacing w:val="-4"/>
              </w:rPr>
              <w:t xml:space="preserve">zvýšil </w:t>
            </w:r>
            <w:r w:rsidRPr="00083BAD">
              <w:rPr>
                <w:rFonts w:cs="Arial"/>
                <w:color w:val="0D0D0D"/>
                <w:spacing w:val="-4"/>
              </w:rPr>
              <w:t>i podíl podniků, které považovaly nedostatek pracovní síly za důležitou bariéru svého růstu.</w:t>
            </w:r>
            <w:r>
              <w:rPr>
                <w:rFonts w:cs="Arial"/>
                <w:color w:val="0D0D0D"/>
                <w:spacing w:val="-4"/>
              </w:rPr>
              <w:t xml:space="preserve"> Podniky se snažily zajistit potřebnou pracovní sílu najímáním zahraničních pracovníků (především z ekonomicky méně vyspělých zemí EU), zapojením rostoucího počtu vězňů či práceschopných skupin ekonomicky neaktivních.</w:t>
            </w:r>
          </w:p>
          <w:p w:rsidR="00E90D67" w:rsidRPr="00F444AA" w:rsidRDefault="00E90D67" w:rsidP="008A03DE">
            <w:pPr>
              <w:pStyle w:val="Textpoznpodarou"/>
              <w:jc w:val="both"/>
              <w:rPr>
                <w:rFonts w:cs="Arial"/>
                <w:color w:val="0D0D0D"/>
                <w:sz w:val="14"/>
                <w:szCs w:val="14"/>
              </w:rPr>
            </w:pPr>
          </w:p>
        </w:tc>
      </w:tr>
      <w:tr w:rsidR="00E90D67" w:rsidTr="008A03DE">
        <w:tc>
          <w:tcPr>
            <w:tcW w:w="1057" w:type="pct"/>
          </w:tcPr>
          <w:p w:rsidR="00E90D67" w:rsidRPr="00D45A25" w:rsidRDefault="00E90D67" w:rsidP="008A03DE">
            <w:pPr>
              <w:spacing w:line="240" w:lineRule="auto"/>
              <w:rPr>
                <w:rFonts w:cs="Arial"/>
                <w:bCs/>
                <w:iCs/>
                <w:color w:val="0D0D0D"/>
                <w:spacing w:val="-4"/>
                <w:sz w:val="16"/>
                <w:szCs w:val="16"/>
              </w:rPr>
            </w:pPr>
            <w:r>
              <w:rPr>
                <w:rFonts w:cs="Arial"/>
                <w:bCs/>
                <w:iCs/>
                <w:color w:val="0D0D0D"/>
                <w:spacing w:val="-4"/>
                <w:sz w:val="16"/>
                <w:szCs w:val="16"/>
              </w:rPr>
              <w:t>Míra zaměstnanosti (77 %), ale i její rozdíly mezi muži a</w:t>
            </w:r>
            <w:r w:rsidRPr="00D45A25">
              <w:rPr>
                <w:rFonts w:cs="Arial"/>
                <w:bCs/>
                <w:iCs/>
                <w:color w:val="0D0D0D"/>
                <w:spacing w:val="-4"/>
                <w:sz w:val="16"/>
                <w:szCs w:val="16"/>
              </w:rPr>
              <w:t> </w:t>
            </w:r>
            <w:r>
              <w:rPr>
                <w:rFonts w:cs="Arial"/>
                <w:bCs/>
                <w:iCs/>
                <w:color w:val="0D0D0D"/>
                <w:spacing w:val="-4"/>
                <w:sz w:val="16"/>
                <w:szCs w:val="16"/>
              </w:rPr>
              <w:t>ženami</w:t>
            </w:r>
            <w:r w:rsidRPr="00D45A25">
              <w:rPr>
                <w:rFonts w:cs="Arial"/>
                <w:bCs/>
                <w:iCs/>
                <w:color w:val="0D0D0D"/>
                <w:spacing w:val="-4"/>
                <w:sz w:val="16"/>
                <w:szCs w:val="16"/>
              </w:rPr>
              <w:t xml:space="preserve"> </w:t>
            </w:r>
            <w:r w:rsidR="00423C04">
              <w:rPr>
                <w:rFonts w:cs="Arial"/>
                <w:bCs/>
                <w:iCs/>
                <w:color w:val="0D0D0D"/>
                <w:spacing w:val="-4"/>
                <w:sz w:val="16"/>
                <w:szCs w:val="16"/>
              </w:rPr>
              <w:t xml:space="preserve">v ČR (16,3 p.b.) </w:t>
            </w:r>
            <w:r>
              <w:rPr>
                <w:rFonts w:cs="Arial"/>
                <w:bCs/>
                <w:iCs/>
                <w:color w:val="0D0D0D"/>
                <w:spacing w:val="-4"/>
                <w:sz w:val="16"/>
                <w:szCs w:val="16"/>
              </w:rPr>
              <w:t>patřily mezi státy Unie k </w:t>
            </w:r>
            <w:r w:rsidRPr="00D45A25">
              <w:rPr>
                <w:rFonts w:cs="Arial"/>
                <w:bCs/>
                <w:iCs/>
                <w:color w:val="0D0D0D"/>
                <w:spacing w:val="-4"/>
                <w:sz w:val="16"/>
                <w:szCs w:val="16"/>
              </w:rPr>
              <w:t>nejvyšším</w:t>
            </w:r>
            <w:r>
              <w:rPr>
                <w:rFonts w:cs="Arial"/>
                <w:bCs/>
                <w:iCs/>
                <w:color w:val="0D0D0D"/>
                <w:spacing w:val="-4"/>
                <w:sz w:val="16"/>
                <w:szCs w:val="16"/>
              </w:rPr>
              <w:t>.</w:t>
            </w:r>
          </w:p>
          <w:p w:rsidR="00E90D67" w:rsidRPr="00B041BD" w:rsidRDefault="00E90D67" w:rsidP="008A03DE">
            <w:pPr>
              <w:spacing w:line="240" w:lineRule="auto"/>
              <w:rPr>
                <w:rFonts w:cs="Arial"/>
                <w:bCs/>
                <w:iCs/>
                <w:color w:val="0D0D0D"/>
                <w:sz w:val="16"/>
                <w:szCs w:val="16"/>
              </w:rPr>
            </w:pPr>
          </w:p>
        </w:tc>
        <w:tc>
          <w:tcPr>
            <w:tcW w:w="142" w:type="pct"/>
          </w:tcPr>
          <w:p w:rsidR="00E90D67" w:rsidRPr="00B041BD" w:rsidRDefault="00E90D67" w:rsidP="008A03DE">
            <w:pPr>
              <w:pStyle w:val="Textpoznpodarou"/>
              <w:jc w:val="both"/>
              <w:rPr>
                <w:color w:val="0D0D0D"/>
              </w:rPr>
            </w:pPr>
          </w:p>
        </w:tc>
        <w:tc>
          <w:tcPr>
            <w:tcW w:w="3801" w:type="pct"/>
          </w:tcPr>
          <w:p w:rsidR="00E90D67" w:rsidRDefault="00E90D67" w:rsidP="008A03DE">
            <w:pPr>
              <w:pStyle w:val="Textpoznpodarou"/>
              <w:jc w:val="both"/>
              <w:rPr>
                <w:rFonts w:cs="Arial"/>
                <w:color w:val="0D0D0D"/>
                <w:sz w:val="14"/>
                <w:szCs w:val="14"/>
              </w:rPr>
            </w:pPr>
            <w:r>
              <w:rPr>
                <w:rFonts w:cs="Arial"/>
                <w:color w:val="0D0D0D"/>
                <w:spacing w:val="-4"/>
              </w:rPr>
              <w:t>Míra</w:t>
            </w:r>
            <w:r w:rsidR="00261A0F">
              <w:rPr>
                <w:rFonts w:cs="Arial"/>
                <w:color w:val="0D0D0D"/>
                <w:spacing w:val="-4"/>
              </w:rPr>
              <w:t xml:space="preserve"> zaměstnanosti (osob ve věku 20</w:t>
            </w:r>
            <w:r w:rsidR="00261A0F" w:rsidRPr="008B5159">
              <w:rPr>
                <w:rFonts w:cs="Arial"/>
                <w:color w:val="0D0D0D" w:themeColor="text1" w:themeTint="F2"/>
                <w:spacing w:val="-4"/>
              </w:rPr>
              <w:t>–</w:t>
            </w:r>
            <w:r>
              <w:rPr>
                <w:rFonts w:cs="Arial"/>
                <w:color w:val="0D0D0D"/>
                <w:spacing w:val="-4"/>
              </w:rPr>
              <w:t>64 let) činila dle VŠPS v ČR ve 3. loňském čtvrtletí 77 % (meziročně vzrostla o 1,9 p.b., bezmála dvojnásobným tempem než v</w:t>
            </w:r>
            <w:r>
              <w:rPr>
                <w:rFonts w:cs="Arial"/>
                <w:color w:val="0D0D0D"/>
              </w:rPr>
              <w:t> </w:t>
            </w:r>
            <w:r>
              <w:rPr>
                <w:rFonts w:cs="Arial"/>
                <w:color w:val="0D0D0D"/>
                <w:spacing w:val="-4"/>
              </w:rPr>
              <w:t>EU). Zatímco míra zaměstnanosti mužů dosáhla 85 % (a byla nejvyšší mezi státy Unie již osmé čtvrtletí v řadě), u žen činila „jen“ 68,7 % (Česko z první desítky unijních zemí „vytlačily“ nejen severské státy, Německo, Rakousko, ale i pobaltské republiky).</w:t>
            </w:r>
          </w:p>
          <w:p w:rsidR="00E90D67" w:rsidRPr="00F444AA" w:rsidRDefault="00E90D67" w:rsidP="008A03DE">
            <w:pPr>
              <w:pStyle w:val="Textpoznpodarou"/>
              <w:jc w:val="both"/>
              <w:rPr>
                <w:rFonts w:cs="Arial"/>
                <w:color w:val="0D0D0D"/>
                <w:sz w:val="14"/>
                <w:szCs w:val="14"/>
              </w:rPr>
            </w:pPr>
          </w:p>
        </w:tc>
      </w:tr>
      <w:tr w:rsidR="00E90D67" w:rsidTr="008A03DE">
        <w:tc>
          <w:tcPr>
            <w:tcW w:w="1057" w:type="pct"/>
          </w:tcPr>
          <w:p w:rsidR="00E90D67" w:rsidRDefault="00E90D67" w:rsidP="008A03DE">
            <w:pPr>
              <w:spacing w:line="240" w:lineRule="auto"/>
              <w:rPr>
                <w:rFonts w:cs="Arial"/>
                <w:bCs/>
                <w:iCs/>
                <w:color w:val="0D0D0D"/>
                <w:sz w:val="16"/>
                <w:szCs w:val="16"/>
              </w:rPr>
            </w:pPr>
            <w:r>
              <w:rPr>
                <w:rFonts w:cs="Arial"/>
                <w:bCs/>
                <w:iCs/>
                <w:color w:val="0D0D0D"/>
                <w:sz w:val="16"/>
                <w:szCs w:val="16"/>
              </w:rPr>
              <w:t>K meziročnímu růstu celkové zaměstnanosti přispěl již třetí rok po sobě nejvíce zpracovatelský průmysl, v loňském roce však výrazněji pomohly i</w:t>
            </w:r>
            <w:r w:rsidRPr="00D45A25">
              <w:rPr>
                <w:rFonts w:cs="Arial"/>
                <w:bCs/>
                <w:iCs/>
                <w:color w:val="0D0D0D"/>
                <w:spacing w:val="-4"/>
                <w:sz w:val="16"/>
                <w:szCs w:val="16"/>
              </w:rPr>
              <w:t> </w:t>
            </w:r>
            <w:r>
              <w:rPr>
                <w:rFonts w:cs="Arial"/>
                <w:bCs/>
                <w:iCs/>
                <w:color w:val="0D0D0D"/>
                <w:sz w:val="16"/>
                <w:szCs w:val="16"/>
              </w:rPr>
              <w:t>služby.</w:t>
            </w:r>
          </w:p>
          <w:p w:rsidR="00E90D67" w:rsidRDefault="00E90D67" w:rsidP="008A03DE">
            <w:pPr>
              <w:spacing w:line="240" w:lineRule="auto"/>
              <w:rPr>
                <w:rFonts w:cs="Arial"/>
                <w:bCs/>
                <w:iCs/>
                <w:color w:val="0D0D0D"/>
                <w:sz w:val="16"/>
                <w:szCs w:val="16"/>
              </w:rPr>
            </w:pPr>
          </w:p>
          <w:p w:rsidR="00E90D67" w:rsidRDefault="00E90D67" w:rsidP="008A03DE">
            <w:pPr>
              <w:spacing w:line="240" w:lineRule="auto"/>
              <w:rPr>
                <w:rFonts w:cs="Arial"/>
                <w:bCs/>
                <w:iCs/>
                <w:color w:val="0D0D0D"/>
                <w:sz w:val="16"/>
                <w:szCs w:val="16"/>
              </w:rPr>
            </w:pPr>
          </w:p>
          <w:p w:rsidR="00E90D67" w:rsidRDefault="00E90D67" w:rsidP="008A03DE">
            <w:pPr>
              <w:spacing w:line="240" w:lineRule="auto"/>
              <w:rPr>
                <w:rFonts w:cs="Arial"/>
                <w:bCs/>
                <w:iCs/>
                <w:color w:val="0D0D0D"/>
                <w:sz w:val="16"/>
                <w:szCs w:val="16"/>
              </w:rPr>
            </w:pPr>
          </w:p>
          <w:p w:rsidR="00E90D67" w:rsidRDefault="00E90D67" w:rsidP="008A03DE">
            <w:pPr>
              <w:spacing w:line="240" w:lineRule="auto"/>
              <w:rPr>
                <w:rFonts w:cs="Arial"/>
                <w:bCs/>
                <w:iCs/>
                <w:color w:val="0D0D0D"/>
                <w:sz w:val="16"/>
                <w:szCs w:val="16"/>
              </w:rPr>
            </w:pPr>
          </w:p>
          <w:p w:rsidR="00E90D67" w:rsidRPr="00B041BD" w:rsidRDefault="00E90D67" w:rsidP="008A03DE">
            <w:pPr>
              <w:spacing w:line="240" w:lineRule="auto"/>
              <w:rPr>
                <w:rFonts w:cs="Arial"/>
                <w:bCs/>
                <w:iCs/>
                <w:color w:val="0D0D0D"/>
                <w:sz w:val="16"/>
                <w:szCs w:val="16"/>
              </w:rPr>
            </w:pPr>
            <w:r>
              <w:rPr>
                <w:rFonts w:cs="Arial"/>
                <w:bCs/>
                <w:iCs/>
                <w:color w:val="0D0D0D"/>
                <w:sz w:val="16"/>
                <w:szCs w:val="16"/>
              </w:rPr>
              <w:t>Pokračoval dlouhodobě nepříznivý vývoj zaměstnanosti ve stavebnictví a nezpracovatelských průmyslových oborech.</w:t>
            </w:r>
          </w:p>
        </w:tc>
        <w:tc>
          <w:tcPr>
            <w:tcW w:w="142" w:type="pct"/>
          </w:tcPr>
          <w:p w:rsidR="00E90D67" w:rsidRPr="00B041BD" w:rsidRDefault="00E90D67" w:rsidP="008A03DE">
            <w:pPr>
              <w:pStyle w:val="Textpoznpodarou"/>
              <w:jc w:val="both"/>
              <w:rPr>
                <w:color w:val="0D0D0D"/>
              </w:rPr>
            </w:pPr>
          </w:p>
        </w:tc>
        <w:tc>
          <w:tcPr>
            <w:tcW w:w="3801" w:type="pct"/>
          </w:tcPr>
          <w:p w:rsidR="00E90D67" w:rsidRPr="009D4C84" w:rsidRDefault="00E90D67" w:rsidP="008A03DE">
            <w:pPr>
              <w:pStyle w:val="Textpoznpodarou"/>
              <w:jc w:val="both"/>
              <w:rPr>
                <w:rFonts w:cs="Arial"/>
                <w:color w:val="0D0D0D"/>
                <w:spacing w:val="-2"/>
              </w:rPr>
            </w:pPr>
            <w:r w:rsidRPr="009D4C84">
              <w:rPr>
                <w:rFonts w:cs="Arial"/>
                <w:color w:val="0D0D0D"/>
                <w:spacing w:val="-2"/>
              </w:rPr>
              <w:t>Na loňském navýšení počtu pracovníků v ekonomice se poprvé od roku 2007 podíleli jak zaměstnanci (s růstem o 1,9 %), tak i sebezaměstnaní (jejichž stavy se meziročně rozšířily o 1 %, především vlivem příznivějšího vývoje v</w:t>
            </w:r>
            <w:r>
              <w:rPr>
                <w:rFonts w:cs="Arial"/>
                <w:color w:val="0D0D0D"/>
                <w:spacing w:val="-2"/>
              </w:rPr>
              <w:t>e</w:t>
            </w:r>
            <w:r w:rsidRPr="009D4C84">
              <w:rPr>
                <w:rFonts w:cs="Arial"/>
                <w:color w:val="0D0D0D"/>
                <w:spacing w:val="-2"/>
              </w:rPr>
              <w:t> 2. pololetí)</w:t>
            </w:r>
            <w:r w:rsidRPr="009D4C84">
              <w:rPr>
                <w:rStyle w:val="Znakapoznpodarou"/>
                <w:color w:val="0D0D0D"/>
                <w:spacing w:val="-2"/>
              </w:rPr>
              <w:footnoteReference w:id="26"/>
            </w:r>
            <w:r w:rsidRPr="009D4C84">
              <w:rPr>
                <w:rFonts w:cs="Arial"/>
                <w:color w:val="0D0D0D"/>
                <w:spacing w:val="-2"/>
              </w:rPr>
              <w:t xml:space="preserve">. Z pohledu odvětví přispěl k růstu celkové zaměstnanosti již třetí rok po sobě nejvíce zpracovatelský průmysl, který oproti roku 2015 vstřebal o 40 tis. pracovníků více (obdobně jako v předešlém roce). Ze služeb přispěly hlavně profesní, vědecké, technické a administrativní činnosti (+19 tis. osob). Tempo růstu zaměstnanosti se navyšovalo i ve váhově dominantním uskupení odvětví obchod, doprava, ubytování a pohostinství, jakož i v informačních a komunikačních činnostech </w:t>
            </w:r>
            <w:r>
              <w:rPr>
                <w:rFonts w:cs="Arial"/>
                <w:color w:val="0D0D0D"/>
                <w:spacing w:val="-2"/>
              </w:rPr>
              <w:t>(kde se stavy pracovníků navyšovaly již pátý rok v řadě – v úhrnu o 15 %). V odvětví s domina</w:t>
            </w:r>
            <w:r w:rsidR="00423C04">
              <w:rPr>
                <w:rFonts w:cs="Arial"/>
                <w:color w:val="0D0D0D"/>
                <w:spacing w:val="-2"/>
              </w:rPr>
              <w:t>n</w:t>
            </w:r>
            <w:r>
              <w:rPr>
                <w:rFonts w:cs="Arial"/>
                <w:color w:val="0D0D0D"/>
                <w:spacing w:val="-2"/>
              </w:rPr>
              <w:t xml:space="preserve">cí státu – </w:t>
            </w:r>
            <w:r w:rsidRPr="008B5159">
              <w:rPr>
                <w:spacing w:val="-4"/>
              </w:rPr>
              <w:t>veřejná správa, obrana, vzdělávání, zdravotní a</w:t>
            </w:r>
            <w:r w:rsidRPr="008B5159">
              <w:rPr>
                <w:rFonts w:cs="Arial"/>
                <w:color w:val="0D0D0D"/>
                <w:spacing w:val="-4"/>
              </w:rPr>
              <w:t> </w:t>
            </w:r>
            <w:r w:rsidRPr="008B5159">
              <w:rPr>
                <w:spacing w:val="-4"/>
              </w:rPr>
              <w:t>sociální péče</w:t>
            </w:r>
            <w:r>
              <w:rPr>
                <w:spacing w:val="-4"/>
              </w:rPr>
              <w:t xml:space="preserve"> – byl naopak loňský 0,7% růst nejnižším po roce 2012. Nepříznivá situace pokračovala ve stavebnictví, které od roku 2010 ztratilo téměř 65 tis. míst. V roce 2016 se v tomto odvětví snižovaly jak počty zaměstnanců, tak i sebezaměstnaných. V těžbě a</w:t>
            </w:r>
            <w:r w:rsidRPr="009D4C84">
              <w:rPr>
                <w:rFonts w:cs="Arial"/>
                <w:color w:val="0D0D0D"/>
                <w:spacing w:val="-2"/>
              </w:rPr>
              <w:t> </w:t>
            </w:r>
            <w:r>
              <w:rPr>
                <w:spacing w:val="-4"/>
              </w:rPr>
              <w:t>energetice poklesla v úhrnu zaměstnanost proti roku 2008 o více než 8 tis. osob.</w:t>
            </w:r>
          </w:p>
          <w:p w:rsidR="00E90D67" w:rsidRPr="00F444AA" w:rsidRDefault="00E90D67" w:rsidP="008A03DE">
            <w:pPr>
              <w:pStyle w:val="Textpoznpodarou"/>
              <w:jc w:val="both"/>
              <w:rPr>
                <w:rFonts w:cs="Arial"/>
                <w:color w:val="0D0D0D"/>
                <w:sz w:val="14"/>
                <w:szCs w:val="14"/>
              </w:rPr>
            </w:pPr>
          </w:p>
        </w:tc>
      </w:tr>
      <w:tr w:rsidR="00E90D67" w:rsidTr="008A03DE">
        <w:tc>
          <w:tcPr>
            <w:tcW w:w="1057" w:type="pct"/>
          </w:tcPr>
          <w:p w:rsidR="00E90D67" w:rsidRPr="00437B63" w:rsidRDefault="00E90D67" w:rsidP="008A03DE">
            <w:pPr>
              <w:spacing w:line="240" w:lineRule="auto"/>
              <w:rPr>
                <w:rFonts w:cs="Arial"/>
                <w:bCs/>
                <w:iCs/>
                <w:color w:val="0D0D0D"/>
                <w:spacing w:val="-2"/>
                <w:sz w:val="16"/>
                <w:szCs w:val="16"/>
              </w:rPr>
            </w:pPr>
            <w:r>
              <w:rPr>
                <w:rFonts w:cs="Arial"/>
                <w:bCs/>
                <w:iCs/>
                <w:color w:val="0D0D0D"/>
                <w:spacing w:val="-2"/>
                <w:sz w:val="16"/>
                <w:szCs w:val="16"/>
              </w:rPr>
              <w:t>Růst hodinové produktivity práce z let 2014 a 2015 se vloni již neopakoval hlavně vlivem nepříznivého vývoje ve stavebnictví, ale i</w:t>
            </w:r>
            <w:r>
              <w:rPr>
                <w:rFonts w:cs="Arial"/>
                <w:bCs/>
                <w:iCs/>
                <w:color w:val="0D0D0D"/>
                <w:sz w:val="16"/>
                <w:szCs w:val="16"/>
              </w:rPr>
              <w:t> </w:t>
            </w:r>
            <w:r>
              <w:rPr>
                <w:rFonts w:cs="Arial"/>
                <w:bCs/>
                <w:iCs/>
                <w:color w:val="0D0D0D"/>
                <w:spacing w:val="-2"/>
                <w:sz w:val="16"/>
                <w:szCs w:val="16"/>
              </w:rPr>
              <w:t>v</w:t>
            </w:r>
            <w:r>
              <w:rPr>
                <w:rFonts w:cs="Arial"/>
                <w:bCs/>
                <w:iCs/>
                <w:color w:val="0D0D0D"/>
                <w:sz w:val="16"/>
                <w:szCs w:val="16"/>
              </w:rPr>
              <w:t> </w:t>
            </w:r>
            <w:r>
              <w:rPr>
                <w:rFonts w:cs="Arial"/>
                <w:bCs/>
                <w:iCs/>
                <w:color w:val="0D0D0D"/>
                <w:spacing w:val="-2"/>
                <w:sz w:val="16"/>
                <w:szCs w:val="16"/>
              </w:rPr>
              <w:t>některých službách.</w:t>
            </w:r>
          </w:p>
        </w:tc>
        <w:tc>
          <w:tcPr>
            <w:tcW w:w="142" w:type="pct"/>
          </w:tcPr>
          <w:p w:rsidR="00E90D67" w:rsidRPr="00437B63" w:rsidRDefault="00E90D67" w:rsidP="008A03DE">
            <w:pPr>
              <w:pStyle w:val="Textpoznpodarou"/>
              <w:jc w:val="both"/>
              <w:rPr>
                <w:color w:val="0D0D0D"/>
              </w:rPr>
            </w:pPr>
          </w:p>
        </w:tc>
        <w:tc>
          <w:tcPr>
            <w:tcW w:w="3801" w:type="pct"/>
          </w:tcPr>
          <w:p w:rsidR="00E90D67" w:rsidRDefault="00E90D67" w:rsidP="008A03DE">
            <w:pPr>
              <w:pStyle w:val="Textpoznpodarou"/>
              <w:jc w:val="both"/>
              <w:rPr>
                <w:rFonts w:cs="Arial"/>
                <w:color w:val="0D0D0D"/>
                <w:spacing w:val="-4"/>
              </w:rPr>
            </w:pPr>
            <w:r w:rsidRPr="00B03729">
              <w:rPr>
                <w:rFonts w:cs="Arial"/>
                <w:color w:val="0D0D0D"/>
                <w:spacing w:val="-4"/>
              </w:rPr>
              <w:t>Nová pracovní místa</w:t>
            </w:r>
            <w:r>
              <w:rPr>
                <w:rFonts w:cs="Arial"/>
                <w:color w:val="0D0D0D"/>
                <w:spacing w:val="-4"/>
              </w:rPr>
              <w:t xml:space="preserve"> nevytvářela v roce 2016</w:t>
            </w:r>
            <w:r w:rsidRPr="00B03729">
              <w:rPr>
                <w:rFonts w:cs="Arial"/>
                <w:color w:val="0D0D0D"/>
                <w:spacing w:val="-4"/>
              </w:rPr>
              <w:t xml:space="preserve"> jen odvětví s vyšší přidanou hodnotou. Není proto úplně překvapivé, že významnější růst produktivity práce z let 2014 a 2015 se loni již neopakoval (za celý rok se HPH vztažená n</w:t>
            </w:r>
            <w:r>
              <w:rPr>
                <w:rFonts w:cs="Arial"/>
                <w:color w:val="0D0D0D"/>
                <w:spacing w:val="-4"/>
              </w:rPr>
              <w:t>a odpracovanou hodinu snížila o </w:t>
            </w:r>
            <w:r w:rsidRPr="00B03729">
              <w:rPr>
                <w:rFonts w:cs="Arial"/>
                <w:color w:val="0D0D0D"/>
                <w:spacing w:val="-4"/>
              </w:rPr>
              <w:t xml:space="preserve">0,4 %). </w:t>
            </w:r>
            <w:r>
              <w:rPr>
                <w:rFonts w:cs="Arial"/>
                <w:color w:val="0D0D0D"/>
                <w:spacing w:val="-4"/>
              </w:rPr>
              <w:t>Podílela se na tom</w:t>
            </w:r>
            <w:r w:rsidRPr="00B03729">
              <w:rPr>
                <w:rFonts w:cs="Arial"/>
                <w:color w:val="0D0D0D"/>
                <w:spacing w:val="-4"/>
              </w:rPr>
              <w:t xml:space="preserve"> jak nižší produktivita ve stavebnictví (o 4,7 %), tak </w:t>
            </w:r>
            <w:r>
              <w:rPr>
                <w:rFonts w:cs="Arial"/>
                <w:color w:val="0D0D0D"/>
                <w:spacing w:val="-4"/>
              </w:rPr>
              <w:t>např. i </w:t>
            </w:r>
            <w:r w:rsidRPr="00B03729">
              <w:rPr>
                <w:rFonts w:cs="Arial"/>
                <w:color w:val="0D0D0D"/>
                <w:spacing w:val="-4"/>
              </w:rPr>
              <w:t>v odvětví obchod, doprava, ubytování a pohostinství. Ve zpracovatelském průmyslu byl naopak vývoj příznivější (+1,6 %), nejvíce však vloni</w:t>
            </w:r>
            <w:r w:rsidR="00423C04">
              <w:rPr>
                <w:rFonts w:cs="Arial"/>
                <w:color w:val="0D0D0D"/>
                <w:spacing w:val="-4"/>
              </w:rPr>
              <w:t xml:space="preserve"> (stejně </w:t>
            </w:r>
            <w:r>
              <w:rPr>
                <w:rFonts w:cs="Arial"/>
                <w:color w:val="0D0D0D"/>
                <w:spacing w:val="-4"/>
              </w:rPr>
              <w:t>jako v letech 2014 a </w:t>
            </w:r>
            <w:r w:rsidRPr="00B03729">
              <w:rPr>
                <w:rFonts w:cs="Arial"/>
                <w:color w:val="0D0D0D"/>
                <w:spacing w:val="-4"/>
              </w:rPr>
              <w:t>2015) rostla produktivita v odvětví zemědělství, lesnictví a rybářství (+6,1 %).</w:t>
            </w:r>
          </w:p>
          <w:p w:rsidR="00E90D67" w:rsidRPr="00F444AA" w:rsidRDefault="00E90D67" w:rsidP="008A03DE">
            <w:pPr>
              <w:pStyle w:val="Textpoznpodarou"/>
              <w:jc w:val="both"/>
              <w:rPr>
                <w:rFonts w:cs="Arial"/>
                <w:color w:val="0D0D0D"/>
                <w:spacing w:val="-4"/>
                <w:sz w:val="14"/>
                <w:szCs w:val="14"/>
              </w:rPr>
            </w:pPr>
          </w:p>
        </w:tc>
      </w:tr>
      <w:tr w:rsidR="00E90D67" w:rsidRPr="002D5C3D" w:rsidTr="008A03DE">
        <w:tc>
          <w:tcPr>
            <w:tcW w:w="1057" w:type="pct"/>
          </w:tcPr>
          <w:p w:rsidR="00E90D67" w:rsidRDefault="00E90D67" w:rsidP="008A03DE">
            <w:pPr>
              <w:spacing w:line="240" w:lineRule="auto"/>
              <w:rPr>
                <w:rFonts w:cs="Arial"/>
                <w:bCs/>
                <w:iCs/>
                <w:color w:val="0D0D0D"/>
                <w:spacing w:val="-2"/>
                <w:sz w:val="16"/>
                <w:szCs w:val="16"/>
              </w:rPr>
            </w:pPr>
            <w:r>
              <w:rPr>
                <w:rFonts w:cs="Arial"/>
                <w:bCs/>
                <w:iCs/>
                <w:color w:val="0D0D0D"/>
                <w:spacing w:val="-2"/>
                <w:sz w:val="16"/>
                <w:szCs w:val="16"/>
              </w:rPr>
              <w:t>Tempo poklesu míry nezaměstnanosti mužů se vloni snižovalo, u žen však bylo srovnatelné jako v letech 2014 a 2015.</w:t>
            </w:r>
          </w:p>
          <w:p w:rsidR="00E90D67" w:rsidRDefault="00E90D67" w:rsidP="008A03DE">
            <w:pPr>
              <w:spacing w:line="240" w:lineRule="auto"/>
              <w:rPr>
                <w:rFonts w:cs="Arial"/>
                <w:bCs/>
                <w:iCs/>
                <w:color w:val="0D0D0D"/>
                <w:spacing w:val="-2"/>
                <w:sz w:val="16"/>
                <w:szCs w:val="16"/>
              </w:rPr>
            </w:pPr>
          </w:p>
          <w:p w:rsidR="00E90D67" w:rsidRPr="00767AFA" w:rsidRDefault="00E90D67" w:rsidP="008A03DE">
            <w:pPr>
              <w:spacing w:line="240" w:lineRule="auto"/>
              <w:rPr>
                <w:rFonts w:cs="Arial"/>
                <w:bCs/>
                <w:iCs/>
                <w:color w:val="0D0D0D"/>
                <w:spacing w:val="-2"/>
                <w:sz w:val="10"/>
                <w:szCs w:val="10"/>
              </w:rPr>
            </w:pPr>
          </w:p>
          <w:p w:rsidR="00E90D67" w:rsidRPr="00735B01" w:rsidRDefault="00735B01" w:rsidP="008A03DE">
            <w:pPr>
              <w:spacing w:line="240" w:lineRule="auto"/>
              <w:rPr>
                <w:rFonts w:cs="Arial"/>
                <w:bCs/>
                <w:iCs/>
                <w:color w:val="0D0D0D"/>
                <w:spacing w:val="-2"/>
                <w:sz w:val="16"/>
                <w:szCs w:val="16"/>
              </w:rPr>
            </w:pPr>
            <w:r w:rsidRPr="00735B01">
              <w:rPr>
                <w:rFonts w:cs="Arial"/>
                <w:color w:val="0D0D0D"/>
                <w:spacing w:val="-4"/>
                <w:sz w:val="16"/>
                <w:szCs w:val="16"/>
              </w:rPr>
              <w:t>Na snížení</w:t>
            </w:r>
            <w:r w:rsidR="00220838" w:rsidRPr="00220838">
              <w:rPr>
                <w:color w:val="0D0D0D"/>
                <w:spacing w:val="-4"/>
                <w:sz w:val="16"/>
              </w:rPr>
              <w:t xml:space="preserve"> nezaměstnanosti </w:t>
            </w:r>
            <w:r w:rsidRPr="00735B01">
              <w:rPr>
                <w:rFonts w:cs="Arial"/>
                <w:color w:val="0D0D0D"/>
                <w:spacing w:val="-4"/>
                <w:sz w:val="16"/>
                <w:szCs w:val="16"/>
              </w:rPr>
              <w:t xml:space="preserve">se </w:t>
            </w:r>
            <w:r w:rsidR="00220838" w:rsidRPr="00220838">
              <w:rPr>
                <w:color w:val="0D0D0D"/>
                <w:spacing w:val="-4"/>
                <w:sz w:val="16"/>
              </w:rPr>
              <w:t xml:space="preserve">loni </w:t>
            </w:r>
            <w:r w:rsidRPr="00735B01">
              <w:rPr>
                <w:rFonts w:cs="Arial"/>
                <w:color w:val="0D0D0D"/>
                <w:spacing w:val="-4"/>
                <w:sz w:val="16"/>
                <w:szCs w:val="16"/>
              </w:rPr>
              <w:t>zásadně podílely osoby, které byly bez práce déle než rok</w:t>
            </w:r>
            <w:r w:rsidR="00220838" w:rsidRPr="00220838">
              <w:rPr>
                <w:color w:val="0D0D0D"/>
                <w:spacing w:val="-4"/>
                <w:sz w:val="16"/>
              </w:rPr>
              <w:t>.</w:t>
            </w:r>
          </w:p>
          <w:p w:rsidR="000D1BFB" w:rsidRDefault="000D1BFB" w:rsidP="008A03DE">
            <w:pPr>
              <w:spacing w:line="240" w:lineRule="auto"/>
              <w:rPr>
                <w:rFonts w:cs="Arial"/>
                <w:bCs/>
                <w:iCs/>
                <w:color w:val="0D0D0D"/>
                <w:spacing w:val="-2"/>
                <w:sz w:val="16"/>
                <w:szCs w:val="16"/>
              </w:rPr>
            </w:pPr>
          </w:p>
          <w:p w:rsidR="00E90D67" w:rsidRPr="00767AFA" w:rsidRDefault="00E90D67" w:rsidP="008A03DE">
            <w:pPr>
              <w:spacing w:line="240" w:lineRule="auto"/>
              <w:rPr>
                <w:rFonts w:cs="Arial"/>
                <w:bCs/>
                <w:iCs/>
                <w:color w:val="0D0D0D"/>
                <w:spacing w:val="-2"/>
                <w:sz w:val="10"/>
                <w:szCs w:val="10"/>
              </w:rPr>
            </w:pPr>
          </w:p>
          <w:p w:rsidR="00E90D67" w:rsidRPr="00923E35" w:rsidRDefault="00E90D67" w:rsidP="008A03DE">
            <w:pPr>
              <w:spacing w:line="240" w:lineRule="auto"/>
              <w:rPr>
                <w:rFonts w:cs="Arial"/>
                <w:bCs/>
                <w:iCs/>
                <w:color w:val="0D0D0D"/>
                <w:spacing w:val="-2"/>
                <w:sz w:val="16"/>
                <w:szCs w:val="16"/>
              </w:rPr>
            </w:pPr>
            <w:r>
              <w:rPr>
                <w:rFonts w:cs="Arial"/>
                <w:bCs/>
                <w:iCs/>
                <w:color w:val="0D0D0D"/>
                <w:spacing w:val="-2"/>
                <w:sz w:val="16"/>
                <w:szCs w:val="16"/>
              </w:rPr>
              <w:t>Obecná míra nezaměstnanosti v roce 2016 poklesla v 90 % zemí EU, velké rozdíly mezi státy se však nesnížily.</w:t>
            </w:r>
          </w:p>
        </w:tc>
        <w:tc>
          <w:tcPr>
            <w:tcW w:w="142" w:type="pct"/>
          </w:tcPr>
          <w:p w:rsidR="00E90D67" w:rsidRPr="00B041BD" w:rsidRDefault="00E90D67" w:rsidP="008A03DE">
            <w:pPr>
              <w:pStyle w:val="Textpoznpodarou"/>
              <w:jc w:val="both"/>
              <w:rPr>
                <w:color w:val="0D0D0D"/>
              </w:rPr>
            </w:pPr>
          </w:p>
        </w:tc>
        <w:tc>
          <w:tcPr>
            <w:tcW w:w="3801" w:type="pct"/>
          </w:tcPr>
          <w:p w:rsidR="00E90D67" w:rsidRPr="0029429E" w:rsidRDefault="00E90D67" w:rsidP="008A03DE">
            <w:pPr>
              <w:pStyle w:val="Textpoznpodarou"/>
              <w:jc w:val="both"/>
              <w:rPr>
                <w:rFonts w:cs="Arial"/>
                <w:color w:val="0D0D0D"/>
                <w:spacing w:val="-4"/>
              </w:rPr>
            </w:pPr>
            <w:r w:rsidRPr="0029429E">
              <w:rPr>
                <w:rFonts w:cs="Arial"/>
                <w:color w:val="0D0D0D"/>
                <w:spacing w:val="-4"/>
              </w:rPr>
              <w:t xml:space="preserve">Obecná míra nezaměstnanosti (osob ve věku 15–64 let) se po celý rok dále snižovala a v prosinci 2016 </w:t>
            </w:r>
            <w:r>
              <w:rPr>
                <w:rFonts w:cs="Arial"/>
                <w:color w:val="0D0D0D"/>
                <w:spacing w:val="-4"/>
              </w:rPr>
              <w:t>čini</w:t>
            </w:r>
            <w:r w:rsidRPr="0029429E">
              <w:rPr>
                <w:rFonts w:cs="Arial"/>
                <w:color w:val="0D0D0D"/>
                <w:spacing w:val="-4"/>
              </w:rPr>
              <w:t>la 3,6 %</w:t>
            </w:r>
            <w:r w:rsidRPr="0029429E">
              <w:rPr>
                <w:rStyle w:val="Znakapoznpodarou"/>
                <w:color w:val="0D0D0D"/>
                <w:spacing w:val="-4"/>
              </w:rPr>
              <w:footnoteReference w:id="27"/>
            </w:r>
            <w:r w:rsidRPr="0029429E">
              <w:rPr>
                <w:rFonts w:cs="Arial"/>
                <w:color w:val="0D0D0D"/>
                <w:spacing w:val="-4"/>
              </w:rPr>
              <w:t xml:space="preserve"> (o rok dříve 4,5 %). Zatímco u mužů narážela na své limity dané strukturálními vlivy (meziročně se snížila „jen“ o 0,6 p.b. na 3,1 %) </w:t>
            </w:r>
            <w:r>
              <w:rPr>
                <w:rFonts w:cs="Arial"/>
                <w:color w:val="0D0D0D"/>
                <w:spacing w:val="-4"/>
              </w:rPr>
              <w:t>u</w:t>
            </w:r>
            <w:r w:rsidRPr="0029429E">
              <w:rPr>
                <w:rFonts w:cs="Arial"/>
                <w:color w:val="0D0D0D"/>
                <w:spacing w:val="-4"/>
              </w:rPr>
              <w:t xml:space="preserve"> žen se vloni redukovala stále významně (o 1,3 p.b., shodně jako v letech </w:t>
            </w:r>
            <w:r>
              <w:rPr>
                <w:rFonts w:cs="Arial"/>
                <w:color w:val="0D0D0D"/>
                <w:spacing w:val="-4"/>
              </w:rPr>
              <w:t>2014 i</w:t>
            </w:r>
            <w:r w:rsidRPr="0029429E">
              <w:rPr>
                <w:rFonts w:cs="Arial"/>
                <w:color w:val="0D0D0D"/>
                <w:spacing w:val="-4"/>
              </w:rPr>
              <w:t> 2015). Na</w:t>
            </w:r>
            <w:r w:rsidR="00735B01">
              <w:rPr>
                <w:rFonts w:cs="Arial"/>
                <w:color w:val="0D0D0D"/>
                <w:spacing w:val="-4"/>
              </w:rPr>
              <w:t xml:space="preserve"> snížení nezaměstnanosti se</w:t>
            </w:r>
            <w:r w:rsidRPr="0029429E">
              <w:rPr>
                <w:rFonts w:cs="Arial"/>
                <w:color w:val="0D0D0D"/>
                <w:spacing w:val="-4"/>
              </w:rPr>
              <w:t xml:space="preserve"> zásadně podílely osoby, které byly bez práce déle než rok. Ve 4. čtvrtletí jich bylo meziročně o 35 % méně a z celkového počtu nezaměstnaných tvo</w:t>
            </w:r>
            <w:r>
              <w:rPr>
                <w:rFonts w:cs="Arial"/>
                <w:color w:val="0D0D0D"/>
                <w:spacing w:val="-4"/>
              </w:rPr>
              <w:t>řily 39 % (nejnižší podíl</w:t>
            </w:r>
            <w:r w:rsidRPr="0029429E">
              <w:rPr>
                <w:rFonts w:cs="Arial"/>
                <w:color w:val="0D0D0D"/>
                <w:spacing w:val="-4"/>
              </w:rPr>
              <w:t xml:space="preserve"> od 1. čtvrtletí 2010). </w:t>
            </w:r>
            <w:r>
              <w:rPr>
                <w:rFonts w:cs="Arial"/>
                <w:color w:val="0D0D0D"/>
                <w:spacing w:val="-4"/>
              </w:rPr>
              <w:t>To se odrazilo i</w:t>
            </w:r>
            <w:r w:rsidRPr="0029429E">
              <w:rPr>
                <w:rFonts w:cs="Arial"/>
                <w:color w:val="0D0D0D"/>
                <w:spacing w:val="-4"/>
              </w:rPr>
              <w:t> zrychleným poklesem míry nezaměstnanosti osob se základním vzděláním (</w:t>
            </w:r>
            <w:r>
              <w:rPr>
                <w:rFonts w:cs="Arial"/>
                <w:color w:val="0D0D0D"/>
                <w:spacing w:val="-4"/>
              </w:rPr>
              <w:t>z</w:t>
            </w:r>
            <w:r w:rsidRPr="0029429E">
              <w:rPr>
                <w:rFonts w:cs="Arial"/>
                <w:color w:val="0D0D0D"/>
                <w:spacing w:val="-4"/>
              </w:rPr>
              <w:t> </w:t>
            </w:r>
            <w:r>
              <w:rPr>
                <w:rFonts w:cs="Arial"/>
                <w:color w:val="0D0D0D"/>
                <w:spacing w:val="-4"/>
              </w:rPr>
              <w:t>22,8</w:t>
            </w:r>
            <w:r w:rsidRPr="0029429E">
              <w:rPr>
                <w:rFonts w:cs="Arial"/>
                <w:color w:val="0D0D0D"/>
                <w:spacing w:val="-4"/>
              </w:rPr>
              <w:t> % na 18,7 %</w:t>
            </w:r>
            <w:r w:rsidR="000D1BFB">
              <w:rPr>
                <w:rFonts w:cs="Arial"/>
                <w:color w:val="0D0D0D"/>
                <w:spacing w:val="-4"/>
              </w:rPr>
              <w:t>). V</w:t>
            </w:r>
            <w:r w:rsidRPr="0029429E">
              <w:rPr>
                <w:rFonts w:cs="Arial"/>
                <w:color w:val="0D0D0D"/>
                <w:spacing w:val="-4"/>
              </w:rPr>
              <w:t> celkové nezaměstnanosti si Česko udržuje nejpříznivější postavení mezi státy EU (zásluhou velmi nízké nezaměstnanosti mužů či osob se středním vzděláním). Obecná míra nezaměstnanost</w:t>
            </w:r>
            <w:r w:rsidR="000D1BFB">
              <w:rPr>
                <w:rFonts w:cs="Arial"/>
                <w:color w:val="0D0D0D"/>
                <w:spacing w:val="-4"/>
              </w:rPr>
              <w:t>i během roku 2016 poklesla v 90</w:t>
            </w:r>
            <w:r w:rsidR="000D1BFB" w:rsidRPr="0029429E">
              <w:rPr>
                <w:rFonts w:cs="Arial"/>
                <w:color w:val="0D0D0D"/>
                <w:spacing w:val="-4"/>
              </w:rPr>
              <w:t> </w:t>
            </w:r>
            <w:r w:rsidRPr="0029429E">
              <w:rPr>
                <w:rFonts w:cs="Arial"/>
                <w:color w:val="0D0D0D"/>
                <w:spacing w:val="-4"/>
              </w:rPr>
              <w:t xml:space="preserve">% států Unie (nejvíce v Chorvatsku, Španělsku a Portugalsku), velké regionální rozdíly </w:t>
            </w:r>
            <w:r>
              <w:rPr>
                <w:rFonts w:cs="Arial"/>
                <w:color w:val="0D0D0D"/>
                <w:spacing w:val="-4"/>
              </w:rPr>
              <w:t>však přetrvaly</w:t>
            </w:r>
            <w:r w:rsidRPr="0029429E">
              <w:rPr>
                <w:rFonts w:cs="Arial"/>
                <w:color w:val="0D0D0D"/>
                <w:spacing w:val="-4"/>
              </w:rPr>
              <w:t>. Vysoká nezaměstnanost v některých státech v minulosti silně zasažených recesí stagnovala (Itálie, Francie</w:t>
            </w:r>
            <w:r>
              <w:rPr>
                <w:rFonts w:cs="Arial"/>
                <w:color w:val="0D0D0D"/>
                <w:spacing w:val="-4"/>
              </w:rPr>
              <w:t>)</w:t>
            </w:r>
            <w:r w:rsidRPr="0029429E">
              <w:rPr>
                <w:rFonts w:cs="Arial"/>
                <w:color w:val="0D0D0D"/>
                <w:spacing w:val="-4"/>
              </w:rPr>
              <w:t>, na Kypru dokonce o 1 p.b.</w:t>
            </w:r>
            <w:r>
              <w:rPr>
                <w:rFonts w:cs="Arial"/>
                <w:color w:val="0D0D0D"/>
                <w:spacing w:val="-4"/>
              </w:rPr>
              <w:t xml:space="preserve"> vzrostla</w:t>
            </w:r>
            <w:r w:rsidRPr="0029429E">
              <w:rPr>
                <w:rFonts w:cs="Arial"/>
                <w:color w:val="0D0D0D"/>
                <w:spacing w:val="-4"/>
              </w:rPr>
              <w:t xml:space="preserve"> </w:t>
            </w:r>
            <w:r w:rsidRPr="0029429E">
              <w:rPr>
                <w:rFonts w:cs="Arial"/>
                <w:color w:val="0D0D0D"/>
                <w:spacing w:val="-4"/>
              </w:rPr>
              <w:lastRenderedPageBreak/>
              <w:t>a</w:t>
            </w:r>
            <w:r w:rsidR="00735B01">
              <w:rPr>
                <w:rFonts w:cs="Arial"/>
                <w:color w:val="0D0D0D"/>
                <w:spacing w:val="-4"/>
              </w:rPr>
              <w:t> </w:t>
            </w:r>
            <w:r w:rsidRPr="0029429E">
              <w:rPr>
                <w:rFonts w:cs="Arial"/>
                <w:color w:val="0D0D0D"/>
                <w:spacing w:val="-4"/>
              </w:rPr>
              <w:t>v mnohých zemích</w:t>
            </w:r>
            <w:r>
              <w:rPr>
                <w:rFonts w:cs="Arial"/>
                <w:color w:val="0D0D0D"/>
                <w:spacing w:val="-4"/>
              </w:rPr>
              <w:t xml:space="preserve"> s</w:t>
            </w:r>
            <w:r w:rsidRPr="0029429E">
              <w:rPr>
                <w:rFonts w:cs="Arial"/>
                <w:color w:val="0D0D0D"/>
                <w:spacing w:val="-4"/>
              </w:rPr>
              <w:t> </w:t>
            </w:r>
            <w:r>
              <w:rPr>
                <w:rFonts w:cs="Arial"/>
                <w:color w:val="0D0D0D"/>
                <w:spacing w:val="-4"/>
              </w:rPr>
              <w:t xml:space="preserve">nízkou mírou nezaměstnaností naopak </w:t>
            </w:r>
            <w:r w:rsidR="00735B01">
              <w:rPr>
                <w:rFonts w:cs="Arial"/>
                <w:color w:val="0D0D0D"/>
                <w:spacing w:val="-4"/>
              </w:rPr>
              <w:t>na</w:t>
            </w:r>
            <w:r w:rsidRPr="0029429E">
              <w:rPr>
                <w:rFonts w:cs="Arial"/>
                <w:color w:val="0D0D0D"/>
                <w:spacing w:val="-4"/>
              </w:rPr>
              <w:t>dále výr</w:t>
            </w:r>
            <w:r w:rsidR="00735B01">
              <w:rPr>
                <w:rFonts w:cs="Arial"/>
                <w:color w:val="0D0D0D"/>
                <w:spacing w:val="-4"/>
              </w:rPr>
              <w:t xml:space="preserve">azně klesala, např. </w:t>
            </w:r>
            <w:r w:rsidRPr="0029429E">
              <w:rPr>
                <w:rFonts w:cs="Arial"/>
                <w:color w:val="0D0D0D"/>
                <w:spacing w:val="-4"/>
              </w:rPr>
              <w:t xml:space="preserve">v </w:t>
            </w:r>
            <w:r>
              <w:rPr>
                <w:rFonts w:cs="Arial"/>
                <w:color w:val="0D0D0D"/>
                <w:spacing w:val="-4"/>
              </w:rPr>
              <w:t>Maďarsku</w:t>
            </w:r>
            <w:r w:rsidRPr="0029429E">
              <w:rPr>
                <w:rFonts w:cs="Arial"/>
                <w:color w:val="0D0D0D"/>
                <w:spacing w:val="-4"/>
              </w:rPr>
              <w:t xml:space="preserve"> </w:t>
            </w:r>
            <w:r>
              <w:rPr>
                <w:rFonts w:cs="Arial"/>
                <w:color w:val="0D0D0D"/>
                <w:spacing w:val="-4"/>
              </w:rPr>
              <w:t>(na 4,3</w:t>
            </w:r>
            <w:r w:rsidRPr="0029429E">
              <w:rPr>
                <w:rFonts w:cs="Arial"/>
                <w:color w:val="0D0D0D"/>
                <w:spacing w:val="-4"/>
              </w:rPr>
              <w:t xml:space="preserve"> %), </w:t>
            </w:r>
            <w:r>
              <w:rPr>
                <w:rFonts w:cs="Arial"/>
                <w:color w:val="0D0D0D"/>
                <w:spacing w:val="-4"/>
              </w:rPr>
              <w:t>v</w:t>
            </w:r>
            <w:r w:rsidRPr="0029429E">
              <w:rPr>
                <w:rFonts w:cs="Arial"/>
                <w:color w:val="0D0D0D"/>
                <w:spacing w:val="-4"/>
              </w:rPr>
              <w:t> </w:t>
            </w:r>
            <w:r>
              <w:rPr>
                <w:rFonts w:cs="Arial"/>
                <w:color w:val="0D0D0D"/>
                <w:spacing w:val="-4"/>
              </w:rPr>
              <w:t>Polsku a</w:t>
            </w:r>
            <w:r w:rsidRPr="0029429E">
              <w:rPr>
                <w:rFonts w:cs="Arial"/>
                <w:color w:val="0D0D0D"/>
                <w:spacing w:val="-4"/>
              </w:rPr>
              <w:t> Rum</w:t>
            </w:r>
            <w:r>
              <w:rPr>
                <w:rFonts w:cs="Arial"/>
                <w:color w:val="0D0D0D"/>
                <w:spacing w:val="-4"/>
              </w:rPr>
              <w:t>unsku</w:t>
            </w:r>
            <w:r w:rsidRPr="0029429E">
              <w:rPr>
                <w:rFonts w:cs="Arial"/>
                <w:color w:val="0D0D0D"/>
                <w:spacing w:val="-4"/>
              </w:rPr>
              <w:t xml:space="preserve"> (na 5,5 %).</w:t>
            </w:r>
          </w:p>
          <w:p w:rsidR="00E90D67" w:rsidRPr="00563278" w:rsidRDefault="00E90D67" w:rsidP="008A03DE">
            <w:pPr>
              <w:pStyle w:val="Textpoznpodarou"/>
              <w:jc w:val="both"/>
              <w:rPr>
                <w:rFonts w:cs="Arial"/>
                <w:color w:val="0D0D0D"/>
                <w:spacing w:val="-2"/>
                <w:sz w:val="13"/>
                <w:szCs w:val="13"/>
              </w:rPr>
            </w:pPr>
          </w:p>
        </w:tc>
      </w:tr>
      <w:tr w:rsidR="00E90D67" w:rsidRPr="002D5C3D" w:rsidTr="008A03DE">
        <w:tc>
          <w:tcPr>
            <w:tcW w:w="1057" w:type="pct"/>
          </w:tcPr>
          <w:p w:rsidR="00E90D67" w:rsidRDefault="00E90D67" w:rsidP="008A03DE">
            <w:pPr>
              <w:spacing w:line="240" w:lineRule="auto"/>
              <w:rPr>
                <w:rFonts w:cs="Arial"/>
                <w:bCs/>
                <w:iCs/>
                <w:color w:val="0D0D0D"/>
                <w:spacing w:val="-2"/>
                <w:sz w:val="16"/>
                <w:szCs w:val="16"/>
              </w:rPr>
            </w:pPr>
            <w:r>
              <w:rPr>
                <w:rFonts w:cs="Arial"/>
                <w:bCs/>
                <w:iCs/>
                <w:color w:val="0D0D0D"/>
                <w:spacing w:val="-2"/>
                <w:sz w:val="16"/>
                <w:szCs w:val="16"/>
              </w:rPr>
              <w:lastRenderedPageBreak/>
              <w:t>Nabídka volných míst se nadále rozšiřovala, nejlépe se uplatňovali specialisté a kvalifikovaní manuální pracovníci.</w:t>
            </w:r>
          </w:p>
          <w:p w:rsidR="00E90D67" w:rsidRDefault="00E90D67" w:rsidP="008A03DE">
            <w:pPr>
              <w:spacing w:line="240" w:lineRule="auto"/>
              <w:rPr>
                <w:rFonts w:cs="Arial"/>
                <w:bCs/>
                <w:iCs/>
                <w:color w:val="0D0D0D"/>
                <w:spacing w:val="-2"/>
                <w:sz w:val="12"/>
                <w:szCs w:val="12"/>
              </w:rPr>
            </w:pPr>
          </w:p>
          <w:p w:rsidR="00E90D67" w:rsidRPr="00923E35" w:rsidRDefault="00E90D67" w:rsidP="008A03DE">
            <w:pPr>
              <w:spacing w:line="240" w:lineRule="auto"/>
              <w:rPr>
                <w:rFonts w:cs="Arial"/>
                <w:bCs/>
                <w:iCs/>
                <w:color w:val="0D0D0D"/>
                <w:spacing w:val="-2"/>
                <w:sz w:val="16"/>
                <w:szCs w:val="16"/>
              </w:rPr>
            </w:pPr>
            <w:r>
              <w:rPr>
                <w:rFonts w:cs="Arial"/>
                <w:bCs/>
                <w:iCs/>
                <w:color w:val="0D0D0D"/>
                <w:spacing w:val="-2"/>
                <w:sz w:val="16"/>
                <w:szCs w:val="16"/>
              </w:rPr>
              <w:t>.</w:t>
            </w:r>
          </w:p>
        </w:tc>
        <w:tc>
          <w:tcPr>
            <w:tcW w:w="142" w:type="pct"/>
          </w:tcPr>
          <w:p w:rsidR="00E90D67" w:rsidRPr="00B041BD" w:rsidRDefault="00E90D67" w:rsidP="008A03DE">
            <w:pPr>
              <w:pStyle w:val="Textpoznpodarou"/>
              <w:jc w:val="both"/>
              <w:rPr>
                <w:color w:val="0D0D0D"/>
              </w:rPr>
            </w:pPr>
          </w:p>
        </w:tc>
        <w:tc>
          <w:tcPr>
            <w:tcW w:w="3801" w:type="pct"/>
          </w:tcPr>
          <w:p w:rsidR="00E90D67" w:rsidRPr="0068149C" w:rsidRDefault="00E90D67" w:rsidP="008A03DE">
            <w:pPr>
              <w:pStyle w:val="Textpoznpodarou"/>
              <w:jc w:val="both"/>
              <w:rPr>
                <w:rFonts w:cs="Arial"/>
                <w:color w:val="0D0D0D"/>
                <w:spacing w:val="-4"/>
              </w:rPr>
            </w:pPr>
            <w:r>
              <w:rPr>
                <w:rFonts w:cs="Arial"/>
                <w:color w:val="0D0D0D"/>
                <w:spacing w:val="-2"/>
              </w:rPr>
              <w:t xml:space="preserve">Možnosti nezaměstnaných k uplatnění na pracovním trhu se nadále rozšiřovaly. Nabídka pracovních míst </w:t>
            </w:r>
            <w:r w:rsidR="00423C04">
              <w:rPr>
                <w:rFonts w:cs="Arial"/>
                <w:color w:val="0D0D0D"/>
                <w:spacing w:val="-2"/>
              </w:rPr>
              <w:t xml:space="preserve">se </w:t>
            </w:r>
            <w:r>
              <w:rPr>
                <w:rFonts w:cs="Arial"/>
                <w:color w:val="0D0D0D"/>
                <w:spacing w:val="-2"/>
              </w:rPr>
              <w:t>pros</w:t>
            </w:r>
            <w:r w:rsidR="00423C04">
              <w:rPr>
                <w:rFonts w:cs="Arial"/>
                <w:color w:val="0D0D0D"/>
                <w:spacing w:val="-2"/>
              </w:rPr>
              <w:t xml:space="preserve">třednictvím úřadů práce (ÚP) </w:t>
            </w:r>
            <w:r>
              <w:rPr>
                <w:rFonts w:cs="Arial"/>
                <w:color w:val="0D0D0D"/>
                <w:spacing w:val="-2"/>
              </w:rPr>
              <w:t xml:space="preserve">meziročně navýšila téměř o třetinu, v prosinci 2016 jich bylo i dispozici 132,5 tis. </w:t>
            </w:r>
            <w:r>
              <w:rPr>
                <w:rFonts w:cs="Arial"/>
                <w:color w:val="0D0D0D"/>
                <w:spacing w:val="-4"/>
              </w:rPr>
              <w:t>Na jedno místo připadalo 2,9 uchazeče (nejpříznivější prosincová relace od roku 2007). Tato relace se během roku 2016 zlepšila ve všech krajích, nejviditelněji na Ústecku (i tak zde na konci roku o jedno místo ucházelo 5,8 nezaměstnaných, spolu s Moravskoslezským krajem nejvíce v ČR). Méně než dva uchazeči na místo připadali v Praze, Plzeňském a Pardubickém kraji. Z pohledu kvalifikačních tříd se takto nejlépe uplatňovali specialisté (1,8), řemeslníci a</w:t>
            </w:r>
            <w:r w:rsidRPr="0029429E">
              <w:rPr>
                <w:rFonts w:cs="Arial"/>
                <w:color w:val="0D0D0D"/>
                <w:spacing w:val="-4"/>
              </w:rPr>
              <w:t> </w:t>
            </w:r>
            <w:r>
              <w:rPr>
                <w:rFonts w:cs="Arial"/>
                <w:color w:val="0D0D0D"/>
                <w:spacing w:val="-4"/>
              </w:rPr>
              <w:t xml:space="preserve">opraváři (1,7) a pracovníci obsluhující stroje a zařízení, vč. montérů (1,2). Meziročně se zlepšilo i postavení pomocných a nekvalifikovaných pracovníků, přestože </w:t>
            </w:r>
            <w:r w:rsidR="00423C04">
              <w:rPr>
                <w:rFonts w:cs="Arial"/>
                <w:color w:val="0D0D0D"/>
                <w:spacing w:val="-4"/>
              </w:rPr>
              <w:t xml:space="preserve">se </w:t>
            </w:r>
            <w:r>
              <w:rPr>
                <w:rFonts w:cs="Arial"/>
                <w:color w:val="0D0D0D"/>
                <w:spacing w:val="-4"/>
              </w:rPr>
              <w:t>jejich podí</w:t>
            </w:r>
            <w:r w:rsidR="00423C04">
              <w:rPr>
                <w:rFonts w:cs="Arial"/>
                <w:color w:val="0D0D0D"/>
                <w:spacing w:val="-4"/>
              </w:rPr>
              <w:t>l mezi všemi uchazeči o práci</w:t>
            </w:r>
            <w:r>
              <w:rPr>
                <w:rFonts w:cs="Arial"/>
                <w:color w:val="0D0D0D"/>
                <w:spacing w:val="-4"/>
              </w:rPr>
              <w:t xml:space="preserve"> zvýšil na téměř 30 %. </w:t>
            </w:r>
          </w:p>
          <w:p w:rsidR="00E90D67" w:rsidRPr="00563278" w:rsidRDefault="00E90D67" w:rsidP="008A03DE">
            <w:pPr>
              <w:pStyle w:val="Textpoznpodarou"/>
              <w:jc w:val="both"/>
              <w:rPr>
                <w:rFonts w:cs="Arial"/>
                <w:color w:val="0D0D0D"/>
                <w:spacing w:val="-2"/>
                <w:sz w:val="13"/>
                <w:szCs w:val="13"/>
              </w:rPr>
            </w:pPr>
          </w:p>
        </w:tc>
      </w:tr>
      <w:tr w:rsidR="00E90D67" w:rsidRPr="002D5C3D" w:rsidTr="008A03DE">
        <w:tc>
          <w:tcPr>
            <w:tcW w:w="1057" w:type="pct"/>
          </w:tcPr>
          <w:p w:rsidR="00E90D67" w:rsidRPr="00923E35" w:rsidRDefault="00E90D67" w:rsidP="008A03DE">
            <w:pPr>
              <w:spacing w:line="240" w:lineRule="auto"/>
              <w:rPr>
                <w:rFonts w:cs="Arial"/>
                <w:bCs/>
                <w:iCs/>
                <w:color w:val="0D0D0D"/>
                <w:spacing w:val="-2"/>
                <w:sz w:val="16"/>
                <w:szCs w:val="16"/>
              </w:rPr>
            </w:pPr>
            <w:r>
              <w:rPr>
                <w:rFonts w:cs="Arial"/>
                <w:bCs/>
                <w:iCs/>
                <w:color w:val="0D0D0D"/>
                <w:spacing w:val="-2"/>
                <w:sz w:val="16"/>
                <w:szCs w:val="16"/>
              </w:rPr>
              <w:t>Dobrá finanční situace podniků i sílící obtíže při hledání nových pracovníků tlačily na zvyšování mezd. Ty loni vzrostly o 4,2 %, nejvíce od roku 2008.</w:t>
            </w:r>
          </w:p>
        </w:tc>
        <w:tc>
          <w:tcPr>
            <w:tcW w:w="142" w:type="pct"/>
          </w:tcPr>
          <w:p w:rsidR="00E90D67" w:rsidRPr="00B041BD" w:rsidRDefault="00E90D67" w:rsidP="008A03DE">
            <w:pPr>
              <w:pStyle w:val="Textpoznpodarou"/>
              <w:jc w:val="both"/>
              <w:rPr>
                <w:color w:val="0D0D0D"/>
              </w:rPr>
            </w:pPr>
          </w:p>
        </w:tc>
        <w:tc>
          <w:tcPr>
            <w:tcW w:w="3801" w:type="pct"/>
          </w:tcPr>
          <w:p w:rsidR="00E90D67" w:rsidRPr="007960A6" w:rsidRDefault="00E90D67" w:rsidP="008A03DE">
            <w:pPr>
              <w:pStyle w:val="Textpoznpodarou"/>
              <w:jc w:val="both"/>
              <w:rPr>
                <w:rFonts w:cs="Arial"/>
                <w:color w:val="0D0D0D"/>
                <w:spacing w:val="-4"/>
              </w:rPr>
            </w:pPr>
            <w:r w:rsidRPr="007960A6">
              <w:rPr>
                <w:rFonts w:cs="Arial"/>
                <w:color w:val="0D0D0D"/>
                <w:spacing w:val="-4"/>
              </w:rPr>
              <w:t xml:space="preserve">Pokračující růst ekonomiky, přetrvávající příznivé výhledy v klíčových odvětvích, uvolněnější rozpočtová politika státu a </w:t>
            </w:r>
            <w:r w:rsidR="00423C04">
              <w:rPr>
                <w:rFonts w:cs="Arial"/>
                <w:color w:val="0D0D0D"/>
                <w:spacing w:val="-4"/>
              </w:rPr>
              <w:t xml:space="preserve">v </w:t>
            </w:r>
            <w:r w:rsidRPr="007960A6">
              <w:rPr>
                <w:rFonts w:cs="Arial"/>
                <w:color w:val="0D0D0D"/>
                <w:spacing w:val="-4"/>
              </w:rPr>
              <w:t xml:space="preserve">neposlední řadě sílící nedostatek pracovníků </w:t>
            </w:r>
            <w:r w:rsidR="00423C04">
              <w:rPr>
                <w:rFonts w:cs="Arial"/>
                <w:color w:val="0D0D0D"/>
                <w:spacing w:val="-4"/>
              </w:rPr>
              <w:t>(</w:t>
            </w:r>
            <w:r w:rsidRPr="007960A6">
              <w:rPr>
                <w:rFonts w:cs="Arial"/>
                <w:color w:val="0D0D0D"/>
                <w:spacing w:val="-4"/>
              </w:rPr>
              <w:t>vlivem nízké a stále klesající nezaměstnanosti</w:t>
            </w:r>
            <w:r w:rsidR="00423C04">
              <w:rPr>
                <w:rFonts w:cs="Arial"/>
                <w:color w:val="0D0D0D"/>
                <w:spacing w:val="-4"/>
              </w:rPr>
              <w:t>)</w:t>
            </w:r>
            <w:r w:rsidRPr="007960A6">
              <w:rPr>
                <w:rFonts w:cs="Arial"/>
                <w:color w:val="0D0D0D"/>
                <w:spacing w:val="-4"/>
              </w:rPr>
              <w:t xml:space="preserve"> se promítly do vyššího růstu výdělků. Průměrná hrubá mzda (při zohlednění délky úvazků zaměstnanců) vzrostla loni oproti roku 2015 o 4,2 % (nominální růst mzdy </w:t>
            </w:r>
            <w:r w:rsidR="00423C04">
              <w:rPr>
                <w:rFonts w:cs="Arial"/>
                <w:color w:val="0D0D0D"/>
                <w:spacing w:val="-4"/>
              </w:rPr>
              <w:t>se přitom v letech 2014 a 2015</w:t>
            </w:r>
            <w:r w:rsidRPr="007960A6">
              <w:rPr>
                <w:rFonts w:cs="Arial"/>
                <w:color w:val="0D0D0D"/>
                <w:spacing w:val="-4"/>
              </w:rPr>
              <w:t xml:space="preserve"> udržoval těsně pod 3 %). Meziroční tempa růstu mezd v rámci loňského roku však již nenaznačovala vzestupný trend (v samotném 4. čtvrtletí činil růst 4,2 %). Akceleraci průměrných mezd bránil vysoký růst počtu zaměstnanců (1,8 %)</w:t>
            </w:r>
            <w:r>
              <w:rPr>
                <w:rFonts w:cs="Arial"/>
                <w:color w:val="0D0D0D"/>
                <w:spacing w:val="-4"/>
              </w:rPr>
              <w:t>,</w:t>
            </w:r>
            <w:r w:rsidRPr="007960A6">
              <w:rPr>
                <w:rFonts w:cs="Arial"/>
                <w:color w:val="0D0D0D"/>
                <w:spacing w:val="-4"/>
              </w:rPr>
              <w:t xml:space="preserve"> jeho významná část byla soustředěna do odvětví s podprůměrnou úrovní mezd (obchod,</w:t>
            </w:r>
            <w:r>
              <w:rPr>
                <w:rFonts w:cs="Arial"/>
                <w:color w:val="0D0D0D"/>
                <w:spacing w:val="-4"/>
              </w:rPr>
              <w:t xml:space="preserve"> doprava a</w:t>
            </w:r>
            <w:r>
              <w:rPr>
                <w:rFonts w:cs="Arial"/>
                <w:color w:val="0D0D0D"/>
                <w:spacing w:val="-2"/>
              </w:rPr>
              <w:t> </w:t>
            </w:r>
            <w:r w:rsidRPr="007960A6">
              <w:rPr>
                <w:rFonts w:cs="Arial"/>
                <w:color w:val="0D0D0D"/>
                <w:spacing w:val="-4"/>
              </w:rPr>
              <w:t xml:space="preserve">skladování, </w:t>
            </w:r>
            <w:r>
              <w:rPr>
                <w:rFonts w:cs="Arial"/>
                <w:color w:val="0D0D0D"/>
                <w:spacing w:val="-4"/>
              </w:rPr>
              <w:t xml:space="preserve">činnosti v oblasti nemovitostí, </w:t>
            </w:r>
            <w:r w:rsidRPr="007960A6">
              <w:rPr>
                <w:rFonts w:cs="Arial"/>
                <w:color w:val="0D0D0D"/>
                <w:spacing w:val="-4"/>
              </w:rPr>
              <w:t xml:space="preserve">administrativní a podpůrné činnosti). </w:t>
            </w:r>
          </w:p>
          <w:p w:rsidR="00E90D67" w:rsidRPr="00563278" w:rsidRDefault="00E90D67" w:rsidP="008A03DE">
            <w:pPr>
              <w:pStyle w:val="Textpoznpodarou"/>
              <w:jc w:val="both"/>
              <w:rPr>
                <w:rFonts w:cs="Arial"/>
                <w:color w:val="0D0D0D"/>
                <w:spacing w:val="-2"/>
                <w:sz w:val="13"/>
                <w:szCs w:val="13"/>
              </w:rPr>
            </w:pPr>
          </w:p>
        </w:tc>
      </w:tr>
      <w:tr w:rsidR="00E90D67" w:rsidRPr="002D5C3D" w:rsidTr="008A03DE">
        <w:tc>
          <w:tcPr>
            <w:tcW w:w="1057" w:type="pct"/>
          </w:tcPr>
          <w:p w:rsidR="00E90D67" w:rsidRPr="005E4EA7" w:rsidRDefault="00E90D67" w:rsidP="008A03DE">
            <w:pPr>
              <w:spacing w:line="240" w:lineRule="auto"/>
              <w:rPr>
                <w:rFonts w:cs="Arial"/>
                <w:bCs/>
                <w:iCs/>
                <w:color w:val="0D0D0D"/>
                <w:spacing w:val="-4"/>
                <w:sz w:val="16"/>
                <w:szCs w:val="16"/>
              </w:rPr>
            </w:pPr>
            <w:r w:rsidRPr="005E4EA7">
              <w:rPr>
                <w:rFonts w:cs="Arial"/>
                <w:bCs/>
                <w:iCs/>
                <w:color w:val="0D0D0D"/>
                <w:spacing w:val="-4"/>
                <w:sz w:val="16"/>
                <w:szCs w:val="16"/>
              </w:rPr>
              <w:t xml:space="preserve">Příznivější meziroční tempo průměrných </w:t>
            </w:r>
            <w:r>
              <w:rPr>
                <w:rFonts w:cs="Arial"/>
                <w:bCs/>
                <w:iCs/>
                <w:color w:val="0D0D0D"/>
                <w:spacing w:val="-4"/>
                <w:sz w:val="16"/>
                <w:szCs w:val="16"/>
              </w:rPr>
              <w:t>mezd než v roce 2015 měla</w:t>
            </w:r>
            <w:r w:rsidRPr="005E4EA7">
              <w:rPr>
                <w:rFonts w:cs="Arial"/>
                <w:bCs/>
                <w:iCs/>
                <w:color w:val="0D0D0D"/>
                <w:spacing w:val="-4"/>
                <w:sz w:val="16"/>
                <w:szCs w:val="16"/>
              </w:rPr>
              <w:t xml:space="preserve"> loni drtivá většina odvětví</w:t>
            </w:r>
            <w:r>
              <w:rPr>
                <w:rFonts w:cs="Arial"/>
                <w:bCs/>
                <w:iCs/>
                <w:color w:val="0D0D0D"/>
                <w:spacing w:val="-4"/>
                <w:sz w:val="16"/>
                <w:szCs w:val="16"/>
              </w:rPr>
              <w:t>, kromě</w:t>
            </w:r>
            <w:r w:rsidRPr="005E4EA7">
              <w:rPr>
                <w:rFonts w:cs="Arial"/>
                <w:bCs/>
                <w:iCs/>
                <w:color w:val="0D0D0D"/>
                <w:spacing w:val="-4"/>
                <w:sz w:val="16"/>
                <w:szCs w:val="16"/>
              </w:rPr>
              <w:t xml:space="preserve"> těžby </w:t>
            </w:r>
            <w:r>
              <w:rPr>
                <w:rFonts w:cs="Arial"/>
                <w:bCs/>
                <w:iCs/>
                <w:color w:val="0D0D0D"/>
                <w:spacing w:val="-4"/>
                <w:sz w:val="16"/>
                <w:szCs w:val="16"/>
              </w:rPr>
              <w:t>a</w:t>
            </w:r>
            <w:r w:rsidRPr="005E4EA7">
              <w:rPr>
                <w:rFonts w:cs="Arial"/>
                <w:bCs/>
                <w:iCs/>
                <w:color w:val="0D0D0D"/>
                <w:spacing w:val="-4"/>
                <w:sz w:val="16"/>
                <w:szCs w:val="16"/>
              </w:rPr>
              <w:t> dobývání, stavebnictví a </w:t>
            </w:r>
            <w:r>
              <w:rPr>
                <w:rFonts w:cs="Arial"/>
                <w:bCs/>
                <w:iCs/>
                <w:color w:val="0D0D0D"/>
                <w:spacing w:val="-4"/>
                <w:sz w:val="16"/>
                <w:szCs w:val="16"/>
              </w:rPr>
              <w:t>také</w:t>
            </w:r>
            <w:r w:rsidRPr="005E4EA7">
              <w:rPr>
                <w:rFonts w:cs="Arial"/>
                <w:bCs/>
                <w:iCs/>
                <w:color w:val="0D0D0D"/>
                <w:spacing w:val="-4"/>
                <w:sz w:val="16"/>
                <w:szCs w:val="16"/>
              </w:rPr>
              <w:t xml:space="preserve">  činností v oblasti nemovitostí</w:t>
            </w:r>
            <w:r>
              <w:rPr>
                <w:rFonts w:cs="Arial"/>
                <w:bCs/>
                <w:iCs/>
                <w:color w:val="0D0D0D"/>
                <w:spacing w:val="-4"/>
                <w:sz w:val="16"/>
                <w:szCs w:val="16"/>
              </w:rPr>
              <w:t>.</w:t>
            </w:r>
          </w:p>
          <w:p w:rsidR="00E90D67" w:rsidRPr="005E4EA7" w:rsidRDefault="00E90D67" w:rsidP="008A03DE">
            <w:pPr>
              <w:spacing w:line="240" w:lineRule="auto"/>
              <w:rPr>
                <w:rFonts w:cs="Arial"/>
                <w:bCs/>
                <w:iCs/>
                <w:color w:val="0D0D0D"/>
                <w:spacing w:val="-4"/>
                <w:sz w:val="16"/>
                <w:szCs w:val="16"/>
              </w:rPr>
            </w:pPr>
          </w:p>
          <w:p w:rsidR="00E90D67" w:rsidRPr="005E4EA7" w:rsidRDefault="00E90D67" w:rsidP="008A03DE">
            <w:pPr>
              <w:spacing w:line="240" w:lineRule="auto"/>
              <w:rPr>
                <w:rFonts w:cs="Arial"/>
                <w:bCs/>
                <w:iCs/>
                <w:color w:val="0D0D0D"/>
                <w:spacing w:val="-4"/>
                <w:sz w:val="10"/>
                <w:szCs w:val="10"/>
              </w:rPr>
            </w:pPr>
          </w:p>
          <w:p w:rsidR="00E90D67" w:rsidRDefault="00E90D67" w:rsidP="008A03DE">
            <w:pPr>
              <w:spacing w:line="240" w:lineRule="auto"/>
              <w:rPr>
                <w:rFonts w:cs="Arial"/>
                <w:bCs/>
                <w:iCs/>
                <w:color w:val="0D0D0D"/>
                <w:spacing w:val="-4"/>
                <w:sz w:val="16"/>
                <w:szCs w:val="16"/>
              </w:rPr>
            </w:pPr>
          </w:p>
          <w:p w:rsidR="000E4241" w:rsidRDefault="000E4241" w:rsidP="008A03DE">
            <w:pPr>
              <w:spacing w:line="240" w:lineRule="auto"/>
              <w:rPr>
                <w:rFonts w:cs="Arial"/>
                <w:bCs/>
                <w:iCs/>
                <w:color w:val="0D0D0D"/>
                <w:spacing w:val="-4"/>
                <w:sz w:val="16"/>
                <w:szCs w:val="16"/>
              </w:rPr>
            </w:pPr>
          </w:p>
          <w:p w:rsidR="000E4241" w:rsidRDefault="000E4241" w:rsidP="008A03DE">
            <w:pPr>
              <w:spacing w:line="240" w:lineRule="auto"/>
              <w:rPr>
                <w:rFonts w:cs="Arial"/>
                <w:bCs/>
                <w:iCs/>
                <w:color w:val="0D0D0D"/>
                <w:spacing w:val="-4"/>
                <w:sz w:val="16"/>
                <w:szCs w:val="16"/>
              </w:rPr>
            </w:pPr>
          </w:p>
          <w:p w:rsidR="000E4241" w:rsidRDefault="000E4241" w:rsidP="008A03DE">
            <w:pPr>
              <w:spacing w:line="240" w:lineRule="auto"/>
              <w:rPr>
                <w:rFonts w:cs="Arial"/>
                <w:bCs/>
                <w:iCs/>
                <w:color w:val="0D0D0D"/>
                <w:spacing w:val="-4"/>
                <w:sz w:val="16"/>
                <w:szCs w:val="16"/>
              </w:rPr>
            </w:pPr>
          </w:p>
          <w:p w:rsidR="000E4241" w:rsidRDefault="000E4241" w:rsidP="008A03DE">
            <w:pPr>
              <w:spacing w:line="240" w:lineRule="auto"/>
              <w:rPr>
                <w:rFonts w:cs="Arial"/>
                <w:bCs/>
                <w:iCs/>
                <w:color w:val="0D0D0D"/>
                <w:spacing w:val="-4"/>
                <w:sz w:val="16"/>
                <w:szCs w:val="16"/>
              </w:rPr>
            </w:pPr>
          </w:p>
          <w:p w:rsidR="00E90D67" w:rsidRPr="005E4EA7" w:rsidRDefault="00E90D67" w:rsidP="008A03DE">
            <w:pPr>
              <w:spacing w:line="240" w:lineRule="auto"/>
              <w:rPr>
                <w:rFonts w:cs="Arial"/>
                <w:bCs/>
                <w:iCs/>
                <w:color w:val="0D0D0D"/>
                <w:spacing w:val="-4"/>
                <w:sz w:val="10"/>
                <w:szCs w:val="10"/>
              </w:rPr>
            </w:pPr>
          </w:p>
          <w:p w:rsidR="00E90D67" w:rsidRPr="005E4EA7" w:rsidRDefault="00E90D67" w:rsidP="008A03DE">
            <w:pPr>
              <w:spacing w:line="240" w:lineRule="auto"/>
              <w:rPr>
                <w:rFonts w:cs="Arial"/>
                <w:bCs/>
                <w:iCs/>
                <w:color w:val="0D0D0D"/>
                <w:spacing w:val="-4"/>
                <w:sz w:val="16"/>
                <w:szCs w:val="16"/>
              </w:rPr>
            </w:pPr>
            <w:r>
              <w:rPr>
                <w:rFonts w:cs="Arial"/>
                <w:bCs/>
                <w:iCs/>
                <w:color w:val="0D0D0D"/>
                <w:spacing w:val="-4"/>
                <w:sz w:val="16"/>
                <w:szCs w:val="16"/>
              </w:rPr>
              <w:t>Mzdový medián rostl dynamičtěji než průměrná mzda již šesté čtvrtletí v</w:t>
            </w:r>
            <w:r w:rsidR="00423C04">
              <w:rPr>
                <w:rFonts w:cs="Arial"/>
                <w:bCs/>
                <w:iCs/>
                <w:color w:val="0D0D0D"/>
                <w:spacing w:val="-4"/>
                <w:sz w:val="16"/>
                <w:szCs w:val="16"/>
              </w:rPr>
              <w:t> </w:t>
            </w:r>
            <w:r>
              <w:rPr>
                <w:rFonts w:cs="Arial"/>
                <w:bCs/>
                <w:iCs/>
                <w:color w:val="0D0D0D"/>
                <w:spacing w:val="-4"/>
                <w:sz w:val="16"/>
                <w:szCs w:val="16"/>
              </w:rPr>
              <w:t>řadě</w:t>
            </w:r>
            <w:r w:rsidR="00423C04">
              <w:rPr>
                <w:rFonts w:cs="Arial"/>
                <w:bCs/>
                <w:iCs/>
                <w:color w:val="0D0D0D"/>
                <w:spacing w:val="-4"/>
                <w:sz w:val="16"/>
                <w:szCs w:val="16"/>
              </w:rPr>
              <w:t>.</w:t>
            </w:r>
          </w:p>
        </w:tc>
        <w:tc>
          <w:tcPr>
            <w:tcW w:w="142" w:type="pct"/>
          </w:tcPr>
          <w:p w:rsidR="00E90D67" w:rsidRPr="00B041BD" w:rsidRDefault="00E90D67" w:rsidP="008A03DE">
            <w:pPr>
              <w:pStyle w:val="Textpoznpodarou"/>
              <w:jc w:val="both"/>
              <w:rPr>
                <w:color w:val="0D0D0D"/>
              </w:rPr>
            </w:pPr>
          </w:p>
        </w:tc>
        <w:tc>
          <w:tcPr>
            <w:tcW w:w="3801" w:type="pct"/>
          </w:tcPr>
          <w:p w:rsidR="00E90D67" w:rsidRPr="00B81876" w:rsidRDefault="00E90D67" w:rsidP="00227991">
            <w:pPr>
              <w:pStyle w:val="Textpoznpodarou"/>
              <w:jc w:val="both"/>
              <w:rPr>
                <w:color w:val="0D0D0D"/>
                <w:spacing w:val="-4"/>
              </w:rPr>
            </w:pPr>
            <w:r w:rsidRPr="007960A6">
              <w:rPr>
                <w:rFonts w:cs="Arial"/>
                <w:color w:val="0D0D0D"/>
                <w:spacing w:val="-4"/>
              </w:rPr>
              <w:t>Průměrná mzda loni vzrostla ve všech odvětví</w:t>
            </w:r>
            <w:r w:rsidR="00423C04">
              <w:rPr>
                <w:rFonts w:cs="Arial"/>
                <w:color w:val="0D0D0D"/>
                <w:spacing w:val="-4"/>
              </w:rPr>
              <w:t>ch vyjma těžby a dobývání (</w:t>
            </w:r>
            <w:r w:rsidR="00220838" w:rsidRPr="00220838">
              <w:t>-</w:t>
            </w:r>
            <w:r w:rsidRPr="007960A6">
              <w:rPr>
                <w:rFonts w:cs="Arial"/>
                <w:color w:val="0D0D0D"/>
                <w:spacing w:val="-4"/>
              </w:rPr>
              <w:t>0,5 %), kde byla navíc doprovázena citel</w:t>
            </w:r>
            <w:r>
              <w:rPr>
                <w:rFonts w:cs="Arial"/>
                <w:color w:val="0D0D0D"/>
                <w:spacing w:val="-4"/>
              </w:rPr>
              <w:t xml:space="preserve">nou redukcí počtu zaměstnanců (o </w:t>
            </w:r>
            <w:r w:rsidRPr="007960A6">
              <w:rPr>
                <w:rFonts w:cs="Arial"/>
                <w:color w:val="0D0D0D"/>
                <w:spacing w:val="-4"/>
              </w:rPr>
              <w:t xml:space="preserve">6 %). Nejsilnější růst </w:t>
            </w:r>
            <w:r>
              <w:rPr>
                <w:rFonts w:cs="Arial"/>
                <w:color w:val="0D0D0D"/>
                <w:spacing w:val="-4"/>
              </w:rPr>
              <w:t>mezd byl v</w:t>
            </w:r>
            <w:r w:rsidRPr="007960A6">
              <w:rPr>
                <w:rFonts w:cs="Arial"/>
                <w:color w:val="0D0D0D"/>
                <w:spacing w:val="-4"/>
              </w:rPr>
              <w:t xml:space="preserve"> ubytování, stravování a pohostinství (+7,2 %)</w:t>
            </w:r>
            <w:r>
              <w:rPr>
                <w:rFonts w:cs="Arial"/>
                <w:color w:val="0D0D0D"/>
                <w:spacing w:val="-4"/>
              </w:rPr>
              <w:t xml:space="preserve"> tažený</w:t>
            </w:r>
            <w:r w:rsidRPr="007960A6">
              <w:rPr>
                <w:rFonts w:cs="Arial"/>
                <w:color w:val="0D0D0D"/>
                <w:spacing w:val="-4"/>
              </w:rPr>
              <w:t xml:space="preserve"> z velké části růstem minimální mzdy (o 1100 korun.). V absolutním vyjádření si nejvíce polepšili zaměstnanci v informačních a komunikačních činnostech (o 1687 korun), průměrná mzda zde podobně jako v peněžnictví a pojišťovnictví těsně překročila 50 tis. hranici. Ve váhově nejvýznamnějším </w:t>
            </w:r>
            <w:r>
              <w:rPr>
                <w:rFonts w:cs="Arial"/>
                <w:color w:val="0D0D0D"/>
                <w:spacing w:val="-4"/>
              </w:rPr>
              <w:t>zpracovatelském průmyslu</w:t>
            </w:r>
            <w:r w:rsidRPr="007960A6">
              <w:rPr>
                <w:rFonts w:cs="Arial"/>
                <w:color w:val="0D0D0D"/>
                <w:spacing w:val="-4"/>
              </w:rPr>
              <w:t xml:space="preserve"> </w:t>
            </w:r>
            <w:r>
              <w:rPr>
                <w:rFonts w:cs="Arial"/>
                <w:color w:val="0D0D0D"/>
                <w:spacing w:val="-4"/>
              </w:rPr>
              <w:t xml:space="preserve">kopíroval růst mezd </w:t>
            </w:r>
            <w:r w:rsidRPr="007960A6">
              <w:rPr>
                <w:rFonts w:cs="Arial"/>
                <w:color w:val="0D0D0D"/>
                <w:spacing w:val="-4"/>
              </w:rPr>
              <w:t>(</w:t>
            </w:r>
            <w:r>
              <w:rPr>
                <w:rFonts w:cs="Arial"/>
                <w:color w:val="0D0D0D"/>
                <w:spacing w:val="-4"/>
              </w:rPr>
              <w:t>stej</w:t>
            </w:r>
            <w:r w:rsidR="00372272">
              <w:rPr>
                <w:rFonts w:cs="Arial"/>
                <w:color w:val="0D0D0D"/>
                <w:spacing w:val="-4"/>
              </w:rPr>
              <w:t>ně jako v roce 2015</w:t>
            </w:r>
            <w:r w:rsidRPr="007960A6">
              <w:rPr>
                <w:rFonts w:cs="Arial"/>
                <w:color w:val="0D0D0D"/>
                <w:spacing w:val="-4"/>
              </w:rPr>
              <w:t xml:space="preserve">) tempa v celé ekonomice, </w:t>
            </w:r>
            <w:r>
              <w:rPr>
                <w:rFonts w:cs="Arial"/>
                <w:color w:val="0D0D0D"/>
                <w:spacing w:val="-4"/>
              </w:rPr>
              <w:t xml:space="preserve">toto </w:t>
            </w:r>
            <w:r w:rsidRPr="007960A6">
              <w:rPr>
                <w:rFonts w:cs="Arial"/>
                <w:color w:val="0D0D0D"/>
                <w:spacing w:val="-4"/>
              </w:rPr>
              <w:t>odvětví však stále intenzivně nabíralo nové pracovníky.</w:t>
            </w:r>
            <w:r>
              <w:rPr>
                <w:rFonts w:cs="Arial"/>
                <w:color w:val="0D0D0D"/>
                <w:spacing w:val="-4"/>
              </w:rPr>
              <w:t xml:space="preserve"> Svižně</w:t>
            </w:r>
            <w:r w:rsidRPr="007960A6">
              <w:rPr>
                <w:rFonts w:cs="Arial"/>
                <w:color w:val="0D0D0D"/>
                <w:spacing w:val="-4"/>
              </w:rPr>
              <w:t xml:space="preserve"> rostly průměrné mzdy</w:t>
            </w:r>
            <w:r w:rsidR="00227991">
              <w:rPr>
                <w:rFonts w:cs="Arial"/>
                <w:color w:val="0D0D0D"/>
                <w:spacing w:val="-4"/>
              </w:rPr>
              <w:t xml:space="preserve"> v odvětvích s dominancí státu, </w:t>
            </w:r>
            <w:r w:rsidRPr="007960A6">
              <w:rPr>
                <w:rFonts w:cs="Arial"/>
                <w:color w:val="0D0D0D"/>
                <w:spacing w:val="-4"/>
              </w:rPr>
              <w:t>významně</w:t>
            </w:r>
            <w:r w:rsidR="00227991">
              <w:rPr>
                <w:rFonts w:cs="Arial"/>
                <w:color w:val="0D0D0D"/>
                <w:spacing w:val="-4"/>
              </w:rPr>
              <w:t>ji</w:t>
            </w:r>
            <w:r w:rsidRPr="007960A6">
              <w:rPr>
                <w:rFonts w:cs="Arial"/>
                <w:color w:val="0D0D0D"/>
                <w:spacing w:val="-4"/>
              </w:rPr>
              <w:t xml:space="preserve"> </w:t>
            </w:r>
            <w:r w:rsidR="00227991">
              <w:rPr>
                <w:rFonts w:cs="Arial"/>
                <w:color w:val="0D0D0D"/>
                <w:spacing w:val="-4"/>
              </w:rPr>
              <w:t xml:space="preserve">se však v nich (vyjma zdravotní a sociální péče) </w:t>
            </w:r>
            <w:r w:rsidRPr="007960A6">
              <w:rPr>
                <w:rFonts w:cs="Arial"/>
                <w:color w:val="0D0D0D"/>
                <w:spacing w:val="-4"/>
              </w:rPr>
              <w:t>nevytvářela nová pracovní místa. Ve veřejné správě, obraně a sociálním zabezpečení přispěly ke mzdovému</w:t>
            </w:r>
            <w:r>
              <w:rPr>
                <w:rFonts w:cs="Arial"/>
                <w:color w:val="0D0D0D"/>
                <w:spacing w:val="-4"/>
              </w:rPr>
              <w:t xml:space="preserve"> růstu (+5,6</w:t>
            </w:r>
            <w:r w:rsidRPr="007960A6">
              <w:rPr>
                <w:rFonts w:cs="Arial"/>
                <w:color w:val="0D0D0D"/>
                <w:spacing w:val="-4"/>
              </w:rPr>
              <w:t xml:space="preserve"> %) </w:t>
            </w:r>
            <w:r>
              <w:rPr>
                <w:rFonts w:cs="Arial"/>
                <w:color w:val="0D0D0D"/>
                <w:spacing w:val="-4"/>
              </w:rPr>
              <w:t xml:space="preserve">i </w:t>
            </w:r>
            <w:r w:rsidRPr="007960A6">
              <w:rPr>
                <w:rFonts w:cs="Arial"/>
                <w:color w:val="0D0D0D"/>
                <w:spacing w:val="-4"/>
              </w:rPr>
              <w:t>vyšší výdělky příslušníků ozbrojených složek.</w:t>
            </w:r>
            <w:r>
              <w:rPr>
                <w:rFonts w:cs="Arial"/>
                <w:color w:val="0D0D0D"/>
                <w:spacing w:val="-4"/>
              </w:rPr>
              <w:t xml:space="preserve"> Slab</w:t>
            </w:r>
            <w:r w:rsidRPr="007960A6">
              <w:rPr>
                <w:rFonts w:cs="Arial"/>
                <w:color w:val="0D0D0D"/>
                <w:spacing w:val="-4"/>
              </w:rPr>
              <w:t xml:space="preserve">ší celoroční dynamiku měly mzdy ve vzdělávání (+4,1 %), v samotném 4. </w:t>
            </w:r>
            <w:r>
              <w:rPr>
                <w:rFonts w:cs="Arial"/>
                <w:color w:val="0D0D0D"/>
                <w:spacing w:val="-4"/>
              </w:rPr>
              <w:t>č</w:t>
            </w:r>
            <w:r w:rsidRPr="007960A6">
              <w:rPr>
                <w:rFonts w:cs="Arial"/>
                <w:color w:val="0D0D0D"/>
                <w:spacing w:val="-4"/>
              </w:rPr>
              <w:t xml:space="preserve">tvrtletí však </w:t>
            </w:r>
            <w:r w:rsidR="000E4241">
              <w:rPr>
                <w:rFonts w:cs="Arial"/>
                <w:color w:val="0D0D0D"/>
                <w:spacing w:val="-4"/>
              </w:rPr>
              <w:t xml:space="preserve">vlivem zvýšení platových tarifů </w:t>
            </w:r>
            <w:r w:rsidRPr="007960A6">
              <w:rPr>
                <w:rFonts w:cs="Arial"/>
                <w:color w:val="0D0D0D"/>
                <w:spacing w:val="-4"/>
              </w:rPr>
              <w:t>růst zrychlil na 7,4 %.</w:t>
            </w:r>
            <w:r>
              <w:rPr>
                <w:rFonts w:cs="Arial"/>
                <w:color w:val="0D0D0D"/>
                <w:spacing w:val="-4"/>
              </w:rPr>
              <w:t xml:space="preserve"> Příznivější vývoj průmě</w:t>
            </w:r>
            <w:r w:rsidR="00227991">
              <w:rPr>
                <w:rFonts w:cs="Arial"/>
                <w:color w:val="0D0D0D"/>
                <w:spacing w:val="-4"/>
              </w:rPr>
              <w:t>rných výdělků v odvětvích s dominancí státu</w:t>
            </w:r>
            <w:r>
              <w:rPr>
                <w:rFonts w:cs="Arial"/>
                <w:color w:val="0D0D0D"/>
                <w:spacing w:val="-4"/>
              </w:rPr>
              <w:t xml:space="preserve"> se odrazil ve vysokém růstu mzdo</w:t>
            </w:r>
            <w:r w:rsidR="000E4241">
              <w:rPr>
                <w:rFonts w:cs="Arial"/>
                <w:color w:val="0D0D0D"/>
                <w:spacing w:val="-4"/>
              </w:rPr>
              <w:t xml:space="preserve">vého </w:t>
            </w:r>
            <w:r w:rsidR="00220838" w:rsidRPr="00220838">
              <w:rPr>
                <w:color w:val="0D0D0D"/>
                <w:spacing w:val="-5"/>
              </w:rPr>
              <w:t>mediánu (ve 4. čtvrtletí o</w:t>
            </w:r>
            <w:r w:rsidR="000E4241" w:rsidRPr="00227991">
              <w:rPr>
                <w:rFonts w:cs="Arial"/>
                <w:color w:val="0D0D0D"/>
                <w:spacing w:val="-5"/>
              </w:rPr>
              <w:t> </w:t>
            </w:r>
            <w:r w:rsidR="00220838" w:rsidRPr="00220838">
              <w:rPr>
                <w:color w:val="0D0D0D"/>
                <w:spacing w:val="-5"/>
              </w:rPr>
              <w:t>6,0 %, u žen o 6,7 %). Ten převyšoval dynamiku</w:t>
            </w:r>
            <w:r>
              <w:rPr>
                <w:color w:val="0D0D0D"/>
                <w:spacing w:val="-4"/>
              </w:rPr>
              <w:t xml:space="preserve"> </w:t>
            </w:r>
            <w:r w:rsidR="00220838" w:rsidRPr="00220838">
              <w:rPr>
                <w:color w:val="0D0D0D"/>
                <w:spacing w:val="-5"/>
              </w:rPr>
              <w:t>průměrných</w:t>
            </w:r>
            <w:r>
              <w:rPr>
                <w:color w:val="0D0D0D"/>
                <w:spacing w:val="-4"/>
              </w:rPr>
              <w:t xml:space="preserve"> mezd již šest čtvrtletí v řadě, projevily se zde také přímé i nepřímé dopady opakovaného navyšování minimálních mezd. </w:t>
            </w:r>
            <w:r w:rsidR="000E4241">
              <w:rPr>
                <w:color w:val="0D0D0D"/>
                <w:spacing w:val="-4"/>
              </w:rPr>
              <w:t>Průměrná r</w:t>
            </w:r>
            <w:r>
              <w:rPr>
                <w:color w:val="0D0D0D"/>
                <w:spacing w:val="-4"/>
              </w:rPr>
              <w:t>eálná mzda loni vzrostla o</w:t>
            </w:r>
            <w:r w:rsidRPr="007960A6">
              <w:rPr>
                <w:rFonts w:cs="Arial"/>
                <w:color w:val="0D0D0D"/>
                <w:spacing w:val="-4"/>
              </w:rPr>
              <w:t> </w:t>
            </w:r>
            <w:r>
              <w:rPr>
                <w:color w:val="0D0D0D"/>
                <w:spacing w:val="-4"/>
              </w:rPr>
              <w:t>3,5</w:t>
            </w:r>
            <w:r w:rsidRPr="007960A6">
              <w:rPr>
                <w:rFonts w:cs="Arial"/>
                <w:color w:val="0D0D0D"/>
                <w:spacing w:val="-4"/>
              </w:rPr>
              <w:t> </w:t>
            </w:r>
            <w:r>
              <w:rPr>
                <w:color w:val="0D0D0D"/>
                <w:spacing w:val="-4"/>
              </w:rPr>
              <w:t xml:space="preserve">% (nejvíce od roku 2007), ve 4. čtvrtletí vlivem sílící inflace zvolnila na 2,8 %. </w:t>
            </w:r>
          </w:p>
        </w:tc>
      </w:tr>
    </w:tbl>
    <w:p w:rsidR="00E90D67" w:rsidRPr="00471F57" w:rsidRDefault="00E90D67" w:rsidP="00E90D67">
      <w:pPr>
        <w:rPr>
          <w:sz w:val="8"/>
          <w:szCs w:val="8"/>
        </w:rPr>
      </w:pPr>
    </w:p>
    <w:tbl>
      <w:tblPr>
        <w:tblW w:w="4986" w:type="pct"/>
        <w:tblLayout w:type="fixed"/>
        <w:tblCellMar>
          <w:left w:w="28" w:type="dxa"/>
          <w:right w:w="28" w:type="dxa"/>
        </w:tblCellMar>
        <w:tblLook w:val="04A0"/>
      </w:tblPr>
      <w:tblGrid>
        <w:gridCol w:w="760"/>
        <w:gridCol w:w="4089"/>
        <w:gridCol w:w="708"/>
        <w:gridCol w:w="4110"/>
      </w:tblGrid>
      <w:tr w:rsidR="00E90D67" w:rsidRPr="00886A8F" w:rsidTr="008A03DE">
        <w:tc>
          <w:tcPr>
            <w:tcW w:w="393" w:type="pct"/>
          </w:tcPr>
          <w:p w:rsidR="00E90D67" w:rsidRPr="007E77FB" w:rsidRDefault="00E90D67" w:rsidP="008A03DE">
            <w:pPr>
              <w:pStyle w:val="Textpoznpodarou"/>
              <w:rPr>
                <w:lang w:eastAsia="en-US"/>
              </w:rPr>
            </w:pPr>
            <w:r w:rsidRPr="007E77FB">
              <w:rPr>
                <w:lang w:eastAsia="en-US"/>
              </w:rPr>
              <w:t>Graf č. 15</w:t>
            </w:r>
          </w:p>
        </w:tc>
        <w:tc>
          <w:tcPr>
            <w:tcW w:w="2115" w:type="pct"/>
          </w:tcPr>
          <w:p w:rsidR="00E90D67" w:rsidRPr="007E77FB" w:rsidRDefault="00E90D67" w:rsidP="008A03DE">
            <w:pPr>
              <w:pStyle w:val="Textpoznpodarou"/>
              <w:rPr>
                <w:lang w:eastAsia="en-US"/>
              </w:rPr>
            </w:pPr>
            <w:r w:rsidRPr="00886A8F">
              <w:rPr>
                <w:b/>
                <w:lang w:eastAsia="en-US"/>
              </w:rPr>
              <w:t xml:space="preserve">Počty zaměstnaných osob a zaměstnanců </w:t>
            </w:r>
            <w:r w:rsidRPr="00582DA0">
              <w:rPr>
                <w:spacing w:val="-4"/>
                <w:lang w:eastAsia="en-US"/>
              </w:rPr>
              <w:t>(</w:t>
            </w:r>
            <w:r>
              <w:rPr>
                <w:spacing w:val="-4"/>
                <w:lang w:eastAsia="en-US"/>
              </w:rPr>
              <w:t>po</w:t>
            </w:r>
            <w:r w:rsidRPr="00582DA0">
              <w:rPr>
                <w:spacing w:val="-4"/>
                <w:lang w:eastAsia="en-US"/>
              </w:rPr>
              <w:t>dle</w:t>
            </w:r>
            <w:r>
              <w:rPr>
                <w:spacing w:val="-4"/>
                <w:lang w:eastAsia="en-US"/>
              </w:rPr>
              <w:t xml:space="preserve"> národních účtů</w:t>
            </w:r>
            <w:r w:rsidRPr="00582DA0">
              <w:rPr>
                <w:spacing w:val="-4"/>
                <w:lang w:eastAsia="en-US"/>
              </w:rPr>
              <w:t xml:space="preserve">, </w:t>
            </w:r>
            <w:r>
              <w:rPr>
                <w:spacing w:val="-4"/>
                <w:lang w:eastAsia="en-US"/>
              </w:rPr>
              <w:t xml:space="preserve">sezónně oč., </w:t>
            </w:r>
            <w:r w:rsidRPr="00582DA0">
              <w:rPr>
                <w:spacing w:val="-4"/>
                <w:lang w:eastAsia="en-US"/>
              </w:rPr>
              <w:t>y/y v %)</w:t>
            </w:r>
          </w:p>
        </w:tc>
        <w:tc>
          <w:tcPr>
            <w:tcW w:w="366" w:type="pct"/>
          </w:tcPr>
          <w:p w:rsidR="00E90D67" w:rsidRPr="007E77FB" w:rsidRDefault="00E90D67" w:rsidP="008A03DE">
            <w:pPr>
              <w:pStyle w:val="Textpoznpodarou"/>
              <w:rPr>
                <w:lang w:eastAsia="en-US"/>
              </w:rPr>
            </w:pPr>
            <w:r w:rsidRPr="007E77FB">
              <w:rPr>
                <w:lang w:eastAsia="en-US"/>
              </w:rPr>
              <w:t>Graf č. 16</w:t>
            </w:r>
          </w:p>
        </w:tc>
        <w:tc>
          <w:tcPr>
            <w:tcW w:w="2126" w:type="pct"/>
          </w:tcPr>
          <w:p w:rsidR="00E90D67" w:rsidRPr="00886A8F" w:rsidRDefault="00E90D67" w:rsidP="008A03DE">
            <w:pPr>
              <w:pStyle w:val="Textpoznpodarou"/>
              <w:rPr>
                <w:spacing w:val="-2"/>
                <w:lang w:eastAsia="en-US"/>
              </w:rPr>
            </w:pPr>
            <w:r>
              <w:rPr>
                <w:b/>
                <w:spacing w:val="-2"/>
                <w:lang w:eastAsia="en-US"/>
              </w:rPr>
              <w:t>H</w:t>
            </w:r>
            <w:r w:rsidRPr="00886A8F">
              <w:rPr>
                <w:b/>
                <w:spacing w:val="-2"/>
                <w:lang w:eastAsia="en-US"/>
              </w:rPr>
              <w:t xml:space="preserve">rubá měsíční mzda </w:t>
            </w:r>
            <w:r w:rsidRPr="00582DA0">
              <w:rPr>
                <w:spacing w:val="-6"/>
                <w:lang w:eastAsia="en-US"/>
              </w:rPr>
              <w:t>(přepočtené počty zaměstnanců, y/y v %)</w:t>
            </w:r>
            <w:r>
              <w:rPr>
                <w:spacing w:val="-6"/>
                <w:lang w:eastAsia="en-US"/>
              </w:rPr>
              <w:t xml:space="preserve"> a </w:t>
            </w:r>
            <w:r w:rsidRPr="00DC5E7F">
              <w:rPr>
                <w:b/>
                <w:spacing w:val="-6"/>
                <w:lang w:eastAsia="en-US"/>
              </w:rPr>
              <w:t>produktivita práce</w:t>
            </w:r>
          </w:p>
        </w:tc>
      </w:tr>
      <w:tr w:rsidR="00E90D67" w:rsidTr="008A03DE">
        <w:tc>
          <w:tcPr>
            <w:tcW w:w="2508" w:type="pct"/>
            <w:gridSpan w:val="2"/>
          </w:tcPr>
          <w:p w:rsidR="00E90D67" w:rsidRDefault="00906225" w:rsidP="008A03DE">
            <w:pPr>
              <w:pStyle w:val="Textpoznpodarou"/>
              <w:jc w:val="both"/>
            </w:pPr>
            <w:r>
              <w:rPr>
                <w:noProof/>
              </w:rPr>
              <w:drawing>
                <wp:inline distT="0" distB="0" distL="0" distR="0">
                  <wp:extent cx="3035935" cy="2128520"/>
                  <wp:effectExtent l="19050" t="0" r="0" b="0"/>
                  <wp:docPr id="1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30"/>
                          <a:srcRect/>
                          <a:stretch>
                            <a:fillRect/>
                          </a:stretch>
                        </pic:blipFill>
                        <pic:spPr bwMode="auto">
                          <a:xfrm>
                            <a:off x="0" y="0"/>
                            <a:ext cx="3035935" cy="2128520"/>
                          </a:xfrm>
                          <a:prstGeom prst="rect">
                            <a:avLst/>
                          </a:prstGeom>
                          <a:noFill/>
                          <a:ln w="9525">
                            <a:noFill/>
                            <a:miter lim="800000"/>
                            <a:headEnd/>
                            <a:tailEnd/>
                          </a:ln>
                        </pic:spPr>
                      </pic:pic>
                    </a:graphicData>
                  </a:graphic>
                </wp:inline>
              </w:drawing>
            </w:r>
          </w:p>
        </w:tc>
        <w:tc>
          <w:tcPr>
            <w:tcW w:w="2492" w:type="pct"/>
            <w:gridSpan w:val="2"/>
          </w:tcPr>
          <w:p w:rsidR="00E90D67" w:rsidRDefault="00906225" w:rsidP="008A03DE">
            <w:pPr>
              <w:pStyle w:val="Textpoznpodarou"/>
              <w:jc w:val="both"/>
            </w:pPr>
            <w:r>
              <w:rPr>
                <w:noProof/>
              </w:rPr>
              <w:drawing>
                <wp:inline distT="0" distB="0" distL="0" distR="0">
                  <wp:extent cx="2999105" cy="2121535"/>
                  <wp:effectExtent l="19050" t="0" r="0" b="0"/>
                  <wp:docPr id="1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31"/>
                          <a:srcRect/>
                          <a:stretch>
                            <a:fillRect/>
                          </a:stretch>
                        </pic:blipFill>
                        <pic:spPr bwMode="auto">
                          <a:xfrm>
                            <a:off x="0" y="0"/>
                            <a:ext cx="2999105" cy="2121535"/>
                          </a:xfrm>
                          <a:prstGeom prst="rect">
                            <a:avLst/>
                          </a:prstGeom>
                          <a:noFill/>
                          <a:ln w="9525">
                            <a:noFill/>
                            <a:miter lim="800000"/>
                            <a:headEnd/>
                            <a:tailEnd/>
                          </a:ln>
                        </pic:spPr>
                      </pic:pic>
                    </a:graphicData>
                  </a:graphic>
                </wp:inline>
              </w:drawing>
            </w:r>
          </w:p>
        </w:tc>
      </w:tr>
      <w:tr w:rsidR="00E90D67" w:rsidRPr="004C5813" w:rsidTr="008A03DE">
        <w:tc>
          <w:tcPr>
            <w:tcW w:w="5000" w:type="pct"/>
            <w:gridSpan w:val="4"/>
          </w:tcPr>
          <w:p w:rsidR="00E90D67" w:rsidRPr="00AF5CFB" w:rsidRDefault="00E90D67" w:rsidP="008A03DE">
            <w:pPr>
              <w:tabs>
                <w:tab w:val="left" w:pos="822"/>
              </w:tabs>
              <w:autoSpaceDE w:val="0"/>
              <w:autoSpaceDN w:val="0"/>
              <w:adjustRightInd w:val="0"/>
              <w:spacing w:line="240" w:lineRule="auto"/>
              <w:jc w:val="right"/>
              <w:rPr>
                <w:rFonts w:cs="Arial"/>
                <w:color w:val="000000"/>
                <w:spacing w:val="-2"/>
                <w:sz w:val="18"/>
                <w:szCs w:val="18"/>
              </w:rPr>
            </w:pPr>
            <w:r w:rsidRPr="00AF5CFB">
              <w:rPr>
                <w:sz w:val="18"/>
                <w:szCs w:val="18"/>
                <w:lang w:eastAsia="en-US"/>
              </w:rPr>
              <w:t>Zdroj: ČSÚ</w:t>
            </w:r>
          </w:p>
        </w:tc>
      </w:tr>
    </w:tbl>
    <w:p w:rsidR="00492991" w:rsidRDefault="00492991" w:rsidP="00D94859">
      <w:pPr>
        <w:rPr>
          <w:sz w:val="2"/>
          <w:szCs w:val="2"/>
          <w:lang w:eastAsia="ar-SA"/>
        </w:rPr>
      </w:pPr>
    </w:p>
    <w:p w:rsidR="005752EB" w:rsidRPr="00A74192" w:rsidRDefault="005752EB" w:rsidP="00D94859">
      <w:pPr>
        <w:rPr>
          <w:sz w:val="2"/>
          <w:szCs w:val="2"/>
          <w:lang w:eastAsia="ar-SA"/>
        </w:rPr>
      </w:pPr>
    </w:p>
    <w:p w:rsidR="00576A3E" w:rsidRPr="00A74192" w:rsidRDefault="00576A3E" w:rsidP="00941339">
      <w:pPr>
        <w:pStyle w:val="Nadpis1"/>
        <w:numPr>
          <w:ilvl w:val="0"/>
          <w:numId w:val="12"/>
        </w:numPr>
        <w:ind w:left="709"/>
        <w:jc w:val="both"/>
      </w:pPr>
      <w:bookmarkStart w:id="16" w:name="_Toc469299935"/>
      <w:bookmarkStart w:id="17" w:name="_Toc469327804"/>
      <w:r w:rsidRPr="00A74192">
        <w:t>Měnové podmínky</w:t>
      </w:r>
      <w:bookmarkEnd w:id="16"/>
      <w:bookmarkEnd w:id="17"/>
    </w:p>
    <w:tbl>
      <w:tblPr>
        <w:tblW w:w="4995" w:type="pct"/>
        <w:tblInd w:w="108" w:type="dxa"/>
        <w:tblLayout w:type="fixed"/>
        <w:tblLook w:val="00A0"/>
      </w:tblPr>
      <w:tblGrid>
        <w:gridCol w:w="1134"/>
        <w:gridCol w:w="866"/>
        <w:gridCol w:w="284"/>
        <w:gridCol w:w="2589"/>
        <w:gridCol w:w="1150"/>
        <w:gridCol w:w="3821"/>
      </w:tblGrid>
      <w:tr w:rsidR="007E6588" w:rsidRPr="00A74192" w:rsidTr="00DD3867">
        <w:trPr>
          <w:trHeight w:val="145"/>
        </w:trPr>
        <w:tc>
          <w:tcPr>
            <w:tcW w:w="1016" w:type="pct"/>
            <w:gridSpan w:val="2"/>
          </w:tcPr>
          <w:p w:rsidR="007E6588" w:rsidRPr="006D3F53" w:rsidRDefault="007E6588" w:rsidP="008A03DE">
            <w:pPr>
              <w:spacing w:line="240" w:lineRule="auto"/>
              <w:rPr>
                <w:color w:val="000000"/>
                <w:sz w:val="16"/>
                <w:szCs w:val="16"/>
                <w:highlight w:val="yellow"/>
              </w:rPr>
            </w:pPr>
            <w:r w:rsidRPr="00D713E9">
              <w:rPr>
                <w:color w:val="000000"/>
                <w:sz w:val="16"/>
                <w:szCs w:val="16"/>
              </w:rPr>
              <w:t xml:space="preserve">Česká národní banka </w:t>
            </w:r>
            <w:r>
              <w:rPr>
                <w:color w:val="000000"/>
                <w:sz w:val="16"/>
                <w:szCs w:val="16"/>
              </w:rPr>
              <w:t>pokračoval</w:t>
            </w:r>
            <w:r w:rsidRPr="00D713E9">
              <w:rPr>
                <w:color w:val="000000"/>
                <w:sz w:val="16"/>
                <w:szCs w:val="16"/>
              </w:rPr>
              <w:t xml:space="preserve">a </w:t>
            </w:r>
            <w:r>
              <w:rPr>
                <w:color w:val="000000"/>
                <w:sz w:val="16"/>
                <w:szCs w:val="16"/>
              </w:rPr>
              <w:t xml:space="preserve">v </w:t>
            </w:r>
            <w:r w:rsidRPr="00D713E9">
              <w:rPr>
                <w:color w:val="000000"/>
                <w:sz w:val="16"/>
                <w:szCs w:val="16"/>
              </w:rPr>
              <w:t>uvolněn</w:t>
            </w:r>
            <w:r>
              <w:rPr>
                <w:color w:val="000000"/>
                <w:sz w:val="16"/>
                <w:szCs w:val="16"/>
              </w:rPr>
              <w:t>é</w:t>
            </w:r>
            <w:r w:rsidRPr="00D713E9">
              <w:rPr>
                <w:color w:val="000000"/>
                <w:sz w:val="16"/>
                <w:szCs w:val="16"/>
              </w:rPr>
              <w:t xml:space="preserve"> měnov</w:t>
            </w:r>
            <w:r>
              <w:rPr>
                <w:color w:val="000000"/>
                <w:sz w:val="16"/>
                <w:szCs w:val="16"/>
              </w:rPr>
              <w:t>é</w:t>
            </w:r>
            <w:r w:rsidRPr="00D713E9">
              <w:rPr>
                <w:color w:val="000000"/>
                <w:sz w:val="16"/>
                <w:szCs w:val="16"/>
              </w:rPr>
              <w:t xml:space="preserve"> politi</w:t>
            </w:r>
            <w:r>
              <w:rPr>
                <w:color w:val="000000"/>
                <w:sz w:val="16"/>
                <w:szCs w:val="16"/>
              </w:rPr>
              <w:t>ce</w:t>
            </w:r>
            <w:r w:rsidRPr="00D713E9">
              <w:rPr>
                <w:color w:val="000000"/>
                <w:sz w:val="16"/>
                <w:szCs w:val="16"/>
              </w:rPr>
              <w:t xml:space="preserve">. Udržení kurzového závazku vyžadovalo aktivní zásahy ČNB na devizovém trhu. Tlak na posílení koruny ke konci roku sílil. </w:t>
            </w:r>
          </w:p>
        </w:tc>
        <w:tc>
          <w:tcPr>
            <w:tcW w:w="144" w:type="pct"/>
          </w:tcPr>
          <w:p w:rsidR="007E6588" w:rsidRPr="00A74192" w:rsidRDefault="007E6588" w:rsidP="00D94859">
            <w:pPr>
              <w:pStyle w:val="Textpoznpodarou"/>
              <w:jc w:val="both"/>
            </w:pPr>
          </w:p>
        </w:tc>
        <w:tc>
          <w:tcPr>
            <w:tcW w:w="3840" w:type="pct"/>
            <w:gridSpan w:val="3"/>
          </w:tcPr>
          <w:p w:rsidR="007E6588" w:rsidRDefault="007E6588" w:rsidP="008A03DE">
            <w:pPr>
              <w:pStyle w:val="Textpoznpodarou"/>
              <w:jc w:val="both"/>
              <w:rPr>
                <w:sz w:val="16"/>
                <w:szCs w:val="16"/>
              </w:rPr>
            </w:pPr>
            <w:r>
              <w:t xml:space="preserve">Celkové nastavení měnové politiky se během roku 2016 neměnilo. Měnověpolitické úrokové sazby zůstávají na konstantní úrovni od prosince roku 2012. Udržení kurzového závazku, který Česká národní banka (ČNB) používá jako další nástroj uvolňování měnových podmínek, vyžadovalo sérii operací na devizovém trhu. Kurz koruny vůči euru se tak po celý rok držel těsně nad hranicí 27 korun. Kurz koruny vůči dolaru se během roku mírně pohyboval. Během první poloviny roku </w:t>
            </w:r>
            <w:r w:rsidR="00815DD0">
              <w:t xml:space="preserve">posílila </w:t>
            </w:r>
            <w:r>
              <w:t>národní měna z lednového průměru 24,89 korun za dolar pod hranici 24 korun</w:t>
            </w:r>
            <w:r w:rsidR="006E182C">
              <w:rPr>
                <w:rStyle w:val="Znakapoznpodarou"/>
              </w:rPr>
              <w:footnoteReference w:id="28"/>
            </w:r>
            <w:r>
              <w:t xml:space="preserve">. Ve 3. čtvrtletí se kurz pohyboval </w:t>
            </w:r>
            <w:r w:rsidR="00004EB0">
              <w:t xml:space="preserve">v </w:t>
            </w:r>
            <w:r>
              <w:t xml:space="preserve">poměrně úzkém rozmezí okolo 24,30 korun za dolar. Až v závěru roku koruna výrazněji oslabila a v prosinci dosáhla průměrného kurzu 25,64 korun za dolar.  </w:t>
            </w:r>
          </w:p>
          <w:p w:rsidR="007E6588" w:rsidRPr="00D81639" w:rsidRDefault="007E6588" w:rsidP="008A03DE">
            <w:pPr>
              <w:pStyle w:val="Textpoznpodarou"/>
              <w:jc w:val="both"/>
              <w:rPr>
                <w:sz w:val="16"/>
                <w:szCs w:val="16"/>
              </w:rPr>
            </w:pPr>
          </w:p>
        </w:tc>
      </w:tr>
      <w:tr w:rsidR="007E6588" w:rsidRPr="00A74192" w:rsidTr="00DD3867">
        <w:trPr>
          <w:trHeight w:val="145"/>
        </w:trPr>
        <w:tc>
          <w:tcPr>
            <w:tcW w:w="1016" w:type="pct"/>
            <w:gridSpan w:val="2"/>
            <w:shd w:val="clear" w:color="auto" w:fill="auto"/>
          </w:tcPr>
          <w:p w:rsidR="007E6588" w:rsidRPr="000B2903" w:rsidRDefault="007E6588" w:rsidP="008A03DE">
            <w:pPr>
              <w:spacing w:line="240" w:lineRule="auto"/>
              <w:rPr>
                <w:color w:val="000000"/>
                <w:sz w:val="16"/>
                <w:szCs w:val="16"/>
              </w:rPr>
            </w:pPr>
            <w:r w:rsidRPr="000B2903">
              <w:rPr>
                <w:color w:val="000000"/>
                <w:sz w:val="16"/>
                <w:szCs w:val="16"/>
              </w:rPr>
              <w:t>Růst objemu měnového agregátu M3 byl v první polovině roku poměrně vysoký, ale v závěru roku zpomalil.</w:t>
            </w:r>
          </w:p>
        </w:tc>
        <w:tc>
          <w:tcPr>
            <w:tcW w:w="144" w:type="pct"/>
          </w:tcPr>
          <w:p w:rsidR="007E6588" w:rsidRPr="00A74192" w:rsidRDefault="007E6588" w:rsidP="00D94859">
            <w:pPr>
              <w:pStyle w:val="Textpoznpodarou"/>
              <w:jc w:val="both"/>
            </w:pPr>
          </w:p>
        </w:tc>
        <w:tc>
          <w:tcPr>
            <w:tcW w:w="3840" w:type="pct"/>
            <w:gridSpan w:val="3"/>
          </w:tcPr>
          <w:p w:rsidR="007E6588" w:rsidRDefault="007E6588" w:rsidP="008A03DE">
            <w:pPr>
              <w:pStyle w:val="Textpoznpodarou"/>
              <w:jc w:val="both"/>
              <w:rPr>
                <w:sz w:val="16"/>
                <w:szCs w:val="16"/>
              </w:rPr>
            </w:pPr>
            <w:r>
              <w:t>Růst objemu peněz v ekonomice</w:t>
            </w:r>
            <w:r>
              <w:rPr>
                <w:rStyle w:val="Znakapoznpodarou"/>
              </w:rPr>
              <w:footnoteReference w:id="29"/>
            </w:r>
            <w:r>
              <w:t xml:space="preserve"> v průběhu let 2014 a 2015 zrychloval a v první polovině roku 2016 se mezir</w:t>
            </w:r>
            <w:r w:rsidR="00815DD0">
              <w:t xml:space="preserve">oční přírůstek držel nad 9 %. Ve </w:t>
            </w:r>
            <w:r>
              <w:t xml:space="preserve">druhé polovině roku toto tempo kleslo k hranici 8 % a v prosinci se dostalo na 6,5 %, čímž se vrátilo k hodnotám první poloviny roku 2015. Během celého roku klesal objem vkladů s dohodnutou splatností. Růst peněžní zásoby tak byl soustředěn do zvyšování množství oběživa a vkladů na běžných účtech. Peněžní agregát M1, který zahrnuje právě tyto dvě položky, tvoří 89,4 % celkového objemu peněz v ekonomice. </w:t>
            </w:r>
          </w:p>
          <w:p w:rsidR="007E6588" w:rsidRPr="003E6E0D" w:rsidRDefault="007E6588" w:rsidP="008A03DE">
            <w:pPr>
              <w:pStyle w:val="Textpoznpodarou"/>
              <w:jc w:val="both"/>
            </w:pPr>
            <w:r>
              <w:t xml:space="preserve">  </w:t>
            </w:r>
          </w:p>
        </w:tc>
      </w:tr>
      <w:tr w:rsidR="007E6588" w:rsidRPr="00A74192" w:rsidTr="00DD3867">
        <w:trPr>
          <w:trHeight w:val="145"/>
        </w:trPr>
        <w:tc>
          <w:tcPr>
            <w:tcW w:w="1016" w:type="pct"/>
            <w:gridSpan w:val="2"/>
            <w:shd w:val="clear" w:color="auto" w:fill="auto"/>
          </w:tcPr>
          <w:p w:rsidR="007E6588" w:rsidRPr="000B2903" w:rsidRDefault="007E6588" w:rsidP="008A03DE">
            <w:pPr>
              <w:spacing w:line="240" w:lineRule="auto"/>
              <w:rPr>
                <w:color w:val="000000"/>
                <w:sz w:val="16"/>
                <w:szCs w:val="16"/>
              </w:rPr>
            </w:pPr>
            <w:r w:rsidRPr="000B2903">
              <w:rPr>
                <w:color w:val="000000"/>
                <w:sz w:val="16"/>
                <w:szCs w:val="16"/>
              </w:rPr>
              <w:t xml:space="preserve">Mezibankovní úrokové sazby se během roku neměnily. Výnosy krátkodobých státních dluhopisů klesly na rekordní minima.  </w:t>
            </w:r>
          </w:p>
          <w:p w:rsidR="007E6588" w:rsidRPr="000B2903" w:rsidRDefault="007E6588" w:rsidP="008A03DE">
            <w:pPr>
              <w:spacing w:line="240" w:lineRule="auto"/>
              <w:rPr>
                <w:color w:val="000000"/>
                <w:sz w:val="16"/>
                <w:szCs w:val="16"/>
              </w:rPr>
            </w:pPr>
          </w:p>
        </w:tc>
        <w:tc>
          <w:tcPr>
            <w:tcW w:w="144" w:type="pct"/>
          </w:tcPr>
          <w:p w:rsidR="007E6588" w:rsidRPr="00A74192" w:rsidRDefault="007E6588" w:rsidP="00D94859">
            <w:pPr>
              <w:pStyle w:val="Textpoznpodarou"/>
              <w:jc w:val="both"/>
              <w:rPr>
                <w:highlight w:val="yellow"/>
              </w:rPr>
            </w:pPr>
          </w:p>
        </w:tc>
        <w:tc>
          <w:tcPr>
            <w:tcW w:w="3840" w:type="pct"/>
            <w:gridSpan w:val="3"/>
          </w:tcPr>
          <w:p w:rsidR="007E6588" w:rsidRDefault="007E6588" w:rsidP="008A03DE">
            <w:pPr>
              <w:pStyle w:val="Textpoznpodarou"/>
              <w:jc w:val="both"/>
              <w:rPr>
                <w:sz w:val="16"/>
                <w:szCs w:val="16"/>
              </w:rPr>
            </w:pPr>
            <w:r w:rsidRPr="00484CF9">
              <w:t xml:space="preserve">Tržní úrokové sazby se v průběhu roku </w:t>
            </w:r>
            <w:r>
              <w:t>neměnily</w:t>
            </w:r>
            <w:r w:rsidRPr="00484CF9">
              <w:t>. Tříměsíční mezibankovní sazba PRIBOR se držela na 0,29 % a roční PRIBOR byl po celou dobu na hodnotě 0,45</w:t>
            </w:r>
            <w:r w:rsidR="004018F7">
              <w:t> </w:t>
            </w:r>
            <w:r w:rsidRPr="00484CF9">
              <w:t>%.</w:t>
            </w:r>
            <w:r>
              <w:t xml:space="preserve"> Jiná byla situace na trhu se státními dluhopisy. Výnos střednědobých dluhopisů (se</w:t>
            </w:r>
            <w:r w:rsidR="00815DD0">
              <w:t xml:space="preserve"> splatností od 2 do 5 let) se ve </w:t>
            </w:r>
            <w:r>
              <w:t xml:space="preserve">2. čtvrtletí roku 2016 dostal nad nulu, ale později klesl a v závěru roku se pohyboval okolo hodnoty −0,20 %. Výnos dluhopisů s krátkodobou splatností (do 2 let) se nedostal nad nulu od července 2015. Podobně jako u střednědobých dluhopisů se jejich výnos zvýšil ve 2. čtvrtletí 2016 a dosáhl až na −0,04 %, během 3. čtvrtletí klesl k −0,5 % a v prosinci 2016 dosáhl historicky nejnižší hodnoty −0,81 %. Úroková sazba na dlouhodobých dluhopisech dosáhla nejnižší hodnoty v září 2016 a na rozdíl od ostatních dvou druhů dluhopisů se ve 4. čtvrtletí zvýšila – v prosinci činila 0,53 %. </w:t>
            </w:r>
          </w:p>
          <w:p w:rsidR="007E6588" w:rsidRPr="00435881" w:rsidRDefault="007E6588" w:rsidP="008A03DE">
            <w:pPr>
              <w:pStyle w:val="Textpoznpodarou"/>
              <w:jc w:val="both"/>
              <w:rPr>
                <w:sz w:val="16"/>
                <w:szCs w:val="16"/>
                <w:highlight w:val="yellow"/>
              </w:rPr>
            </w:pPr>
          </w:p>
        </w:tc>
      </w:tr>
      <w:tr w:rsidR="007E6588" w:rsidRPr="00A74192" w:rsidTr="00DD3867">
        <w:trPr>
          <w:trHeight w:val="145"/>
        </w:trPr>
        <w:tc>
          <w:tcPr>
            <w:tcW w:w="1016" w:type="pct"/>
            <w:gridSpan w:val="2"/>
            <w:shd w:val="clear" w:color="auto" w:fill="auto"/>
          </w:tcPr>
          <w:p w:rsidR="007E6588" w:rsidRPr="006D3F53" w:rsidRDefault="007E6588" w:rsidP="008A03DE">
            <w:pPr>
              <w:spacing w:line="240" w:lineRule="auto"/>
              <w:rPr>
                <w:color w:val="000000"/>
                <w:sz w:val="16"/>
                <w:szCs w:val="16"/>
                <w:highlight w:val="yellow"/>
              </w:rPr>
            </w:pPr>
            <w:r w:rsidRPr="00520A81">
              <w:rPr>
                <w:color w:val="000000"/>
                <w:sz w:val="16"/>
                <w:szCs w:val="16"/>
              </w:rPr>
              <w:t>Úrokové s</w:t>
            </w:r>
            <w:r w:rsidR="00815DD0">
              <w:rPr>
                <w:color w:val="000000"/>
                <w:sz w:val="16"/>
                <w:szCs w:val="16"/>
              </w:rPr>
              <w:t>azby na vkladech dále klesaly a</w:t>
            </w:r>
            <w:r w:rsidR="00815DD0" w:rsidRPr="00520A81">
              <w:rPr>
                <w:color w:val="000000"/>
                <w:sz w:val="16"/>
                <w:szCs w:val="16"/>
              </w:rPr>
              <w:t> </w:t>
            </w:r>
            <w:r w:rsidRPr="00520A81">
              <w:rPr>
                <w:color w:val="000000"/>
                <w:sz w:val="16"/>
                <w:szCs w:val="16"/>
              </w:rPr>
              <w:t>v případě nefinančních podniků se těsně dotýkají nuly.</w:t>
            </w:r>
          </w:p>
        </w:tc>
        <w:tc>
          <w:tcPr>
            <w:tcW w:w="144" w:type="pct"/>
          </w:tcPr>
          <w:p w:rsidR="007E6588" w:rsidRPr="00A74192" w:rsidRDefault="007E6588" w:rsidP="00D94859">
            <w:pPr>
              <w:pStyle w:val="Textpoznpodarou"/>
              <w:jc w:val="both"/>
            </w:pPr>
          </w:p>
        </w:tc>
        <w:tc>
          <w:tcPr>
            <w:tcW w:w="3840" w:type="pct"/>
            <w:gridSpan w:val="3"/>
          </w:tcPr>
          <w:p w:rsidR="007E6588" w:rsidRDefault="007E6588" w:rsidP="008A03DE">
            <w:pPr>
              <w:pStyle w:val="Textpoznpodarou"/>
              <w:jc w:val="both"/>
              <w:rPr>
                <w:sz w:val="16"/>
                <w:szCs w:val="16"/>
              </w:rPr>
            </w:pPr>
            <w:r>
              <w:t xml:space="preserve">Úrokové sazby na vkladech </w:t>
            </w:r>
            <w:r w:rsidR="00815DD0">
              <w:t xml:space="preserve">se </w:t>
            </w:r>
            <w:r>
              <w:t xml:space="preserve">během celého roku 2016 snižovaly nebo zůstávaly na konstantní úrovni bez ohledu na druh vkladu nebo klienta. Částečnou výjimku tvořily vklady domácností s dohodnutou splatností do </w:t>
            </w:r>
            <w:r w:rsidR="00EA421A">
              <w:t>jednoho</w:t>
            </w:r>
            <w:r>
              <w:t xml:space="preserve"> roku, které fluktuovaly mezi 1,31 % a 0,53 % a na konci roku skonči</w:t>
            </w:r>
            <w:r w:rsidR="00815DD0">
              <w:t>ly na stejné úrovni jako</w:t>
            </w:r>
            <w:r>
              <w:t xml:space="preserve"> v lednu. Domácnosti měly největší objem prostředků uložen v jednodenních vkladech (77,6</w:t>
            </w:r>
            <w:r w:rsidR="004018F7">
              <w:t> </w:t>
            </w:r>
            <w:r>
              <w:t>% k 31. 12. 2016). Průměrná úroková sazba na nich klesla z 0,21</w:t>
            </w:r>
            <w:r w:rsidR="00EA421A">
              <w:t> </w:t>
            </w:r>
            <w:r>
              <w:t>% v lednu na 0,11 % v prosinci 2016. Pro nefinanční podniky byla situace obdobná. Naprostá většina jejich peněžních prostředků (93,9 % k 31. 12. 2016) je uložena jako jednodenní vklady, jejichž sazby již neměly velký prostor k poklesu k</w:t>
            </w:r>
            <w:r w:rsidR="00EA421A">
              <w:t> </w:t>
            </w:r>
            <w:r>
              <w:t xml:space="preserve">nule, protože v lednu 2016 dosahovaly 0,08 %. V prosinci jejich průměrná sazba činila 0,04 %. Sazby na vkladech s dohodnutou splatností pro nefinanční podniky se v prosinci dostaly na úroveň běžných účtů. </w:t>
            </w:r>
          </w:p>
          <w:p w:rsidR="007E6588" w:rsidRPr="00707E60" w:rsidRDefault="007E6588" w:rsidP="008A03DE">
            <w:pPr>
              <w:pStyle w:val="Textpoznpodarou"/>
              <w:jc w:val="both"/>
              <w:rPr>
                <w:sz w:val="16"/>
                <w:szCs w:val="16"/>
              </w:rPr>
            </w:pPr>
          </w:p>
        </w:tc>
      </w:tr>
      <w:tr w:rsidR="007E6588" w:rsidRPr="00A74192" w:rsidTr="00DD3867">
        <w:trPr>
          <w:trHeight w:val="145"/>
        </w:trPr>
        <w:tc>
          <w:tcPr>
            <w:tcW w:w="1016" w:type="pct"/>
            <w:gridSpan w:val="2"/>
            <w:shd w:val="clear" w:color="auto" w:fill="auto"/>
          </w:tcPr>
          <w:p w:rsidR="007E6588" w:rsidRPr="006D3F53" w:rsidRDefault="007E6588" w:rsidP="008A03DE">
            <w:pPr>
              <w:spacing w:line="240" w:lineRule="auto"/>
              <w:rPr>
                <w:color w:val="000000"/>
                <w:sz w:val="16"/>
                <w:szCs w:val="16"/>
                <w:highlight w:val="yellow"/>
              </w:rPr>
            </w:pPr>
            <w:r w:rsidRPr="00520A81">
              <w:rPr>
                <w:color w:val="000000"/>
                <w:sz w:val="16"/>
                <w:szCs w:val="16"/>
              </w:rPr>
              <w:t>Pokračoval dlouho</w:t>
            </w:r>
            <w:r>
              <w:rPr>
                <w:color w:val="000000"/>
                <w:sz w:val="16"/>
                <w:szCs w:val="16"/>
              </w:rPr>
              <w:t>dobý</w:t>
            </w:r>
            <w:r w:rsidR="00815DD0">
              <w:rPr>
                <w:color w:val="000000"/>
                <w:sz w:val="16"/>
                <w:szCs w:val="16"/>
              </w:rPr>
              <w:t xml:space="preserve"> odliv prostředků z termí</w:t>
            </w:r>
            <w:r w:rsidRPr="00520A81">
              <w:rPr>
                <w:color w:val="000000"/>
                <w:sz w:val="16"/>
                <w:szCs w:val="16"/>
              </w:rPr>
              <w:t>novaných účtů, jejichž úročení kleslo pod úroveň inflace.</w:t>
            </w:r>
          </w:p>
        </w:tc>
        <w:tc>
          <w:tcPr>
            <w:tcW w:w="144" w:type="pct"/>
          </w:tcPr>
          <w:p w:rsidR="007E6588" w:rsidRPr="00A74192" w:rsidRDefault="007E6588" w:rsidP="00D94859">
            <w:pPr>
              <w:pStyle w:val="Textpoznpodarou"/>
              <w:jc w:val="both"/>
              <w:rPr>
                <w:highlight w:val="yellow"/>
              </w:rPr>
            </w:pPr>
          </w:p>
        </w:tc>
        <w:tc>
          <w:tcPr>
            <w:tcW w:w="3840" w:type="pct"/>
            <w:gridSpan w:val="3"/>
          </w:tcPr>
          <w:p w:rsidR="007E6588" w:rsidRDefault="007E6588" w:rsidP="008A03DE">
            <w:pPr>
              <w:pStyle w:val="Textpoznpodarou"/>
              <w:jc w:val="both"/>
              <w:rPr>
                <w:sz w:val="16"/>
                <w:szCs w:val="16"/>
              </w:rPr>
            </w:pPr>
            <w:r w:rsidRPr="000A4ABA">
              <w:t xml:space="preserve">Prakticky nulové úrokové sazby vedly k výraznému odlivu prostředků z terminovaných účtů nefinančních podniků. </w:t>
            </w:r>
            <w:r>
              <w:t>Za rok 2016 se objem vkladů se stanovenou splatností snížil o 22,8 mld., což představuje 32,3% pokles. S</w:t>
            </w:r>
            <w:r w:rsidRPr="000A4ABA">
              <w:t>azby</w:t>
            </w:r>
            <w:r>
              <w:t xml:space="preserve"> na terminovaných účtech domácností</w:t>
            </w:r>
            <w:r w:rsidRPr="000A4ABA">
              <w:t xml:space="preserve"> zůst</w:t>
            </w:r>
            <w:r>
              <w:t>ávaly</w:t>
            </w:r>
            <w:r w:rsidRPr="000A4ABA">
              <w:t xml:space="preserve"> mírně nad úrovní inflace</w:t>
            </w:r>
            <w:r>
              <w:t xml:space="preserve"> (až do listopadu)</w:t>
            </w:r>
            <w:r w:rsidRPr="000A4ABA">
              <w:t xml:space="preserve">, ale i </w:t>
            </w:r>
            <w:r>
              <w:t xml:space="preserve">soukromí střadatelé </w:t>
            </w:r>
            <w:r w:rsidRPr="000A4ABA">
              <w:t xml:space="preserve">ukládají stále větší podíl </w:t>
            </w:r>
            <w:r>
              <w:t xml:space="preserve">svých </w:t>
            </w:r>
            <w:r w:rsidRPr="000A4ABA">
              <w:t>peněz na běžné účty.</w:t>
            </w:r>
            <w:r>
              <w:t xml:space="preserve"> Objem jednodenních vkladů domácností se za rok 2016 zvýšil o</w:t>
            </w:r>
            <w:r w:rsidR="004018F7">
              <w:t> </w:t>
            </w:r>
            <w:r>
              <w:t>221,5</w:t>
            </w:r>
            <w:r w:rsidR="004018F7">
              <w:t> </w:t>
            </w:r>
            <w:r>
              <w:t xml:space="preserve">mld. korun (+14,4 %). </w:t>
            </w:r>
          </w:p>
          <w:p w:rsidR="007E6588" w:rsidRPr="003E6E0D" w:rsidRDefault="007E6588" w:rsidP="008A03DE">
            <w:pPr>
              <w:pStyle w:val="Textpoznpodarou"/>
              <w:jc w:val="both"/>
              <w:rPr>
                <w:highlight w:val="yellow"/>
              </w:rPr>
            </w:pPr>
            <w:r>
              <w:t xml:space="preserve"> </w:t>
            </w:r>
          </w:p>
        </w:tc>
      </w:tr>
      <w:tr w:rsidR="007E6588" w:rsidRPr="00A74192" w:rsidTr="00DD3867">
        <w:trPr>
          <w:trHeight w:val="145"/>
        </w:trPr>
        <w:tc>
          <w:tcPr>
            <w:tcW w:w="1016" w:type="pct"/>
            <w:gridSpan w:val="2"/>
          </w:tcPr>
          <w:p w:rsidR="007E6588" w:rsidRDefault="007E6588" w:rsidP="008A03DE">
            <w:pPr>
              <w:spacing w:line="240" w:lineRule="auto"/>
              <w:rPr>
                <w:color w:val="000000"/>
                <w:sz w:val="16"/>
                <w:szCs w:val="16"/>
              </w:rPr>
            </w:pPr>
            <w:r w:rsidRPr="00520A81">
              <w:rPr>
                <w:color w:val="000000"/>
                <w:sz w:val="16"/>
                <w:szCs w:val="16"/>
              </w:rPr>
              <w:t>Klesaly</w:t>
            </w:r>
            <w:r w:rsidR="00815DD0">
              <w:rPr>
                <w:color w:val="000000"/>
                <w:sz w:val="16"/>
                <w:szCs w:val="16"/>
              </w:rPr>
              <w:t xml:space="preserve"> sazby na spotřebních úvěrech i</w:t>
            </w:r>
            <w:r w:rsidR="00815DD0" w:rsidRPr="00520A81">
              <w:rPr>
                <w:color w:val="000000"/>
                <w:sz w:val="16"/>
                <w:szCs w:val="16"/>
              </w:rPr>
              <w:t> </w:t>
            </w:r>
            <w:r w:rsidRPr="00520A81">
              <w:rPr>
                <w:color w:val="000000"/>
                <w:sz w:val="16"/>
                <w:szCs w:val="16"/>
              </w:rPr>
              <w:t xml:space="preserve">úvěrech na bydlení. </w:t>
            </w:r>
          </w:p>
          <w:p w:rsidR="00DD3867" w:rsidRDefault="00DD3867" w:rsidP="008A03DE">
            <w:pPr>
              <w:spacing w:line="240" w:lineRule="auto"/>
              <w:rPr>
                <w:color w:val="000000"/>
                <w:sz w:val="16"/>
                <w:szCs w:val="16"/>
              </w:rPr>
            </w:pPr>
          </w:p>
          <w:p w:rsidR="00DD3867" w:rsidRPr="00520A81" w:rsidRDefault="00DD3867" w:rsidP="008A03DE">
            <w:pPr>
              <w:spacing w:line="240" w:lineRule="auto"/>
              <w:rPr>
                <w:color w:val="000000"/>
                <w:sz w:val="16"/>
                <w:szCs w:val="16"/>
              </w:rPr>
            </w:pPr>
          </w:p>
          <w:p w:rsidR="007E6588" w:rsidRPr="00520A81" w:rsidRDefault="007E6588" w:rsidP="008A03DE">
            <w:pPr>
              <w:spacing w:line="240" w:lineRule="auto"/>
              <w:rPr>
                <w:color w:val="000000"/>
                <w:sz w:val="16"/>
                <w:szCs w:val="16"/>
              </w:rPr>
            </w:pPr>
          </w:p>
          <w:p w:rsidR="007E6588" w:rsidRPr="006D3F53" w:rsidRDefault="007E6588" w:rsidP="008A03DE">
            <w:pPr>
              <w:spacing w:line="240" w:lineRule="auto"/>
              <w:rPr>
                <w:color w:val="000000"/>
                <w:sz w:val="16"/>
                <w:szCs w:val="16"/>
                <w:highlight w:val="yellow"/>
              </w:rPr>
            </w:pPr>
            <w:r w:rsidRPr="00520A81">
              <w:rPr>
                <w:color w:val="000000"/>
                <w:sz w:val="16"/>
                <w:szCs w:val="16"/>
              </w:rPr>
              <w:t>Úvěrové financování pro nefinanční podniky zůstávalo na úrovni předchozího roku.</w:t>
            </w:r>
          </w:p>
        </w:tc>
        <w:tc>
          <w:tcPr>
            <w:tcW w:w="144" w:type="pct"/>
          </w:tcPr>
          <w:p w:rsidR="007E6588" w:rsidRPr="00A74192" w:rsidRDefault="007E6588" w:rsidP="00D94859">
            <w:pPr>
              <w:pStyle w:val="Textpoznpodarou"/>
              <w:jc w:val="both"/>
              <w:rPr>
                <w:highlight w:val="yellow"/>
              </w:rPr>
            </w:pPr>
          </w:p>
        </w:tc>
        <w:tc>
          <w:tcPr>
            <w:tcW w:w="3840" w:type="pct"/>
            <w:gridSpan w:val="3"/>
          </w:tcPr>
          <w:p w:rsidR="007E6588" w:rsidRDefault="007E6588" w:rsidP="008A03DE">
            <w:pPr>
              <w:pStyle w:val="Textpoznpodarou"/>
              <w:jc w:val="both"/>
              <w:rPr>
                <w:sz w:val="16"/>
                <w:szCs w:val="16"/>
              </w:rPr>
            </w:pPr>
            <w:r w:rsidRPr="002668D3">
              <w:t>Většina sazeb na úvěrech domácnostem se během roku 2016 snižovala. U</w:t>
            </w:r>
            <w:r w:rsidR="004018F7">
              <w:t> </w:t>
            </w:r>
            <w:r w:rsidRPr="002668D3">
              <w:t xml:space="preserve">spotřebních úvěrů úrokové sazby během roku klesly o 1,6 p.b. Pokles se projevil hlavně u úvěrů se střednědobou a dlouhodobou fixací. </w:t>
            </w:r>
            <w:r>
              <w:t xml:space="preserve">Úrokové </w:t>
            </w:r>
            <w:r w:rsidRPr="002668D3">
              <w:t>sazby úvěr</w:t>
            </w:r>
            <w:r>
              <w:t>ů</w:t>
            </w:r>
            <w:r w:rsidRPr="002668D3">
              <w:t xml:space="preserve"> na bydlení se během roku rovněž snižovaly. Stabilně klesal</w:t>
            </w:r>
            <w:r>
              <w:t>y</w:t>
            </w:r>
            <w:r w:rsidRPr="002668D3">
              <w:t xml:space="preserve"> sazb</w:t>
            </w:r>
            <w:r>
              <w:t>y</w:t>
            </w:r>
            <w:r w:rsidRPr="002668D3">
              <w:t xml:space="preserve"> úvěr</w:t>
            </w:r>
            <w:r>
              <w:t>ů</w:t>
            </w:r>
            <w:r w:rsidRPr="002668D3">
              <w:t xml:space="preserve"> se </w:t>
            </w:r>
            <w:r w:rsidRPr="002668D3">
              <w:lastRenderedPageBreak/>
              <w:t xml:space="preserve">střednědobou fixací. Nejčastěji poskytované úvěry s fixací nad 1 rok a do 5 let včetně byly v prosinci 2015 průměrně úročeny 2,35 % a během roku 2016 sazba klesla o 0,15 p.b. Výraznější byl pokles sazeb u úvěrů s fixací mezi 5 a 10 lety </w:t>
            </w:r>
            <w:r w:rsidR="00EA421A">
              <w:t>(</w:t>
            </w:r>
            <w:r w:rsidR="00EA421A">
              <w:noBreakHyphen/>
            </w:r>
            <w:r w:rsidRPr="002668D3">
              <w:t>0,5 p.b</w:t>
            </w:r>
            <w:r>
              <w:t>.)</w:t>
            </w:r>
            <w:r w:rsidRPr="002668D3">
              <w:t>.</w:t>
            </w:r>
            <w:r>
              <w:t xml:space="preserve"> Pro nefinanční podniky se </w:t>
            </w:r>
            <w:r w:rsidR="004A26DB">
              <w:t xml:space="preserve">situace na úvěrovém trhu </w:t>
            </w:r>
            <w:r>
              <w:t>během roku 2016 příliš neměnila.</w:t>
            </w:r>
          </w:p>
          <w:p w:rsidR="007E6588" w:rsidRPr="003E6E0D" w:rsidRDefault="007E6588" w:rsidP="008A03DE">
            <w:pPr>
              <w:pStyle w:val="Textpoznpodarou"/>
              <w:jc w:val="both"/>
              <w:rPr>
                <w:highlight w:val="yellow"/>
              </w:rPr>
            </w:pPr>
            <w:r w:rsidRPr="002668D3">
              <w:t xml:space="preserve">  </w:t>
            </w:r>
          </w:p>
        </w:tc>
      </w:tr>
      <w:tr w:rsidR="007E6588" w:rsidRPr="00A74192" w:rsidTr="00DD3867">
        <w:tc>
          <w:tcPr>
            <w:tcW w:w="1016" w:type="pct"/>
            <w:gridSpan w:val="2"/>
          </w:tcPr>
          <w:p w:rsidR="007E6588" w:rsidRPr="006D3F53" w:rsidRDefault="007E6588" w:rsidP="008A03DE">
            <w:pPr>
              <w:spacing w:line="240" w:lineRule="auto"/>
              <w:rPr>
                <w:color w:val="000000"/>
                <w:sz w:val="16"/>
                <w:szCs w:val="16"/>
                <w:highlight w:val="yellow"/>
              </w:rPr>
            </w:pPr>
            <w:r w:rsidRPr="00630A6E">
              <w:rPr>
                <w:color w:val="000000"/>
                <w:sz w:val="16"/>
                <w:szCs w:val="16"/>
              </w:rPr>
              <w:lastRenderedPageBreak/>
              <w:t xml:space="preserve">V první polovině roku výrazně rostl objem poskytnutých spotřebních úvěrů. V posledním čtvrtletí zrychlil růst objemu hypotečních úvěrů. </w:t>
            </w:r>
          </w:p>
        </w:tc>
        <w:tc>
          <w:tcPr>
            <w:tcW w:w="144" w:type="pct"/>
          </w:tcPr>
          <w:p w:rsidR="007E6588" w:rsidRPr="00A74192" w:rsidRDefault="007E6588" w:rsidP="00D94859">
            <w:pPr>
              <w:pStyle w:val="Textpoznpodarou"/>
              <w:jc w:val="both"/>
              <w:rPr>
                <w:highlight w:val="yellow"/>
              </w:rPr>
            </w:pPr>
          </w:p>
        </w:tc>
        <w:tc>
          <w:tcPr>
            <w:tcW w:w="3840" w:type="pct"/>
            <w:gridSpan w:val="3"/>
          </w:tcPr>
          <w:p w:rsidR="007E6588" w:rsidRDefault="007E6588" w:rsidP="008A03DE">
            <w:pPr>
              <w:pStyle w:val="Textpoznpodarou"/>
              <w:jc w:val="both"/>
              <w:rPr>
                <w:sz w:val="16"/>
                <w:szCs w:val="16"/>
              </w:rPr>
            </w:pPr>
            <w:r>
              <w:t>Vzhledem k výhodným podmínkám rostl objem poskytnutých spotřebitelských úvěrů. Nejsilnější nárůst byl soustředěn do února až května, kdy tyto úvěry meziročně přibývaly více než 10% tempem. Ve 3. čtvrtletí roku se nárůst zmírnil a</w:t>
            </w:r>
            <w:r w:rsidR="004018F7">
              <w:t> </w:t>
            </w:r>
            <w:r>
              <w:t>dosahoval 6,3 %. V posledním čtvrtletí roku se meziroční přírůstek zvýšil na 8,2</w:t>
            </w:r>
            <w:r w:rsidR="004018F7">
              <w:t> </w:t>
            </w:r>
            <w:r>
              <w:t>%. Největší část z celkového objemu poskytnutých půjček tvořily hypoteční úvěry (66,5 % k 31. 12. 2016). Jejich meziroční růst byl po celý rok 2016 více než 8 %, přičemž v posledním čtvrtletí roku zrychlil a v listopadu překročil 9 %. Nejrychleji přibývalo nově poskytnutých hypotečních úvěrů s fixací mezi 5 a 10 lety, pro které byly úvěrové podmínky v roce 2016 nejvýhodnější.</w:t>
            </w:r>
          </w:p>
          <w:p w:rsidR="007E6588" w:rsidRPr="00FF0EBD" w:rsidRDefault="007E6588" w:rsidP="008A03DE">
            <w:pPr>
              <w:pStyle w:val="Textpoznpodarou"/>
              <w:jc w:val="both"/>
              <w:rPr>
                <w:sz w:val="16"/>
                <w:szCs w:val="16"/>
              </w:rPr>
            </w:pPr>
          </w:p>
        </w:tc>
      </w:tr>
      <w:tr w:rsidR="007E6588" w:rsidRPr="00A74192" w:rsidTr="00DD3867">
        <w:tc>
          <w:tcPr>
            <w:tcW w:w="1016" w:type="pct"/>
            <w:gridSpan w:val="2"/>
          </w:tcPr>
          <w:p w:rsidR="007E6588" w:rsidRPr="006D3F53" w:rsidRDefault="007E6588" w:rsidP="008A03DE">
            <w:pPr>
              <w:spacing w:line="240" w:lineRule="auto"/>
              <w:rPr>
                <w:color w:val="000000"/>
                <w:sz w:val="16"/>
                <w:szCs w:val="16"/>
                <w:highlight w:val="yellow"/>
              </w:rPr>
            </w:pPr>
            <w:r w:rsidRPr="00630A6E">
              <w:rPr>
                <w:color w:val="000000"/>
                <w:sz w:val="16"/>
                <w:szCs w:val="16"/>
              </w:rPr>
              <w:t>Nefinanční podniky volily především úvěrové financování s dlouhodobou splatností. Růst objemu úvěrů byl tažen hlavně zvýšením objemu úvěrů denominovaných v zahraničních měnách.</w:t>
            </w:r>
          </w:p>
        </w:tc>
        <w:tc>
          <w:tcPr>
            <w:tcW w:w="144" w:type="pct"/>
          </w:tcPr>
          <w:p w:rsidR="007E6588" w:rsidRPr="00A74192" w:rsidRDefault="007E6588" w:rsidP="00D94859">
            <w:pPr>
              <w:pStyle w:val="Textpoznpodarou"/>
              <w:jc w:val="both"/>
              <w:rPr>
                <w:highlight w:val="yellow"/>
              </w:rPr>
            </w:pPr>
          </w:p>
        </w:tc>
        <w:tc>
          <w:tcPr>
            <w:tcW w:w="3840" w:type="pct"/>
            <w:gridSpan w:val="3"/>
          </w:tcPr>
          <w:p w:rsidR="007E6588" w:rsidRDefault="007E5F3D" w:rsidP="008A03DE">
            <w:pPr>
              <w:pStyle w:val="Textpoznpodarou"/>
              <w:jc w:val="both"/>
              <w:rPr>
                <w:sz w:val="16"/>
                <w:szCs w:val="16"/>
              </w:rPr>
            </w:pPr>
            <w:r>
              <w:t>Podobně jako v roce 2015 rostl</w:t>
            </w:r>
            <w:r w:rsidR="007E6588" w:rsidRPr="005D48B2">
              <w:t xml:space="preserve"> v prvních třech kvartálech </w:t>
            </w:r>
            <w:r>
              <w:t>roku 2016</w:t>
            </w:r>
            <w:r w:rsidR="007E6588" w:rsidRPr="005D48B2">
              <w:t xml:space="preserve"> objem poskytnutých úvěrů nefinančním podnikům a v tom posledním </w:t>
            </w:r>
            <w:r w:rsidR="007E6588">
              <w:t xml:space="preserve">se </w:t>
            </w:r>
            <w:r w:rsidR="007E6588" w:rsidRPr="005D48B2">
              <w:t>sníži</w:t>
            </w:r>
            <w:r w:rsidR="007E6588">
              <w:t>l</w:t>
            </w:r>
            <w:r w:rsidR="007E6588" w:rsidRPr="005D48B2">
              <w:t>.</w:t>
            </w:r>
            <w:r w:rsidR="007E6588">
              <w:t xml:space="preserve"> Během ledna až listopadu vzrostl z 922 mld. korun na 1001 mld. a během prosince klesl na 976 mld. korun. Nejsilněji rostl objem dlouhodobých úvěrů (splatnost vyšší než 5 let). Tyto úvěry již několik let tvoří více než 50 % z celkového objemu půjček nefinančním podnikům a jejich podíl stabilně roste. Poměrně zajímavým detailem je měnové složení úvěrů. Na začátku roku 2016 tvořily úvěry denominované v cizí měně 22,7 % z celkového objemu a k 31. 12. 2016 tento podíl činil 27,8 %. Ve 3.</w:t>
            </w:r>
            <w:r w:rsidR="004018F7">
              <w:t> </w:t>
            </w:r>
            <w:r w:rsidR="007E6588">
              <w:t>a</w:t>
            </w:r>
            <w:r w:rsidR="004018F7">
              <w:t> </w:t>
            </w:r>
            <w:r w:rsidR="007E6588">
              <w:t>4. kvartálu přispívaly k celkovému růstu úvěrů prakticky jen tyto půjčky. Z hlediska odvětvové struktury</w:t>
            </w:r>
            <w:r w:rsidR="007E6588">
              <w:rPr>
                <w:rStyle w:val="Znakapoznpodarou"/>
              </w:rPr>
              <w:footnoteReference w:id="30"/>
            </w:r>
            <w:r w:rsidR="007E6588">
              <w:t xml:space="preserve"> byl největší a nejrychleji rostoucí objem úvěrů poskytnut firmám, které podnikají v oblasti nemovitostí. Dalším odvětvím, ve kterém v loňském roce významně přibývaly úvěry, bylo peněžnictví a</w:t>
            </w:r>
            <w:r w:rsidR="004018F7">
              <w:t> </w:t>
            </w:r>
            <w:r w:rsidR="00EA421A">
              <w:t>pojišťovnictví. Naopak, stagnoval</w:t>
            </w:r>
            <w:r w:rsidR="007E6588">
              <w:t xml:space="preserve"> objem úvěrů poskytovaných podnikům zpracovatelského p</w:t>
            </w:r>
            <w:r w:rsidR="00EA421A">
              <w:t>růmyslu a pokračoval</w:t>
            </w:r>
            <w:r w:rsidR="007E6588">
              <w:t xml:space="preserve"> pokles objemu úvěrů pro výrobu a rozvod elektřiny, plynu, tepla, vzduchu, vody a odpadní vody.     </w:t>
            </w:r>
          </w:p>
          <w:p w:rsidR="007E6588" w:rsidRPr="003E6E0D" w:rsidRDefault="007E6588" w:rsidP="008A03DE">
            <w:pPr>
              <w:pStyle w:val="Textpoznpodarou"/>
              <w:jc w:val="both"/>
              <w:rPr>
                <w:highlight w:val="yellow"/>
              </w:rPr>
            </w:pPr>
            <w:r>
              <w:t xml:space="preserve">  </w:t>
            </w:r>
          </w:p>
        </w:tc>
      </w:tr>
      <w:tr w:rsidR="007E6588" w:rsidRPr="00A74192" w:rsidTr="00DD3867">
        <w:trPr>
          <w:trHeight w:val="1390"/>
        </w:trPr>
        <w:tc>
          <w:tcPr>
            <w:tcW w:w="1016" w:type="pct"/>
            <w:gridSpan w:val="2"/>
          </w:tcPr>
          <w:p w:rsidR="007E6588" w:rsidRPr="006D3F53" w:rsidRDefault="007E6588" w:rsidP="008A03DE">
            <w:pPr>
              <w:spacing w:line="240" w:lineRule="auto"/>
              <w:rPr>
                <w:color w:val="000000"/>
                <w:sz w:val="16"/>
                <w:szCs w:val="16"/>
                <w:highlight w:val="yellow"/>
              </w:rPr>
            </w:pPr>
            <w:r w:rsidRPr="00630A6E">
              <w:rPr>
                <w:color w:val="000000"/>
                <w:sz w:val="16"/>
                <w:szCs w:val="16"/>
              </w:rPr>
              <w:t>Zadlužení domácností stabilně roste a v roce 2016 k němu přispěly hlavně úvěry na bydlení.</w:t>
            </w:r>
          </w:p>
        </w:tc>
        <w:tc>
          <w:tcPr>
            <w:tcW w:w="144" w:type="pct"/>
          </w:tcPr>
          <w:p w:rsidR="007E6588" w:rsidRPr="00A74192" w:rsidRDefault="007E6588" w:rsidP="00D94859">
            <w:pPr>
              <w:pStyle w:val="Textpoznpodarou"/>
              <w:jc w:val="both"/>
              <w:rPr>
                <w:color w:val="FF0000"/>
                <w:highlight w:val="yellow"/>
              </w:rPr>
            </w:pPr>
          </w:p>
        </w:tc>
        <w:tc>
          <w:tcPr>
            <w:tcW w:w="3840" w:type="pct"/>
            <w:gridSpan w:val="3"/>
          </w:tcPr>
          <w:p w:rsidR="007E6588" w:rsidRDefault="007E6588" w:rsidP="008A03DE">
            <w:pPr>
              <w:pStyle w:val="Textpoznpodarou"/>
              <w:jc w:val="both"/>
              <w:rPr>
                <w:sz w:val="16"/>
                <w:szCs w:val="16"/>
              </w:rPr>
            </w:pPr>
            <w:r w:rsidRPr="00FC43BA">
              <w:t>Zadlužení domácností od počátku roku 2016 vzrostlo o 96 mld. korun a</w:t>
            </w:r>
            <w:r w:rsidR="004018F7">
              <w:t> </w:t>
            </w:r>
            <w:r w:rsidRPr="00FC43BA">
              <w:t>k 31.</w:t>
            </w:r>
            <w:r w:rsidR="004018F7">
              <w:t> </w:t>
            </w:r>
            <w:r w:rsidRPr="00FC43BA">
              <w:t>12.</w:t>
            </w:r>
            <w:r w:rsidR="004018F7">
              <w:t> </w:t>
            </w:r>
            <w:r>
              <w:t>2016</w:t>
            </w:r>
            <w:r w:rsidRPr="00FC43BA">
              <w:t xml:space="preserve"> dosahovalo 1428 mld. korun. Většinu tohoto nárůstu (81,7 mld.) tvořily úvěry na bydlení</w:t>
            </w:r>
            <w:r>
              <w:t xml:space="preserve">, které k 31. 12. 2016 </w:t>
            </w:r>
            <w:r w:rsidRPr="00FC43BA">
              <w:t>tvoř</w:t>
            </w:r>
            <w:r>
              <w:t>ily</w:t>
            </w:r>
            <w:r w:rsidRPr="00FC43BA">
              <w:t xml:space="preserve"> 74,2 % z celkového dluhu domácností</w:t>
            </w:r>
            <w:r>
              <w:t>. B</w:t>
            </w:r>
            <w:r w:rsidRPr="00FC43BA">
              <w:t>ěhem roku se meziroční nárůst jejich objemu zrychlil ze 7,7 % v 1.</w:t>
            </w:r>
            <w:r w:rsidR="004018F7">
              <w:t> </w:t>
            </w:r>
            <w:r w:rsidRPr="00FC43BA">
              <w:t>čtvrtletí roku na 8,5 % ve 4. kvartálu. Zadlužení</w:t>
            </w:r>
            <w:r>
              <w:t xml:space="preserve"> pro účely </w:t>
            </w:r>
            <w:r w:rsidRPr="00FC43BA">
              <w:t>spotřeb</w:t>
            </w:r>
            <w:r>
              <w:t>y</w:t>
            </w:r>
            <w:r w:rsidRPr="00FC43BA">
              <w:t xml:space="preserve"> rostlo v prvních pěti měsících roku meziročním tempem 10,1 %, ale ve 3. a 4. čtvrtletí se růst zmírnil (2,4 % a 4,0 %). </w:t>
            </w:r>
          </w:p>
          <w:p w:rsidR="007E6588" w:rsidRPr="003E6E0D" w:rsidRDefault="007E6588" w:rsidP="008A03DE">
            <w:pPr>
              <w:pStyle w:val="Textpoznpodarou"/>
              <w:jc w:val="both"/>
              <w:rPr>
                <w:highlight w:val="yellow"/>
              </w:rPr>
            </w:pPr>
            <w:r w:rsidRPr="00FC43BA">
              <w:t xml:space="preserve">   </w:t>
            </w:r>
          </w:p>
        </w:tc>
      </w:tr>
      <w:tr w:rsidR="000F74B6" w:rsidRPr="00A74192" w:rsidTr="00DD3867">
        <w:tblPrEx>
          <w:tblLook w:val="04A0"/>
        </w:tblPrEx>
        <w:trPr>
          <w:trHeight w:val="541"/>
        </w:trPr>
        <w:tc>
          <w:tcPr>
            <w:tcW w:w="576" w:type="pct"/>
          </w:tcPr>
          <w:p w:rsidR="007430AB" w:rsidRDefault="007430AB" w:rsidP="00D94859">
            <w:pPr>
              <w:pStyle w:val="Textpoznpodarou"/>
              <w:rPr>
                <w:color w:val="000000"/>
              </w:rPr>
            </w:pPr>
            <w:r>
              <w:rPr>
                <w:color w:val="000000"/>
              </w:rPr>
              <w:t>Graf č.</w:t>
            </w:r>
          </w:p>
          <w:p w:rsidR="000F74B6" w:rsidRPr="00A74192" w:rsidRDefault="000F74B6" w:rsidP="00D94859">
            <w:pPr>
              <w:pStyle w:val="Textpoznpodarou"/>
              <w:rPr>
                <w:color w:val="000000"/>
              </w:rPr>
            </w:pPr>
            <w:r w:rsidRPr="00A74192">
              <w:rPr>
                <w:color w:val="000000"/>
              </w:rPr>
              <w:t>17</w:t>
            </w:r>
          </w:p>
        </w:tc>
        <w:tc>
          <w:tcPr>
            <w:tcW w:w="1899" w:type="pct"/>
            <w:gridSpan w:val="3"/>
          </w:tcPr>
          <w:p w:rsidR="000F74B6" w:rsidRPr="00A74192" w:rsidRDefault="000F74B6" w:rsidP="00D94859">
            <w:pPr>
              <w:pStyle w:val="Textpoznpodarou"/>
              <w:rPr>
                <w:color w:val="FF0000"/>
              </w:rPr>
            </w:pPr>
            <w:r w:rsidRPr="00A74192">
              <w:rPr>
                <w:b/>
                <w:color w:val="000000"/>
              </w:rPr>
              <w:t>Měnové agregáty a hrubý domácí produkt</w:t>
            </w:r>
            <w:r w:rsidRPr="00A74192">
              <w:rPr>
                <w:color w:val="000000"/>
              </w:rPr>
              <w:t xml:space="preserve"> (y/y v %)</w:t>
            </w:r>
          </w:p>
        </w:tc>
        <w:tc>
          <w:tcPr>
            <w:tcW w:w="584" w:type="pct"/>
          </w:tcPr>
          <w:p w:rsidR="007430AB" w:rsidRDefault="007430AB" w:rsidP="00D94859">
            <w:pPr>
              <w:pStyle w:val="Textpoznpodarou"/>
            </w:pPr>
            <w:r>
              <w:t>Graf č.</w:t>
            </w:r>
          </w:p>
          <w:p w:rsidR="000F74B6" w:rsidRPr="00A74192" w:rsidRDefault="007430AB" w:rsidP="00D94859">
            <w:pPr>
              <w:pStyle w:val="Textpoznpodarou"/>
            </w:pPr>
            <w:r>
              <w:t>1</w:t>
            </w:r>
            <w:r w:rsidR="000F74B6" w:rsidRPr="00A74192">
              <w:t>8</w:t>
            </w:r>
          </w:p>
        </w:tc>
        <w:tc>
          <w:tcPr>
            <w:tcW w:w="1941" w:type="pct"/>
          </w:tcPr>
          <w:p w:rsidR="000F74B6" w:rsidRPr="00A74192" w:rsidRDefault="000F74B6" w:rsidP="00D94859">
            <w:pPr>
              <w:pStyle w:val="Textpoznpodarou"/>
            </w:pPr>
            <w:r w:rsidRPr="00A74192">
              <w:rPr>
                <w:b/>
              </w:rPr>
              <w:t xml:space="preserve">Tržní úrokové sazby </w:t>
            </w:r>
            <w:r w:rsidRPr="00A74192">
              <w:t>(v %)</w:t>
            </w:r>
          </w:p>
        </w:tc>
      </w:tr>
      <w:tr w:rsidR="000F74B6" w:rsidRPr="00A74192" w:rsidTr="00DD3867">
        <w:tblPrEx>
          <w:tblCellMar>
            <w:left w:w="70" w:type="dxa"/>
            <w:right w:w="70" w:type="dxa"/>
          </w:tblCellMar>
          <w:tblLook w:val="04A0"/>
        </w:tblPrEx>
        <w:trPr>
          <w:trHeight w:val="3641"/>
        </w:trPr>
        <w:tc>
          <w:tcPr>
            <w:tcW w:w="2475" w:type="pct"/>
            <w:gridSpan w:val="4"/>
          </w:tcPr>
          <w:p w:rsidR="000F74B6" w:rsidRPr="00A74192" w:rsidRDefault="00906225" w:rsidP="00F06C6F">
            <w:pPr>
              <w:pStyle w:val="Textpoznpodarou"/>
              <w:ind w:left="-70"/>
              <w:jc w:val="both"/>
            </w:pPr>
            <w:r>
              <w:rPr>
                <w:noProof/>
              </w:rPr>
              <w:drawing>
                <wp:inline distT="0" distB="0" distL="0" distR="0">
                  <wp:extent cx="3050540" cy="2355215"/>
                  <wp:effectExtent l="19050" t="0" r="0" b="0"/>
                  <wp:docPr id="1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32"/>
                          <a:srcRect/>
                          <a:stretch>
                            <a:fillRect/>
                          </a:stretch>
                        </pic:blipFill>
                        <pic:spPr bwMode="auto">
                          <a:xfrm>
                            <a:off x="0" y="0"/>
                            <a:ext cx="3050540" cy="2355215"/>
                          </a:xfrm>
                          <a:prstGeom prst="rect">
                            <a:avLst/>
                          </a:prstGeom>
                          <a:noFill/>
                          <a:ln w="9525">
                            <a:noFill/>
                            <a:miter lim="800000"/>
                            <a:headEnd/>
                            <a:tailEnd/>
                          </a:ln>
                        </pic:spPr>
                      </pic:pic>
                    </a:graphicData>
                  </a:graphic>
                </wp:inline>
              </w:drawing>
            </w:r>
          </w:p>
        </w:tc>
        <w:tc>
          <w:tcPr>
            <w:tcW w:w="2525" w:type="pct"/>
            <w:gridSpan w:val="2"/>
          </w:tcPr>
          <w:p w:rsidR="000F74B6" w:rsidRPr="001D3787" w:rsidRDefault="00906225" w:rsidP="001D3787">
            <w:pPr>
              <w:pStyle w:val="Textpoznpodarou"/>
              <w:jc w:val="both"/>
            </w:pPr>
            <w:r>
              <w:rPr>
                <w:noProof/>
              </w:rPr>
              <w:drawing>
                <wp:inline distT="0" distB="0" distL="0" distR="0">
                  <wp:extent cx="2969895" cy="2355215"/>
                  <wp:effectExtent l="19050" t="0" r="1905" b="0"/>
                  <wp:docPr id="1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3"/>
                          <a:srcRect/>
                          <a:stretch>
                            <a:fillRect/>
                          </a:stretch>
                        </pic:blipFill>
                        <pic:spPr bwMode="auto">
                          <a:xfrm>
                            <a:off x="0" y="0"/>
                            <a:ext cx="2969895" cy="2355215"/>
                          </a:xfrm>
                          <a:prstGeom prst="rect">
                            <a:avLst/>
                          </a:prstGeom>
                          <a:noFill/>
                          <a:ln w="9525">
                            <a:noFill/>
                            <a:miter lim="800000"/>
                            <a:headEnd/>
                            <a:tailEnd/>
                          </a:ln>
                        </pic:spPr>
                      </pic:pic>
                    </a:graphicData>
                  </a:graphic>
                </wp:inline>
              </w:drawing>
            </w:r>
          </w:p>
        </w:tc>
      </w:tr>
      <w:tr w:rsidR="000F74B6" w:rsidRPr="00A74192" w:rsidTr="00DD3867">
        <w:tblPrEx>
          <w:tblLook w:val="04A0"/>
        </w:tblPrEx>
        <w:trPr>
          <w:trHeight w:val="211"/>
        </w:trPr>
        <w:tc>
          <w:tcPr>
            <w:tcW w:w="2475" w:type="pct"/>
            <w:gridSpan w:val="4"/>
          </w:tcPr>
          <w:p w:rsidR="000F74B6" w:rsidRPr="00A74192" w:rsidRDefault="000F74B6" w:rsidP="00D94859">
            <w:pPr>
              <w:pStyle w:val="Textpoznpodarou"/>
              <w:rPr>
                <w:noProof/>
                <w:sz w:val="18"/>
                <w:szCs w:val="18"/>
              </w:rPr>
            </w:pPr>
          </w:p>
        </w:tc>
        <w:tc>
          <w:tcPr>
            <w:tcW w:w="2525" w:type="pct"/>
            <w:gridSpan w:val="2"/>
          </w:tcPr>
          <w:p w:rsidR="000F74B6" w:rsidRPr="00A74192" w:rsidRDefault="000F74B6" w:rsidP="00D94859">
            <w:pPr>
              <w:pStyle w:val="Textpoznpodarou"/>
              <w:jc w:val="right"/>
              <w:rPr>
                <w:noProof/>
              </w:rPr>
            </w:pPr>
            <w:r w:rsidRPr="00A74192">
              <w:rPr>
                <w:sz w:val="18"/>
                <w:szCs w:val="18"/>
              </w:rPr>
              <w:t>Zdroj: ČSÚ, ČNB</w:t>
            </w:r>
          </w:p>
        </w:tc>
      </w:tr>
    </w:tbl>
    <w:p w:rsidR="00ED3A94" w:rsidRPr="00A74192" w:rsidRDefault="00ED3A94" w:rsidP="00D94859">
      <w:pPr>
        <w:rPr>
          <w:sz w:val="2"/>
          <w:szCs w:val="2"/>
        </w:rPr>
      </w:pPr>
    </w:p>
    <w:p w:rsidR="002E435E" w:rsidRPr="00A74192" w:rsidRDefault="002E435E" w:rsidP="00941339">
      <w:pPr>
        <w:pStyle w:val="Nadpis1"/>
        <w:numPr>
          <w:ilvl w:val="0"/>
          <w:numId w:val="12"/>
        </w:numPr>
        <w:ind w:left="709"/>
        <w:jc w:val="both"/>
      </w:pPr>
      <w:bookmarkStart w:id="18" w:name="_Toc469299936"/>
      <w:bookmarkStart w:id="19" w:name="_Toc469327805"/>
      <w:r w:rsidRPr="00A74192">
        <w:lastRenderedPageBreak/>
        <w:t>Státní rozpočet</w:t>
      </w:r>
      <w:bookmarkEnd w:id="18"/>
      <w:bookmarkEnd w:id="19"/>
    </w:p>
    <w:tbl>
      <w:tblPr>
        <w:tblW w:w="5000" w:type="pct"/>
        <w:tblCellMar>
          <w:left w:w="28" w:type="dxa"/>
          <w:right w:w="28" w:type="dxa"/>
        </w:tblCellMar>
        <w:tblLook w:val="04A0"/>
      </w:tblPr>
      <w:tblGrid>
        <w:gridCol w:w="2044"/>
        <w:gridCol w:w="275"/>
        <w:gridCol w:w="7375"/>
      </w:tblGrid>
      <w:tr w:rsidR="008A03DE" w:rsidRPr="00A90EFD" w:rsidTr="008A03DE">
        <w:tc>
          <w:tcPr>
            <w:tcW w:w="1054" w:type="pct"/>
          </w:tcPr>
          <w:p w:rsidR="008A03DE" w:rsidRPr="009613AA" w:rsidRDefault="008A03DE" w:rsidP="008A03DE">
            <w:pPr>
              <w:spacing w:line="240" w:lineRule="auto"/>
              <w:rPr>
                <w:rFonts w:cs="Arial"/>
                <w:color w:val="0D0D0D"/>
                <w:spacing w:val="-4"/>
                <w:sz w:val="16"/>
                <w:szCs w:val="16"/>
              </w:rPr>
            </w:pPr>
            <w:r w:rsidRPr="009613AA">
              <w:rPr>
                <w:rFonts w:cs="Arial"/>
                <w:color w:val="0D0D0D"/>
                <w:spacing w:val="-4"/>
                <w:sz w:val="16"/>
                <w:szCs w:val="16"/>
              </w:rPr>
              <w:t>Hospo</w:t>
            </w:r>
            <w:r>
              <w:rPr>
                <w:rFonts w:cs="Arial"/>
                <w:color w:val="0D0D0D"/>
                <w:spacing w:val="-4"/>
                <w:sz w:val="16"/>
                <w:szCs w:val="16"/>
              </w:rPr>
              <w:t>daření státního rozpočtu (SR) vytáhly</w:t>
            </w:r>
            <w:r w:rsidRPr="009613AA">
              <w:rPr>
                <w:rFonts w:cs="Arial"/>
                <w:color w:val="0D0D0D"/>
                <w:spacing w:val="-4"/>
                <w:sz w:val="16"/>
                <w:szCs w:val="16"/>
              </w:rPr>
              <w:t xml:space="preserve"> </w:t>
            </w:r>
            <w:r>
              <w:rPr>
                <w:rFonts w:cs="Arial"/>
                <w:color w:val="0D0D0D"/>
                <w:spacing w:val="-4"/>
                <w:sz w:val="16"/>
                <w:szCs w:val="16"/>
              </w:rPr>
              <w:t xml:space="preserve">vloni </w:t>
            </w:r>
            <w:r w:rsidRPr="009613AA">
              <w:rPr>
                <w:rFonts w:cs="Arial"/>
                <w:color w:val="0D0D0D"/>
                <w:spacing w:val="-4"/>
                <w:sz w:val="16"/>
                <w:szCs w:val="16"/>
              </w:rPr>
              <w:t xml:space="preserve">k rekordnímu přebytku </w:t>
            </w:r>
            <w:r>
              <w:rPr>
                <w:rFonts w:cs="Arial"/>
                <w:color w:val="0D0D0D"/>
                <w:spacing w:val="-4"/>
                <w:sz w:val="16"/>
                <w:szCs w:val="16"/>
              </w:rPr>
              <w:t>dodatečné příjmy z EU (především vlivem silného dočerpávání v roce 2015) doprovázené efekty pokračujícího hospodářského růstu.</w:t>
            </w:r>
          </w:p>
        </w:tc>
        <w:tc>
          <w:tcPr>
            <w:tcW w:w="142" w:type="pct"/>
          </w:tcPr>
          <w:p w:rsidR="008A03DE" w:rsidRPr="004C7CC5" w:rsidRDefault="008A03DE" w:rsidP="008A03DE">
            <w:pPr>
              <w:pStyle w:val="Textpoznpodarou"/>
              <w:jc w:val="both"/>
              <w:rPr>
                <w:rFonts w:cs="Arial"/>
                <w:color w:val="0D0D0D"/>
              </w:rPr>
            </w:pPr>
          </w:p>
        </w:tc>
        <w:tc>
          <w:tcPr>
            <w:tcW w:w="3804" w:type="pct"/>
          </w:tcPr>
          <w:p w:rsidR="008A03DE" w:rsidRPr="00F75EEE" w:rsidRDefault="008A03DE" w:rsidP="008A03DE">
            <w:pPr>
              <w:pStyle w:val="Textpoznpodarou"/>
              <w:jc w:val="both"/>
              <w:rPr>
                <w:rFonts w:cs="Arial"/>
                <w:color w:val="0D0D0D"/>
                <w:spacing w:val="-4"/>
              </w:rPr>
            </w:pPr>
            <w:r w:rsidRPr="00F75EEE">
              <w:rPr>
                <w:rFonts w:cs="Arial"/>
                <w:color w:val="0D0D0D"/>
                <w:spacing w:val="-4"/>
              </w:rPr>
              <w:t xml:space="preserve">Hospodaření státního rozpočtu (SR) skončilo dle pokladního plnění </w:t>
            </w:r>
            <w:r>
              <w:rPr>
                <w:rFonts w:cs="Arial"/>
                <w:color w:val="0D0D0D"/>
                <w:spacing w:val="-4"/>
              </w:rPr>
              <w:t xml:space="preserve">v roce 2016 </w:t>
            </w:r>
            <w:r w:rsidR="000A68A7">
              <w:rPr>
                <w:rFonts w:cs="Arial"/>
                <w:color w:val="0D0D0D"/>
                <w:spacing w:val="-4"/>
              </w:rPr>
              <w:t>přebytkem</w:t>
            </w:r>
            <w:r w:rsidRPr="00F75EEE">
              <w:rPr>
                <w:rFonts w:cs="Arial"/>
                <w:color w:val="0D0D0D"/>
                <w:spacing w:val="-4"/>
              </w:rPr>
              <w:t xml:space="preserve"> ve výši </w:t>
            </w:r>
            <w:r w:rsidR="000A68A7">
              <w:rPr>
                <w:rFonts w:cs="Arial"/>
                <w:color w:val="0D0D0D"/>
                <w:spacing w:val="-4"/>
              </w:rPr>
              <w:t xml:space="preserve">61,8 mld. korun (v roce 2015 </w:t>
            </w:r>
            <w:r w:rsidRPr="00F75EEE">
              <w:rPr>
                <w:rFonts w:cs="Arial"/>
                <w:color w:val="0D0D0D"/>
                <w:spacing w:val="-4"/>
              </w:rPr>
              <w:t xml:space="preserve">činil </w:t>
            </w:r>
            <w:r w:rsidR="000A68A7">
              <w:rPr>
                <w:rFonts w:cs="Arial"/>
                <w:color w:val="0D0D0D"/>
                <w:spacing w:val="-4"/>
              </w:rPr>
              <w:t xml:space="preserve">deficit </w:t>
            </w:r>
            <w:r w:rsidRPr="00F75EEE">
              <w:rPr>
                <w:rFonts w:cs="Arial"/>
                <w:color w:val="0D0D0D"/>
                <w:spacing w:val="-4"/>
              </w:rPr>
              <w:t xml:space="preserve">62,8 mld.). Rozpočtový přebytek byl </w:t>
            </w:r>
            <w:r>
              <w:rPr>
                <w:rFonts w:cs="Arial"/>
                <w:color w:val="0D0D0D"/>
                <w:spacing w:val="-4"/>
              </w:rPr>
              <w:t xml:space="preserve">v </w:t>
            </w:r>
            <w:r w:rsidRPr="00F75EEE">
              <w:rPr>
                <w:rFonts w:cs="Arial"/>
                <w:color w:val="0D0D0D"/>
                <w:spacing w:val="-4"/>
              </w:rPr>
              <w:t>historii samostatné ČR napo</w:t>
            </w:r>
            <w:r w:rsidR="00494AAB">
              <w:rPr>
                <w:rFonts w:cs="Arial"/>
                <w:color w:val="0D0D0D"/>
                <w:spacing w:val="-4"/>
              </w:rPr>
              <w:t>sledy dosažen v období let 1993</w:t>
            </w:r>
            <w:r w:rsidR="00494AAB" w:rsidRPr="008B5159">
              <w:rPr>
                <w:rFonts w:cs="Arial"/>
                <w:color w:val="0D0D0D" w:themeColor="text1" w:themeTint="F2"/>
                <w:spacing w:val="-4"/>
              </w:rPr>
              <w:t>–</w:t>
            </w:r>
            <w:r w:rsidRPr="00F75EEE">
              <w:rPr>
                <w:rFonts w:cs="Arial"/>
                <w:color w:val="0D0D0D"/>
                <w:spacing w:val="-4"/>
              </w:rPr>
              <w:t xml:space="preserve">1995. </w:t>
            </w:r>
            <w:r>
              <w:rPr>
                <w:rFonts w:cs="Arial"/>
                <w:color w:val="0D0D0D"/>
                <w:spacing w:val="-4"/>
              </w:rPr>
              <w:t>V</w:t>
            </w:r>
            <w:r w:rsidRPr="00F75EEE">
              <w:rPr>
                <w:rFonts w:cs="Arial"/>
                <w:color w:val="0D0D0D"/>
                <w:spacing w:val="-4"/>
              </w:rPr>
              <w:t xml:space="preserve"> loňském výsledku se zásadně projevily </w:t>
            </w:r>
            <w:r w:rsidRPr="00F75EEE">
              <w:rPr>
                <w:rFonts w:cs="Arial"/>
                <w:color w:val="000000"/>
                <w:spacing w:val="-4"/>
              </w:rPr>
              <w:t>nepravidelnosti v čerpání evropských fondů na přelomu programových období EU</w:t>
            </w:r>
            <w:r>
              <w:rPr>
                <w:rFonts w:cs="Arial"/>
                <w:color w:val="000000"/>
                <w:spacing w:val="-4"/>
              </w:rPr>
              <w:t>. N</w:t>
            </w:r>
            <w:r w:rsidRPr="00F75EEE">
              <w:rPr>
                <w:rFonts w:cs="Arial"/>
                <w:color w:val="000000"/>
                <w:spacing w:val="-4"/>
              </w:rPr>
              <w:t xml:space="preserve">a příjmové straně (157,8 mld. korun) šlo z velké části o prostředky vázané ještě na </w:t>
            </w:r>
            <w:r>
              <w:rPr>
                <w:rFonts w:cs="Arial"/>
                <w:color w:val="000000"/>
                <w:spacing w:val="-4"/>
              </w:rPr>
              <w:t>dobíhající</w:t>
            </w:r>
            <w:r w:rsidRPr="00F75EEE">
              <w:rPr>
                <w:rFonts w:cs="Arial"/>
                <w:color w:val="000000"/>
                <w:spacing w:val="-4"/>
              </w:rPr>
              <w:t xml:space="preserve"> programové období</w:t>
            </w:r>
            <w:r w:rsidR="00494AAB">
              <w:rPr>
                <w:rFonts w:cs="Arial"/>
                <w:color w:val="000000"/>
                <w:spacing w:val="-4"/>
              </w:rPr>
              <w:t xml:space="preserve"> (2007</w:t>
            </w:r>
            <w:r w:rsidR="00494AAB" w:rsidRPr="008B5159">
              <w:rPr>
                <w:rFonts w:cs="Arial"/>
                <w:color w:val="0D0D0D" w:themeColor="text1" w:themeTint="F2"/>
                <w:spacing w:val="-4"/>
              </w:rPr>
              <w:t>–</w:t>
            </w:r>
            <w:r>
              <w:rPr>
                <w:rFonts w:cs="Arial"/>
                <w:color w:val="000000"/>
                <w:spacing w:val="-4"/>
              </w:rPr>
              <w:t>2013)</w:t>
            </w:r>
            <w:r w:rsidRPr="00F75EEE">
              <w:rPr>
                <w:rFonts w:cs="Arial"/>
                <w:color w:val="000000"/>
                <w:spacing w:val="-4"/>
              </w:rPr>
              <w:t xml:space="preserve">, zatímco v investičních výdajích SR (84,7 mld.) </w:t>
            </w:r>
            <w:r>
              <w:rPr>
                <w:rFonts w:cs="Arial"/>
                <w:color w:val="000000"/>
                <w:spacing w:val="-4"/>
              </w:rPr>
              <w:t>se</w:t>
            </w:r>
            <w:r w:rsidRPr="00F75EEE">
              <w:rPr>
                <w:rFonts w:cs="Arial"/>
                <w:color w:val="000000"/>
                <w:spacing w:val="-4"/>
              </w:rPr>
              <w:t xml:space="preserve"> projevovala nižší celková připravenost projektů </w:t>
            </w:r>
            <w:r>
              <w:rPr>
                <w:rFonts w:cs="Arial"/>
                <w:color w:val="000000"/>
                <w:spacing w:val="-4"/>
              </w:rPr>
              <w:t>na startu nového programové</w:t>
            </w:r>
            <w:r w:rsidRPr="00F75EEE">
              <w:rPr>
                <w:rFonts w:cs="Arial"/>
                <w:color w:val="000000"/>
                <w:spacing w:val="-4"/>
              </w:rPr>
              <w:t xml:space="preserve">ho období. V loňské bilanci SR se </w:t>
            </w:r>
            <w:r>
              <w:rPr>
                <w:rFonts w:cs="Arial"/>
                <w:color w:val="000000"/>
                <w:spacing w:val="-4"/>
              </w:rPr>
              <w:t>také</w:t>
            </w:r>
            <w:r w:rsidRPr="00F75EEE">
              <w:rPr>
                <w:rFonts w:cs="Arial"/>
                <w:color w:val="000000"/>
                <w:spacing w:val="-4"/>
              </w:rPr>
              <w:t xml:space="preserve"> odrazil pokračující růst ekonomiky, když veškeré daňové příjmy (</w:t>
            </w:r>
            <w:r>
              <w:rPr>
                <w:rFonts w:cs="Arial"/>
                <w:color w:val="000000"/>
                <w:spacing w:val="-4"/>
              </w:rPr>
              <w:t>bez</w:t>
            </w:r>
            <w:r w:rsidRPr="00F75EEE">
              <w:rPr>
                <w:rFonts w:cs="Arial"/>
                <w:color w:val="000000"/>
                <w:spacing w:val="-4"/>
              </w:rPr>
              <w:t xml:space="preserve"> pojistného) meziročně posílily o</w:t>
            </w:r>
            <w:r w:rsidRPr="00F75EEE">
              <w:rPr>
                <w:color w:val="0D0D0D"/>
                <w:spacing w:val="-4"/>
              </w:rPr>
              <w:t> </w:t>
            </w:r>
            <w:r>
              <w:rPr>
                <w:rFonts w:cs="Arial"/>
                <w:color w:val="000000"/>
                <w:spacing w:val="-4"/>
              </w:rPr>
              <w:t>7,5</w:t>
            </w:r>
            <w:r w:rsidRPr="00F75EEE">
              <w:rPr>
                <w:rFonts w:cs="Arial"/>
                <w:color w:val="000000"/>
                <w:spacing w:val="-4"/>
              </w:rPr>
              <w:t xml:space="preserve"> %</w:t>
            </w:r>
            <w:r w:rsidRPr="00F75EEE">
              <w:rPr>
                <w:rStyle w:val="Znakapoznpodarou"/>
                <w:color w:val="000000"/>
                <w:spacing w:val="-4"/>
              </w:rPr>
              <w:footnoteReference w:id="31"/>
            </w:r>
            <w:r w:rsidRPr="00F75EEE">
              <w:rPr>
                <w:rFonts w:cs="Arial"/>
                <w:color w:val="000000"/>
                <w:spacing w:val="-4"/>
              </w:rPr>
              <w:t xml:space="preserve"> a</w:t>
            </w:r>
            <w:r w:rsidRPr="00F75EEE">
              <w:rPr>
                <w:color w:val="0D0D0D"/>
                <w:spacing w:val="-4"/>
              </w:rPr>
              <w:t> </w:t>
            </w:r>
            <w:r>
              <w:rPr>
                <w:rFonts w:cs="Arial"/>
                <w:color w:val="000000"/>
                <w:spacing w:val="-4"/>
              </w:rPr>
              <w:t>proti rozpočtovému</w:t>
            </w:r>
            <w:r w:rsidRPr="00F75EEE">
              <w:rPr>
                <w:rFonts w:cs="Arial"/>
                <w:color w:val="000000"/>
                <w:spacing w:val="-4"/>
              </w:rPr>
              <w:t xml:space="preserve"> očeká</w:t>
            </w:r>
            <w:r>
              <w:rPr>
                <w:rFonts w:cs="Arial"/>
                <w:color w:val="000000"/>
                <w:spacing w:val="-4"/>
              </w:rPr>
              <w:t>vání (tj. schválenému rozpočtu) byly o 22,3</w:t>
            </w:r>
            <w:r w:rsidRPr="00F75EEE">
              <w:rPr>
                <w:rFonts w:cs="Arial"/>
                <w:color w:val="000000"/>
                <w:spacing w:val="-4"/>
              </w:rPr>
              <w:t xml:space="preserve"> mld. korun vyšší. </w:t>
            </w:r>
            <w:r w:rsidRPr="00F75EEE">
              <w:rPr>
                <w:rFonts w:cs="Arial"/>
                <w:color w:val="0D0D0D"/>
                <w:spacing w:val="-4"/>
              </w:rPr>
              <w:t>Saldo SR loni dosáhlo v</w:t>
            </w:r>
            <w:r w:rsidRPr="00F75EEE">
              <w:rPr>
                <w:color w:val="0D0D0D"/>
                <w:spacing w:val="-4"/>
              </w:rPr>
              <w:t> </w:t>
            </w:r>
            <w:r w:rsidRPr="00F75EEE">
              <w:rPr>
                <w:rFonts w:cs="Arial"/>
                <w:color w:val="0D0D0D"/>
                <w:spacing w:val="-4"/>
              </w:rPr>
              <w:t>relaci k</w:t>
            </w:r>
            <w:r w:rsidRPr="00F75EEE">
              <w:rPr>
                <w:color w:val="0D0D0D"/>
                <w:spacing w:val="-4"/>
              </w:rPr>
              <w:t> </w:t>
            </w:r>
            <w:r w:rsidRPr="00F75EEE">
              <w:rPr>
                <w:rFonts w:cs="Arial"/>
                <w:color w:val="000000"/>
                <w:spacing w:val="-4"/>
              </w:rPr>
              <w:t>nominálnímu HDP +1,3</w:t>
            </w:r>
            <w:r w:rsidRPr="00F75EEE">
              <w:rPr>
                <w:color w:val="0D0D0D"/>
                <w:spacing w:val="-4"/>
              </w:rPr>
              <w:t> </w:t>
            </w:r>
            <w:r w:rsidRPr="00F75EEE">
              <w:rPr>
                <w:rFonts w:cs="Arial"/>
                <w:color w:val="000000"/>
                <w:spacing w:val="-4"/>
              </w:rPr>
              <w:t>%</w:t>
            </w:r>
            <w:r w:rsidR="00494AAB">
              <w:rPr>
                <w:rFonts w:cs="Arial"/>
                <w:color w:val="000000"/>
                <w:spacing w:val="-4"/>
              </w:rPr>
              <w:t>,</w:t>
            </w:r>
            <w:r w:rsidRPr="00F75EEE">
              <w:rPr>
                <w:rFonts w:cs="Arial"/>
                <w:color w:val="000000"/>
                <w:spacing w:val="-4"/>
              </w:rPr>
              <w:t xml:space="preserve"> </w:t>
            </w:r>
            <w:r>
              <w:rPr>
                <w:rFonts w:cs="Arial"/>
                <w:color w:val="000000"/>
                <w:spacing w:val="-4"/>
              </w:rPr>
              <w:t>a b</w:t>
            </w:r>
            <w:r w:rsidR="000916B1">
              <w:rPr>
                <w:rFonts w:cs="Arial"/>
                <w:color w:val="000000"/>
                <w:spacing w:val="-4"/>
              </w:rPr>
              <w:t>ylo</w:t>
            </w:r>
            <w:r>
              <w:rPr>
                <w:rFonts w:cs="Arial"/>
                <w:color w:val="000000"/>
                <w:spacing w:val="-4"/>
              </w:rPr>
              <w:t xml:space="preserve"> téměř dvojnásobné v porovnání</w:t>
            </w:r>
            <w:r w:rsidR="000916B1">
              <w:rPr>
                <w:rFonts w:cs="Arial"/>
                <w:color w:val="000000"/>
                <w:spacing w:val="-4"/>
              </w:rPr>
              <w:t xml:space="preserve"> s dosud rekordním rokem</w:t>
            </w:r>
            <w:r w:rsidRPr="00F75EEE">
              <w:rPr>
                <w:rFonts w:cs="Arial"/>
                <w:color w:val="000000"/>
                <w:spacing w:val="-4"/>
              </w:rPr>
              <w:t xml:space="preserve"> 1994.</w:t>
            </w:r>
          </w:p>
          <w:p w:rsidR="008A03DE" w:rsidRPr="008A03DE" w:rsidRDefault="008A03DE" w:rsidP="008A03DE">
            <w:pPr>
              <w:pStyle w:val="Textpoznpodarou"/>
              <w:jc w:val="both"/>
              <w:rPr>
                <w:rFonts w:cs="Arial"/>
                <w:color w:val="0D0D0D"/>
                <w:spacing w:val="-4"/>
                <w:sz w:val="13"/>
                <w:szCs w:val="13"/>
              </w:rPr>
            </w:pPr>
          </w:p>
        </w:tc>
      </w:tr>
      <w:tr w:rsidR="008A03DE" w:rsidRPr="00A90EFD" w:rsidTr="008A03DE">
        <w:tc>
          <w:tcPr>
            <w:tcW w:w="1054" w:type="pct"/>
          </w:tcPr>
          <w:p w:rsidR="008A03DE" w:rsidRPr="004C7CC5" w:rsidRDefault="008A03DE" w:rsidP="008B05E8">
            <w:pPr>
              <w:spacing w:line="240" w:lineRule="auto"/>
              <w:rPr>
                <w:rFonts w:cs="Arial"/>
                <w:bCs/>
                <w:iCs/>
                <w:color w:val="0D0D0D"/>
                <w:spacing w:val="-2"/>
                <w:szCs w:val="20"/>
              </w:rPr>
            </w:pPr>
            <w:r w:rsidRPr="00AC3A9F">
              <w:rPr>
                <w:rFonts w:cs="Arial"/>
                <w:bCs/>
                <w:iCs/>
                <w:color w:val="0D0D0D"/>
                <w:spacing w:val="-2"/>
                <w:sz w:val="16"/>
                <w:szCs w:val="16"/>
              </w:rPr>
              <w:t xml:space="preserve">V inkasu </w:t>
            </w:r>
            <w:r>
              <w:rPr>
                <w:rFonts w:cs="Arial"/>
                <w:bCs/>
                <w:iCs/>
                <w:color w:val="0D0D0D"/>
                <w:spacing w:val="-2"/>
                <w:sz w:val="16"/>
                <w:szCs w:val="16"/>
              </w:rPr>
              <w:t>DPH se projevovaly vysoký meziroční růst</w:t>
            </w:r>
            <w:r w:rsidRPr="00AC3A9F">
              <w:rPr>
                <w:rFonts w:cs="Arial"/>
                <w:bCs/>
                <w:iCs/>
                <w:color w:val="0D0D0D"/>
                <w:spacing w:val="-2"/>
                <w:sz w:val="16"/>
                <w:szCs w:val="16"/>
              </w:rPr>
              <w:t xml:space="preserve"> </w:t>
            </w:r>
            <w:r>
              <w:rPr>
                <w:rFonts w:cs="Arial"/>
                <w:bCs/>
                <w:iCs/>
                <w:color w:val="0D0D0D"/>
                <w:spacing w:val="-2"/>
                <w:sz w:val="16"/>
                <w:szCs w:val="16"/>
              </w:rPr>
              <w:t xml:space="preserve">celkových </w:t>
            </w:r>
            <w:r w:rsidRPr="00AC3A9F">
              <w:rPr>
                <w:rFonts w:cs="Arial"/>
                <w:bCs/>
                <w:iCs/>
                <w:color w:val="0D0D0D"/>
                <w:spacing w:val="-2"/>
                <w:sz w:val="16"/>
                <w:szCs w:val="16"/>
              </w:rPr>
              <w:t>výdajů na konečnou spotřebu</w:t>
            </w:r>
            <w:r>
              <w:rPr>
                <w:rFonts w:cs="Arial"/>
                <w:bCs/>
                <w:iCs/>
                <w:color w:val="0D0D0D"/>
                <w:spacing w:val="-2"/>
                <w:sz w:val="16"/>
                <w:szCs w:val="16"/>
              </w:rPr>
              <w:t>.</w:t>
            </w:r>
          </w:p>
        </w:tc>
        <w:tc>
          <w:tcPr>
            <w:tcW w:w="142" w:type="pct"/>
          </w:tcPr>
          <w:p w:rsidR="008A03DE" w:rsidRPr="004C7CC5" w:rsidRDefault="008A03DE" w:rsidP="008A03DE">
            <w:pPr>
              <w:pStyle w:val="Textpoznpodarou"/>
              <w:jc w:val="both"/>
              <w:rPr>
                <w:rFonts w:cs="Arial"/>
                <w:color w:val="0D0D0D"/>
              </w:rPr>
            </w:pPr>
          </w:p>
        </w:tc>
        <w:tc>
          <w:tcPr>
            <w:tcW w:w="3804" w:type="pct"/>
          </w:tcPr>
          <w:p w:rsidR="008A03DE" w:rsidRPr="00F75EEE" w:rsidRDefault="008A03DE" w:rsidP="008A03DE">
            <w:pPr>
              <w:pStyle w:val="Textpoznpodarou"/>
              <w:jc w:val="both"/>
              <w:rPr>
                <w:rFonts w:cs="Arial"/>
                <w:color w:val="0D0D0D"/>
                <w:spacing w:val="-4"/>
              </w:rPr>
            </w:pPr>
            <w:r w:rsidRPr="00F75EEE">
              <w:rPr>
                <w:rFonts w:cs="Arial"/>
                <w:color w:val="0D0D0D"/>
                <w:spacing w:val="-4"/>
              </w:rPr>
              <w:t xml:space="preserve">Celostátní výběr DPH loni posílil o 5,4 %. Přestože </w:t>
            </w:r>
            <w:r>
              <w:rPr>
                <w:rFonts w:cs="Arial"/>
                <w:color w:val="0D0D0D"/>
                <w:spacing w:val="-4"/>
              </w:rPr>
              <w:t xml:space="preserve">se </w:t>
            </w:r>
            <w:r w:rsidRPr="00F75EEE">
              <w:rPr>
                <w:rFonts w:cs="Arial"/>
                <w:color w:val="0D0D0D"/>
                <w:spacing w:val="-4"/>
              </w:rPr>
              <w:t xml:space="preserve">meziroční tempo výběru této váhově </w:t>
            </w:r>
            <w:r>
              <w:rPr>
                <w:rFonts w:cs="Arial"/>
                <w:color w:val="0D0D0D"/>
                <w:spacing w:val="-4"/>
              </w:rPr>
              <w:t xml:space="preserve">nejvýznamnější daně </w:t>
            </w:r>
            <w:r w:rsidRPr="00F75EEE">
              <w:rPr>
                <w:rFonts w:cs="Arial"/>
                <w:color w:val="0D0D0D"/>
                <w:spacing w:val="-4"/>
              </w:rPr>
              <w:t>proti předešlému roku téměř zdvojnásobilo, zůstal její loňský výběr</w:t>
            </w:r>
            <w:r>
              <w:rPr>
                <w:rFonts w:cs="Arial"/>
                <w:color w:val="0D0D0D"/>
                <w:spacing w:val="-4"/>
              </w:rPr>
              <w:t xml:space="preserve"> – na rozdíl od všech ostatních objemově významných daní – </w:t>
            </w:r>
            <w:r w:rsidRPr="00F75EEE">
              <w:rPr>
                <w:rFonts w:cs="Arial"/>
                <w:color w:val="0D0D0D"/>
                <w:spacing w:val="-4"/>
              </w:rPr>
              <w:t xml:space="preserve">mírně </w:t>
            </w:r>
            <w:r>
              <w:rPr>
                <w:rFonts w:cs="Arial"/>
                <w:color w:val="0D0D0D"/>
                <w:spacing w:val="-4"/>
              </w:rPr>
              <w:t>(o</w:t>
            </w:r>
            <w:r w:rsidRPr="00F75EEE">
              <w:rPr>
                <w:color w:val="0D0D0D"/>
                <w:spacing w:val="-4"/>
              </w:rPr>
              <w:t> </w:t>
            </w:r>
            <w:r>
              <w:rPr>
                <w:rFonts w:cs="Arial"/>
                <w:color w:val="0D0D0D"/>
                <w:spacing w:val="-4"/>
              </w:rPr>
              <w:t xml:space="preserve">0,8 %) </w:t>
            </w:r>
            <w:r w:rsidRPr="00F75EEE">
              <w:rPr>
                <w:rFonts w:cs="Arial"/>
                <w:color w:val="0D0D0D"/>
                <w:spacing w:val="-4"/>
              </w:rPr>
              <w:t xml:space="preserve">za rozpočtovým očekáváním. Vyšší inkaso reflektovalo nominální růst výdajů na konečnou </w:t>
            </w:r>
            <w:r w:rsidRPr="00452B83">
              <w:rPr>
                <w:rFonts w:cs="Arial"/>
                <w:color w:val="0D0D0D"/>
                <w:spacing w:val="-4"/>
              </w:rPr>
              <w:t>spotřebu (u</w:t>
            </w:r>
            <w:r w:rsidRPr="00452B83">
              <w:rPr>
                <w:rFonts w:cs="Arial"/>
                <w:color w:val="000000"/>
                <w:spacing w:val="-4"/>
              </w:rPr>
              <w:t> </w:t>
            </w:r>
            <w:r w:rsidRPr="00452B83">
              <w:rPr>
                <w:rFonts w:cs="Arial"/>
                <w:color w:val="0D0D0D"/>
                <w:spacing w:val="-4"/>
              </w:rPr>
              <w:t xml:space="preserve">domácností v roce 2016 o 3,5 %, u vládních institucí o 3,4 %). </w:t>
            </w:r>
          </w:p>
          <w:p w:rsidR="008A03DE" w:rsidRPr="008A03DE" w:rsidRDefault="008A03DE" w:rsidP="008A03DE">
            <w:pPr>
              <w:pStyle w:val="Textpoznpodarou"/>
              <w:jc w:val="both"/>
              <w:rPr>
                <w:rFonts w:cs="Arial"/>
                <w:color w:val="0D0D0D"/>
                <w:spacing w:val="-4"/>
                <w:sz w:val="13"/>
                <w:szCs w:val="13"/>
              </w:rPr>
            </w:pPr>
          </w:p>
        </w:tc>
      </w:tr>
      <w:tr w:rsidR="008A03DE" w:rsidRPr="00A90EFD" w:rsidTr="008A03DE">
        <w:tc>
          <w:tcPr>
            <w:tcW w:w="1054" w:type="pct"/>
          </w:tcPr>
          <w:p w:rsidR="008A03DE" w:rsidRDefault="008A03DE" w:rsidP="008A03DE">
            <w:pPr>
              <w:spacing w:line="240" w:lineRule="auto"/>
              <w:rPr>
                <w:rFonts w:cs="Arial"/>
                <w:color w:val="0D0D0D"/>
                <w:spacing w:val="-4"/>
                <w:sz w:val="16"/>
                <w:szCs w:val="16"/>
              </w:rPr>
            </w:pPr>
            <w:r>
              <w:rPr>
                <w:rFonts w:cs="Arial"/>
                <w:color w:val="0D0D0D"/>
                <w:spacing w:val="-4"/>
                <w:sz w:val="16"/>
                <w:szCs w:val="16"/>
              </w:rPr>
              <w:t>K meziročně vyššímu inkasu spotřebních daní přispěly rovným dí</w:t>
            </w:r>
            <w:r w:rsidR="000117CA">
              <w:rPr>
                <w:rFonts w:cs="Arial"/>
                <w:color w:val="0D0D0D"/>
                <w:spacing w:val="-4"/>
                <w:sz w:val="16"/>
                <w:szCs w:val="16"/>
              </w:rPr>
              <w:t>lem daně z tabákových výrobků i </w:t>
            </w:r>
            <w:r>
              <w:rPr>
                <w:rFonts w:cs="Arial"/>
                <w:color w:val="0D0D0D"/>
                <w:spacing w:val="-4"/>
                <w:sz w:val="16"/>
                <w:szCs w:val="16"/>
              </w:rPr>
              <w:t>z minerálních olejů.</w:t>
            </w:r>
          </w:p>
          <w:p w:rsidR="008A03DE" w:rsidRPr="009E7272" w:rsidRDefault="008A03DE" w:rsidP="008A03DE">
            <w:pPr>
              <w:spacing w:line="240" w:lineRule="auto"/>
              <w:rPr>
                <w:rFonts w:cs="Arial"/>
                <w:color w:val="0D0D0D"/>
                <w:spacing w:val="-4"/>
                <w:sz w:val="16"/>
                <w:szCs w:val="16"/>
              </w:rPr>
            </w:pPr>
          </w:p>
        </w:tc>
        <w:tc>
          <w:tcPr>
            <w:tcW w:w="142" w:type="pct"/>
          </w:tcPr>
          <w:p w:rsidR="008A03DE" w:rsidRPr="00A90EFD" w:rsidRDefault="008A03DE" w:rsidP="008A03DE">
            <w:pPr>
              <w:pStyle w:val="Textpoznpodarou"/>
              <w:jc w:val="both"/>
              <w:rPr>
                <w:rFonts w:cs="Arial"/>
                <w:color w:val="0D0D0D"/>
              </w:rPr>
            </w:pPr>
          </w:p>
        </w:tc>
        <w:tc>
          <w:tcPr>
            <w:tcW w:w="3804" w:type="pct"/>
          </w:tcPr>
          <w:p w:rsidR="008A03DE" w:rsidRDefault="008A03DE" w:rsidP="008A03DE">
            <w:pPr>
              <w:pStyle w:val="Textpoznpodarou"/>
              <w:jc w:val="both"/>
              <w:rPr>
                <w:rFonts w:cs="Arial"/>
                <w:color w:val="0D0D0D"/>
                <w:spacing w:val="-4"/>
              </w:rPr>
            </w:pPr>
            <w:r>
              <w:rPr>
                <w:rFonts w:cs="Arial"/>
                <w:color w:val="0D0D0D"/>
                <w:spacing w:val="-4"/>
              </w:rPr>
              <w:t>Ze spotřebních daní plynuly SR příjmy meziročně o 5,2 % vyšší. Zasloužily se o to obdobným dílem jak silnější výběr daně z tabákových výrobků (+7 %, tažený</w:t>
            </w:r>
            <w:r w:rsidRPr="00952517">
              <w:rPr>
                <w:rFonts w:cs="Arial"/>
                <w:color w:val="0D0D0D"/>
                <w:spacing w:val="-4"/>
              </w:rPr>
              <w:t xml:space="preserve"> </w:t>
            </w:r>
            <w:r>
              <w:rPr>
                <w:rFonts w:cs="Arial"/>
                <w:color w:val="0D0D0D"/>
                <w:spacing w:val="-4"/>
              </w:rPr>
              <w:t>hlavně zvýšením saz</w:t>
            </w:r>
            <w:r w:rsidRPr="00952517">
              <w:rPr>
                <w:rFonts w:cs="Arial"/>
                <w:color w:val="0D0D0D"/>
                <w:spacing w:val="-4"/>
              </w:rPr>
              <w:t>b</w:t>
            </w:r>
            <w:r>
              <w:rPr>
                <w:rFonts w:cs="Arial"/>
                <w:color w:val="0D0D0D"/>
                <w:spacing w:val="-4"/>
              </w:rPr>
              <w:t>y</w:t>
            </w:r>
            <w:r w:rsidRPr="00952517">
              <w:rPr>
                <w:rFonts w:cs="Arial"/>
                <w:color w:val="0D0D0D"/>
                <w:spacing w:val="-4"/>
              </w:rPr>
              <w:t xml:space="preserve"> daně</w:t>
            </w:r>
            <w:r>
              <w:rPr>
                <w:rFonts w:cs="Arial"/>
                <w:color w:val="0D0D0D"/>
                <w:spacing w:val="-4"/>
              </w:rPr>
              <w:t>), tak i vyšší příjmy z daně</w:t>
            </w:r>
            <w:r w:rsidRPr="00952517">
              <w:rPr>
                <w:rFonts w:cs="Arial"/>
                <w:color w:val="0D0D0D"/>
                <w:spacing w:val="-4"/>
              </w:rPr>
              <w:t xml:space="preserve"> z mi</w:t>
            </w:r>
            <w:r>
              <w:rPr>
                <w:rFonts w:cs="Arial"/>
                <w:color w:val="0D0D0D"/>
                <w:spacing w:val="-4"/>
              </w:rPr>
              <w:t>nerálních olejů, jejíž inkaso meziročně rostlo o 4,7 %. Stála za tím rostoucí spotřeba motorového benzínu i nafty</w:t>
            </w:r>
            <w:r>
              <w:rPr>
                <w:rStyle w:val="Znakapoznpodarou"/>
                <w:color w:val="0D0D0D"/>
                <w:spacing w:val="-4"/>
              </w:rPr>
              <w:footnoteReference w:id="32"/>
            </w:r>
            <w:r>
              <w:rPr>
                <w:rFonts w:cs="Arial"/>
                <w:color w:val="0D0D0D"/>
                <w:spacing w:val="-4"/>
              </w:rPr>
              <w:t xml:space="preserve"> stimulovaná příznivými cenami PHM (zejm. v první polovině roku) i </w:t>
            </w:r>
            <w:r w:rsidRPr="00952517">
              <w:rPr>
                <w:rFonts w:cs="Arial"/>
                <w:color w:val="0D0D0D"/>
                <w:spacing w:val="-4"/>
              </w:rPr>
              <w:t>dlouhodobější</w:t>
            </w:r>
            <w:r>
              <w:rPr>
                <w:rFonts w:cs="Arial"/>
                <w:color w:val="0D0D0D"/>
                <w:spacing w:val="-4"/>
              </w:rPr>
              <w:t>m</w:t>
            </w:r>
            <w:r w:rsidRPr="00952517">
              <w:rPr>
                <w:rFonts w:cs="Arial"/>
                <w:color w:val="0D0D0D"/>
                <w:spacing w:val="-4"/>
              </w:rPr>
              <w:t xml:space="preserve"> růst</w:t>
            </w:r>
            <w:r>
              <w:rPr>
                <w:rFonts w:cs="Arial"/>
                <w:color w:val="0D0D0D"/>
                <w:spacing w:val="-4"/>
              </w:rPr>
              <w:t>em poptávky po dopravě v souvislosti</w:t>
            </w:r>
            <w:r w:rsidRPr="00952517">
              <w:rPr>
                <w:rFonts w:cs="Arial"/>
                <w:color w:val="0D0D0D"/>
                <w:spacing w:val="-4"/>
              </w:rPr>
              <w:t xml:space="preserve"> </w:t>
            </w:r>
            <w:r>
              <w:rPr>
                <w:rFonts w:cs="Arial"/>
                <w:color w:val="0D0D0D"/>
                <w:spacing w:val="-4"/>
              </w:rPr>
              <w:t xml:space="preserve">s pokračujícím </w:t>
            </w:r>
            <w:r w:rsidRPr="00952517">
              <w:rPr>
                <w:rFonts w:cs="Arial"/>
                <w:color w:val="0D0D0D"/>
                <w:spacing w:val="-4"/>
              </w:rPr>
              <w:t>hospodářským růstem.</w:t>
            </w:r>
          </w:p>
          <w:p w:rsidR="008A03DE" w:rsidRPr="008A03DE" w:rsidRDefault="008A03DE" w:rsidP="008A03DE">
            <w:pPr>
              <w:pStyle w:val="Textpoznpodarou"/>
              <w:jc w:val="both"/>
              <w:rPr>
                <w:rFonts w:cs="Arial"/>
                <w:color w:val="0D0D0D"/>
                <w:spacing w:val="-4"/>
                <w:sz w:val="13"/>
                <w:szCs w:val="13"/>
              </w:rPr>
            </w:pPr>
          </w:p>
        </w:tc>
      </w:tr>
      <w:tr w:rsidR="008A03DE" w:rsidRPr="00A90EFD" w:rsidTr="008A03DE">
        <w:tc>
          <w:tcPr>
            <w:tcW w:w="1054" w:type="pct"/>
          </w:tcPr>
          <w:p w:rsidR="008A03DE" w:rsidRPr="00105ED0" w:rsidRDefault="008A03DE" w:rsidP="008A03DE">
            <w:pPr>
              <w:spacing w:line="240" w:lineRule="auto"/>
              <w:rPr>
                <w:rFonts w:cs="Arial"/>
                <w:bCs/>
                <w:iCs/>
                <w:color w:val="0D0D0D"/>
                <w:sz w:val="16"/>
                <w:szCs w:val="16"/>
              </w:rPr>
            </w:pPr>
            <w:r>
              <w:rPr>
                <w:rFonts w:cs="Arial"/>
                <w:bCs/>
                <w:iCs/>
                <w:color w:val="0D0D0D"/>
                <w:sz w:val="16"/>
                <w:szCs w:val="16"/>
              </w:rPr>
              <w:t xml:space="preserve">Inkaso daně z příjmů právnických osob rostlo nejrychleji od konjunkturního roku 2008, </w:t>
            </w:r>
            <w:r w:rsidRPr="00875898">
              <w:rPr>
                <w:rFonts w:cs="Arial"/>
                <w:spacing w:val="-4"/>
                <w:sz w:val="16"/>
                <w:szCs w:val="16"/>
              </w:rPr>
              <w:t>těžilo</w:t>
            </w:r>
            <w:r>
              <w:rPr>
                <w:rFonts w:cs="Arial"/>
                <w:spacing w:val="-4"/>
                <w:sz w:val="16"/>
                <w:szCs w:val="16"/>
              </w:rPr>
              <w:t xml:space="preserve"> hlavně ze</w:t>
            </w:r>
            <w:r w:rsidRPr="00875898">
              <w:rPr>
                <w:rFonts w:cs="Arial"/>
                <w:spacing w:val="-4"/>
                <w:sz w:val="16"/>
                <w:szCs w:val="16"/>
              </w:rPr>
              <w:t xml:space="preserve"> sílících zisků podniků </w:t>
            </w:r>
            <w:r>
              <w:rPr>
                <w:rFonts w:cs="Arial"/>
                <w:spacing w:val="-4"/>
                <w:sz w:val="16"/>
                <w:szCs w:val="16"/>
              </w:rPr>
              <w:t>v letech 2014 a</w:t>
            </w:r>
            <w:r w:rsidR="000117CA">
              <w:rPr>
                <w:rFonts w:cs="Arial"/>
                <w:color w:val="0D0D0D"/>
                <w:spacing w:val="-4"/>
                <w:sz w:val="16"/>
                <w:szCs w:val="16"/>
              </w:rPr>
              <w:t> </w:t>
            </w:r>
            <w:r>
              <w:rPr>
                <w:rFonts w:cs="Arial"/>
                <w:spacing w:val="-4"/>
                <w:sz w:val="16"/>
                <w:szCs w:val="16"/>
              </w:rPr>
              <w:t>2015.</w:t>
            </w:r>
          </w:p>
        </w:tc>
        <w:tc>
          <w:tcPr>
            <w:tcW w:w="142" w:type="pct"/>
          </w:tcPr>
          <w:p w:rsidR="008A03DE" w:rsidRPr="00A90EFD" w:rsidRDefault="008A03DE" w:rsidP="008A03DE">
            <w:pPr>
              <w:pStyle w:val="Textpoznpodarou"/>
              <w:jc w:val="both"/>
              <w:rPr>
                <w:rFonts w:cs="Arial"/>
                <w:color w:val="0D0D0D"/>
              </w:rPr>
            </w:pPr>
          </w:p>
        </w:tc>
        <w:tc>
          <w:tcPr>
            <w:tcW w:w="3804" w:type="pct"/>
          </w:tcPr>
          <w:p w:rsidR="008A03DE" w:rsidRPr="00A02216" w:rsidRDefault="008A03DE" w:rsidP="008A03DE">
            <w:pPr>
              <w:pStyle w:val="Textpoznpodarou"/>
              <w:jc w:val="both"/>
              <w:rPr>
                <w:rFonts w:cs="Arial"/>
                <w:color w:val="0D0D0D"/>
                <w:spacing w:val="-4"/>
              </w:rPr>
            </w:pPr>
            <w:r>
              <w:rPr>
                <w:rFonts w:cs="Arial"/>
                <w:color w:val="0D0D0D"/>
                <w:spacing w:val="-4"/>
              </w:rPr>
              <w:t>Celostátní výběr korporátních daní pokračoval ve svižném růstu. V roce 2016 ještě zrychlil na 11,7 % (z předloňských 11,4 %) a téměř o celou desetinu (14,5 mld. korun) překonal rozpočtová očekávání. Na rozdíl od ostatních daní nebyl za posledních pět let významně ovlivněn legislativními vlivy a zřetelněji tak odrážel příznivý vývoj míry zisku podniků po roce 2013. Navzdory tomu se loňský výběr daně (164,7 mld.) stále nacházel o desetinu pod svým předkrizovým maximem z roku 2008</w:t>
            </w:r>
            <w:r>
              <w:rPr>
                <w:rStyle w:val="Znakapoznpodarou"/>
                <w:color w:val="0D0D0D"/>
                <w:spacing w:val="-4"/>
              </w:rPr>
              <w:footnoteReference w:id="33"/>
            </w:r>
            <w:r>
              <w:rPr>
                <w:rFonts w:cs="Arial"/>
                <w:color w:val="0D0D0D"/>
                <w:spacing w:val="-4"/>
              </w:rPr>
              <w:t>.</w:t>
            </w:r>
          </w:p>
          <w:p w:rsidR="008A03DE" w:rsidRPr="008A03DE" w:rsidRDefault="008A03DE" w:rsidP="008A03DE">
            <w:pPr>
              <w:pStyle w:val="Textpoznpodarou"/>
              <w:jc w:val="both"/>
              <w:rPr>
                <w:rFonts w:cs="Arial"/>
                <w:color w:val="0D0D0D"/>
                <w:spacing w:val="-4"/>
                <w:sz w:val="13"/>
                <w:szCs w:val="13"/>
              </w:rPr>
            </w:pPr>
          </w:p>
        </w:tc>
      </w:tr>
      <w:tr w:rsidR="008A03DE" w:rsidRPr="00A90EFD" w:rsidTr="008A03DE">
        <w:tc>
          <w:tcPr>
            <w:tcW w:w="1054" w:type="pct"/>
          </w:tcPr>
          <w:p w:rsidR="008A03DE" w:rsidRPr="00997D4E" w:rsidRDefault="008A03DE" w:rsidP="008A03DE">
            <w:pPr>
              <w:spacing w:line="240" w:lineRule="auto"/>
              <w:rPr>
                <w:rFonts w:cs="Arial"/>
                <w:bCs/>
                <w:iCs/>
                <w:color w:val="0D0D0D"/>
                <w:spacing w:val="-4"/>
                <w:sz w:val="16"/>
                <w:szCs w:val="16"/>
              </w:rPr>
            </w:pPr>
            <w:r w:rsidRPr="00997D4E">
              <w:rPr>
                <w:rFonts w:cs="Arial"/>
                <w:bCs/>
                <w:iCs/>
                <w:color w:val="0D0D0D"/>
                <w:spacing w:val="-4"/>
                <w:sz w:val="16"/>
                <w:szCs w:val="16"/>
              </w:rPr>
              <w:t>Inkaso DPFO ze závislé činnosti rostlo nejvíce od roku 2007 vlivem velmi dobré kondice pracovního trhu, zvýšil se i výběr daně od podnikajících fyzických osob…</w:t>
            </w:r>
          </w:p>
          <w:p w:rsidR="008A03DE" w:rsidRPr="00997D4E" w:rsidRDefault="008A03DE" w:rsidP="008A03DE">
            <w:pPr>
              <w:spacing w:line="240" w:lineRule="auto"/>
              <w:rPr>
                <w:rFonts w:cs="Arial"/>
                <w:bCs/>
                <w:iCs/>
                <w:color w:val="0D0D0D"/>
                <w:spacing w:val="-4"/>
                <w:sz w:val="16"/>
                <w:szCs w:val="16"/>
              </w:rPr>
            </w:pPr>
          </w:p>
          <w:p w:rsidR="008A03DE" w:rsidRPr="00B47686" w:rsidRDefault="008A03DE" w:rsidP="008A03DE">
            <w:pPr>
              <w:spacing w:line="240" w:lineRule="auto"/>
              <w:rPr>
                <w:rFonts w:cs="Arial"/>
                <w:bCs/>
                <w:iCs/>
                <w:color w:val="0D0D0D"/>
                <w:spacing w:val="-2"/>
                <w:sz w:val="16"/>
                <w:szCs w:val="16"/>
              </w:rPr>
            </w:pPr>
            <w:r w:rsidRPr="00997D4E">
              <w:rPr>
                <w:rFonts w:cs="Arial"/>
                <w:bCs/>
                <w:iCs/>
                <w:color w:val="0D0D0D"/>
                <w:spacing w:val="-4"/>
                <w:sz w:val="16"/>
                <w:szCs w:val="16"/>
              </w:rPr>
              <w:t>…naopak dynamika u DPFO z kapitálových výnosů byla střídmá</w:t>
            </w:r>
            <w:r>
              <w:rPr>
                <w:rFonts w:cs="Arial"/>
                <w:bCs/>
                <w:iCs/>
                <w:color w:val="0D0D0D"/>
                <w:spacing w:val="-4"/>
                <w:sz w:val="16"/>
                <w:szCs w:val="16"/>
              </w:rPr>
              <w:t xml:space="preserve"> a zůstala těsně za rozpočtovým</w:t>
            </w:r>
            <w:r w:rsidRPr="00997D4E">
              <w:rPr>
                <w:rFonts w:cs="Arial"/>
                <w:bCs/>
                <w:iCs/>
                <w:color w:val="0D0D0D"/>
                <w:spacing w:val="-4"/>
                <w:sz w:val="16"/>
                <w:szCs w:val="16"/>
              </w:rPr>
              <w:t xml:space="preserve"> očekáváním</w:t>
            </w:r>
            <w:r>
              <w:rPr>
                <w:rFonts w:cs="Arial"/>
                <w:bCs/>
                <w:iCs/>
                <w:color w:val="0D0D0D"/>
                <w:spacing w:val="-4"/>
                <w:sz w:val="16"/>
                <w:szCs w:val="16"/>
              </w:rPr>
              <w:t>.</w:t>
            </w:r>
          </w:p>
        </w:tc>
        <w:tc>
          <w:tcPr>
            <w:tcW w:w="142" w:type="pct"/>
          </w:tcPr>
          <w:p w:rsidR="008A03DE" w:rsidRPr="00807B25" w:rsidRDefault="008A03DE" w:rsidP="008A03DE">
            <w:pPr>
              <w:pStyle w:val="Textpoznpodarou"/>
              <w:jc w:val="both"/>
              <w:rPr>
                <w:rFonts w:cs="Arial"/>
                <w:color w:val="0D0D0D"/>
                <w:spacing w:val="-4"/>
              </w:rPr>
            </w:pPr>
          </w:p>
        </w:tc>
        <w:tc>
          <w:tcPr>
            <w:tcW w:w="3804" w:type="pct"/>
          </w:tcPr>
          <w:p w:rsidR="008A03DE" w:rsidRDefault="008A03DE" w:rsidP="008A03DE">
            <w:pPr>
              <w:pStyle w:val="Textpoznpodarou"/>
              <w:jc w:val="both"/>
              <w:rPr>
                <w:rFonts w:cs="Arial"/>
                <w:spacing w:val="-4"/>
              </w:rPr>
            </w:pPr>
            <w:r>
              <w:rPr>
                <w:rFonts w:cs="Arial"/>
                <w:spacing w:val="-4"/>
              </w:rPr>
              <w:t xml:space="preserve">Meziroční tempo celostátního výběru daní z příjmu fyzických osob (DPFO) se více než zdvojnásobilo (na 11,7 %), primárně vlivem daňových odvodů ze závislé činnosti. </w:t>
            </w:r>
            <w:r w:rsidRPr="009B3790">
              <w:rPr>
                <w:rFonts w:cs="Arial"/>
                <w:spacing w:val="-4"/>
              </w:rPr>
              <w:t>Přispěl k tomu</w:t>
            </w:r>
            <w:r>
              <w:rPr>
                <w:rFonts w:cs="Arial"/>
                <w:spacing w:val="-4"/>
              </w:rPr>
              <w:t xml:space="preserve"> rekordní počet pracujících podpořený i nadále pokračující redukcí počtu nezaměstnaných, jakož i sílící mzdová d</w:t>
            </w:r>
            <w:r w:rsidR="000916B1">
              <w:rPr>
                <w:rFonts w:cs="Arial"/>
                <w:spacing w:val="-4"/>
              </w:rPr>
              <w:t>ynamika ve většině odvětví</w:t>
            </w:r>
            <w:r>
              <w:rPr>
                <w:rStyle w:val="Znakapoznpodarou"/>
                <w:spacing w:val="-4"/>
              </w:rPr>
              <w:footnoteReference w:id="34"/>
            </w:r>
            <w:r w:rsidR="000916B1">
              <w:rPr>
                <w:rFonts w:cs="Arial"/>
                <w:spacing w:val="-4"/>
              </w:rPr>
              <w:t>.</w:t>
            </w:r>
            <w:r>
              <w:rPr>
                <w:rFonts w:cs="Arial"/>
                <w:spacing w:val="-4"/>
              </w:rPr>
              <w:t xml:space="preserve"> Citelně se vloni navýšil i výběr DPFO na základě přiznání (na téměř 7 mld., nejvyšší inkaso od roku 2010), což souviselo nejen se ziskovostí podnik</w:t>
            </w:r>
            <w:r w:rsidR="000916B1">
              <w:rPr>
                <w:rFonts w:cs="Arial"/>
                <w:spacing w:val="-4"/>
              </w:rPr>
              <w:t>ajících fyzických osob, nýbrž i</w:t>
            </w:r>
            <w:r w:rsidR="000916B1" w:rsidRPr="009B3790">
              <w:rPr>
                <w:rFonts w:cs="Arial"/>
                <w:spacing w:val="-4"/>
              </w:rPr>
              <w:t> </w:t>
            </w:r>
            <w:r>
              <w:rPr>
                <w:rFonts w:cs="Arial"/>
                <w:spacing w:val="-4"/>
              </w:rPr>
              <w:t>s omezením výše výdajových paušálů. Podobně jako v roce 2015 pokračoval i vloni dvojciferný růst výběru daně z nabytí nemovitých věcí poukazující na další oživení realitního trhu vlivem rostoucích disponibilních příjmů domácností i přetrvávajících nízkých úrokových sazeb.</w:t>
            </w:r>
          </w:p>
          <w:p w:rsidR="008A03DE" w:rsidRPr="00CD3F70" w:rsidRDefault="008A03DE" w:rsidP="008A03DE">
            <w:pPr>
              <w:pStyle w:val="Textpoznpodarou"/>
              <w:jc w:val="both"/>
              <w:rPr>
                <w:rFonts w:cs="Arial"/>
                <w:spacing w:val="-4"/>
                <w:sz w:val="14"/>
                <w:szCs w:val="14"/>
              </w:rPr>
            </w:pPr>
          </w:p>
        </w:tc>
      </w:tr>
      <w:tr w:rsidR="008A03DE" w:rsidRPr="00A90EFD" w:rsidTr="008A03DE">
        <w:tc>
          <w:tcPr>
            <w:tcW w:w="1054" w:type="pct"/>
          </w:tcPr>
          <w:p w:rsidR="008A03DE" w:rsidRPr="00E63C7F" w:rsidRDefault="008A03DE" w:rsidP="008A03DE">
            <w:pPr>
              <w:spacing w:line="240" w:lineRule="auto"/>
              <w:rPr>
                <w:rFonts w:cs="Arial"/>
                <w:bCs/>
                <w:iCs/>
                <w:color w:val="0D0D0D"/>
                <w:spacing w:val="-2"/>
                <w:sz w:val="16"/>
                <w:szCs w:val="16"/>
              </w:rPr>
            </w:pPr>
            <w:r>
              <w:rPr>
                <w:rFonts w:cs="Arial"/>
                <w:bCs/>
                <w:iCs/>
                <w:color w:val="0D0D0D"/>
                <w:spacing w:val="-2"/>
                <w:sz w:val="16"/>
                <w:szCs w:val="16"/>
              </w:rPr>
              <w:t>Rekordní hloubka poklesu celkových výdajů SR vlivem meziročního propadu investic, ale i střídmého růstu běžných výdajů.</w:t>
            </w:r>
          </w:p>
        </w:tc>
        <w:tc>
          <w:tcPr>
            <w:tcW w:w="142" w:type="pct"/>
          </w:tcPr>
          <w:p w:rsidR="008A03DE" w:rsidRPr="00F77F65" w:rsidRDefault="008A03DE" w:rsidP="008A03DE">
            <w:pPr>
              <w:pStyle w:val="Textpoznpodarou"/>
              <w:jc w:val="both"/>
              <w:rPr>
                <w:rFonts w:cs="Arial"/>
                <w:color w:val="0D0D0D"/>
                <w:spacing w:val="-4"/>
              </w:rPr>
            </w:pPr>
          </w:p>
        </w:tc>
        <w:tc>
          <w:tcPr>
            <w:tcW w:w="3804" w:type="pct"/>
          </w:tcPr>
          <w:p w:rsidR="001857D6" w:rsidRDefault="008A03DE" w:rsidP="008A03DE">
            <w:pPr>
              <w:pStyle w:val="Textpoznpodarou"/>
              <w:jc w:val="both"/>
              <w:rPr>
                <w:rFonts w:cs="Arial"/>
                <w:color w:val="0D0D0D"/>
                <w:spacing w:val="-4"/>
              </w:rPr>
            </w:pPr>
            <w:r>
              <w:rPr>
                <w:rFonts w:cs="Arial"/>
                <w:color w:val="0D0D0D"/>
                <w:spacing w:val="-4"/>
              </w:rPr>
              <w:t>Celkové výdaje SR se vloni snížily o 6,0 %. Jednalo se o nejhlubší meziroční pokles výdajů v éře samostatné ČR. Prudký, avšak rozpočtově očekávaný propad investic (o 52 % meziročně) nebyl kompenzován odpovídajícím růstem běžných výdajů – ty posílily o 1,2 % (nejméně za poslední čtyři roky), když výrazná většina dílčích výdajů (vč. důchodů či ostatních sociálních dávek) nenaplnila rozpočtová očekávání.</w:t>
            </w:r>
          </w:p>
          <w:p w:rsidR="008A03DE" w:rsidRPr="00B84BC0" w:rsidRDefault="008A03DE" w:rsidP="008A03DE">
            <w:pPr>
              <w:pStyle w:val="Textpoznpodarou"/>
              <w:jc w:val="both"/>
              <w:rPr>
                <w:rFonts w:cs="Arial"/>
                <w:color w:val="0D0D0D"/>
                <w:spacing w:val="-4"/>
              </w:rPr>
            </w:pPr>
            <w:r>
              <w:rPr>
                <w:rFonts w:cs="Arial"/>
                <w:color w:val="0D0D0D"/>
                <w:spacing w:val="-4"/>
              </w:rPr>
              <w:t xml:space="preserve"> </w:t>
            </w:r>
          </w:p>
        </w:tc>
      </w:tr>
      <w:tr w:rsidR="008A03DE" w:rsidRPr="00A90EFD" w:rsidTr="008A03DE">
        <w:tc>
          <w:tcPr>
            <w:tcW w:w="1054" w:type="pct"/>
          </w:tcPr>
          <w:p w:rsidR="008A03DE" w:rsidRPr="00F745A4" w:rsidRDefault="008A03DE" w:rsidP="008A03DE">
            <w:pPr>
              <w:spacing w:line="240" w:lineRule="auto"/>
              <w:rPr>
                <w:rFonts w:cs="Arial"/>
                <w:bCs/>
                <w:iCs/>
                <w:color w:val="0D0D0D"/>
                <w:spacing w:val="-4"/>
                <w:sz w:val="16"/>
                <w:szCs w:val="16"/>
              </w:rPr>
            </w:pPr>
            <w:r>
              <w:rPr>
                <w:rFonts w:cs="Arial"/>
                <w:bCs/>
                <w:iCs/>
                <w:color w:val="0D0D0D"/>
                <w:spacing w:val="-4"/>
                <w:sz w:val="16"/>
                <w:szCs w:val="16"/>
              </w:rPr>
              <w:lastRenderedPageBreak/>
              <w:t>Podíl investic na všech výdajích SR vloni poklesl pod 7 %, při zohlednění mimořádného roku 2015 však plně zapadá do dlouhodobého vývoje.</w:t>
            </w:r>
          </w:p>
        </w:tc>
        <w:tc>
          <w:tcPr>
            <w:tcW w:w="142" w:type="pct"/>
          </w:tcPr>
          <w:p w:rsidR="008A03DE" w:rsidRPr="00782BA5" w:rsidRDefault="008A03DE" w:rsidP="008A03DE">
            <w:pPr>
              <w:pStyle w:val="Textpoznpodarou"/>
              <w:jc w:val="both"/>
              <w:rPr>
                <w:rFonts w:cs="Arial"/>
                <w:color w:val="000000"/>
                <w:spacing w:val="-4"/>
              </w:rPr>
            </w:pPr>
          </w:p>
        </w:tc>
        <w:tc>
          <w:tcPr>
            <w:tcW w:w="3804" w:type="pct"/>
          </w:tcPr>
          <w:p w:rsidR="008A03DE" w:rsidRPr="00BC6F32" w:rsidRDefault="008A03DE" w:rsidP="008A03DE">
            <w:pPr>
              <w:pStyle w:val="Textpoznpodarou"/>
              <w:jc w:val="both"/>
              <w:rPr>
                <w:rFonts w:cs="Arial"/>
                <w:color w:val="000000"/>
                <w:spacing w:val="-4"/>
              </w:rPr>
            </w:pPr>
            <w:r>
              <w:rPr>
                <w:rFonts w:cs="Arial"/>
                <w:color w:val="000000"/>
                <w:spacing w:val="-4"/>
              </w:rPr>
              <w:t>Prudký pokles kapitálových výdajů (o 91 mld. korun) souvisel s mimořádně vysokou základnou roku 2015 a také s očekávaným pomalejším čerpáním prostředků na společné projekty ČR a EU na startu nového programového období</w:t>
            </w:r>
            <w:r>
              <w:rPr>
                <w:rStyle w:val="Znakapoznpodarou"/>
                <w:color w:val="000000"/>
                <w:spacing w:val="-4"/>
              </w:rPr>
              <w:footnoteReference w:id="35"/>
            </w:r>
            <w:r>
              <w:rPr>
                <w:rFonts w:cs="Arial"/>
                <w:color w:val="000000"/>
                <w:spacing w:val="-4"/>
              </w:rPr>
              <w:t>. Mírné zrychlení toku investic na sklonku loňského roku zajistilo dosažení státním rozpočtem očekávané celoroční částky. Podíl investic na celkových rozpočtových výdajích loni klesl na rekordně nízkých 6,9 %. Pokud bychom však zohlednili i rok 2015, pak by obdobný podíl v tomto dvouletém období nijak nevybočoval z dlouhodobé úrovně</w:t>
            </w:r>
            <w:r>
              <w:rPr>
                <w:rStyle w:val="Znakapoznpodarou"/>
                <w:color w:val="000000"/>
                <w:spacing w:val="-4"/>
              </w:rPr>
              <w:footnoteReference w:id="36"/>
            </w:r>
            <w:r>
              <w:rPr>
                <w:rFonts w:cs="Arial"/>
                <w:color w:val="000000"/>
                <w:spacing w:val="-4"/>
              </w:rPr>
              <w:t xml:space="preserve">.  </w:t>
            </w:r>
          </w:p>
          <w:p w:rsidR="008A03DE" w:rsidRPr="00952517" w:rsidRDefault="008A03DE" w:rsidP="008A03DE">
            <w:pPr>
              <w:pStyle w:val="Textpoznpodarou"/>
              <w:jc w:val="both"/>
              <w:rPr>
                <w:rFonts w:cs="Arial"/>
                <w:color w:val="000000"/>
                <w:spacing w:val="-4"/>
                <w:sz w:val="15"/>
                <w:szCs w:val="15"/>
              </w:rPr>
            </w:pPr>
          </w:p>
        </w:tc>
      </w:tr>
      <w:tr w:rsidR="008A03DE" w:rsidRPr="00A90EFD" w:rsidTr="008A03DE">
        <w:tc>
          <w:tcPr>
            <w:tcW w:w="1054" w:type="pct"/>
          </w:tcPr>
          <w:p w:rsidR="008A03DE" w:rsidRPr="006E7FAA" w:rsidRDefault="008A03DE" w:rsidP="008A03DE">
            <w:pPr>
              <w:spacing w:line="240" w:lineRule="auto"/>
              <w:rPr>
                <w:rFonts w:cs="Arial"/>
                <w:color w:val="0D0D0D"/>
                <w:spacing w:val="-2"/>
                <w:sz w:val="16"/>
                <w:szCs w:val="16"/>
              </w:rPr>
            </w:pPr>
            <w:r>
              <w:rPr>
                <w:rFonts w:cs="Arial"/>
                <w:color w:val="0D0D0D"/>
                <w:spacing w:val="-2"/>
                <w:sz w:val="16"/>
                <w:szCs w:val="16"/>
              </w:rPr>
              <w:t>Umírněný růst výdajů na důchody v kombinaci s dynamickým růstem výběru povinného pojistného vyústil v nejnižší deficit důchodového účtu za posledních osm let.</w:t>
            </w:r>
          </w:p>
        </w:tc>
        <w:tc>
          <w:tcPr>
            <w:tcW w:w="142" w:type="pct"/>
          </w:tcPr>
          <w:p w:rsidR="008A03DE" w:rsidRPr="00A90EFD" w:rsidRDefault="008A03DE" w:rsidP="008A03DE">
            <w:pPr>
              <w:pStyle w:val="Textpoznpodarou"/>
              <w:jc w:val="both"/>
              <w:rPr>
                <w:rFonts w:cs="Arial"/>
                <w:color w:val="0D0D0D"/>
              </w:rPr>
            </w:pPr>
          </w:p>
        </w:tc>
        <w:tc>
          <w:tcPr>
            <w:tcW w:w="3804" w:type="pct"/>
          </w:tcPr>
          <w:p w:rsidR="008A03DE" w:rsidRPr="009B3790" w:rsidRDefault="000117CA" w:rsidP="008A03DE">
            <w:pPr>
              <w:pStyle w:val="Textpoznpodarou"/>
              <w:jc w:val="both"/>
              <w:rPr>
                <w:rFonts w:cs="Arial"/>
                <w:color w:val="0D0D0D"/>
                <w:spacing w:val="-4"/>
              </w:rPr>
            </w:pPr>
            <w:r>
              <w:rPr>
                <w:rFonts w:cs="Arial"/>
                <w:color w:val="0D0D0D"/>
                <w:spacing w:val="-4"/>
              </w:rPr>
              <w:t>Plných 45 % běžných výdajů</w:t>
            </w:r>
            <w:r w:rsidR="008A03DE" w:rsidRPr="009B3790">
              <w:rPr>
                <w:rFonts w:cs="Arial"/>
                <w:color w:val="0D0D0D"/>
                <w:spacing w:val="-4"/>
              </w:rPr>
              <w:t xml:space="preserve"> směřovalo </w:t>
            </w:r>
            <w:r>
              <w:rPr>
                <w:rFonts w:cs="Arial"/>
                <w:color w:val="0D0D0D"/>
                <w:spacing w:val="-4"/>
              </w:rPr>
              <w:t xml:space="preserve">loni </w:t>
            </w:r>
            <w:r w:rsidR="008A03DE" w:rsidRPr="009B3790">
              <w:rPr>
                <w:rFonts w:cs="Arial"/>
                <w:color w:val="0D0D0D"/>
                <w:spacing w:val="-4"/>
              </w:rPr>
              <w:t>na sociální dávky, z nichž dominantní část tradičně tvořily výdaje na důchody. Ty i díky jednorázovému únorovému příspěvku (v</w:t>
            </w:r>
            <w:r w:rsidR="008A03DE" w:rsidRPr="009B3790">
              <w:rPr>
                <w:rFonts w:cs="Arial"/>
                <w:color w:val="000000"/>
                <w:spacing w:val="-4"/>
              </w:rPr>
              <w:t> </w:t>
            </w:r>
            <w:r w:rsidR="008A03DE" w:rsidRPr="009B3790">
              <w:rPr>
                <w:rFonts w:cs="Arial"/>
                <w:color w:val="0D0D0D"/>
                <w:spacing w:val="-4"/>
              </w:rPr>
              <w:t>úhrnné výši 3,5 mld. korun) meziročně posílily o 1,0 %. V roce 2015 však byla meziroční dynamika silnější (2,4 %), neboť reflektovala vyšší výdaje v souvislosti s návratem k tradičnímu valorizačnímu schématu důchodů</w:t>
            </w:r>
            <w:r w:rsidR="008A03DE" w:rsidRPr="009B3790">
              <w:rPr>
                <w:rStyle w:val="Znakapoznpodarou"/>
                <w:color w:val="0D0D0D"/>
                <w:spacing w:val="-4"/>
              </w:rPr>
              <w:footnoteReference w:id="37"/>
            </w:r>
            <w:r w:rsidR="008A03DE" w:rsidRPr="009B3790">
              <w:rPr>
                <w:rFonts w:cs="Arial"/>
                <w:color w:val="0D0D0D"/>
                <w:spacing w:val="-4"/>
              </w:rPr>
              <w:t xml:space="preserve">. </w:t>
            </w:r>
            <w:r w:rsidR="008A03DE">
              <w:rPr>
                <w:rFonts w:cs="Arial"/>
                <w:color w:val="0D0D0D"/>
                <w:spacing w:val="-4"/>
              </w:rPr>
              <w:t>V l</w:t>
            </w:r>
            <w:r w:rsidR="008A03DE" w:rsidRPr="009B3790">
              <w:rPr>
                <w:rFonts w:cs="Arial"/>
                <w:color w:val="0D0D0D"/>
                <w:spacing w:val="-4"/>
              </w:rPr>
              <w:t>oňské</w:t>
            </w:r>
            <w:r w:rsidR="008A03DE">
              <w:rPr>
                <w:rFonts w:cs="Arial"/>
                <w:color w:val="0D0D0D"/>
                <w:spacing w:val="-4"/>
              </w:rPr>
              <w:t>m tempu</w:t>
            </w:r>
            <w:r w:rsidR="008A03DE" w:rsidRPr="009B3790">
              <w:rPr>
                <w:rFonts w:cs="Arial"/>
                <w:color w:val="0D0D0D"/>
                <w:spacing w:val="-4"/>
              </w:rPr>
              <w:t xml:space="preserve"> </w:t>
            </w:r>
            <w:r w:rsidR="008A03DE">
              <w:rPr>
                <w:rFonts w:cs="Arial"/>
                <w:color w:val="0D0D0D"/>
                <w:spacing w:val="-4"/>
              </w:rPr>
              <w:t xml:space="preserve">objemu </w:t>
            </w:r>
            <w:r w:rsidR="008A03DE" w:rsidRPr="009B3790">
              <w:rPr>
                <w:rFonts w:cs="Arial"/>
                <w:color w:val="0D0D0D"/>
                <w:spacing w:val="-4"/>
              </w:rPr>
              <w:t>v</w:t>
            </w:r>
            <w:r w:rsidR="008A03DE">
              <w:rPr>
                <w:rFonts w:cs="Arial"/>
                <w:color w:val="0D0D0D"/>
                <w:spacing w:val="-4"/>
              </w:rPr>
              <w:t>ýdajů na důchody se projevilo i</w:t>
            </w:r>
            <w:r w:rsidR="008A03DE" w:rsidRPr="009B3790">
              <w:rPr>
                <w:rFonts w:cs="Arial"/>
                <w:color w:val="0D0D0D"/>
                <w:spacing w:val="-4"/>
              </w:rPr>
              <w:t xml:space="preserve"> mírné navýš</w:t>
            </w:r>
            <w:r w:rsidR="00EA78FE">
              <w:rPr>
                <w:rFonts w:cs="Arial"/>
                <w:color w:val="0D0D0D"/>
                <w:spacing w:val="-4"/>
              </w:rPr>
              <w:t>ení počtu jejich příjemců (+0,3</w:t>
            </w:r>
            <w:r w:rsidR="00EA78FE" w:rsidRPr="009B3790">
              <w:rPr>
                <w:rFonts w:cs="Arial"/>
                <w:color w:val="0D0D0D"/>
                <w:spacing w:val="-4"/>
              </w:rPr>
              <w:t> </w:t>
            </w:r>
            <w:r w:rsidR="008A03DE" w:rsidRPr="009B3790">
              <w:rPr>
                <w:rFonts w:cs="Arial"/>
                <w:color w:val="0D0D0D"/>
                <w:spacing w:val="-4"/>
              </w:rPr>
              <w:t>%). Dynamičtěji se navyšoval počet osob s trvale kráceným starobním důchodem, jejich podíl ze všech příjemců starobního d</w:t>
            </w:r>
            <w:r w:rsidR="00EA78FE">
              <w:rPr>
                <w:rFonts w:cs="Arial"/>
                <w:color w:val="0D0D0D"/>
                <w:spacing w:val="-4"/>
              </w:rPr>
              <w:t>ůchodu loni poprvé překročil 25</w:t>
            </w:r>
            <w:r w:rsidR="00EA78FE" w:rsidRPr="009B3790">
              <w:rPr>
                <w:rFonts w:cs="Arial"/>
                <w:color w:val="0D0D0D"/>
                <w:spacing w:val="-4"/>
              </w:rPr>
              <w:t> </w:t>
            </w:r>
            <w:r w:rsidR="008A03DE" w:rsidRPr="009B3790">
              <w:rPr>
                <w:rFonts w:cs="Arial"/>
                <w:color w:val="0D0D0D"/>
                <w:spacing w:val="-4"/>
              </w:rPr>
              <w:t xml:space="preserve">%. </w:t>
            </w:r>
            <w:r w:rsidR="008A03DE" w:rsidRPr="009B3790">
              <w:rPr>
                <w:rFonts w:cs="Arial"/>
                <w:color w:val="000000"/>
                <w:spacing w:val="-4"/>
              </w:rPr>
              <w:t>Deficit salda důchodového účtu (rozdíl mezi příjmy a výdaji na důchody ze SR) dosáhl 16,5 mld. korun a proti roku 2015 se zredukoval o více než polovinu.</w:t>
            </w:r>
          </w:p>
          <w:p w:rsidR="008A03DE" w:rsidRPr="00952517" w:rsidRDefault="008A03DE" w:rsidP="008A03DE">
            <w:pPr>
              <w:pStyle w:val="Textpoznpodarou"/>
              <w:jc w:val="both"/>
              <w:rPr>
                <w:rFonts w:cs="Arial"/>
                <w:color w:val="0D0D0D"/>
                <w:spacing w:val="-4"/>
                <w:sz w:val="15"/>
                <w:szCs w:val="15"/>
              </w:rPr>
            </w:pPr>
          </w:p>
        </w:tc>
      </w:tr>
      <w:tr w:rsidR="008A03DE" w:rsidRPr="00A90EFD" w:rsidTr="008A03DE">
        <w:tc>
          <w:tcPr>
            <w:tcW w:w="1054" w:type="pct"/>
          </w:tcPr>
          <w:p w:rsidR="008A03DE" w:rsidRDefault="008A03DE" w:rsidP="008A03DE">
            <w:pPr>
              <w:spacing w:line="240" w:lineRule="auto"/>
              <w:rPr>
                <w:rFonts w:cs="Arial"/>
                <w:bCs/>
                <w:iCs/>
                <w:color w:val="0D0D0D"/>
                <w:sz w:val="16"/>
                <w:szCs w:val="16"/>
              </w:rPr>
            </w:pPr>
            <w:r>
              <w:rPr>
                <w:rFonts w:cs="Arial"/>
                <w:bCs/>
                <w:iCs/>
                <w:color w:val="0D0D0D"/>
                <w:sz w:val="16"/>
                <w:szCs w:val="16"/>
              </w:rPr>
              <w:t>Výdaje na ostatní sociální dávky (bez důchodů) byly meziročně o 2,7 % vyšší, především</w:t>
            </w:r>
            <w:r w:rsidRPr="00335468">
              <w:rPr>
                <w:rFonts w:cs="Arial"/>
                <w:bCs/>
                <w:iCs/>
                <w:color w:val="0D0D0D"/>
                <w:sz w:val="16"/>
                <w:szCs w:val="16"/>
              </w:rPr>
              <w:t xml:space="preserve"> vlivem </w:t>
            </w:r>
            <w:r>
              <w:rPr>
                <w:rFonts w:cs="Arial"/>
                <w:bCs/>
                <w:iCs/>
                <w:color w:val="0D0D0D"/>
                <w:sz w:val="16"/>
                <w:szCs w:val="16"/>
              </w:rPr>
              <w:t xml:space="preserve">vyšších </w:t>
            </w:r>
            <w:r w:rsidRPr="00335468">
              <w:rPr>
                <w:rFonts w:cs="Arial"/>
                <w:bCs/>
                <w:iCs/>
                <w:color w:val="0D0D0D"/>
                <w:sz w:val="16"/>
                <w:szCs w:val="16"/>
              </w:rPr>
              <w:t>nemocenských dávek</w:t>
            </w:r>
            <w:r>
              <w:rPr>
                <w:rFonts w:cs="Arial"/>
                <w:bCs/>
                <w:iCs/>
                <w:color w:val="0D0D0D"/>
                <w:sz w:val="16"/>
                <w:szCs w:val="16"/>
              </w:rPr>
              <w:t>.</w:t>
            </w:r>
          </w:p>
          <w:p w:rsidR="008A03DE" w:rsidRDefault="008A03DE" w:rsidP="008A03DE">
            <w:pPr>
              <w:spacing w:line="240" w:lineRule="auto"/>
              <w:rPr>
                <w:rFonts w:cs="Arial"/>
                <w:bCs/>
                <w:iCs/>
                <w:color w:val="0D0D0D"/>
                <w:sz w:val="16"/>
                <w:szCs w:val="16"/>
              </w:rPr>
            </w:pPr>
          </w:p>
          <w:p w:rsidR="008A03DE" w:rsidRDefault="008A03DE" w:rsidP="008A03DE">
            <w:pPr>
              <w:spacing w:line="240" w:lineRule="auto"/>
              <w:rPr>
                <w:rFonts w:cs="Arial"/>
                <w:bCs/>
                <w:iCs/>
                <w:color w:val="0D0D0D"/>
                <w:sz w:val="16"/>
                <w:szCs w:val="16"/>
              </w:rPr>
            </w:pPr>
          </w:p>
          <w:p w:rsidR="008A03DE" w:rsidRDefault="008A03DE" w:rsidP="008A03DE">
            <w:pPr>
              <w:spacing w:line="240" w:lineRule="auto"/>
              <w:rPr>
                <w:rFonts w:cs="Arial"/>
                <w:bCs/>
                <w:iCs/>
                <w:color w:val="0D0D0D"/>
                <w:sz w:val="16"/>
                <w:szCs w:val="16"/>
              </w:rPr>
            </w:pPr>
          </w:p>
          <w:p w:rsidR="008A03DE" w:rsidRDefault="008A03DE" w:rsidP="008A03DE">
            <w:pPr>
              <w:spacing w:line="240" w:lineRule="auto"/>
              <w:rPr>
                <w:rFonts w:cs="Arial"/>
                <w:bCs/>
                <w:iCs/>
                <w:color w:val="0D0D0D"/>
                <w:sz w:val="16"/>
                <w:szCs w:val="16"/>
              </w:rPr>
            </w:pPr>
          </w:p>
          <w:p w:rsidR="008A03DE" w:rsidRPr="00EB0A9A" w:rsidRDefault="008A03DE" w:rsidP="008A03DE">
            <w:pPr>
              <w:spacing w:line="240" w:lineRule="auto"/>
              <w:rPr>
                <w:rFonts w:cs="Arial"/>
                <w:bCs/>
                <w:iCs/>
                <w:color w:val="0D0D0D"/>
                <w:sz w:val="16"/>
                <w:szCs w:val="16"/>
              </w:rPr>
            </w:pPr>
            <w:r>
              <w:rPr>
                <w:rFonts w:cs="Arial"/>
                <w:bCs/>
                <w:iCs/>
                <w:color w:val="0D0D0D"/>
                <w:sz w:val="16"/>
                <w:szCs w:val="16"/>
              </w:rPr>
              <w:t>Pokračující výraznější pokles dávek pomoci v hmotné nouzi dokládal zlepšující se finanční situaci domácností.</w:t>
            </w:r>
          </w:p>
        </w:tc>
        <w:tc>
          <w:tcPr>
            <w:tcW w:w="142" w:type="pct"/>
          </w:tcPr>
          <w:p w:rsidR="008A03DE" w:rsidRPr="00A90EFD" w:rsidRDefault="008A03DE" w:rsidP="008A03DE">
            <w:pPr>
              <w:pStyle w:val="Textpoznpodarou"/>
              <w:jc w:val="both"/>
              <w:rPr>
                <w:rFonts w:cs="Arial"/>
                <w:color w:val="0D0D0D"/>
              </w:rPr>
            </w:pPr>
          </w:p>
        </w:tc>
        <w:tc>
          <w:tcPr>
            <w:tcW w:w="3804" w:type="pct"/>
          </w:tcPr>
          <w:p w:rsidR="008A03DE" w:rsidRPr="006246AD" w:rsidRDefault="00EA78FE" w:rsidP="008A03DE">
            <w:pPr>
              <w:pStyle w:val="Textpoznpodarou"/>
              <w:jc w:val="both"/>
              <w:rPr>
                <w:rFonts w:cs="Arial"/>
                <w:color w:val="0D0D0D"/>
                <w:spacing w:val="-4"/>
              </w:rPr>
            </w:pPr>
            <w:r>
              <w:rPr>
                <w:rFonts w:cs="Arial"/>
                <w:color w:val="0D0D0D"/>
                <w:spacing w:val="-4"/>
              </w:rPr>
              <w:t>Na rozdíl od roku 2015</w:t>
            </w:r>
            <w:r w:rsidR="008A03DE">
              <w:rPr>
                <w:rFonts w:cs="Arial"/>
                <w:color w:val="0D0D0D"/>
                <w:spacing w:val="-4"/>
              </w:rPr>
              <w:t xml:space="preserve"> rostl loni objem ostatních sociálních dávek (bez důchodů) dynamičtěji než samotné výdaje na důchody. V pozadí stálo primárně vyšší čerpání dávek nemocenského pojištění (o 8,9 %) způsobené růstem pracovní neschopnosti (ve všech krajích) i intenzivnějším</w:t>
            </w:r>
            <w:r w:rsidR="008A03DE" w:rsidRPr="00335468">
              <w:rPr>
                <w:rFonts w:cs="Arial"/>
                <w:color w:val="0D0D0D"/>
                <w:spacing w:val="-4"/>
              </w:rPr>
              <w:t xml:space="preserve"> čerpání</w:t>
            </w:r>
            <w:r w:rsidR="008A03DE">
              <w:rPr>
                <w:rFonts w:cs="Arial"/>
                <w:color w:val="0D0D0D"/>
                <w:spacing w:val="-4"/>
              </w:rPr>
              <w:t>m</w:t>
            </w:r>
            <w:r w:rsidR="008A03DE" w:rsidRPr="00335468">
              <w:rPr>
                <w:rFonts w:cs="Arial"/>
                <w:color w:val="0D0D0D"/>
                <w:spacing w:val="-4"/>
              </w:rPr>
              <w:t xml:space="preserve"> peněžité pomoci v</w:t>
            </w:r>
            <w:r w:rsidR="008A03DE">
              <w:rPr>
                <w:rFonts w:cs="Arial"/>
                <w:color w:val="0D0D0D"/>
                <w:spacing w:val="-4"/>
              </w:rPr>
              <w:t> </w:t>
            </w:r>
            <w:r w:rsidR="008A03DE" w:rsidRPr="00335468">
              <w:rPr>
                <w:rFonts w:cs="Arial"/>
                <w:color w:val="0D0D0D"/>
                <w:spacing w:val="-4"/>
              </w:rPr>
              <w:t>mateřství</w:t>
            </w:r>
            <w:r w:rsidR="008A03DE">
              <w:rPr>
                <w:rFonts w:cs="Arial"/>
                <w:color w:val="0D0D0D"/>
                <w:spacing w:val="-4"/>
              </w:rPr>
              <w:t xml:space="preserve">. </w:t>
            </w:r>
            <w:r w:rsidR="008A03DE" w:rsidRPr="00335468">
              <w:rPr>
                <w:rFonts w:cs="Arial"/>
                <w:color w:val="0D0D0D"/>
                <w:spacing w:val="-4"/>
              </w:rPr>
              <w:t xml:space="preserve">Přestože výdaje </w:t>
            </w:r>
            <w:r w:rsidR="008A03DE">
              <w:rPr>
                <w:rFonts w:cs="Arial"/>
                <w:color w:val="0D0D0D"/>
                <w:spacing w:val="-4"/>
              </w:rPr>
              <w:t xml:space="preserve">na dávky nemocenského pojištění rostly již čtvrtý rok v řadě, byly loni stále nižší než objem vybraného pojistného (o 2,1 mld korun, v roce 2012 o 5,5 mld.). Mírně posílily (o 2 %) i výdaje na dávky sociální péče. Zasloužilo se o to plošné navýšení příspěvků na péči (od srpna o 10 %), neboť dávky pomoci v hmotné nouzi byly meziročně o osminu nižší (za dva roky dokonce o 18 %). Objemově významné dávky státní sociální podpory fakticky stagnovaly (již třetí rok v řadě, kolem 37,5 mld.), když nižší objem vyplacených přídavků na děti vykompenzovaly mírně vyšší příspěvky na bydlení, rodičovské příspěvky i dávky pěstounské péče. Navzdory viditelnému zlepšení situace na trhu práce i poklesu </w:t>
            </w:r>
            <w:r w:rsidR="000117CA">
              <w:rPr>
                <w:rFonts w:cs="Arial"/>
                <w:color w:val="0D0D0D"/>
                <w:spacing w:val="-4"/>
              </w:rPr>
              <w:t xml:space="preserve">počtu </w:t>
            </w:r>
            <w:r w:rsidR="008A03DE">
              <w:rPr>
                <w:rFonts w:cs="Arial"/>
                <w:color w:val="0D0D0D"/>
                <w:spacing w:val="-4"/>
              </w:rPr>
              <w:t>registrovaných uchazečů o práci (na konci prosince meziročně o 72 tis.) se loni objem podpor uchazečům redukoval jen o 0,7 % (stavy osob s nárokem na podporu současně klesly jen o 5,3 tis.).</w:t>
            </w:r>
          </w:p>
          <w:p w:rsidR="008A03DE" w:rsidRPr="007E721A" w:rsidRDefault="008A03DE" w:rsidP="008A03DE">
            <w:pPr>
              <w:pStyle w:val="Textpoznpodarou"/>
              <w:jc w:val="both"/>
              <w:rPr>
                <w:rFonts w:cs="Arial"/>
                <w:color w:val="0D0D0D"/>
                <w:spacing w:val="-4"/>
                <w:sz w:val="15"/>
                <w:szCs w:val="15"/>
              </w:rPr>
            </w:pPr>
          </w:p>
        </w:tc>
      </w:tr>
      <w:tr w:rsidR="008A03DE" w:rsidRPr="0097714E" w:rsidTr="008A03DE">
        <w:tc>
          <w:tcPr>
            <w:tcW w:w="1054" w:type="pct"/>
          </w:tcPr>
          <w:p w:rsidR="008A03DE" w:rsidRPr="00C372FE" w:rsidRDefault="008A03DE" w:rsidP="008A03DE">
            <w:pPr>
              <w:spacing w:line="240" w:lineRule="auto"/>
              <w:rPr>
                <w:rFonts w:cs="Arial"/>
                <w:bCs/>
                <w:iCs/>
                <w:color w:val="0D0D0D"/>
                <w:sz w:val="16"/>
                <w:szCs w:val="16"/>
              </w:rPr>
            </w:pPr>
            <w:r>
              <w:rPr>
                <w:rFonts w:cs="Arial"/>
                <w:bCs/>
                <w:iCs/>
                <w:color w:val="0D0D0D"/>
                <w:sz w:val="16"/>
                <w:szCs w:val="16"/>
              </w:rPr>
              <w:t>Nižší čerpání výdajů na neinvestiční nákupy a další redukce čistých výdajů na státní dluh.</w:t>
            </w:r>
          </w:p>
        </w:tc>
        <w:tc>
          <w:tcPr>
            <w:tcW w:w="142" w:type="pct"/>
          </w:tcPr>
          <w:p w:rsidR="008A03DE" w:rsidRPr="00A90EFD" w:rsidRDefault="008A03DE" w:rsidP="008A03DE">
            <w:pPr>
              <w:pStyle w:val="Textpoznpodarou"/>
              <w:jc w:val="both"/>
              <w:rPr>
                <w:rFonts w:cs="Arial"/>
                <w:color w:val="0D0D0D"/>
              </w:rPr>
            </w:pPr>
          </w:p>
        </w:tc>
        <w:tc>
          <w:tcPr>
            <w:tcW w:w="3804" w:type="pct"/>
          </w:tcPr>
          <w:p w:rsidR="008A03DE" w:rsidRPr="00C372FE" w:rsidRDefault="008A03DE" w:rsidP="008A03DE">
            <w:pPr>
              <w:pStyle w:val="Textpoznpodarou"/>
              <w:jc w:val="both"/>
              <w:rPr>
                <w:rFonts w:cs="Arial"/>
                <w:color w:val="0D0D0D"/>
                <w:spacing w:val="-4"/>
              </w:rPr>
            </w:pPr>
            <w:r w:rsidRPr="00C372FE">
              <w:rPr>
                <w:rFonts w:cs="Arial"/>
                <w:color w:val="0D0D0D"/>
                <w:spacing w:val="-4"/>
              </w:rPr>
              <w:t>Výdaj</w:t>
            </w:r>
            <w:r w:rsidR="008525F9">
              <w:rPr>
                <w:rFonts w:cs="Arial"/>
                <w:color w:val="0D0D0D"/>
                <w:spacing w:val="-4"/>
              </w:rPr>
              <w:t>e na platy státních zaměstnanců</w:t>
            </w:r>
            <w:r w:rsidRPr="00C372FE">
              <w:rPr>
                <w:rFonts w:cs="Arial"/>
                <w:color w:val="0D0D0D"/>
                <w:spacing w:val="-4"/>
              </w:rPr>
              <w:t xml:space="preserve"> podobně jako objemově významné neinvestiční transfery územním rozpočtům (hlavně na regionální školství)</w:t>
            </w:r>
            <w:r>
              <w:rPr>
                <w:rFonts w:cs="Arial"/>
                <w:color w:val="0D0D0D"/>
                <w:spacing w:val="-4"/>
              </w:rPr>
              <w:t xml:space="preserve"> se v roce 2016 </w:t>
            </w:r>
            <w:r w:rsidRPr="009B3790">
              <w:rPr>
                <w:rFonts w:cs="Arial"/>
                <w:color w:val="0D0D0D"/>
                <w:spacing w:val="-4"/>
              </w:rPr>
              <w:t>navýšily o 5 %, v obou</w:t>
            </w:r>
            <w:r>
              <w:rPr>
                <w:rFonts w:cs="Arial"/>
                <w:color w:val="0D0D0D"/>
                <w:spacing w:val="-4"/>
              </w:rPr>
              <w:t xml:space="preserve"> případech však šlo o nižší tempa než v předchozím roce. Rozpočtové úspory bylo dosaženo u neinvestičních nákupů a výdajů za státní dluh. Čisté výdaje za obsluhu dluhu loni poklesy již třetí rok v řadě (na 40,7 mld. korun). Projevuje se zde efekt zlepšující se bilance SR (a z ní plynoucí nižší výpůjční potřeby státu), jakož i příznivé podmínky na trzích s vládními dluhopisy. </w:t>
            </w:r>
          </w:p>
          <w:p w:rsidR="008A03DE" w:rsidRPr="00394756" w:rsidRDefault="008A03DE" w:rsidP="008A03DE">
            <w:pPr>
              <w:pStyle w:val="Textpoznpodarou"/>
              <w:jc w:val="both"/>
              <w:rPr>
                <w:rFonts w:cs="Arial"/>
                <w:color w:val="0D0D0D"/>
                <w:spacing w:val="-4"/>
                <w:sz w:val="14"/>
                <w:szCs w:val="14"/>
              </w:rPr>
            </w:pPr>
          </w:p>
        </w:tc>
      </w:tr>
      <w:tr w:rsidR="008A03DE" w:rsidRPr="00952517" w:rsidTr="008A03DE">
        <w:tc>
          <w:tcPr>
            <w:tcW w:w="1054" w:type="pct"/>
          </w:tcPr>
          <w:p w:rsidR="008A03DE" w:rsidRPr="00335468" w:rsidRDefault="008A03DE" w:rsidP="008A03DE">
            <w:pPr>
              <w:spacing w:line="240" w:lineRule="auto"/>
              <w:rPr>
                <w:rFonts w:cs="Arial"/>
                <w:bCs/>
                <w:iCs/>
                <w:color w:val="0D0D0D"/>
                <w:sz w:val="16"/>
                <w:szCs w:val="16"/>
              </w:rPr>
            </w:pPr>
            <w:r>
              <w:rPr>
                <w:rFonts w:cs="Arial"/>
                <w:bCs/>
                <w:iCs/>
                <w:color w:val="0D0D0D"/>
                <w:sz w:val="16"/>
                <w:szCs w:val="16"/>
              </w:rPr>
              <w:t>Celková výše státního dluhu se po třech letech stabilizace v roce 2016 snížila, zredukovala se jak vnitřní, tak i vnější zadluženost.</w:t>
            </w:r>
          </w:p>
        </w:tc>
        <w:tc>
          <w:tcPr>
            <w:tcW w:w="142" w:type="pct"/>
          </w:tcPr>
          <w:p w:rsidR="008A03DE" w:rsidRPr="00A90EFD" w:rsidRDefault="008A03DE" w:rsidP="008A03DE">
            <w:pPr>
              <w:pStyle w:val="Textpoznpodarou"/>
              <w:jc w:val="both"/>
              <w:rPr>
                <w:rFonts w:cs="Arial"/>
                <w:color w:val="0D0D0D"/>
              </w:rPr>
            </w:pPr>
          </w:p>
        </w:tc>
        <w:tc>
          <w:tcPr>
            <w:tcW w:w="3804" w:type="pct"/>
          </w:tcPr>
          <w:p w:rsidR="008A03DE" w:rsidRDefault="008A03DE" w:rsidP="008A03DE">
            <w:pPr>
              <w:pStyle w:val="Textpoznpodarou"/>
              <w:jc w:val="both"/>
              <w:rPr>
                <w:rFonts w:cs="Arial"/>
                <w:color w:val="0D0D0D"/>
                <w:spacing w:val="-4"/>
              </w:rPr>
            </w:pPr>
            <w:r w:rsidRPr="00FC144D">
              <w:rPr>
                <w:rFonts w:cs="Arial"/>
                <w:color w:val="0D0D0D"/>
                <w:spacing w:val="-4"/>
              </w:rPr>
              <w:t>Zatímco v průběhu 1. čtvrtletí se celková výše státního dluhu navýšila o 21,7 mld. korun, ve zbývající části roku se trend otočil. Za celý loňský rok se dluh snížil o 3,6 % (na 1613,4 mld. korun)</w:t>
            </w:r>
            <w:r>
              <w:rPr>
                <w:rFonts w:cs="Arial"/>
                <w:color w:val="0D0D0D"/>
                <w:spacing w:val="-4"/>
              </w:rPr>
              <w:t>, nejvíce od vzniku samostatné ČR.</w:t>
            </w:r>
            <w:r w:rsidRPr="00FC144D">
              <w:rPr>
                <w:rFonts w:cs="Arial"/>
                <w:color w:val="0D0D0D"/>
                <w:spacing w:val="-4"/>
              </w:rPr>
              <w:t xml:space="preserve"> Odrazila se zde redukce vnitřní zadluženosti (o 45,8 mld.), nižší však byla i korunová hodnota vnějšího dluhu</w:t>
            </w:r>
            <w:r>
              <w:rPr>
                <w:rFonts w:cs="Arial"/>
                <w:color w:val="0D0D0D"/>
                <w:spacing w:val="-4"/>
              </w:rPr>
              <w:t xml:space="preserve"> (o</w:t>
            </w:r>
            <w:r w:rsidRPr="00FC144D">
              <w:rPr>
                <w:rFonts w:cs="Arial"/>
                <w:color w:val="0D0D0D"/>
                <w:spacing w:val="-4"/>
              </w:rPr>
              <w:t> 13,8 mld.).</w:t>
            </w:r>
            <w:r>
              <w:rPr>
                <w:rFonts w:cs="Arial"/>
                <w:color w:val="0D0D0D"/>
                <w:spacing w:val="-4"/>
              </w:rPr>
              <w:t xml:space="preserve"> Vnější dluh tvořil na konci roku 16,7 % celkového dluhu, šlo o nejnižší podíl od počátku roku 2008. Sní</w:t>
            </w:r>
            <w:r w:rsidRPr="00FC144D">
              <w:rPr>
                <w:rFonts w:cs="Arial"/>
                <w:color w:val="0D0D0D"/>
                <w:spacing w:val="-4"/>
              </w:rPr>
              <w:t xml:space="preserve">žení </w:t>
            </w:r>
            <w:r>
              <w:rPr>
                <w:rFonts w:cs="Arial"/>
                <w:color w:val="0D0D0D"/>
                <w:spacing w:val="-4"/>
              </w:rPr>
              <w:t>celkového dluhu souviselo</w:t>
            </w:r>
            <w:r w:rsidRPr="00FC144D">
              <w:rPr>
                <w:rFonts w:cs="Arial"/>
                <w:color w:val="0D0D0D"/>
                <w:spacing w:val="-4"/>
              </w:rPr>
              <w:t xml:space="preserve"> </w:t>
            </w:r>
            <w:r>
              <w:rPr>
                <w:rFonts w:cs="Arial"/>
                <w:color w:val="0D0D0D"/>
                <w:spacing w:val="-4"/>
              </w:rPr>
              <w:t>s vyšším</w:t>
            </w:r>
            <w:r w:rsidRPr="00FC144D">
              <w:rPr>
                <w:rFonts w:cs="Arial"/>
                <w:color w:val="0D0D0D"/>
                <w:spacing w:val="-4"/>
              </w:rPr>
              <w:t xml:space="preserve"> </w:t>
            </w:r>
            <w:r>
              <w:rPr>
                <w:rFonts w:cs="Arial"/>
                <w:color w:val="0D0D0D"/>
                <w:spacing w:val="-4"/>
              </w:rPr>
              <w:t xml:space="preserve">objemem </w:t>
            </w:r>
            <w:r w:rsidRPr="00FC144D">
              <w:rPr>
                <w:rFonts w:cs="Arial"/>
                <w:color w:val="0D0D0D"/>
                <w:spacing w:val="-4"/>
              </w:rPr>
              <w:t xml:space="preserve">plánovaných splátek </w:t>
            </w:r>
            <w:r>
              <w:rPr>
                <w:rFonts w:cs="Arial"/>
                <w:color w:val="0D0D0D"/>
                <w:spacing w:val="-4"/>
              </w:rPr>
              <w:t>soustředěných</w:t>
            </w:r>
            <w:r w:rsidRPr="00FC144D">
              <w:rPr>
                <w:rFonts w:cs="Arial"/>
                <w:color w:val="0D0D0D"/>
                <w:spacing w:val="-4"/>
              </w:rPr>
              <w:t xml:space="preserve"> </w:t>
            </w:r>
            <w:r>
              <w:rPr>
                <w:rFonts w:cs="Arial"/>
                <w:color w:val="0D0D0D"/>
                <w:spacing w:val="-4"/>
              </w:rPr>
              <w:t>do druhé poloviny roku. Pozitivně se projevila rovněž</w:t>
            </w:r>
            <w:r w:rsidRPr="00FC144D">
              <w:rPr>
                <w:rFonts w:cs="Arial"/>
                <w:color w:val="0D0D0D"/>
                <w:spacing w:val="-4"/>
              </w:rPr>
              <w:t xml:space="preserve"> k</w:t>
            </w:r>
            <w:r>
              <w:rPr>
                <w:rFonts w:cs="Arial"/>
                <w:color w:val="0D0D0D"/>
                <w:spacing w:val="-4"/>
              </w:rPr>
              <w:t>lesající výpůjční potřeba státu</w:t>
            </w:r>
            <w:r w:rsidR="008525F9">
              <w:rPr>
                <w:rFonts w:cs="Arial"/>
                <w:color w:val="0D0D0D"/>
                <w:spacing w:val="-4"/>
              </w:rPr>
              <w:t>. Ten</w:t>
            </w:r>
            <w:r w:rsidRPr="00FC144D">
              <w:rPr>
                <w:rFonts w:cs="Arial"/>
                <w:color w:val="0D0D0D"/>
                <w:spacing w:val="-4"/>
              </w:rPr>
              <w:t xml:space="preserve"> se </w:t>
            </w:r>
            <w:r>
              <w:rPr>
                <w:rFonts w:cs="Arial"/>
                <w:color w:val="0D0D0D"/>
                <w:spacing w:val="-4"/>
              </w:rPr>
              <w:t xml:space="preserve">v roce 2016 </w:t>
            </w:r>
            <w:r w:rsidRPr="00FC144D">
              <w:rPr>
                <w:rFonts w:cs="Arial"/>
                <w:color w:val="0D0D0D"/>
                <w:spacing w:val="-4"/>
              </w:rPr>
              <w:t>snažil v</w:t>
            </w:r>
            <w:r>
              <w:rPr>
                <w:rFonts w:cs="Arial"/>
                <w:color w:val="0D0D0D"/>
                <w:spacing w:val="-4"/>
              </w:rPr>
              <w:t>yužít záporných úrokových sazeb – 57 %</w:t>
            </w:r>
            <w:r w:rsidRPr="00FC144D">
              <w:rPr>
                <w:rFonts w:cs="Arial"/>
                <w:color w:val="0D0D0D"/>
                <w:spacing w:val="-4"/>
              </w:rPr>
              <w:t xml:space="preserve"> </w:t>
            </w:r>
            <w:r>
              <w:rPr>
                <w:rFonts w:cs="Arial"/>
                <w:color w:val="0D0D0D"/>
                <w:spacing w:val="-4"/>
              </w:rPr>
              <w:t xml:space="preserve">hodnoty </w:t>
            </w:r>
            <w:r w:rsidRPr="00FC144D">
              <w:rPr>
                <w:rFonts w:cs="Arial"/>
                <w:color w:val="0D0D0D"/>
                <w:spacing w:val="-4"/>
              </w:rPr>
              <w:t>nově emitovaných dluhopisů tak mělo splatnost do pěti let</w:t>
            </w:r>
            <w:r>
              <w:rPr>
                <w:rFonts w:cs="Arial"/>
                <w:color w:val="0D0D0D"/>
                <w:spacing w:val="-4"/>
              </w:rPr>
              <w:t xml:space="preserve"> a</w:t>
            </w:r>
            <w:r w:rsidRPr="00FC144D">
              <w:rPr>
                <w:rFonts w:cs="Arial"/>
                <w:color w:val="0D0D0D"/>
                <w:spacing w:val="-4"/>
              </w:rPr>
              <w:t> </w:t>
            </w:r>
            <w:r>
              <w:rPr>
                <w:rFonts w:cs="Arial"/>
                <w:color w:val="0D0D0D"/>
                <w:spacing w:val="-4"/>
              </w:rPr>
              <w:t>objem prodejů státních dluhopisů se záporným výnosem dosáhl 145,7 mld. Nadále z</w:t>
            </w:r>
            <w:r w:rsidRPr="00FC144D">
              <w:rPr>
                <w:rFonts w:cs="Arial"/>
                <w:color w:val="0D0D0D"/>
                <w:spacing w:val="-4"/>
              </w:rPr>
              <w:t>rychloval růst objemu českých dluhopisů v držbě zahraničních investorů. Na konci prosince 2016 šlo již o 424 mld. korun, resp. 31,6 % hodnot</w:t>
            </w:r>
            <w:r>
              <w:rPr>
                <w:rFonts w:cs="Arial"/>
                <w:color w:val="0D0D0D"/>
                <w:spacing w:val="-4"/>
              </w:rPr>
              <w:t>y všech korunových dluhopisů (o</w:t>
            </w:r>
            <w:r w:rsidRPr="00FC144D">
              <w:rPr>
                <w:rFonts w:cs="Arial"/>
                <w:color w:val="0D0D0D"/>
                <w:spacing w:val="-4"/>
              </w:rPr>
              <w:t> dva roky dříve šlo o 14,5 %)</w:t>
            </w:r>
            <w:r>
              <w:rPr>
                <w:rStyle w:val="Znakapoznpodarou"/>
                <w:color w:val="0D0D0D"/>
                <w:spacing w:val="-4"/>
              </w:rPr>
              <w:footnoteReference w:id="38"/>
            </w:r>
            <w:r w:rsidRPr="00FC144D">
              <w:rPr>
                <w:rFonts w:cs="Arial"/>
                <w:color w:val="0D0D0D"/>
                <w:spacing w:val="-4"/>
              </w:rPr>
              <w:t>.</w:t>
            </w:r>
          </w:p>
          <w:p w:rsidR="008A03DE" w:rsidRPr="002B37E2" w:rsidRDefault="008A03DE" w:rsidP="008A03DE">
            <w:pPr>
              <w:pStyle w:val="Textpoznpodarou"/>
              <w:jc w:val="both"/>
              <w:rPr>
                <w:rFonts w:cs="Arial"/>
                <w:color w:val="0D0D0D"/>
                <w:spacing w:val="-4"/>
                <w:sz w:val="6"/>
                <w:szCs w:val="6"/>
              </w:rPr>
            </w:pPr>
          </w:p>
        </w:tc>
      </w:tr>
      <w:tr w:rsidR="008A03DE" w:rsidRPr="00A90EFD" w:rsidTr="008A03DE">
        <w:tc>
          <w:tcPr>
            <w:tcW w:w="1054" w:type="pct"/>
          </w:tcPr>
          <w:p w:rsidR="008A03DE" w:rsidRPr="00953F6B" w:rsidRDefault="008A03DE" w:rsidP="008A03DE">
            <w:pPr>
              <w:spacing w:line="240" w:lineRule="auto"/>
              <w:rPr>
                <w:rFonts w:cs="Arial"/>
                <w:bCs/>
                <w:iCs/>
                <w:color w:val="0D0D0D"/>
                <w:spacing w:val="-2"/>
                <w:sz w:val="16"/>
                <w:szCs w:val="16"/>
              </w:rPr>
            </w:pPr>
            <w:r w:rsidRPr="00953F6B">
              <w:rPr>
                <w:rFonts w:cs="Arial"/>
                <w:bCs/>
                <w:iCs/>
                <w:color w:val="0D0D0D"/>
                <w:spacing w:val="-2"/>
                <w:sz w:val="16"/>
                <w:szCs w:val="16"/>
              </w:rPr>
              <w:lastRenderedPageBreak/>
              <w:t>Hodnota dluhu celého sektoru vládních institucí se mezikvartálně snížila již podruhé v řadě, na konci 3. </w:t>
            </w:r>
            <w:r w:rsidR="00AC3D02">
              <w:rPr>
                <w:rFonts w:cs="Arial"/>
                <w:bCs/>
                <w:iCs/>
                <w:color w:val="0D0D0D"/>
                <w:spacing w:val="-2"/>
                <w:sz w:val="16"/>
                <w:szCs w:val="16"/>
              </w:rPr>
              <w:t>čtvrtletí činila 1813 mld. korun.</w:t>
            </w:r>
          </w:p>
          <w:p w:rsidR="008A03DE" w:rsidRPr="00953F6B" w:rsidRDefault="008A03DE" w:rsidP="008A03DE">
            <w:pPr>
              <w:spacing w:line="240" w:lineRule="auto"/>
              <w:rPr>
                <w:rFonts w:cs="Arial"/>
                <w:bCs/>
                <w:iCs/>
                <w:color w:val="0D0D0D"/>
                <w:spacing w:val="-2"/>
                <w:sz w:val="16"/>
                <w:szCs w:val="16"/>
              </w:rPr>
            </w:pPr>
          </w:p>
          <w:p w:rsidR="008A03DE" w:rsidRDefault="008A03DE" w:rsidP="008A03DE">
            <w:pPr>
              <w:spacing w:line="240" w:lineRule="auto"/>
              <w:rPr>
                <w:rFonts w:cs="Arial"/>
                <w:bCs/>
                <w:iCs/>
                <w:color w:val="0D0D0D"/>
                <w:spacing w:val="-2"/>
                <w:sz w:val="16"/>
                <w:szCs w:val="16"/>
              </w:rPr>
            </w:pPr>
          </w:p>
          <w:p w:rsidR="008A03DE" w:rsidRPr="00953F6B" w:rsidRDefault="00AC3D02" w:rsidP="008A03DE">
            <w:pPr>
              <w:spacing w:line="240" w:lineRule="auto"/>
              <w:rPr>
                <w:rFonts w:cs="Arial"/>
                <w:bCs/>
                <w:iCs/>
                <w:color w:val="0D0D0D"/>
                <w:spacing w:val="-2"/>
                <w:sz w:val="16"/>
                <w:szCs w:val="16"/>
              </w:rPr>
            </w:pPr>
            <w:r>
              <w:rPr>
                <w:rFonts w:cs="Arial"/>
                <w:bCs/>
                <w:iCs/>
                <w:color w:val="0D0D0D"/>
                <w:spacing w:val="-2"/>
                <w:sz w:val="16"/>
                <w:szCs w:val="16"/>
              </w:rPr>
              <w:t>V</w:t>
            </w:r>
            <w:r w:rsidR="008A03DE" w:rsidRPr="00953F6B">
              <w:rPr>
                <w:rFonts w:cs="Arial"/>
                <w:bCs/>
                <w:iCs/>
                <w:color w:val="0D0D0D"/>
                <w:spacing w:val="-2"/>
                <w:sz w:val="16"/>
                <w:szCs w:val="16"/>
              </w:rPr>
              <w:t xml:space="preserve">e vztahu </w:t>
            </w:r>
            <w:r>
              <w:rPr>
                <w:rFonts w:cs="Arial"/>
                <w:bCs/>
                <w:iCs/>
                <w:color w:val="0D0D0D"/>
                <w:spacing w:val="-2"/>
                <w:sz w:val="16"/>
                <w:szCs w:val="16"/>
              </w:rPr>
              <w:t xml:space="preserve">dluhu </w:t>
            </w:r>
            <w:r w:rsidR="008A03DE" w:rsidRPr="00953F6B">
              <w:rPr>
                <w:rFonts w:cs="Arial"/>
                <w:bCs/>
                <w:iCs/>
                <w:color w:val="0D0D0D"/>
                <w:spacing w:val="-2"/>
                <w:sz w:val="16"/>
                <w:szCs w:val="16"/>
              </w:rPr>
              <w:t>k HDP dosáhly výrazněji nižší zadluženosti než v ČR jen tři státy EU</w:t>
            </w:r>
            <w:r w:rsidR="008A03DE">
              <w:rPr>
                <w:rFonts w:cs="Arial"/>
                <w:bCs/>
                <w:iCs/>
                <w:color w:val="0D0D0D"/>
                <w:spacing w:val="-2"/>
                <w:sz w:val="16"/>
                <w:szCs w:val="16"/>
              </w:rPr>
              <w:t>.</w:t>
            </w:r>
          </w:p>
          <w:p w:rsidR="008A03DE" w:rsidRPr="00953F6B" w:rsidRDefault="008A03DE" w:rsidP="008A03DE">
            <w:pPr>
              <w:spacing w:line="240" w:lineRule="auto"/>
              <w:rPr>
                <w:rFonts w:cs="Arial"/>
                <w:bCs/>
                <w:iCs/>
                <w:color w:val="0D0D0D"/>
                <w:spacing w:val="-2"/>
                <w:sz w:val="16"/>
                <w:szCs w:val="16"/>
              </w:rPr>
            </w:pPr>
          </w:p>
          <w:p w:rsidR="008A03DE" w:rsidRDefault="008A03DE" w:rsidP="008A03DE">
            <w:pPr>
              <w:spacing w:line="240" w:lineRule="auto"/>
              <w:rPr>
                <w:rFonts w:cs="Arial"/>
                <w:bCs/>
                <w:iCs/>
                <w:color w:val="0D0D0D"/>
                <w:spacing w:val="-2"/>
                <w:sz w:val="16"/>
                <w:szCs w:val="16"/>
              </w:rPr>
            </w:pPr>
          </w:p>
          <w:p w:rsidR="008A03DE" w:rsidRPr="00953F6B" w:rsidRDefault="008A03DE" w:rsidP="008A03DE">
            <w:pPr>
              <w:spacing w:line="240" w:lineRule="auto"/>
              <w:rPr>
                <w:rFonts w:cs="Arial"/>
                <w:bCs/>
                <w:iCs/>
                <w:color w:val="0D0D0D"/>
                <w:spacing w:val="-2"/>
                <w:sz w:val="16"/>
                <w:szCs w:val="16"/>
              </w:rPr>
            </w:pPr>
          </w:p>
          <w:p w:rsidR="008A03DE" w:rsidRPr="00953F6B" w:rsidRDefault="008A03DE" w:rsidP="008A03DE">
            <w:pPr>
              <w:spacing w:line="240" w:lineRule="auto"/>
              <w:rPr>
                <w:rFonts w:cs="Arial"/>
                <w:bCs/>
                <w:iCs/>
                <w:color w:val="0D0D0D"/>
                <w:spacing w:val="-2"/>
                <w:sz w:val="16"/>
                <w:szCs w:val="16"/>
              </w:rPr>
            </w:pPr>
          </w:p>
          <w:p w:rsidR="008A03DE" w:rsidRPr="002B37E2" w:rsidRDefault="008A03DE" w:rsidP="008A03DE">
            <w:pPr>
              <w:spacing w:line="240" w:lineRule="auto"/>
              <w:rPr>
                <w:rFonts w:cs="Arial"/>
                <w:bCs/>
                <w:iCs/>
                <w:color w:val="0D0D0D"/>
                <w:sz w:val="16"/>
                <w:szCs w:val="16"/>
              </w:rPr>
            </w:pPr>
            <w:r w:rsidRPr="00953F6B">
              <w:rPr>
                <w:rFonts w:cs="Arial"/>
                <w:bCs/>
                <w:iCs/>
                <w:color w:val="0D0D0D"/>
                <w:spacing w:val="-2"/>
                <w:sz w:val="16"/>
                <w:szCs w:val="16"/>
              </w:rPr>
              <w:t>Meziročně příznivějšího salda hospodaření dosáhly za tři loňská čtvrtletí všechny subsektory vládních institucí</w:t>
            </w:r>
            <w:r>
              <w:rPr>
                <w:rFonts w:cs="Arial"/>
                <w:bCs/>
                <w:iCs/>
                <w:color w:val="0D0D0D"/>
                <w:spacing w:val="-2"/>
                <w:sz w:val="16"/>
                <w:szCs w:val="16"/>
              </w:rPr>
              <w:t>.</w:t>
            </w:r>
          </w:p>
        </w:tc>
        <w:tc>
          <w:tcPr>
            <w:tcW w:w="142" w:type="pct"/>
          </w:tcPr>
          <w:p w:rsidR="008A03DE" w:rsidRPr="004C7CC5" w:rsidRDefault="008A03DE" w:rsidP="008A03DE">
            <w:pPr>
              <w:pStyle w:val="Textpoznpodarou"/>
              <w:jc w:val="both"/>
              <w:rPr>
                <w:rFonts w:cs="Arial"/>
                <w:color w:val="0D0D0D"/>
              </w:rPr>
            </w:pPr>
          </w:p>
        </w:tc>
        <w:tc>
          <w:tcPr>
            <w:tcW w:w="3804" w:type="pct"/>
          </w:tcPr>
          <w:p w:rsidR="008A03DE" w:rsidRPr="006A3BC3" w:rsidRDefault="008A03DE" w:rsidP="008A03DE">
            <w:pPr>
              <w:pStyle w:val="Textpoznpodarou"/>
              <w:jc w:val="both"/>
              <w:rPr>
                <w:color w:val="0D0D0D"/>
                <w:spacing w:val="-4"/>
              </w:rPr>
            </w:pPr>
            <w:r w:rsidRPr="008E3582">
              <w:rPr>
                <w:color w:val="0D0D0D"/>
                <w:spacing w:val="-4"/>
              </w:rPr>
              <w:t>Konsolidovaný hrubý dluh celého sektoru vládních institucí</w:t>
            </w:r>
            <w:r w:rsidRPr="008E3582">
              <w:rPr>
                <w:rStyle w:val="Znakapoznpodarou"/>
                <w:color w:val="0D0D0D"/>
                <w:spacing w:val="-4"/>
              </w:rPr>
              <w:footnoteReference w:id="39"/>
            </w:r>
            <w:r>
              <w:rPr>
                <w:color w:val="0D0D0D"/>
                <w:spacing w:val="-4"/>
              </w:rPr>
              <w:t xml:space="preserve"> </w:t>
            </w:r>
            <w:r w:rsidRPr="008E3582">
              <w:rPr>
                <w:color w:val="0D0D0D"/>
                <w:spacing w:val="-4"/>
              </w:rPr>
              <w:t>dosáhl d</w:t>
            </w:r>
            <w:r>
              <w:rPr>
                <w:color w:val="0D0D0D"/>
                <w:spacing w:val="-4"/>
              </w:rPr>
              <w:t>le aktuálních dat ČSÚ na konci 3</w:t>
            </w:r>
            <w:r w:rsidRPr="008E3582">
              <w:rPr>
                <w:color w:val="0D0D0D"/>
                <w:spacing w:val="-4"/>
              </w:rPr>
              <w:t>. čtvrtletí 2016</w:t>
            </w:r>
            <w:r>
              <w:rPr>
                <w:color w:val="0D0D0D"/>
                <w:spacing w:val="-4"/>
              </w:rPr>
              <w:t xml:space="preserve"> výše 1 813</w:t>
            </w:r>
            <w:r w:rsidRPr="008E3582">
              <w:rPr>
                <w:color w:val="0D0D0D"/>
                <w:spacing w:val="-4"/>
              </w:rPr>
              <w:t xml:space="preserve"> mld. </w:t>
            </w:r>
            <w:r>
              <w:rPr>
                <w:color w:val="0D0D0D"/>
                <w:spacing w:val="-4"/>
              </w:rPr>
              <w:t>korun a ve vztahu k HDP činil 38,7</w:t>
            </w:r>
            <w:r w:rsidRPr="008E3582">
              <w:rPr>
                <w:color w:val="0D0D0D"/>
                <w:spacing w:val="-4"/>
              </w:rPr>
              <w:t> % (ve stejném o</w:t>
            </w:r>
            <w:r>
              <w:rPr>
                <w:color w:val="0D0D0D"/>
                <w:spacing w:val="-4"/>
              </w:rPr>
              <w:t>bdobí předchozího roku byl o 1,9</w:t>
            </w:r>
            <w:r w:rsidRPr="008E3582">
              <w:rPr>
                <w:color w:val="0D0D0D"/>
                <w:spacing w:val="-4"/>
              </w:rPr>
              <w:t xml:space="preserve"> p.b. vyšší). </w:t>
            </w:r>
            <w:r>
              <w:rPr>
                <w:color w:val="0D0D0D"/>
                <w:spacing w:val="-4"/>
              </w:rPr>
              <w:t xml:space="preserve">Za meziročním snížením relativní úrovně dluhu stál loni svižný růst </w:t>
            </w:r>
            <w:r w:rsidRPr="001162E9">
              <w:rPr>
                <w:color w:val="0D0D0D"/>
                <w:spacing w:val="-4"/>
              </w:rPr>
              <w:t>nominálního HDP</w:t>
            </w:r>
            <w:r>
              <w:rPr>
                <w:color w:val="0D0D0D"/>
                <w:spacing w:val="-4"/>
              </w:rPr>
              <w:t>, z menší části ale i pokles absolutní výše dluhu (o 15,6 mld. korun). Česko bylo loni sedmou nejméně zadluženou zemí EU, výrazněji nižší relativní dluh vykázaly na konci 3. čtvrtletí jen Estonsko, Lucembursko a Bulharsko. Proti 3. čtvrtletí 2015 se zadluženost snížila v 17 st</w:t>
            </w:r>
            <w:r w:rsidR="00AC3D02">
              <w:rPr>
                <w:color w:val="0D0D0D"/>
                <w:spacing w:val="-4"/>
              </w:rPr>
              <w:t>átech EU (nejvýrazněji v Irsku z</w:t>
            </w:r>
            <w:r>
              <w:rPr>
                <w:color w:val="0D0D0D"/>
                <w:spacing w:val="-4"/>
              </w:rPr>
              <w:t xml:space="preserve"> 85,6 % na 77,1 % HDP). Ze sedmičky nejvíce zasažených států</w:t>
            </w:r>
            <w:r>
              <w:rPr>
                <w:rStyle w:val="Znakapoznpodarou"/>
                <w:color w:val="0D0D0D"/>
                <w:spacing w:val="-4"/>
              </w:rPr>
              <w:footnoteReference w:id="40"/>
            </w:r>
            <w:r>
              <w:rPr>
                <w:color w:val="0D0D0D"/>
                <w:spacing w:val="-4"/>
              </w:rPr>
              <w:t xml:space="preserve"> však svou zadluženost dokázala zredukovat jen Itálie (o 1,4 p.b.). Z největších ekonomik Unie se v tomto směru nejvíce dařilo Německu, které i díky rozpočtovým přebytkům srazilo zadluženost pod 70% hranici (nejníže od 1. čtvrtletí 2009).</w:t>
            </w:r>
            <w:r w:rsidRPr="001162E9">
              <w:rPr>
                <w:color w:val="0D0D0D"/>
                <w:spacing w:val="-4"/>
              </w:rPr>
              <w:t xml:space="preserve"> Hospodaření vládních institucí </w:t>
            </w:r>
            <w:r>
              <w:rPr>
                <w:color w:val="0D0D0D"/>
                <w:spacing w:val="-4"/>
              </w:rPr>
              <w:t>v ČR skončilo za 1. až 3. čtvrtletí 2016 (v akr</w:t>
            </w:r>
            <w:r w:rsidRPr="001162E9">
              <w:rPr>
                <w:color w:val="0D0D0D"/>
                <w:spacing w:val="-4"/>
              </w:rPr>
              <w:t>ualizovaném vyjádření)</w:t>
            </w:r>
            <w:r>
              <w:rPr>
                <w:rStyle w:val="Znakapoznpodarou"/>
                <w:color w:val="0D0D0D"/>
                <w:spacing w:val="-4"/>
              </w:rPr>
              <w:footnoteReference w:id="41"/>
            </w:r>
            <w:r>
              <w:rPr>
                <w:color w:val="0D0D0D"/>
                <w:spacing w:val="-4"/>
              </w:rPr>
              <w:t xml:space="preserve"> kladným saldem ve výši 41,3 mld. korun. K meziročně příznivějšímu výsledku (o 38,4 mld.) přispěly především místní vládní instituce, jejichž vysoký přebytek (51,8 mld.) souvisel z velké části s omezením investiční aktivity. Deficit ústředních vládních institucí se meziročně zredukoval o téměř polovinu (na 17 mld.), příznivější výsledek hospodaření vykázaly i zdravotní pojišťovny.</w:t>
            </w:r>
          </w:p>
        </w:tc>
      </w:tr>
    </w:tbl>
    <w:p w:rsidR="008A03DE" w:rsidRPr="00F86A3C" w:rsidRDefault="008A03DE" w:rsidP="008A03DE">
      <w:pPr>
        <w:pStyle w:val="Textpoznpodarou"/>
        <w:jc w:val="both"/>
        <w:rPr>
          <w:rFonts w:cs="Arial"/>
          <w:color w:val="000000"/>
          <w:spacing w:val="-2"/>
          <w:sz w:val="10"/>
          <w:szCs w:val="10"/>
        </w:rPr>
      </w:pPr>
    </w:p>
    <w:tbl>
      <w:tblPr>
        <w:tblW w:w="4986" w:type="pct"/>
        <w:tblCellMar>
          <w:left w:w="28" w:type="dxa"/>
          <w:right w:w="28" w:type="dxa"/>
        </w:tblCellMar>
        <w:tblLook w:val="04A0"/>
      </w:tblPr>
      <w:tblGrid>
        <w:gridCol w:w="595"/>
        <w:gridCol w:w="4296"/>
        <w:gridCol w:w="707"/>
        <w:gridCol w:w="4096"/>
      </w:tblGrid>
      <w:tr w:rsidR="008A03DE" w:rsidRPr="006F2BEE" w:rsidTr="008A03DE">
        <w:tc>
          <w:tcPr>
            <w:tcW w:w="305" w:type="pct"/>
          </w:tcPr>
          <w:p w:rsidR="008A03DE" w:rsidRDefault="008A03DE" w:rsidP="008A03DE">
            <w:pPr>
              <w:spacing w:line="240" w:lineRule="auto"/>
            </w:pPr>
            <w:r>
              <w:rPr>
                <w:sz w:val="14"/>
                <w:szCs w:val="14"/>
              </w:rPr>
              <w:br w:type="page"/>
            </w:r>
            <w:r>
              <w:t>Graf č. 19</w:t>
            </w:r>
          </w:p>
        </w:tc>
        <w:tc>
          <w:tcPr>
            <w:tcW w:w="2203" w:type="pct"/>
          </w:tcPr>
          <w:p w:rsidR="008A03DE" w:rsidRPr="00E43BFF" w:rsidRDefault="008A03DE" w:rsidP="008A03DE">
            <w:pPr>
              <w:spacing w:line="240" w:lineRule="auto"/>
              <w:rPr>
                <w:rFonts w:cs="Arial"/>
                <w:b/>
                <w:bCs/>
              </w:rPr>
            </w:pPr>
            <w:r>
              <w:rPr>
                <w:rFonts w:cs="Arial"/>
                <w:b/>
                <w:bCs/>
              </w:rPr>
              <w:t xml:space="preserve">Celostátní inkasa daňových příjmů </w:t>
            </w:r>
            <w:r>
              <w:rPr>
                <w:rFonts w:cs="Arial"/>
                <w:bCs/>
              </w:rPr>
              <w:t>(y/y</w:t>
            </w:r>
            <w:r w:rsidRPr="008A3A85">
              <w:rPr>
                <w:rFonts w:cs="Arial"/>
                <w:bCs/>
              </w:rPr>
              <w:t xml:space="preserve"> v %)</w:t>
            </w:r>
            <w:r>
              <w:rPr>
                <w:rFonts w:cs="Arial"/>
                <w:bCs/>
              </w:rPr>
              <w:t xml:space="preserve"> </w:t>
            </w:r>
            <w:r>
              <w:rPr>
                <w:rFonts w:cs="Arial"/>
                <w:b/>
                <w:bCs/>
              </w:rPr>
              <w:t>a saldo státního rozpočtu</w:t>
            </w:r>
            <w:r>
              <w:t xml:space="preserve"> </w:t>
            </w:r>
            <w:r>
              <w:rPr>
                <w:rFonts w:cs="Arial"/>
                <w:bCs/>
              </w:rPr>
              <w:t>(v mld. korun)</w:t>
            </w:r>
          </w:p>
        </w:tc>
        <w:tc>
          <w:tcPr>
            <w:tcW w:w="366" w:type="pct"/>
          </w:tcPr>
          <w:p w:rsidR="008A03DE" w:rsidRDefault="008A03DE" w:rsidP="008A03DE">
            <w:pPr>
              <w:spacing w:line="240" w:lineRule="auto"/>
            </w:pPr>
            <w:r>
              <w:t>Graf č. 20</w:t>
            </w:r>
          </w:p>
        </w:tc>
        <w:tc>
          <w:tcPr>
            <w:tcW w:w="2126" w:type="pct"/>
          </w:tcPr>
          <w:p w:rsidR="008A03DE" w:rsidRDefault="008A03DE" w:rsidP="008A03DE">
            <w:pPr>
              <w:spacing w:line="240" w:lineRule="auto"/>
              <w:rPr>
                <w:rFonts w:cs="Arial"/>
                <w:b/>
                <w:bCs/>
              </w:rPr>
            </w:pPr>
            <w:r>
              <w:rPr>
                <w:rFonts w:cs="Arial"/>
                <w:b/>
                <w:bCs/>
              </w:rPr>
              <w:t>Vybrané výdaje státního rozpočtu</w:t>
            </w:r>
          </w:p>
          <w:p w:rsidR="008A03DE" w:rsidRPr="006F2BEE" w:rsidRDefault="008A03DE" w:rsidP="008A03DE">
            <w:pPr>
              <w:spacing w:line="240" w:lineRule="auto"/>
              <w:rPr>
                <w:rFonts w:cs="Arial"/>
                <w:b/>
                <w:bCs/>
                <w:spacing w:val="-2"/>
              </w:rPr>
            </w:pPr>
            <w:r>
              <w:rPr>
                <w:rFonts w:cs="Arial"/>
                <w:bCs/>
              </w:rPr>
              <w:t>(</w:t>
            </w:r>
            <w:r w:rsidRPr="00DB06E9">
              <w:rPr>
                <w:rFonts w:cs="Arial"/>
                <w:bCs/>
              </w:rPr>
              <w:t>v mld. korun</w:t>
            </w:r>
            <w:r>
              <w:rPr>
                <w:rFonts w:cs="Arial"/>
                <w:bCs/>
              </w:rPr>
              <w:t>)</w:t>
            </w:r>
          </w:p>
        </w:tc>
      </w:tr>
      <w:tr w:rsidR="008A03DE" w:rsidTr="008A03DE">
        <w:tc>
          <w:tcPr>
            <w:tcW w:w="2508" w:type="pct"/>
            <w:gridSpan w:val="2"/>
          </w:tcPr>
          <w:p w:rsidR="008A03DE" w:rsidRDefault="00906225" w:rsidP="008A03DE">
            <w:pPr>
              <w:pStyle w:val="Textpoznpodarou"/>
              <w:jc w:val="both"/>
            </w:pPr>
            <w:r>
              <w:rPr>
                <w:noProof/>
              </w:rPr>
              <w:drawing>
                <wp:inline distT="0" distB="0" distL="0" distR="0">
                  <wp:extent cx="3079750" cy="2179955"/>
                  <wp:effectExtent l="19050" t="0" r="6350" b="0"/>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4"/>
                          <a:srcRect/>
                          <a:stretch>
                            <a:fillRect/>
                          </a:stretch>
                        </pic:blipFill>
                        <pic:spPr bwMode="auto">
                          <a:xfrm>
                            <a:off x="0" y="0"/>
                            <a:ext cx="3079750" cy="2179955"/>
                          </a:xfrm>
                          <a:prstGeom prst="rect">
                            <a:avLst/>
                          </a:prstGeom>
                          <a:noFill/>
                          <a:ln w="9525">
                            <a:noFill/>
                            <a:miter lim="800000"/>
                            <a:headEnd/>
                            <a:tailEnd/>
                          </a:ln>
                        </pic:spPr>
                      </pic:pic>
                    </a:graphicData>
                  </a:graphic>
                </wp:inline>
              </w:drawing>
            </w:r>
          </w:p>
        </w:tc>
        <w:tc>
          <w:tcPr>
            <w:tcW w:w="2492" w:type="pct"/>
            <w:gridSpan w:val="2"/>
          </w:tcPr>
          <w:p w:rsidR="008A03DE" w:rsidRDefault="00906225" w:rsidP="008A03DE">
            <w:pPr>
              <w:pStyle w:val="Textpoznpodarou"/>
              <w:jc w:val="both"/>
            </w:pPr>
            <w:r>
              <w:rPr>
                <w:noProof/>
              </w:rPr>
              <w:drawing>
                <wp:inline distT="0" distB="0" distL="0" distR="0">
                  <wp:extent cx="3028315" cy="2179955"/>
                  <wp:effectExtent l="19050" t="0" r="635" b="0"/>
                  <wp:docPr id="2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5"/>
                          <a:srcRect/>
                          <a:stretch>
                            <a:fillRect/>
                          </a:stretch>
                        </pic:blipFill>
                        <pic:spPr bwMode="auto">
                          <a:xfrm>
                            <a:off x="0" y="0"/>
                            <a:ext cx="3028315" cy="2179955"/>
                          </a:xfrm>
                          <a:prstGeom prst="rect">
                            <a:avLst/>
                          </a:prstGeom>
                          <a:noFill/>
                          <a:ln w="9525">
                            <a:noFill/>
                            <a:miter lim="800000"/>
                            <a:headEnd/>
                            <a:tailEnd/>
                          </a:ln>
                        </pic:spPr>
                      </pic:pic>
                    </a:graphicData>
                  </a:graphic>
                </wp:inline>
              </w:drawing>
            </w:r>
          </w:p>
        </w:tc>
      </w:tr>
      <w:tr w:rsidR="008A03DE" w:rsidRPr="009E6613" w:rsidTr="008A03DE">
        <w:tc>
          <w:tcPr>
            <w:tcW w:w="5000" w:type="pct"/>
            <w:gridSpan w:val="4"/>
          </w:tcPr>
          <w:p w:rsidR="008A03DE" w:rsidRDefault="008A03DE" w:rsidP="008A03DE">
            <w:pPr>
              <w:pStyle w:val="Textpoznpodarou"/>
              <w:rPr>
                <w:sz w:val="18"/>
                <w:szCs w:val="18"/>
              </w:rPr>
            </w:pPr>
            <w:r w:rsidRPr="004C5813">
              <w:rPr>
                <w:sz w:val="18"/>
                <w:szCs w:val="18"/>
              </w:rPr>
              <w:t>*vč. dávek pěstounské péče</w:t>
            </w:r>
            <w:r>
              <w:rPr>
                <w:sz w:val="18"/>
                <w:szCs w:val="18"/>
              </w:rPr>
              <w:t xml:space="preserve">,  </w:t>
            </w:r>
            <w:r w:rsidRPr="001D7968">
              <w:rPr>
                <w:spacing w:val="-2"/>
                <w:sz w:val="18"/>
                <w:szCs w:val="18"/>
              </w:rPr>
              <w:t>**dávky pomoci v hmot</w:t>
            </w:r>
            <w:r>
              <w:rPr>
                <w:spacing w:val="-2"/>
                <w:sz w:val="18"/>
                <w:szCs w:val="18"/>
              </w:rPr>
              <w:t>né</w:t>
            </w:r>
            <w:r w:rsidRPr="001D7968">
              <w:rPr>
                <w:spacing w:val="-2"/>
                <w:sz w:val="18"/>
                <w:szCs w:val="18"/>
              </w:rPr>
              <w:t xml:space="preserve"> nouzi, dávky osobám se zdravotním postižením, příspěvek na péči dle zákona o soc. službách</w:t>
            </w:r>
            <w:r>
              <w:rPr>
                <w:sz w:val="18"/>
                <w:szCs w:val="18"/>
              </w:rPr>
              <w:t>,  *** ve výdajích jsou započteny i příjmy kapitoly Státní dluh</w:t>
            </w:r>
          </w:p>
          <w:p w:rsidR="008A03DE" w:rsidRPr="009E6613" w:rsidRDefault="008A03DE" w:rsidP="008A03DE">
            <w:pPr>
              <w:pStyle w:val="Textpoznpodarou"/>
              <w:rPr>
                <w:sz w:val="18"/>
                <w:szCs w:val="18"/>
              </w:rPr>
            </w:pPr>
            <w:r>
              <w:rPr>
                <w:sz w:val="18"/>
                <w:szCs w:val="18"/>
              </w:rPr>
              <w:t>**** bez úroků a ostatních</w:t>
            </w:r>
            <w:r w:rsidRPr="00573993">
              <w:rPr>
                <w:sz w:val="18"/>
                <w:szCs w:val="18"/>
              </w:rPr>
              <w:t xml:space="preserve"> finančních výdajů na státní dluh</w:t>
            </w:r>
            <w:r>
              <w:rPr>
                <w:sz w:val="18"/>
                <w:szCs w:val="18"/>
              </w:rPr>
              <w:t xml:space="preserve">                                                                  </w:t>
            </w:r>
            <w:r>
              <w:rPr>
                <w:rFonts w:cs="Arial"/>
                <w:sz w:val="18"/>
                <w:szCs w:val="18"/>
              </w:rPr>
              <w:t>Zdroj: MF ČR, MPSV</w:t>
            </w:r>
          </w:p>
        </w:tc>
      </w:tr>
    </w:tbl>
    <w:p w:rsidR="008A03DE" w:rsidRPr="00F86A3C" w:rsidRDefault="008A03DE" w:rsidP="008A03DE">
      <w:pPr>
        <w:pStyle w:val="Textpoznpodarou"/>
        <w:jc w:val="both"/>
        <w:rPr>
          <w:rFonts w:cs="Arial"/>
          <w:color w:val="000000"/>
          <w:spacing w:val="-2"/>
          <w:sz w:val="10"/>
          <w:szCs w:val="10"/>
        </w:rPr>
      </w:pPr>
    </w:p>
    <w:tbl>
      <w:tblPr>
        <w:tblW w:w="4986" w:type="pct"/>
        <w:tblLayout w:type="fixed"/>
        <w:tblCellMar>
          <w:left w:w="28" w:type="dxa"/>
          <w:right w:w="28" w:type="dxa"/>
        </w:tblCellMar>
        <w:tblLook w:val="04A0"/>
      </w:tblPr>
      <w:tblGrid>
        <w:gridCol w:w="752"/>
        <w:gridCol w:w="4097"/>
        <w:gridCol w:w="710"/>
        <w:gridCol w:w="4108"/>
      </w:tblGrid>
      <w:tr w:rsidR="008A03DE" w:rsidTr="008A03DE">
        <w:tc>
          <w:tcPr>
            <w:tcW w:w="389" w:type="pct"/>
          </w:tcPr>
          <w:p w:rsidR="008A03DE" w:rsidRDefault="008A03DE" w:rsidP="008A03DE">
            <w:pPr>
              <w:spacing w:line="240" w:lineRule="auto"/>
            </w:pPr>
            <w:r>
              <w:t>Graf č. 21</w:t>
            </w:r>
          </w:p>
        </w:tc>
        <w:tc>
          <w:tcPr>
            <w:tcW w:w="2119" w:type="pct"/>
          </w:tcPr>
          <w:p w:rsidR="008A03DE" w:rsidRPr="00D90B56" w:rsidRDefault="008A03DE" w:rsidP="008A03DE">
            <w:pPr>
              <w:spacing w:line="240" w:lineRule="auto"/>
              <w:rPr>
                <w:rFonts w:cs="Arial"/>
                <w:b/>
                <w:bCs/>
              </w:rPr>
            </w:pPr>
            <w:r>
              <w:rPr>
                <w:rFonts w:cs="Arial"/>
                <w:b/>
                <w:bCs/>
              </w:rPr>
              <w:t xml:space="preserve">Státní dluh ČR podle způsobu financování </w:t>
            </w:r>
            <w:r>
              <w:rPr>
                <w:rFonts w:cs="Arial"/>
                <w:bCs/>
              </w:rPr>
              <w:t>(</w:t>
            </w:r>
            <w:r w:rsidRPr="00DB06E9">
              <w:rPr>
                <w:rFonts w:cs="Arial"/>
                <w:bCs/>
              </w:rPr>
              <w:t>v mld. korun</w:t>
            </w:r>
            <w:r>
              <w:rPr>
                <w:rFonts w:cs="Arial"/>
                <w:bCs/>
              </w:rPr>
              <w:t xml:space="preserve"> </w:t>
            </w:r>
            <w:r w:rsidRPr="00DB06E9">
              <w:rPr>
                <w:rFonts w:cs="Arial"/>
                <w:bCs/>
              </w:rPr>
              <w:t>)</w:t>
            </w:r>
            <w:r>
              <w:rPr>
                <w:rFonts w:cs="Arial"/>
                <w:bCs/>
              </w:rPr>
              <w:t xml:space="preserve"> </w:t>
            </w:r>
            <w:r>
              <w:rPr>
                <w:rFonts w:cs="Arial"/>
                <w:b/>
                <w:bCs/>
              </w:rPr>
              <w:t xml:space="preserve">a podíl korunových dluhopisů v držbě nerezidentů </w:t>
            </w:r>
            <w:r w:rsidRPr="0001742D">
              <w:rPr>
                <w:rFonts w:cs="Arial"/>
                <w:bCs/>
              </w:rPr>
              <w:t>(v %)</w:t>
            </w:r>
            <w:r>
              <w:rPr>
                <w:rFonts w:cs="Arial"/>
                <w:b/>
                <w:bCs/>
              </w:rPr>
              <w:t xml:space="preserve"> </w:t>
            </w:r>
          </w:p>
        </w:tc>
        <w:tc>
          <w:tcPr>
            <w:tcW w:w="367" w:type="pct"/>
          </w:tcPr>
          <w:p w:rsidR="008A03DE" w:rsidRDefault="008A03DE" w:rsidP="008A03DE">
            <w:pPr>
              <w:spacing w:line="240" w:lineRule="auto"/>
            </w:pPr>
            <w:r>
              <w:t>Graf č. 22</w:t>
            </w:r>
          </w:p>
        </w:tc>
        <w:tc>
          <w:tcPr>
            <w:tcW w:w="2125" w:type="pct"/>
          </w:tcPr>
          <w:p w:rsidR="008A03DE" w:rsidRDefault="008A03DE" w:rsidP="008A03DE">
            <w:pPr>
              <w:spacing w:line="240" w:lineRule="auto"/>
              <w:rPr>
                <w:rFonts w:cs="Arial"/>
                <w:bCs/>
                <w:spacing w:val="-2"/>
              </w:rPr>
            </w:pPr>
            <w:r>
              <w:rPr>
                <w:rFonts w:cs="Arial"/>
                <w:b/>
                <w:bCs/>
                <w:spacing w:val="-2"/>
              </w:rPr>
              <w:t xml:space="preserve">Počet příjemců důchodů </w:t>
            </w:r>
            <w:r w:rsidRPr="007179B8">
              <w:rPr>
                <w:rFonts w:cs="Arial"/>
                <w:bCs/>
                <w:spacing w:val="-2"/>
              </w:rPr>
              <w:t>(v tis. osob),</w:t>
            </w:r>
            <w:r>
              <w:rPr>
                <w:rFonts w:cs="Arial"/>
                <w:b/>
                <w:bCs/>
                <w:spacing w:val="-2"/>
              </w:rPr>
              <w:t xml:space="preserve"> příjmy </w:t>
            </w:r>
            <w:r w:rsidRPr="006F2BEE">
              <w:rPr>
                <w:rFonts w:cs="Arial"/>
                <w:b/>
                <w:bCs/>
                <w:spacing w:val="-2"/>
              </w:rPr>
              <w:t>a výdaje</w:t>
            </w:r>
            <w:r>
              <w:rPr>
                <w:rFonts w:cs="Arial"/>
                <w:b/>
                <w:bCs/>
                <w:spacing w:val="-2"/>
              </w:rPr>
              <w:t xml:space="preserve"> na důchody ze SR</w:t>
            </w:r>
            <w:r w:rsidRPr="006F2BEE">
              <w:rPr>
                <w:rFonts w:cs="Arial"/>
                <w:b/>
                <w:bCs/>
                <w:spacing w:val="-2"/>
              </w:rPr>
              <w:t xml:space="preserve"> </w:t>
            </w:r>
            <w:r w:rsidRPr="006F2BEE">
              <w:rPr>
                <w:rFonts w:cs="Arial"/>
                <w:bCs/>
                <w:spacing w:val="-2"/>
              </w:rPr>
              <w:t xml:space="preserve">(y/y, v %) </w:t>
            </w:r>
          </w:p>
          <w:p w:rsidR="008A03DE" w:rsidRPr="006F2BEE" w:rsidRDefault="008A03DE" w:rsidP="008A03DE">
            <w:pPr>
              <w:spacing w:line="240" w:lineRule="auto"/>
              <w:rPr>
                <w:rFonts w:cs="Arial"/>
                <w:b/>
                <w:bCs/>
                <w:spacing w:val="-2"/>
              </w:rPr>
            </w:pPr>
            <w:r w:rsidRPr="006F2BEE">
              <w:rPr>
                <w:rFonts w:cs="Arial"/>
                <w:b/>
                <w:bCs/>
                <w:spacing w:val="-2"/>
              </w:rPr>
              <w:t xml:space="preserve">a bilance </w:t>
            </w:r>
            <w:r>
              <w:rPr>
                <w:rFonts w:cs="Arial"/>
                <w:b/>
                <w:bCs/>
                <w:spacing w:val="-2"/>
              </w:rPr>
              <w:t>důchodového</w:t>
            </w:r>
            <w:r w:rsidRPr="006F2BEE">
              <w:rPr>
                <w:rFonts w:cs="Arial"/>
                <w:b/>
                <w:bCs/>
                <w:spacing w:val="-2"/>
              </w:rPr>
              <w:t xml:space="preserve"> účtu </w:t>
            </w:r>
            <w:r w:rsidRPr="006F2BEE">
              <w:rPr>
                <w:rFonts w:cs="Arial"/>
                <w:bCs/>
                <w:spacing w:val="-2"/>
              </w:rPr>
              <w:t>(v mld. korun)</w:t>
            </w:r>
            <w:r>
              <w:rPr>
                <w:rFonts w:cs="Arial"/>
                <w:bCs/>
              </w:rPr>
              <w:t xml:space="preserve"> </w:t>
            </w:r>
          </w:p>
        </w:tc>
      </w:tr>
      <w:tr w:rsidR="008A03DE" w:rsidTr="008A03DE">
        <w:tc>
          <w:tcPr>
            <w:tcW w:w="2508" w:type="pct"/>
            <w:gridSpan w:val="2"/>
          </w:tcPr>
          <w:p w:rsidR="008A03DE" w:rsidRDefault="00906225" w:rsidP="008A03DE">
            <w:pPr>
              <w:pStyle w:val="Textpoznpodarou"/>
              <w:jc w:val="both"/>
            </w:pPr>
            <w:r>
              <w:rPr>
                <w:noProof/>
              </w:rPr>
              <w:drawing>
                <wp:inline distT="0" distB="0" distL="0" distR="0">
                  <wp:extent cx="3042920" cy="2179955"/>
                  <wp:effectExtent l="19050" t="0" r="5080" b="0"/>
                  <wp:docPr id="2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36"/>
                          <a:srcRect/>
                          <a:stretch>
                            <a:fillRect/>
                          </a:stretch>
                        </pic:blipFill>
                        <pic:spPr bwMode="auto">
                          <a:xfrm>
                            <a:off x="0" y="0"/>
                            <a:ext cx="3042920" cy="2179955"/>
                          </a:xfrm>
                          <a:prstGeom prst="rect">
                            <a:avLst/>
                          </a:prstGeom>
                          <a:noFill/>
                          <a:ln w="9525">
                            <a:noFill/>
                            <a:miter lim="800000"/>
                            <a:headEnd/>
                            <a:tailEnd/>
                          </a:ln>
                        </pic:spPr>
                      </pic:pic>
                    </a:graphicData>
                  </a:graphic>
                </wp:inline>
              </w:drawing>
            </w:r>
          </w:p>
        </w:tc>
        <w:tc>
          <w:tcPr>
            <w:tcW w:w="2492" w:type="pct"/>
            <w:gridSpan w:val="2"/>
          </w:tcPr>
          <w:p w:rsidR="008A03DE" w:rsidRDefault="00906225" w:rsidP="008A03DE">
            <w:pPr>
              <w:pStyle w:val="Textpoznpodarou"/>
              <w:jc w:val="both"/>
            </w:pPr>
            <w:r>
              <w:rPr>
                <w:noProof/>
              </w:rPr>
              <w:drawing>
                <wp:inline distT="0" distB="0" distL="0" distR="0">
                  <wp:extent cx="3021330" cy="2179955"/>
                  <wp:effectExtent l="19050" t="0" r="7620" b="0"/>
                  <wp:docPr id="2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7"/>
                          <a:srcRect/>
                          <a:stretch>
                            <a:fillRect/>
                          </a:stretch>
                        </pic:blipFill>
                        <pic:spPr bwMode="auto">
                          <a:xfrm>
                            <a:off x="0" y="0"/>
                            <a:ext cx="3021330" cy="2179955"/>
                          </a:xfrm>
                          <a:prstGeom prst="rect">
                            <a:avLst/>
                          </a:prstGeom>
                          <a:noFill/>
                          <a:ln w="9525">
                            <a:noFill/>
                            <a:miter lim="800000"/>
                            <a:headEnd/>
                            <a:tailEnd/>
                          </a:ln>
                        </pic:spPr>
                      </pic:pic>
                    </a:graphicData>
                  </a:graphic>
                </wp:inline>
              </w:drawing>
            </w:r>
          </w:p>
        </w:tc>
      </w:tr>
      <w:tr w:rsidR="008A03DE" w:rsidTr="008A03DE">
        <w:tc>
          <w:tcPr>
            <w:tcW w:w="5000" w:type="pct"/>
            <w:gridSpan w:val="4"/>
          </w:tcPr>
          <w:p w:rsidR="008A03DE" w:rsidRPr="00245006" w:rsidRDefault="008A03DE" w:rsidP="008A03DE">
            <w:pPr>
              <w:autoSpaceDE w:val="0"/>
              <w:autoSpaceDN w:val="0"/>
              <w:adjustRightInd w:val="0"/>
              <w:spacing w:line="240" w:lineRule="auto"/>
              <w:jc w:val="right"/>
              <w:rPr>
                <w:sz w:val="18"/>
                <w:szCs w:val="18"/>
                <w:lang w:eastAsia="ar-SA"/>
              </w:rPr>
            </w:pPr>
            <w:r>
              <w:rPr>
                <w:rFonts w:cs="Arial"/>
                <w:sz w:val="18"/>
                <w:szCs w:val="18"/>
              </w:rPr>
              <w:t>Zdroj: MF, ČSSZ</w:t>
            </w:r>
          </w:p>
        </w:tc>
      </w:tr>
    </w:tbl>
    <w:p w:rsidR="008A03DE" w:rsidRPr="008A03DE" w:rsidRDefault="008A03DE" w:rsidP="008A03DE">
      <w:pPr>
        <w:pStyle w:val="Textpoznpodarou"/>
        <w:jc w:val="both"/>
        <w:rPr>
          <w:rFonts w:cs="Arial"/>
          <w:color w:val="000000"/>
          <w:sz w:val="2"/>
          <w:szCs w:val="2"/>
        </w:rPr>
      </w:pPr>
    </w:p>
    <w:sectPr w:rsidR="008A03DE" w:rsidRPr="008A03DE" w:rsidSect="00E83DAB">
      <w:headerReference w:type="even" r:id="rId38"/>
      <w:headerReference w:type="default" r:id="rId39"/>
      <w:footerReference w:type="even" r:id="rId40"/>
      <w:footerReference w:type="default" r:id="rId41"/>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25" w:rsidRDefault="00906225" w:rsidP="00E71A58">
      <w:r>
        <w:separator/>
      </w:r>
    </w:p>
  </w:endnote>
  <w:endnote w:type="continuationSeparator" w:id="0">
    <w:p w:rsidR="00906225" w:rsidRDefault="00906225"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Default="006E182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Default="006E182C"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704"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6E182C" w:rsidRPr="00223E00" w:rsidRDefault="006E182C"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220838"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220838" w:rsidRPr="00223E00">
      <w:rPr>
        <w:rFonts w:ascii="Arial" w:hAnsi="Arial" w:cs="Arial"/>
        <w:sz w:val="16"/>
        <w:szCs w:val="16"/>
      </w:rPr>
      <w:fldChar w:fldCharType="separate"/>
    </w:r>
    <w:r w:rsidR="003E7550">
      <w:rPr>
        <w:rFonts w:ascii="Arial" w:hAnsi="Arial" w:cs="Arial"/>
        <w:noProof/>
        <w:sz w:val="16"/>
        <w:szCs w:val="16"/>
      </w:rPr>
      <w:t>3</w:t>
    </w:r>
    <w:r w:rsidR="00220838" w:rsidRPr="00223E00">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Default="006E182C"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220838" w:rsidRPr="005A21E0">
      <w:rPr>
        <w:rFonts w:ascii="Arial" w:hAnsi="Arial" w:cs="Arial"/>
        <w:sz w:val="16"/>
        <w:szCs w:val="16"/>
      </w:rPr>
      <w:fldChar w:fldCharType="begin"/>
    </w:r>
    <w:r w:rsidRPr="005A21E0">
      <w:rPr>
        <w:rFonts w:ascii="Arial" w:hAnsi="Arial" w:cs="Arial"/>
        <w:sz w:val="16"/>
        <w:szCs w:val="16"/>
      </w:rPr>
      <w:instrText>PAGE   \* MERGEFORMAT</w:instrText>
    </w:r>
    <w:r w:rsidR="00220838" w:rsidRPr="005A21E0">
      <w:rPr>
        <w:rFonts w:ascii="Arial" w:hAnsi="Arial" w:cs="Arial"/>
        <w:sz w:val="16"/>
        <w:szCs w:val="16"/>
      </w:rPr>
      <w:fldChar w:fldCharType="separate"/>
    </w:r>
    <w:r w:rsidR="003E7550">
      <w:rPr>
        <w:rFonts w:ascii="Arial" w:hAnsi="Arial" w:cs="Arial"/>
        <w:noProof/>
        <w:sz w:val="16"/>
        <w:szCs w:val="16"/>
      </w:rPr>
      <w:t>22</w:t>
    </w:r>
    <w:r w:rsidR="00220838" w:rsidRPr="005A21E0">
      <w:rPr>
        <w:rFonts w:ascii="Arial" w:hAnsi="Arial" w:cs="Arial"/>
        <w:sz w:val="16"/>
        <w:szCs w:val="16"/>
      </w:rPr>
      <w:fldChar w:fldCharType="end"/>
    </w:r>
    <w:r>
      <w:rPr>
        <w:rFonts w:ascii="Arial" w:hAnsi="Arial" w:cs="Arial"/>
        <w:sz w:val="16"/>
        <w:szCs w:val="16"/>
      </w:rPr>
      <w:tab/>
      <w:t>2017</w:t>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Default="006E182C"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6E182C" w:rsidRPr="00223E00" w:rsidRDefault="006E182C"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220838"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220838" w:rsidRPr="00223E00">
      <w:rPr>
        <w:rFonts w:ascii="Arial" w:hAnsi="Arial" w:cs="Arial"/>
        <w:sz w:val="16"/>
        <w:szCs w:val="16"/>
      </w:rPr>
      <w:fldChar w:fldCharType="separate"/>
    </w:r>
    <w:r w:rsidR="003E7550">
      <w:rPr>
        <w:rFonts w:ascii="Arial" w:hAnsi="Arial" w:cs="Arial"/>
        <w:noProof/>
        <w:sz w:val="16"/>
        <w:szCs w:val="16"/>
      </w:rPr>
      <w:t>23</w:t>
    </w:r>
    <w:r w:rsidR="00220838"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25" w:rsidRDefault="00906225" w:rsidP="00E71A58">
      <w:r>
        <w:separator/>
      </w:r>
    </w:p>
  </w:footnote>
  <w:footnote w:type="continuationSeparator" w:id="0">
    <w:p w:rsidR="00906225" w:rsidRDefault="00906225" w:rsidP="00E71A58">
      <w:r>
        <w:continuationSeparator/>
      </w:r>
    </w:p>
  </w:footnote>
  <w:footnote w:id="1">
    <w:p w:rsidR="006E182C" w:rsidRPr="00051ADE" w:rsidRDefault="006E182C" w:rsidP="00F94681">
      <w:pPr>
        <w:pStyle w:val="Textpoznpodarou"/>
        <w:rPr>
          <w:sz w:val="16"/>
          <w:szCs w:val="16"/>
        </w:rPr>
      </w:pPr>
      <w:r w:rsidRPr="00051ADE">
        <w:rPr>
          <w:rStyle w:val="Znakapoznpodarou"/>
          <w:sz w:val="16"/>
          <w:szCs w:val="16"/>
        </w:rPr>
        <w:footnoteRef/>
      </w:r>
      <w:r w:rsidRPr="00051ADE">
        <w:rPr>
          <w:sz w:val="16"/>
          <w:szCs w:val="16"/>
        </w:rPr>
        <w:t xml:space="preserve"> </w:t>
      </w:r>
      <w:r w:rsidRPr="00717726">
        <w:rPr>
          <w:sz w:val="16"/>
          <w:szCs w:val="16"/>
        </w:rPr>
        <w:t>Sezónně očištěné údaje v pojetí národních účtů</w:t>
      </w:r>
    </w:p>
  </w:footnote>
  <w:footnote w:id="2">
    <w:p w:rsidR="006E182C" w:rsidRPr="00EF1EE3" w:rsidRDefault="006E182C" w:rsidP="007A4D58">
      <w:pPr>
        <w:pStyle w:val="Textpoznpodarou"/>
        <w:rPr>
          <w:sz w:val="16"/>
          <w:szCs w:val="16"/>
        </w:rPr>
      </w:pPr>
      <w:r w:rsidRPr="00EF1EE3">
        <w:rPr>
          <w:rStyle w:val="Znakapoznpodarou"/>
          <w:sz w:val="16"/>
          <w:szCs w:val="16"/>
        </w:rPr>
        <w:footnoteRef/>
      </w:r>
      <w:r w:rsidRPr="00EF1EE3">
        <w:rPr>
          <w:sz w:val="16"/>
          <w:szCs w:val="16"/>
        </w:rPr>
        <w:t xml:space="preserve"> Data o HDP, hrubé přidané hodnotě a jejich složkách jsou vyjádřena ve stálých cenách a v očištění o sezónní a kalendářn</w:t>
      </w:r>
      <w:r>
        <w:rPr>
          <w:sz w:val="16"/>
          <w:szCs w:val="16"/>
        </w:rPr>
        <w:t>í vlivy. Údaje byly zveřejněny 3</w:t>
      </w:r>
      <w:r w:rsidRPr="00EF1EE3">
        <w:rPr>
          <w:sz w:val="16"/>
          <w:szCs w:val="16"/>
        </w:rPr>
        <w:t>.</w:t>
      </w:r>
      <w:r>
        <w:rPr>
          <w:sz w:val="16"/>
          <w:szCs w:val="16"/>
        </w:rPr>
        <w:t xml:space="preserve"> 3</w:t>
      </w:r>
      <w:r w:rsidRPr="00EF1EE3">
        <w:rPr>
          <w:sz w:val="16"/>
          <w:szCs w:val="16"/>
        </w:rPr>
        <w:t>. 201</w:t>
      </w:r>
      <w:r>
        <w:rPr>
          <w:sz w:val="16"/>
          <w:szCs w:val="16"/>
        </w:rPr>
        <w:t>7</w:t>
      </w:r>
      <w:r w:rsidRPr="00EF1EE3">
        <w:rPr>
          <w:sz w:val="16"/>
          <w:szCs w:val="16"/>
        </w:rPr>
        <w:t xml:space="preserve"> a zpřesnění bude publikováno </w:t>
      </w:r>
      <w:r>
        <w:rPr>
          <w:sz w:val="16"/>
          <w:szCs w:val="16"/>
        </w:rPr>
        <w:t>31</w:t>
      </w:r>
      <w:r w:rsidRPr="00EF1EE3">
        <w:rPr>
          <w:sz w:val="16"/>
          <w:szCs w:val="16"/>
        </w:rPr>
        <w:t xml:space="preserve">. </w:t>
      </w:r>
      <w:r>
        <w:rPr>
          <w:sz w:val="16"/>
          <w:szCs w:val="16"/>
        </w:rPr>
        <w:t>3</w:t>
      </w:r>
      <w:r w:rsidRPr="00EF1EE3">
        <w:rPr>
          <w:sz w:val="16"/>
          <w:szCs w:val="16"/>
        </w:rPr>
        <w:t>. 2017.</w:t>
      </w:r>
    </w:p>
  </w:footnote>
  <w:footnote w:id="3">
    <w:p w:rsidR="006E182C" w:rsidRPr="00EF1EE3" w:rsidRDefault="006E182C" w:rsidP="00701382">
      <w:pPr>
        <w:pStyle w:val="Textpoznpodarou"/>
        <w:rPr>
          <w:sz w:val="16"/>
          <w:szCs w:val="16"/>
        </w:rPr>
      </w:pPr>
      <w:r w:rsidRPr="00EF1EE3">
        <w:rPr>
          <w:rStyle w:val="Znakapoznpodarou"/>
          <w:sz w:val="16"/>
          <w:szCs w:val="16"/>
        </w:rPr>
        <w:footnoteRef/>
      </w:r>
      <w:r w:rsidRPr="00EF1EE3">
        <w:rPr>
          <w:sz w:val="16"/>
          <w:szCs w:val="16"/>
        </w:rPr>
        <w:t xml:space="preserve"> </w:t>
      </w:r>
      <w:r w:rsidRPr="0019579E">
        <w:rPr>
          <w:sz w:val="16"/>
          <w:szCs w:val="16"/>
        </w:rPr>
        <w:t xml:space="preserve">Nedostupná data za </w:t>
      </w:r>
      <w:r>
        <w:rPr>
          <w:sz w:val="16"/>
          <w:szCs w:val="16"/>
        </w:rPr>
        <w:t xml:space="preserve">Irsko a </w:t>
      </w:r>
      <w:r w:rsidRPr="0019579E">
        <w:rPr>
          <w:sz w:val="16"/>
          <w:szCs w:val="16"/>
        </w:rPr>
        <w:t>Lucembursko</w:t>
      </w:r>
      <w:r>
        <w:rPr>
          <w:sz w:val="16"/>
          <w:szCs w:val="16"/>
        </w:rPr>
        <w:t>. Data za Slovensko n</w:t>
      </w:r>
      <w:r w:rsidRPr="00EF1EE3">
        <w:rPr>
          <w:sz w:val="16"/>
          <w:szCs w:val="16"/>
        </w:rPr>
        <w:t>eočištěn</w:t>
      </w:r>
      <w:r>
        <w:rPr>
          <w:sz w:val="16"/>
          <w:szCs w:val="16"/>
        </w:rPr>
        <w:t>a</w:t>
      </w:r>
      <w:r w:rsidRPr="00EF1EE3">
        <w:rPr>
          <w:sz w:val="16"/>
          <w:szCs w:val="16"/>
        </w:rPr>
        <w:t xml:space="preserve"> o kalendářní vlivy.</w:t>
      </w:r>
    </w:p>
  </w:footnote>
  <w:footnote w:id="4">
    <w:p w:rsidR="006E182C" w:rsidRPr="00EF1EE3" w:rsidRDefault="006E182C" w:rsidP="00701382">
      <w:pPr>
        <w:pStyle w:val="Textpoznpodarou"/>
        <w:rPr>
          <w:sz w:val="16"/>
          <w:szCs w:val="16"/>
        </w:rPr>
      </w:pPr>
      <w:r w:rsidRPr="00EF1EE3">
        <w:rPr>
          <w:rStyle w:val="Znakapoznpodarou"/>
          <w:sz w:val="16"/>
          <w:szCs w:val="16"/>
        </w:rPr>
        <w:footnoteRef/>
      </w:r>
      <w:r w:rsidRPr="00EF1EE3">
        <w:rPr>
          <w:sz w:val="16"/>
          <w:szCs w:val="16"/>
        </w:rPr>
        <w:t xml:space="preserve"> Příspěvky ke změně HDP po vyloučení dovozu pro konečné užití.</w:t>
      </w:r>
    </w:p>
  </w:footnote>
  <w:footnote w:id="5">
    <w:p w:rsidR="006E182C" w:rsidRPr="00DC26D7" w:rsidRDefault="006E182C" w:rsidP="00E372FD">
      <w:pPr>
        <w:pStyle w:val="Textpoznpodarou"/>
        <w:rPr>
          <w:sz w:val="16"/>
          <w:szCs w:val="16"/>
        </w:rPr>
      </w:pPr>
      <w:r w:rsidRPr="00DC26D7">
        <w:rPr>
          <w:rStyle w:val="Znakapoznpodarou"/>
          <w:sz w:val="16"/>
          <w:szCs w:val="16"/>
        </w:rPr>
        <w:footnoteRef/>
      </w:r>
      <w:r w:rsidRPr="00DC26D7">
        <w:rPr>
          <w:sz w:val="16"/>
          <w:szCs w:val="16"/>
        </w:rPr>
        <w:t xml:space="preserve"> Do reálného vyjádření převedeno s využitím deflátoru výdajů na konečnou spotřebu domácností</w:t>
      </w:r>
    </w:p>
  </w:footnote>
  <w:footnote w:id="6">
    <w:p w:rsidR="006E182C" w:rsidRPr="001805D6" w:rsidRDefault="006E182C" w:rsidP="00492991">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Údaje o HPH jsou vyjádřeny ve stálých cenách a v očištění o sezónní a kalendářní vlivy.</w:t>
      </w:r>
    </w:p>
  </w:footnote>
  <w:footnote w:id="7">
    <w:p w:rsidR="006E182C" w:rsidRPr="00D04A8B" w:rsidRDefault="006E182C" w:rsidP="00492991">
      <w:pPr>
        <w:pStyle w:val="Textpoznpodarou"/>
        <w:jc w:val="both"/>
        <w:rPr>
          <w:spacing w:val="-4"/>
          <w:sz w:val="16"/>
          <w:szCs w:val="16"/>
        </w:rPr>
      </w:pPr>
      <w:r w:rsidRPr="00D04A8B">
        <w:rPr>
          <w:rStyle w:val="Znakapoznpodarou"/>
          <w:rFonts w:cs="Arial"/>
          <w:spacing w:val="-4"/>
          <w:sz w:val="16"/>
          <w:szCs w:val="16"/>
        </w:rPr>
        <w:footnoteRef/>
      </w:r>
      <w:r w:rsidRPr="00D04A8B">
        <w:rPr>
          <w:rFonts w:cs="Arial"/>
          <w:spacing w:val="-4"/>
          <w:sz w:val="16"/>
          <w:szCs w:val="16"/>
        </w:rPr>
        <w:t xml:space="preserve"> Zahrnující odvětví dle CZ-NACE: B (Těžba a dobývání), C (Zpracovatelský průmysl), D (Energetika).</w:t>
      </w:r>
    </w:p>
  </w:footnote>
  <w:footnote w:id="8">
    <w:p w:rsidR="006E182C" w:rsidRPr="00D04A8B" w:rsidRDefault="006E182C" w:rsidP="00492991">
      <w:pPr>
        <w:pStyle w:val="Textpoznpodarou"/>
        <w:jc w:val="both"/>
        <w:rPr>
          <w:spacing w:val="-4"/>
          <w:sz w:val="16"/>
          <w:szCs w:val="16"/>
        </w:rPr>
      </w:pPr>
      <w:r w:rsidRPr="00D04A8B">
        <w:rPr>
          <w:rStyle w:val="Znakapoznpodarou"/>
          <w:spacing w:val="-4"/>
          <w:sz w:val="16"/>
          <w:szCs w:val="16"/>
        </w:rPr>
        <w:footnoteRef/>
      </w:r>
      <w:r w:rsidRPr="00D04A8B">
        <w:rPr>
          <w:spacing w:val="-4"/>
          <w:sz w:val="16"/>
          <w:szCs w:val="16"/>
        </w:rPr>
        <w:t xml:space="preserve"> Kalendářní vlivy ovlivnily produkci hlavně ve 2. čtvrtletí. To mělo vloni ve srovn</w:t>
      </w:r>
      <w:r>
        <w:rPr>
          <w:spacing w:val="-4"/>
          <w:sz w:val="16"/>
          <w:szCs w:val="16"/>
        </w:rPr>
        <w:t>ání se stejným obdobím roku 2015</w:t>
      </w:r>
      <w:r w:rsidRPr="00D04A8B">
        <w:rPr>
          <w:spacing w:val="-4"/>
          <w:sz w:val="16"/>
          <w:szCs w:val="16"/>
        </w:rPr>
        <w:t xml:space="preserve"> o tři pracovní dny více. Rozdíl mezi očištěnou (+2,2 %) a neočištěnou produkcí (+5,7 %) byl významný a v podobném rozsahu naposledy patrný ve 3.</w:t>
      </w:r>
      <w:r w:rsidRPr="00D04A8B">
        <w:rPr>
          <w:color w:val="000000"/>
          <w:spacing w:val="-4"/>
          <w:sz w:val="16"/>
          <w:szCs w:val="16"/>
        </w:rPr>
        <w:t> </w:t>
      </w:r>
      <w:r w:rsidRPr="00D04A8B">
        <w:rPr>
          <w:spacing w:val="-4"/>
          <w:sz w:val="16"/>
          <w:szCs w:val="16"/>
        </w:rPr>
        <w:t>čtvrtletí 2008.</w:t>
      </w:r>
    </w:p>
  </w:footnote>
  <w:footnote w:id="9">
    <w:p w:rsidR="006E182C" w:rsidRPr="00D04A8B" w:rsidRDefault="006E182C" w:rsidP="00492991">
      <w:pPr>
        <w:pStyle w:val="Textpoznpodarou"/>
        <w:jc w:val="both"/>
        <w:rPr>
          <w:spacing w:val="-4"/>
          <w:sz w:val="16"/>
          <w:szCs w:val="16"/>
        </w:rPr>
      </w:pPr>
      <w:r w:rsidRPr="00D04A8B">
        <w:rPr>
          <w:rStyle w:val="Znakapoznpodarou"/>
          <w:spacing w:val="-4"/>
          <w:sz w:val="16"/>
          <w:szCs w:val="16"/>
        </w:rPr>
        <w:footnoteRef/>
      </w:r>
      <w:r w:rsidRPr="00D04A8B">
        <w:rPr>
          <w:spacing w:val="-4"/>
          <w:sz w:val="16"/>
          <w:szCs w:val="16"/>
        </w:rPr>
        <w:t xml:space="preserve"> Dl</w:t>
      </w:r>
      <w:r>
        <w:rPr>
          <w:spacing w:val="-4"/>
          <w:sz w:val="16"/>
          <w:szCs w:val="16"/>
        </w:rPr>
        <w:t>e</w:t>
      </w:r>
      <w:r w:rsidRPr="00D04A8B">
        <w:rPr>
          <w:spacing w:val="-4"/>
          <w:sz w:val="16"/>
          <w:szCs w:val="16"/>
        </w:rPr>
        <w:t xml:space="preserve"> údajů Sdružení automobilového průmyslu </w:t>
      </w:r>
      <w:r>
        <w:rPr>
          <w:spacing w:val="-4"/>
          <w:sz w:val="16"/>
          <w:szCs w:val="16"/>
        </w:rPr>
        <w:t xml:space="preserve">bylo </w:t>
      </w:r>
      <w:r w:rsidRPr="00D04A8B">
        <w:rPr>
          <w:spacing w:val="-4"/>
          <w:sz w:val="16"/>
          <w:szCs w:val="16"/>
        </w:rPr>
        <w:t>loni v Česku vyrobeno 1,351 mil. motorových vozidel, meziročně o 8,2 % více.</w:t>
      </w:r>
    </w:p>
  </w:footnote>
  <w:footnote w:id="10">
    <w:p w:rsidR="006E182C" w:rsidRPr="00FA1F08" w:rsidRDefault="006E182C" w:rsidP="00492991">
      <w:pPr>
        <w:pStyle w:val="Textpoznpodarou"/>
        <w:jc w:val="both"/>
        <w:rPr>
          <w:sz w:val="16"/>
          <w:szCs w:val="16"/>
        </w:rPr>
      </w:pPr>
      <w:r w:rsidRPr="00D04A8B">
        <w:rPr>
          <w:rStyle w:val="Znakapoznpodarou"/>
          <w:spacing w:val="-4"/>
          <w:sz w:val="16"/>
          <w:szCs w:val="16"/>
        </w:rPr>
        <w:footnoteRef/>
      </w:r>
      <w:r w:rsidRPr="00D04A8B">
        <w:rPr>
          <w:spacing w:val="-4"/>
          <w:sz w:val="16"/>
          <w:szCs w:val="16"/>
        </w:rPr>
        <w:t xml:space="preserve"> Za touto úrovní v roce 2016 stále polovina zpracovatelských oborů zaostávala.</w:t>
      </w:r>
      <w:r>
        <w:rPr>
          <w:spacing w:val="-4"/>
          <w:sz w:val="16"/>
          <w:szCs w:val="16"/>
        </w:rPr>
        <w:t xml:space="preserve"> Šlo zejména</w:t>
      </w:r>
      <w:r w:rsidRPr="00D04A8B">
        <w:rPr>
          <w:spacing w:val="-4"/>
          <w:sz w:val="16"/>
          <w:szCs w:val="16"/>
        </w:rPr>
        <w:t xml:space="preserve"> o oděvní a kožedělný průmysl či výrobu nápojů (ve všech případech o čtvrtinu). Z váhově významnějších oborů obdobné platilo o hutnictví a slévárenství (89 % úrovně produkce roku 2007), potravinářském (91 %) a che</w:t>
      </w:r>
      <w:r>
        <w:rPr>
          <w:spacing w:val="-4"/>
          <w:sz w:val="16"/>
          <w:szCs w:val="16"/>
        </w:rPr>
        <w:t>mickém průmyslu (92 %). V</w:t>
      </w:r>
      <w:r w:rsidRPr="00D04A8B">
        <w:rPr>
          <w:spacing w:val="-4"/>
          <w:sz w:val="16"/>
          <w:szCs w:val="16"/>
        </w:rPr>
        <w:t>ýrobci motorových vozidel tuto úroveň přek</w:t>
      </w:r>
      <w:r>
        <w:rPr>
          <w:spacing w:val="-4"/>
          <w:sz w:val="16"/>
          <w:szCs w:val="16"/>
        </w:rPr>
        <w:t>onali již v roce 2010 a loni ji převýšili</w:t>
      </w:r>
      <w:r w:rsidRPr="00D04A8B">
        <w:rPr>
          <w:spacing w:val="-4"/>
          <w:sz w:val="16"/>
          <w:szCs w:val="16"/>
        </w:rPr>
        <w:t xml:space="preserve"> o 81 %.</w:t>
      </w:r>
    </w:p>
  </w:footnote>
  <w:footnote w:id="11">
    <w:p w:rsidR="006E182C" w:rsidRPr="006D2C78" w:rsidRDefault="006E182C" w:rsidP="00492991">
      <w:pPr>
        <w:pStyle w:val="Textpoznpodarou"/>
        <w:rPr>
          <w:sz w:val="16"/>
          <w:szCs w:val="16"/>
        </w:rPr>
      </w:pPr>
      <w:r w:rsidRPr="006D2C78">
        <w:rPr>
          <w:rStyle w:val="Znakapoznpodarou"/>
          <w:sz w:val="16"/>
          <w:szCs w:val="16"/>
        </w:rPr>
        <w:footnoteRef/>
      </w:r>
      <w:r w:rsidRPr="006D2C78">
        <w:rPr>
          <w:sz w:val="16"/>
          <w:szCs w:val="16"/>
        </w:rPr>
        <w:t xml:space="preserve"> Během čtyř kvartálů (</w:t>
      </w:r>
      <w:r>
        <w:rPr>
          <w:sz w:val="16"/>
          <w:szCs w:val="16"/>
        </w:rPr>
        <w:t xml:space="preserve">tj. </w:t>
      </w:r>
      <w:r w:rsidRPr="006D2C78">
        <w:rPr>
          <w:sz w:val="16"/>
          <w:szCs w:val="16"/>
        </w:rPr>
        <w:t>od 3. čtvrtletí 2015 do 2. čtvrtletí 2016) se produkce v chemickém průmyslu snížila v úhrnu o 16 %.</w:t>
      </w:r>
    </w:p>
  </w:footnote>
  <w:footnote w:id="12">
    <w:p w:rsidR="006E182C" w:rsidRPr="00D5221C" w:rsidRDefault="006E182C" w:rsidP="00492991">
      <w:pPr>
        <w:pStyle w:val="Textpoznpodarou"/>
        <w:jc w:val="both"/>
        <w:rPr>
          <w:spacing w:val="-2"/>
          <w:sz w:val="16"/>
          <w:szCs w:val="16"/>
        </w:rPr>
      </w:pPr>
      <w:r w:rsidRPr="00D5221C">
        <w:rPr>
          <w:rStyle w:val="Znakapoznpodarou"/>
          <w:spacing w:val="-2"/>
          <w:sz w:val="16"/>
          <w:szCs w:val="16"/>
        </w:rPr>
        <w:footnoteRef/>
      </w:r>
      <w:r w:rsidRPr="00D5221C">
        <w:rPr>
          <w:spacing w:val="-2"/>
          <w:sz w:val="16"/>
          <w:szCs w:val="16"/>
        </w:rPr>
        <w:t xml:space="preserve"> Díky silnému mezičtvrtletnímu růstu v posledních třech měsících loňského roku (+7,9 %) byla překonána úroveň produkce tohoto odvětví z konce poslední recese ekonomiky (1. čtvrtletí 2013). Jediným zpracovatelským oborem, jenž za touto úrovní i na sklonku roku 2016 zaostával (o 4 %), byl dřevozpracující průmysl. Z nezpracovatelských odvětví šlo dále o těžbu a dobývání (o 21 %) a energetiku (o 3 %).</w:t>
      </w:r>
    </w:p>
  </w:footnote>
  <w:footnote w:id="13">
    <w:p w:rsidR="006E182C" w:rsidRPr="00DD37F0" w:rsidRDefault="006E182C" w:rsidP="00492991">
      <w:pPr>
        <w:pStyle w:val="Textpoznpodarou"/>
        <w:rPr>
          <w:sz w:val="16"/>
          <w:szCs w:val="16"/>
        </w:rPr>
      </w:pPr>
      <w:r w:rsidRPr="00DD37F0">
        <w:rPr>
          <w:rStyle w:val="Znakapoznpodarou"/>
          <w:sz w:val="16"/>
          <w:szCs w:val="16"/>
        </w:rPr>
        <w:footnoteRef/>
      </w:r>
      <w:r w:rsidRPr="00DD37F0">
        <w:rPr>
          <w:sz w:val="16"/>
          <w:szCs w:val="16"/>
        </w:rPr>
        <w:t xml:space="preserve"> </w:t>
      </w:r>
      <w:r>
        <w:rPr>
          <w:sz w:val="16"/>
          <w:szCs w:val="16"/>
        </w:rPr>
        <w:t>Postavení oboru</w:t>
      </w:r>
      <w:r w:rsidRPr="00DD37F0">
        <w:rPr>
          <w:sz w:val="16"/>
          <w:szCs w:val="16"/>
        </w:rPr>
        <w:t xml:space="preserve"> se v druhé polovině roku částečně zlepšilo i v souvislosti se zavedením antidumpingových cel na </w:t>
      </w:r>
      <w:r>
        <w:rPr>
          <w:sz w:val="16"/>
          <w:szCs w:val="16"/>
        </w:rPr>
        <w:t xml:space="preserve">dovoz trubek z nerezové oceli </w:t>
      </w:r>
      <w:r w:rsidRPr="00DD37F0">
        <w:rPr>
          <w:sz w:val="16"/>
          <w:szCs w:val="16"/>
        </w:rPr>
        <w:t>z</w:t>
      </w:r>
      <w:r>
        <w:rPr>
          <w:sz w:val="16"/>
          <w:szCs w:val="16"/>
        </w:rPr>
        <w:t> </w:t>
      </w:r>
      <w:r w:rsidRPr="00DD37F0">
        <w:rPr>
          <w:sz w:val="16"/>
          <w:szCs w:val="16"/>
        </w:rPr>
        <w:t>Číny</w:t>
      </w:r>
      <w:r>
        <w:rPr>
          <w:sz w:val="16"/>
          <w:szCs w:val="16"/>
        </w:rPr>
        <w:t xml:space="preserve"> do EU. Ve 4. čtvrtletí produkce v hutnictví a slévárenství meziročně vzrostla (v ČR o 3,2 %, v EU o 0,9 %).</w:t>
      </w:r>
    </w:p>
  </w:footnote>
  <w:footnote w:id="14">
    <w:p w:rsidR="006E182C" w:rsidRPr="00496556" w:rsidRDefault="006E182C" w:rsidP="00492991">
      <w:pPr>
        <w:pStyle w:val="Textpoznpodarou"/>
        <w:rPr>
          <w:rFonts w:cs="Arial"/>
          <w:sz w:val="16"/>
          <w:szCs w:val="16"/>
        </w:rPr>
      </w:pPr>
      <w:r w:rsidRPr="00496556">
        <w:rPr>
          <w:rStyle w:val="Znakapoznpodarou"/>
          <w:rFonts w:cs="Arial"/>
          <w:sz w:val="16"/>
          <w:szCs w:val="16"/>
        </w:rPr>
        <w:footnoteRef/>
      </w:r>
      <w:r w:rsidRPr="00496556">
        <w:rPr>
          <w:rFonts w:cs="Arial"/>
          <w:sz w:val="16"/>
          <w:szCs w:val="16"/>
        </w:rPr>
        <w:t xml:space="preserve"> </w:t>
      </w:r>
      <w:r>
        <w:rPr>
          <w:rFonts w:cs="Arial"/>
          <w:sz w:val="16"/>
          <w:szCs w:val="16"/>
        </w:rPr>
        <w:t xml:space="preserve">Průmyslové </w:t>
      </w:r>
      <w:r>
        <w:rPr>
          <w:rFonts w:cs="Arial"/>
          <w:color w:val="333333"/>
          <w:sz w:val="16"/>
          <w:szCs w:val="16"/>
        </w:rPr>
        <w:t>zakáz</w:t>
      </w:r>
      <w:r w:rsidRPr="00496556">
        <w:rPr>
          <w:rFonts w:cs="Arial"/>
          <w:color w:val="333333"/>
          <w:sz w:val="16"/>
          <w:szCs w:val="16"/>
        </w:rPr>
        <w:t>k</w:t>
      </w:r>
      <w:r>
        <w:rPr>
          <w:rFonts w:cs="Arial"/>
          <w:color w:val="333333"/>
          <w:sz w:val="16"/>
          <w:szCs w:val="16"/>
        </w:rPr>
        <w:t>y se sledují pouze</w:t>
      </w:r>
      <w:r w:rsidRPr="00496556">
        <w:rPr>
          <w:rFonts w:cs="Arial"/>
          <w:color w:val="333333"/>
          <w:sz w:val="16"/>
          <w:szCs w:val="16"/>
        </w:rPr>
        <w:t xml:space="preserve"> ve vybraných oddílech CZ-NACE (13, 14, 17, 20 až 21, 24 až 30), které vyrábějí převážně na zakázku, s dlouhodobějším výrobním cyklem a s většími zásobami zakázek</w:t>
      </w:r>
      <w:r>
        <w:rPr>
          <w:rFonts w:cs="Arial"/>
          <w:color w:val="333333"/>
          <w:sz w:val="16"/>
          <w:szCs w:val="16"/>
        </w:rPr>
        <w:t>.</w:t>
      </w:r>
    </w:p>
  </w:footnote>
  <w:footnote w:id="15">
    <w:p w:rsidR="006E182C" w:rsidRPr="00E46D98" w:rsidRDefault="006E182C" w:rsidP="00492991">
      <w:pPr>
        <w:pStyle w:val="Textpoznpodarou"/>
        <w:rPr>
          <w:sz w:val="16"/>
          <w:szCs w:val="16"/>
        </w:rPr>
      </w:pPr>
      <w:r w:rsidRPr="00E46D98">
        <w:rPr>
          <w:rStyle w:val="Znakapoznpodarou"/>
          <w:sz w:val="16"/>
          <w:szCs w:val="16"/>
        </w:rPr>
        <w:footnoteRef/>
      </w:r>
      <w:r w:rsidRPr="00E46D98">
        <w:rPr>
          <w:sz w:val="16"/>
          <w:szCs w:val="16"/>
        </w:rPr>
        <w:t xml:space="preserve"> Všechny údaje o stavební produkci jsou očištěny o kalendářní vlivy.</w:t>
      </w:r>
    </w:p>
  </w:footnote>
  <w:footnote w:id="16">
    <w:p w:rsidR="006E182C" w:rsidRPr="00566F63" w:rsidRDefault="006E182C" w:rsidP="00492991">
      <w:pPr>
        <w:pStyle w:val="Textpoznpodarou"/>
        <w:rPr>
          <w:sz w:val="16"/>
          <w:szCs w:val="16"/>
        </w:rPr>
      </w:pPr>
      <w:r w:rsidRPr="00566F63">
        <w:rPr>
          <w:rStyle w:val="Znakapoznpodarou"/>
          <w:sz w:val="16"/>
          <w:szCs w:val="16"/>
        </w:rPr>
        <w:footnoteRef/>
      </w:r>
      <w:r>
        <w:rPr>
          <w:sz w:val="16"/>
          <w:szCs w:val="16"/>
        </w:rPr>
        <w:t xml:space="preserve"> Statistické šetření pokrývá</w:t>
      </w:r>
      <w:r w:rsidRPr="00566F63">
        <w:rPr>
          <w:sz w:val="16"/>
          <w:szCs w:val="16"/>
        </w:rPr>
        <w:t xml:space="preserve"> pouze </w:t>
      </w:r>
      <w:r>
        <w:rPr>
          <w:sz w:val="16"/>
          <w:szCs w:val="16"/>
        </w:rPr>
        <w:t xml:space="preserve">zakázky </w:t>
      </w:r>
      <w:r w:rsidRPr="00566F63">
        <w:rPr>
          <w:spacing w:val="-4"/>
          <w:sz w:val="16"/>
          <w:szCs w:val="16"/>
        </w:rPr>
        <w:t>stavební</w:t>
      </w:r>
      <w:r>
        <w:rPr>
          <w:spacing w:val="-4"/>
          <w:sz w:val="16"/>
          <w:szCs w:val="16"/>
        </w:rPr>
        <w:t>ch podniků</w:t>
      </w:r>
      <w:r w:rsidRPr="00566F63">
        <w:rPr>
          <w:spacing w:val="-4"/>
          <w:sz w:val="16"/>
          <w:szCs w:val="16"/>
        </w:rPr>
        <w:t xml:space="preserve"> s 50 a více zaměstnanci.</w:t>
      </w:r>
    </w:p>
  </w:footnote>
  <w:footnote w:id="17">
    <w:p w:rsidR="006E182C" w:rsidRPr="00092C9A" w:rsidRDefault="006E182C" w:rsidP="00492991">
      <w:pPr>
        <w:pStyle w:val="Textpoznpodarou"/>
        <w:rPr>
          <w:sz w:val="16"/>
          <w:szCs w:val="16"/>
        </w:rPr>
      </w:pPr>
      <w:r w:rsidRPr="00092C9A">
        <w:rPr>
          <w:rStyle w:val="Znakapoznpodarou"/>
          <w:sz w:val="16"/>
          <w:szCs w:val="16"/>
        </w:rPr>
        <w:footnoteRef/>
      </w:r>
      <w:r w:rsidRPr="00092C9A">
        <w:rPr>
          <w:sz w:val="16"/>
          <w:szCs w:val="16"/>
        </w:rPr>
        <w:t xml:space="preserve"> </w:t>
      </w:r>
      <w:r>
        <w:rPr>
          <w:sz w:val="16"/>
          <w:szCs w:val="16"/>
        </w:rPr>
        <w:t>Údaje jsou neočištění a n</w:t>
      </w:r>
      <w:r w:rsidRPr="00092C9A">
        <w:rPr>
          <w:sz w:val="16"/>
          <w:szCs w:val="16"/>
        </w:rPr>
        <w:t xml:space="preserve">ezahrnují </w:t>
      </w:r>
      <w:r>
        <w:rPr>
          <w:sz w:val="16"/>
          <w:szCs w:val="16"/>
        </w:rPr>
        <w:t>obchod</w:t>
      </w:r>
      <w:r w:rsidRPr="00092C9A">
        <w:rPr>
          <w:sz w:val="16"/>
          <w:szCs w:val="16"/>
        </w:rPr>
        <w:t>, pe</w:t>
      </w:r>
      <w:r>
        <w:rPr>
          <w:sz w:val="16"/>
          <w:szCs w:val="16"/>
        </w:rPr>
        <w:t>něžnictví a pojišťovnictví, vědu a výzkum a také veřejné služ</w:t>
      </w:r>
      <w:r w:rsidRPr="00092C9A">
        <w:rPr>
          <w:sz w:val="16"/>
          <w:szCs w:val="16"/>
        </w:rPr>
        <w:t>b</w:t>
      </w:r>
      <w:r>
        <w:rPr>
          <w:sz w:val="16"/>
          <w:szCs w:val="16"/>
        </w:rPr>
        <w:t>y</w:t>
      </w:r>
      <w:r w:rsidRPr="00092C9A">
        <w:rPr>
          <w:sz w:val="16"/>
          <w:szCs w:val="16"/>
        </w:rPr>
        <w:t>.</w:t>
      </w:r>
    </w:p>
  </w:footnote>
  <w:footnote w:id="18">
    <w:p w:rsidR="006E182C" w:rsidRPr="00A7125D" w:rsidRDefault="006E182C" w:rsidP="00492991">
      <w:pPr>
        <w:pStyle w:val="Textpoznpodarou"/>
        <w:rPr>
          <w:sz w:val="16"/>
          <w:szCs w:val="16"/>
        </w:rPr>
      </w:pPr>
      <w:r w:rsidRPr="00A7125D">
        <w:rPr>
          <w:rStyle w:val="Znakapoznpodarou"/>
          <w:sz w:val="16"/>
          <w:szCs w:val="16"/>
        </w:rPr>
        <w:footnoteRef/>
      </w:r>
      <w:r>
        <w:rPr>
          <w:sz w:val="16"/>
          <w:szCs w:val="16"/>
        </w:rPr>
        <w:t xml:space="preserve"> V samotném 4. čtvrtletí 2016</w:t>
      </w:r>
      <w:r w:rsidRPr="00A7125D">
        <w:rPr>
          <w:sz w:val="16"/>
          <w:szCs w:val="16"/>
        </w:rPr>
        <w:t xml:space="preserve"> však tržby meziročně o 4,7 % vzrostly. Stalo se </w:t>
      </w:r>
      <w:r>
        <w:rPr>
          <w:sz w:val="16"/>
          <w:szCs w:val="16"/>
        </w:rPr>
        <w:t>tak poprvé po šestnácti čtvrtletích</w:t>
      </w:r>
      <w:r w:rsidRPr="00A7125D">
        <w:rPr>
          <w:sz w:val="16"/>
          <w:szCs w:val="16"/>
        </w:rPr>
        <w:t xml:space="preserve"> nepříznivého vývoje. K tomuto obratu zčásti přispělo zastavení poklesu příjezdů ruských návštěvníků do Česka.</w:t>
      </w:r>
      <w:r>
        <w:rPr>
          <w:sz w:val="16"/>
          <w:szCs w:val="16"/>
        </w:rPr>
        <w:t xml:space="preserve"> Jejich počty v 1. až 3. čtvrtletí 2016 meziročně o 15 % klesly, ve zbývající části roku již ale o 23 % vzrostly.</w:t>
      </w:r>
    </w:p>
  </w:footnote>
  <w:footnote w:id="19">
    <w:p w:rsidR="006E182C" w:rsidRPr="002D7A47" w:rsidRDefault="006E182C" w:rsidP="00492991">
      <w:pPr>
        <w:pStyle w:val="Textpoznpodarou"/>
        <w:rPr>
          <w:sz w:val="16"/>
          <w:szCs w:val="16"/>
        </w:rPr>
      </w:pPr>
      <w:r w:rsidRPr="002D7A47">
        <w:rPr>
          <w:rStyle w:val="Znakapoznpodarou"/>
          <w:sz w:val="16"/>
          <w:szCs w:val="16"/>
        </w:rPr>
        <w:footnoteRef/>
      </w:r>
      <w:r w:rsidRPr="002D7A47">
        <w:rPr>
          <w:sz w:val="16"/>
          <w:szCs w:val="16"/>
        </w:rPr>
        <w:t xml:space="preserve"> Všechny údaje o maloobchodních tržbách j</w:t>
      </w:r>
      <w:r>
        <w:rPr>
          <w:sz w:val="16"/>
          <w:szCs w:val="16"/>
        </w:rPr>
        <w:t>sou očištěny o kalendářní vlivy ve stálých cenách.</w:t>
      </w:r>
    </w:p>
  </w:footnote>
  <w:footnote w:id="20">
    <w:p w:rsidR="006E182C" w:rsidRPr="005A5F82" w:rsidRDefault="00220838" w:rsidP="00492991">
      <w:pPr>
        <w:pStyle w:val="Textpoznpodarou"/>
        <w:rPr>
          <w:spacing w:val="-2"/>
          <w:sz w:val="16"/>
          <w:szCs w:val="16"/>
        </w:rPr>
      </w:pPr>
      <w:r w:rsidRPr="00220838">
        <w:rPr>
          <w:rStyle w:val="Znakapoznpodarou"/>
          <w:spacing w:val="-2"/>
          <w:sz w:val="16"/>
        </w:rPr>
        <w:footnoteRef/>
      </w:r>
      <w:r w:rsidRPr="00220838">
        <w:rPr>
          <w:spacing w:val="-2"/>
          <w:sz w:val="16"/>
        </w:rPr>
        <w:t xml:space="preserve"> </w:t>
      </w:r>
      <w:r w:rsidR="006E182C" w:rsidRPr="005A5F82">
        <w:rPr>
          <w:spacing w:val="-2"/>
          <w:sz w:val="16"/>
          <w:szCs w:val="16"/>
        </w:rPr>
        <w:t>V nich ve</w:t>
      </w:r>
      <w:r w:rsidRPr="00220838">
        <w:rPr>
          <w:spacing w:val="-2"/>
          <w:sz w:val="16"/>
        </w:rPr>
        <w:t xml:space="preserve"> 2. pololetí 2016</w:t>
      </w:r>
      <w:r w:rsidR="006E182C" w:rsidRPr="005A5F82">
        <w:rPr>
          <w:spacing w:val="-2"/>
          <w:sz w:val="16"/>
          <w:szCs w:val="16"/>
        </w:rPr>
        <w:t xml:space="preserve"> došlo</w:t>
      </w:r>
      <w:r w:rsidRPr="00220838">
        <w:rPr>
          <w:spacing w:val="-2"/>
          <w:sz w:val="16"/>
        </w:rPr>
        <w:t xml:space="preserve"> k citelnému poklesu tržeb za služby (tvořících však jen okrajový podíl ze všech tržeb prodejců potravin).</w:t>
      </w:r>
    </w:p>
  </w:footnote>
  <w:footnote w:id="21">
    <w:p w:rsidR="006E182C" w:rsidRPr="003279A7" w:rsidRDefault="006E182C" w:rsidP="00E372FD">
      <w:pPr>
        <w:pStyle w:val="Textpoznpodarou"/>
        <w:rPr>
          <w:sz w:val="16"/>
          <w:szCs w:val="16"/>
        </w:rPr>
      </w:pPr>
      <w:r w:rsidRPr="003279A7">
        <w:rPr>
          <w:rStyle w:val="Znakapoznpodarou"/>
          <w:sz w:val="16"/>
          <w:szCs w:val="16"/>
        </w:rPr>
        <w:footnoteRef/>
      </w:r>
      <w:r w:rsidRPr="003279A7">
        <w:rPr>
          <w:sz w:val="16"/>
          <w:szCs w:val="16"/>
        </w:rPr>
        <w:t xml:space="preserve"> Údaje v národním pojetí v nominálním vyjádření zahrnující pouze obchod se zbožím. Hodnota vývozu je zachycena v cenách FOB, tj. včetně nákladů souvisejících s dopravou na hranice ČR. Dovoz je v cenách CIF, tj. včetně nákladů souvisejících s dopravou v zahraničí na hranice ČR. Data jsou platná k </w:t>
      </w:r>
      <w:r>
        <w:rPr>
          <w:sz w:val="16"/>
          <w:szCs w:val="16"/>
        </w:rPr>
        <w:t>9</w:t>
      </w:r>
      <w:r w:rsidRPr="003279A7">
        <w:rPr>
          <w:sz w:val="16"/>
          <w:szCs w:val="16"/>
        </w:rPr>
        <w:t xml:space="preserve">. </w:t>
      </w:r>
      <w:r>
        <w:rPr>
          <w:sz w:val="16"/>
          <w:szCs w:val="16"/>
        </w:rPr>
        <w:t>3</w:t>
      </w:r>
      <w:r w:rsidRPr="003279A7">
        <w:rPr>
          <w:sz w:val="16"/>
          <w:szCs w:val="16"/>
        </w:rPr>
        <w:t>.</w:t>
      </w:r>
      <w:r>
        <w:rPr>
          <w:sz w:val="16"/>
          <w:szCs w:val="16"/>
        </w:rPr>
        <w:t xml:space="preserve"> </w:t>
      </w:r>
      <w:r w:rsidRPr="003279A7">
        <w:rPr>
          <w:sz w:val="16"/>
          <w:szCs w:val="16"/>
        </w:rPr>
        <w:t xml:space="preserve">2016  </w:t>
      </w:r>
    </w:p>
  </w:footnote>
  <w:footnote w:id="22">
    <w:p w:rsidR="006E182C" w:rsidRPr="008334C3" w:rsidRDefault="00220838">
      <w:pPr>
        <w:pStyle w:val="Textpoznpodarou"/>
        <w:rPr>
          <w:sz w:val="16"/>
          <w:szCs w:val="16"/>
        </w:rPr>
      </w:pPr>
      <w:r w:rsidRPr="00220838">
        <w:rPr>
          <w:rStyle w:val="Znakapoznpodarou"/>
          <w:sz w:val="16"/>
        </w:rPr>
        <w:footnoteRef/>
      </w:r>
      <w:r w:rsidRPr="00220838">
        <w:rPr>
          <w:sz w:val="16"/>
        </w:rPr>
        <w:t xml:space="preserve"> </w:t>
      </w:r>
      <w:r w:rsidR="006E182C" w:rsidRPr="008334C3">
        <w:rPr>
          <w:sz w:val="16"/>
          <w:szCs w:val="16"/>
        </w:rPr>
        <w:t>Pokud bychom k výsledkům roku 2015 zahrnuli částku 16,2 mld. korun v návaznosti na aktualizaci metodiky zachycování obchodu se zemním plynem, prohloubil by se rozdíl v bilanci let 2015 a 2016 na 52,3 mld. korun.</w:t>
      </w:r>
    </w:p>
  </w:footnote>
  <w:footnote w:id="23">
    <w:p w:rsidR="006E182C" w:rsidRPr="00E41A59" w:rsidRDefault="00220838">
      <w:pPr>
        <w:pStyle w:val="Textpoznpodarou"/>
        <w:rPr>
          <w:sz w:val="16"/>
          <w:szCs w:val="16"/>
        </w:rPr>
      </w:pPr>
      <w:r w:rsidRPr="00220838">
        <w:rPr>
          <w:rStyle w:val="Znakapoznpodarou"/>
          <w:sz w:val="16"/>
        </w:rPr>
        <w:footnoteRef/>
      </w:r>
      <w:r w:rsidRPr="00220838">
        <w:rPr>
          <w:sz w:val="16"/>
        </w:rPr>
        <w:t xml:space="preserve"> V</w:t>
      </w:r>
      <w:r w:rsidR="006E182C" w:rsidRPr="00E41A59">
        <w:rPr>
          <w:sz w:val="16"/>
          <w:szCs w:val="16"/>
        </w:rPr>
        <w:t>yjádřená přírůstkem průměrného indexu spotřebitelských cen za posledních dvanáct měsíců oproti průměru předchozích 12 měsíců.</w:t>
      </w:r>
    </w:p>
  </w:footnote>
  <w:footnote w:id="24">
    <w:p w:rsidR="006E182C" w:rsidRPr="00A9497A" w:rsidRDefault="00220838">
      <w:pPr>
        <w:pStyle w:val="Textpoznpodarou"/>
        <w:rPr>
          <w:sz w:val="16"/>
          <w:szCs w:val="16"/>
        </w:rPr>
      </w:pPr>
      <w:r w:rsidRPr="00220838">
        <w:rPr>
          <w:rStyle w:val="Znakapoznpodarou"/>
          <w:sz w:val="16"/>
        </w:rPr>
        <w:footnoteRef/>
      </w:r>
      <w:r w:rsidRPr="00220838">
        <w:rPr>
          <w:sz w:val="16"/>
        </w:rPr>
        <w:t xml:space="preserve"> </w:t>
      </w:r>
      <w:r w:rsidR="006E182C" w:rsidRPr="00E41A59">
        <w:rPr>
          <w:sz w:val="16"/>
          <w:szCs w:val="16"/>
        </w:rPr>
        <w:t>Údaje zjišťovány pouze za Prahu.</w:t>
      </w:r>
    </w:p>
  </w:footnote>
  <w:footnote w:id="25">
    <w:p w:rsidR="006E182C" w:rsidRPr="00B4223A" w:rsidRDefault="006E182C" w:rsidP="00E90D67">
      <w:pPr>
        <w:pStyle w:val="Textpoznpodarou"/>
        <w:jc w:val="both"/>
        <w:rPr>
          <w:sz w:val="16"/>
          <w:szCs w:val="16"/>
        </w:rPr>
      </w:pPr>
      <w:r w:rsidRPr="00B4223A">
        <w:rPr>
          <w:rStyle w:val="Znakapoznpodarou"/>
          <w:sz w:val="16"/>
          <w:szCs w:val="16"/>
        </w:rPr>
        <w:footnoteRef/>
      </w:r>
      <w:r w:rsidRPr="00B4223A">
        <w:rPr>
          <w:sz w:val="16"/>
          <w:szCs w:val="16"/>
        </w:rPr>
        <w:t xml:space="preserve"> Pokud není uvedeno </w:t>
      </w:r>
      <w:r>
        <w:rPr>
          <w:sz w:val="16"/>
          <w:szCs w:val="16"/>
        </w:rPr>
        <w:t>jinak, jsou všechny údaje o zaměstnanosti</w:t>
      </w:r>
      <w:r w:rsidRPr="00B4223A">
        <w:rPr>
          <w:sz w:val="16"/>
          <w:szCs w:val="16"/>
        </w:rPr>
        <w:t xml:space="preserve"> </w:t>
      </w:r>
      <w:r>
        <w:rPr>
          <w:sz w:val="16"/>
          <w:szCs w:val="16"/>
        </w:rPr>
        <w:t>v této kapitole v pojetí národních účtů a očištěné</w:t>
      </w:r>
      <w:r w:rsidRPr="00B4223A">
        <w:rPr>
          <w:sz w:val="16"/>
          <w:szCs w:val="16"/>
        </w:rPr>
        <w:t xml:space="preserve"> o sezónní vlivy.</w:t>
      </w:r>
    </w:p>
  </w:footnote>
  <w:footnote w:id="26">
    <w:p w:rsidR="006E182C" w:rsidRPr="004B0418" w:rsidRDefault="006E182C" w:rsidP="00E90D67">
      <w:pPr>
        <w:pStyle w:val="Textpoznpodarou"/>
        <w:rPr>
          <w:sz w:val="16"/>
          <w:szCs w:val="16"/>
        </w:rPr>
      </w:pPr>
      <w:r w:rsidRPr="004B0418">
        <w:rPr>
          <w:rStyle w:val="Znakapoznpodarou"/>
          <w:sz w:val="16"/>
          <w:szCs w:val="16"/>
        </w:rPr>
        <w:footnoteRef/>
      </w:r>
      <w:r w:rsidRPr="004B0418">
        <w:rPr>
          <w:sz w:val="16"/>
          <w:szCs w:val="16"/>
        </w:rPr>
        <w:t xml:space="preserve"> Z doplňujících podrobnějších údajů </w:t>
      </w:r>
      <w:r>
        <w:rPr>
          <w:sz w:val="16"/>
          <w:szCs w:val="16"/>
        </w:rPr>
        <w:t xml:space="preserve">dle </w:t>
      </w:r>
      <w:r w:rsidRPr="004B0418">
        <w:rPr>
          <w:sz w:val="16"/>
          <w:szCs w:val="16"/>
        </w:rPr>
        <w:t xml:space="preserve">výběrového šetření pracovních sil vyplývá, že v roce 2016 se zvyšovaly počty podnikatelů bez zaměstnanců (ve 4. čtvrtletí meziročně o 46 tis.), zatímco podnikatelů se zaměstnanci </w:t>
      </w:r>
      <w:r>
        <w:rPr>
          <w:sz w:val="16"/>
          <w:szCs w:val="16"/>
        </w:rPr>
        <w:t xml:space="preserve">naopak </w:t>
      </w:r>
      <w:r w:rsidRPr="004B0418">
        <w:rPr>
          <w:sz w:val="16"/>
          <w:szCs w:val="16"/>
        </w:rPr>
        <w:t>ubylo (o 10 tis.).</w:t>
      </w:r>
    </w:p>
  </w:footnote>
  <w:footnote w:id="27">
    <w:p w:rsidR="006E182C" w:rsidRPr="00215B9A" w:rsidRDefault="006E182C" w:rsidP="00E90D67">
      <w:pPr>
        <w:pStyle w:val="Textpoznpodarou"/>
        <w:rPr>
          <w:sz w:val="16"/>
          <w:szCs w:val="16"/>
        </w:rPr>
      </w:pPr>
      <w:r w:rsidRPr="00215B9A">
        <w:rPr>
          <w:rStyle w:val="Znakapoznpodarou"/>
          <w:sz w:val="16"/>
          <w:szCs w:val="16"/>
        </w:rPr>
        <w:footnoteRef/>
      </w:r>
      <w:r w:rsidRPr="00215B9A">
        <w:rPr>
          <w:sz w:val="16"/>
          <w:szCs w:val="16"/>
        </w:rPr>
        <w:t xml:space="preserve"> </w:t>
      </w:r>
      <w:r>
        <w:rPr>
          <w:sz w:val="16"/>
          <w:szCs w:val="16"/>
        </w:rPr>
        <w:t>Po</w:t>
      </w:r>
      <w:r w:rsidRPr="00215B9A">
        <w:rPr>
          <w:rFonts w:cs="Arial"/>
          <w:spacing w:val="-4"/>
          <w:sz w:val="16"/>
          <w:szCs w:val="16"/>
        </w:rPr>
        <w:t xml:space="preserve"> očištěn</w:t>
      </w:r>
      <w:r>
        <w:rPr>
          <w:rFonts w:cs="Arial"/>
          <w:spacing w:val="-4"/>
          <w:sz w:val="16"/>
          <w:szCs w:val="16"/>
        </w:rPr>
        <w:t>í</w:t>
      </w:r>
      <w:r w:rsidRPr="00215B9A">
        <w:rPr>
          <w:rFonts w:cs="Arial"/>
          <w:spacing w:val="-4"/>
          <w:sz w:val="16"/>
          <w:szCs w:val="16"/>
        </w:rPr>
        <w:t xml:space="preserve"> od sezónních vlivů.</w:t>
      </w:r>
    </w:p>
  </w:footnote>
  <w:footnote w:id="28">
    <w:p w:rsidR="006E182C" w:rsidRPr="007E12C1" w:rsidRDefault="006E182C">
      <w:pPr>
        <w:pStyle w:val="Textpoznpodarou"/>
        <w:rPr>
          <w:sz w:val="16"/>
          <w:szCs w:val="16"/>
        </w:rPr>
      </w:pPr>
      <w:r w:rsidRPr="007E12C1">
        <w:rPr>
          <w:rStyle w:val="Znakapoznpodarou"/>
          <w:sz w:val="16"/>
          <w:szCs w:val="16"/>
        </w:rPr>
        <w:footnoteRef/>
      </w:r>
      <w:r w:rsidRPr="007E12C1">
        <w:rPr>
          <w:sz w:val="16"/>
          <w:szCs w:val="16"/>
        </w:rPr>
        <w:t xml:space="preserve"> Údaje ČNB. Není-li uvedeno jinak, jsou veškeré údaje v této kapitole převzaty z databáze ARAD České národní banky. </w:t>
      </w:r>
    </w:p>
  </w:footnote>
  <w:footnote w:id="29">
    <w:p w:rsidR="006E182C" w:rsidRPr="00506A2B" w:rsidRDefault="006E182C">
      <w:pPr>
        <w:pStyle w:val="Textpoznpodarou"/>
        <w:rPr>
          <w:sz w:val="16"/>
          <w:szCs w:val="16"/>
        </w:rPr>
      </w:pPr>
      <w:r w:rsidRPr="00506A2B">
        <w:rPr>
          <w:rStyle w:val="Znakapoznpodarou"/>
          <w:sz w:val="16"/>
          <w:szCs w:val="16"/>
        </w:rPr>
        <w:footnoteRef/>
      </w:r>
      <w:r w:rsidRPr="00506A2B">
        <w:rPr>
          <w:sz w:val="16"/>
          <w:szCs w:val="16"/>
        </w:rPr>
        <w:t xml:space="preserve"> Měřeno peněžním agregátem M3</w:t>
      </w:r>
      <w:r>
        <w:rPr>
          <w:sz w:val="16"/>
          <w:szCs w:val="16"/>
        </w:rPr>
        <w:t>.</w:t>
      </w:r>
    </w:p>
  </w:footnote>
  <w:footnote w:id="30">
    <w:p w:rsidR="006E182C" w:rsidRPr="008334C3" w:rsidRDefault="00220838">
      <w:pPr>
        <w:pStyle w:val="Textpoznpodarou"/>
        <w:rPr>
          <w:sz w:val="16"/>
          <w:szCs w:val="16"/>
        </w:rPr>
      </w:pPr>
      <w:r w:rsidRPr="00220838">
        <w:rPr>
          <w:rStyle w:val="Znakapoznpodarou"/>
          <w:sz w:val="16"/>
        </w:rPr>
        <w:footnoteRef/>
      </w:r>
      <w:r w:rsidRPr="00220838">
        <w:rPr>
          <w:sz w:val="16"/>
        </w:rPr>
        <w:t xml:space="preserve"> </w:t>
      </w:r>
      <w:r w:rsidR="006E182C">
        <w:rPr>
          <w:sz w:val="16"/>
          <w:szCs w:val="16"/>
        </w:rPr>
        <w:t>P</w:t>
      </w:r>
      <w:r w:rsidR="006E182C" w:rsidRPr="008334C3">
        <w:rPr>
          <w:sz w:val="16"/>
          <w:szCs w:val="16"/>
        </w:rPr>
        <w:t>odle klasifikace CZ-NACE</w:t>
      </w:r>
      <w:r w:rsidR="006E182C">
        <w:rPr>
          <w:sz w:val="16"/>
          <w:szCs w:val="16"/>
        </w:rPr>
        <w:t>.</w:t>
      </w:r>
    </w:p>
  </w:footnote>
  <w:footnote w:id="31">
    <w:p w:rsidR="006E182C" w:rsidRPr="00344EC4" w:rsidRDefault="006E182C" w:rsidP="008A03DE">
      <w:pPr>
        <w:pStyle w:val="Textpoznpodarou"/>
        <w:jc w:val="both"/>
        <w:rPr>
          <w:sz w:val="16"/>
          <w:szCs w:val="16"/>
        </w:rPr>
      </w:pPr>
      <w:r w:rsidRPr="00344EC4">
        <w:rPr>
          <w:rStyle w:val="Znakapoznpodarou"/>
          <w:sz w:val="16"/>
          <w:szCs w:val="16"/>
        </w:rPr>
        <w:footnoteRef/>
      </w:r>
      <w:r w:rsidRPr="00344EC4">
        <w:rPr>
          <w:sz w:val="16"/>
          <w:szCs w:val="16"/>
        </w:rPr>
        <w:t xml:space="preserve"> Celostátní inkaso daňových příjmů (</w:t>
      </w:r>
      <w:r>
        <w:rPr>
          <w:sz w:val="16"/>
          <w:szCs w:val="16"/>
        </w:rPr>
        <w:t>tj. na úrovni všech veřejných rozpočtů</w:t>
      </w:r>
      <w:r w:rsidRPr="00344EC4">
        <w:rPr>
          <w:sz w:val="16"/>
          <w:szCs w:val="16"/>
        </w:rPr>
        <w:t xml:space="preserve">) </w:t>
      </w:r>
      <w:r>
        <w:rPr>
          <w:sz w:val="16"/>
          <w:szCs w:val="16"/>
        </w:rPr>
        <w:t>se proti roku 2015 navýšilo dokonce o 8,4</w:t>
      </w:r>
      <w:r w:rsidRPr="00344EC4">
        <w:rPr>
          <w:sz w:val="16"/>
          <w:szCs w:val="16"/>
        </w:rPr>
        <w:t xml:space="preserve"> %. Daňové </w:t>
      </w:r>
      <w:r w:rsidRPr="00344EC4">
        <w:rPr>
          <w:rFonts w:cs="Arial"/>
          <w:color w:val="000000"/>
          <w:spacing w:val="-2"/>
          <w:sz w:val="16"/>
          <w:szCs w:val="16"/>
        </w:rPr>
        <w:t xml:space="preserve">příjmy </w:t>
      </w:r>
      <w:r>
        <w:rPr>
          <w:rFonts w:cs="Arial"/>
          <w:color w:val="000000"/>
          <w:spacing w:val="-2"/>
          <w:sz w:val="16"/>
          <w:szCs w:val="16"/>
        </w:rPr>
        <w:t xml:space="preserve">samotného </w:t>
      </w:r>
      <w:r w:rsidRPr="00344EC4">
        <w:rPr>
          <w:rFonts w:cs="Arial"/>
          <w:color w:val="000000"/>
          <w:spacing w:val="-2"/>
          <w:sz w:val="16"/>
          <w:szCs w:val="16"/>
        </w:rPr>
        <w:t>SR byly vloni negativně ovlivněny změnou rozpo</w:t>
      </w:r>
      <w:r>
        <w:rPr>
          <w:rFonts w:cs="Arial"/>
          <w:color w:val="000000"/>
          <w:spacing w:val="-2"/>
          <w:sz w:val="16"/>
          <w:szCs w:val="16"/>
        </w:rPr>
        <w:t>čtového určení daní, když se snížil</w:t>
      </w:r>
      <w:r w:rsidRPr="00344EC4">
        <w:rPr>
          <w:rFonts w:cs="Arial"/>
          <w:color w:val="000000"/>
          <w:spacing w:val="-2"/>
          <w:sz w:val="16"/>
          <w:szCs w:val="16"/>
        </w:rPr>
        <w:t xml:space="preserve"> podíl SR na celostátním inkasu zhruba </w:t>
      </w:r>
      <w:r>
        <w:rPr>
          <w:rFonts w:cs="Arial"/>
          <w:color w:val="000000"/>
          <w:spacing w:val="-2"/>
          <w:sz w:val="16"/>
          <w:szCs w:val="16"/>
        </w:rPr>
        <w:t>o 1 p.b., a to jak u DPH, tak i</w:t>
      </w:r>
      <w:r w:rsidRPr="00344EC4">
        <w:rPr>
          <w:rFonts w:cs="Arial"/>
          <w:color w:val="000000"/>
          <w:spacing w:val="-2"/>
          <w:sz w:val="16"/>
          <w:szCs w:val="16"/>
        </w:rPr>
        <w:t> u daně z příjmu fyzických osob ze závislé činnosti.</w:t>
      </w:r>
    </w:p>
  </w:footnote>
  <w:footnote w:id="32">
    <w:p w:rsidR="006E182C" w:rsidRPr="00E531D0" w:rsidRDefault="006E182C" w:rsidP="008A03DE">
      <w:pPr>
        <w:autoSpaceDE w:val="0"/>
        <w:autoSpaceDN w:val="0"/>
        <w:adjustRightInd w:val="0"/>
        <w:spacing w:line="240" w:lineRule="auto"/>
        <w:jc w:val="both"/>
        <w:rPr>
          <w:rFonts w:cs="Arial"/>
          <w:sz w:val="16"/>
          <w:szCs w:val="16"/>
        </w:rPr>
      </w:pPr>
      <w:r w:rsidRPr="00E531D0">
        <w:rPr>
          <w:rStyle w:val="Znakapoznpodarou"/>
          <w:sz w:val="16"/>
          <w:szCs w:val="16"/>
        </w:rPr>
        <w:footnoteRef/>
      </w:r>
      <w:r w:rsidRPr="00E531D0">
        <w:rPr>
          <w:sz w:val="16"/>
          <w:szCs w:val="16"/>
        </w:rPr>
        <w:t xml:space="preserve"> Od ledna do listopadu se celková spotřeba motorové nafty zvýšila o 4</w:t>
      </w:r>
      <w:r>
        <w:rPr>
          <w:sz w:val="16"/>
          <w:szCs w:val="16"/>
        </w:rPr>
        <w:t>,0</w:t>
      </w:r>
      <w:r w:rsidRPr="00E531D0">
        <w:rPr>
          <w:sz w:val="16"/>
          <w:szCs w:val="16"/>
        </w:rPr>
        <w:t xml:space="preserve"> %, u motorového benzínu o 1,7 %. </w:t>
      </w:r>
      <w:r w:rsidRPr="00E531D0">
        <w:rPr>
          <w:rFonts w:cs="Arial"/>
          <w:sz w:val="16"/>
          <w:szCs w:val="16"/>
        </w:rPr>
        <w:t>Vlivem snížení podpory čistých a</w:t>
      </w:r>
      <w:r>
        <w:rPr>
          <w:rFonts w:cs="Arial"/>
          <w:sz w:val="16"/>
          <w:szCs w:val="16"/>
        </w:rPr>
        <w:t xml:space="preserve"> </w:t>
      </w:r>
      <w:r w:rsidRPr="00E531D0">
        <w:rPr>
          <w:rFonts w:cs="Arial"/>
          <w:sz w:val="16"/>
          <w:szCs w:val="16"/>
        </w:rPr>
        <w:t>vysokoprocentních biopaliv v dopravě (od roku 2016) lze předpokládat, že se část spotřeby přesunula k více zdaněným pohonným hmotám.</w:t>
      </w:r>
      <w:r>
        <w:rPr>
          <w:rFonts w:cs="Arial"/>
          <w:sz w:val="16"/>
          <w:szCs w:val="16"/>
        </w:rPr>
        <w:t xml:space="preserve"> Spotřebitelské ceny PHM se po jedenáct měsíců loňského roku nacházely nejníže od hluboké recese (2009).</w:t>
      </w:r>
    </w:p>
  </w:footnote>
  <w:footnote w:id="33">
    <w:p w:rsidR="006E182C" w:rsidRPr="00401D00" w:rsidRDefault="006E182C" w:rsidP="008A03DE">
      <w:pPr>
        <w:pStyle w:val="Textpoznpodarou"/>
        <w:jc w:val="both"/>
        <w:rPr>
          <w:sz w:val="16"/>
          <w:szCs w:val="16"/>
        </w:rPr>
      </w:pPr>
      <w:r w:rsidRPr="00401D00">
        <w:rPr>
          <w:rStyle w:val="Znakapoznpodarou"/>
          <w:sz w:val="16"/>
          <w:szCs w:val="16"/>
        </w:rPr>
        <w:footnoteRef/>
      </w:r>
      <w:r w:rsidRPr="00401D00">
        <w:rPr>
          <w:sz w:val="16"/>
          <w:szCs w:val="16"/>
        </w:rPr>
        <w:t xml:space="preserve"> Příčinou byl prudký meziroční pokles inkasa v krizovém roce 2009 (o více než třetinu)</w:t>
      </w:r>
      <w:r>
        <w:rPr>
          <w:sz w:val="16"/>
          <w:szCs w:val="16"/>
        </w:rPr>
        <w:t>, v menší míře působilo i snížení sazby daně z 21 % na 19 % v období let 2010 a 2011.</w:t>
      </w:r>
    </w:p>
  </w:footnote>
  <w:footnote w:id="34">
    <w:p w:rsidR="006E182C" w:rsidRPr="00870540" w:rsidRDefault="006E182C" w:rsidP="008A03DE">
      <w:pPr>
        <w:pStyle w:val="Textpoznpodarou"/>
        <w:rPr>
          <w:sz w:val="16"/>
          <w:szCs w:val="16"/>
        </w:rPr>
      </w:pPr>
      <w:r w:rsidRPr="00870540">
        <w:rPr>
          <w:rStyle w:val="Znakapoznpodarou"/>
          <w:sz w:val="16"/>
          <w:szCs w:val="16"/>
        </w:rPr>
        <w:footnoteRef/>
      </w:r>
      <w:r w:rsidRPr="00870540">
        <w:rPr>
          <w:sz w:val="16"/>
          <w:szCs w:val="16"/>
        </w:rPr>
        <w:t xml:space="preserve"> Na celostátní inkaso DPFO ze závislé činnosti negativně působily legisla</w:t>
      </w:r>
      <w:r>
        <w:rPr>
          <w:sz w:val="16"/>
          <w:szCs w:val="16"/>
        </w:rPr>
        <w:t xml:space="preserve">tivní úpravy – </w:t>
      </w:r>
      <w:r w:rsidRPr="00870540">
        <w:rPr>
          <w:sz w:val="16"/>
          <w:szCs w:val="16"/>
        </w:rPr>
        <w:t>v meziročním srovnání šlo především o další zvýšení daňového zvýhodnění na druhé a další dítě. V porovnání s efektem růstu ekonomiky se však jednalo o spíše okrajový vliv.</w:t>
      </w:r>
    </w:p>
  </w:footnote>
  <w:footnote w:id="35">
    <w:p w:rsidR="006E182C" w:rsidRPr="009E2F88" w:rsidRDefault="006E182C" w:rsidP="008A03DE">
      <w:pPr>
        <w:pStyle w:val="Textpoznpodarou"/>
        <w:rPr>
          <w:sz w:val="16"/>
          <w:szCs w:val="16"/>
        </w:rPr>
      </w:pPr>
      <w:r w:rsidRPr="009E2F88">
        <w:rPr>
          <w:rStyle w:val="Znakapoznpodarou"/>
          <w:sz w:val="16"/>
          <w:szCs w:val="16"/>
        </w:rPr>
        <w:footnoteRef/>
      </w:r>
      <w:r w:rsidRPr="009E2F88">
        <w:rPr>
          <w:sz w:val="16"/>
          <w:szCs w:val="16"/>
        </w:rPr>
        <w:t xml:space="preserve"> Na společné programy ČR a EU </w:t>
      </w:r>
      <w:r>
        <w:rPr>
          <w:sz w:val="16"/>
          <w:szCs w:val="16"/>
        </w:rPr>
        <w:t>(bez společné zemědělské politiky</w:t>
      </w:r>
      <w:r w:rsidRPr="009E2F88">
        <w:rPr>
          <w:sz w:val="16"/>
          <w:szCs w:val="16"/>
        </w:rPr>
        <w:t>) bylo dle předběžných údajů v roce 2016 vyčerpáno</w:t>
      </w:r>
      <w:r>
        <w:rPr>
          <w:sz w:val="16"/>
          <w:szCs w:val="16"/>
        </w:rPr>
        <w:t xml:space="preserve"> na běžných i</w:t>
      </w:r>
      <w:r w:rsidRPr="009E2F88">
        <w:rPr>
          <w:sz w:val="16"/>
          <w:szCs w:val="16"/>
        </w:rPr>
        <w:t> </w:t>
      </w:r>
      <w:r>
        <w:rPr>
          <w:sz w:val="16"/>
          <w:szCs w:val="16"/>
        </w:rPr>
        <w:t xml:space="preserve">kapitálových výdajích </w:t>
      </w:r>
      <w:r w:rsidRPr="009E2F88">
        <w:rPr>
          <w:sz w:val="16"/>
          <w:szCs w:val="16"/>
        </w:rPr>
        <w:t>54,3 mld. korun (rozpočtové očekává</w:t>
      </w:r>
      <w:r>
        <w:rPr>
          <w:sz w:val="16"/>
          <w:szCs w:val="16"/>
        </w:rPr>
        <w:t>ní</w:t>
      </w:r>
      <w:r w:rsidRPr="009E2F88">
        <w:rPr>
          <w:sz w:val="16"/>
          <w:szCs w:val="16"/>
        </w:rPr>
        <w:t xml:space="preserve"> činilo 70 mld.).</w:t>
      </w:r>
    </w:p>
  </w:footnote>
  <w:footnote w:id="36">
    <w:p w:rsidR="006E182C" w:rsidRPr="009D7CC5" w:rsidRDefault="006E182C" w:rsidP="008A03DE">
      <w:pPr>
        <w:pStyle w:val="Textpoznpodarou"/>
        <w:rPr>
          <w:sz w:val="16"/>
          <w:szCs w:val="16"/>
        </w:rPr>
      </w:pPr>
      <w:r w:rsidRPr="009D7CC5">
        <w:rPr>
          <w:rStyle w:val="Znakapoznpodarou"/>
          <w:sz w:val="16"/>
          <w:szCs w:val="16"/>
        </w:rPr>
        <w:footnoteRef/>
      </w:r>
      <w:r>
        <w:rPr>
          <w:sz w:val="16"/>
          <w:szCs w:val="16"/>
        </w:rPr>
        <w:t xml:space="preserve"> V období let 2015</w:t>
      </w:r>
      <w:r w:rsidRPr="008525F9">
        <w:rPr>
          <w:rFonts w:cs="Arial"/>
          <w:color w:val="0D0D0D" w:themeColor="text1" w:themeTint="F2"/>
          <w:spacing w:val="-4"/>
          <w:sz w:val="16"/>
          <w:szCs w:val="16"/>
        </w:rPr>
        <w:t>–</w:t>
      </w:r>
      <w:r w:rsidRPr="009D7CC5">
        <w:rPr>
          <w:sz w:val="16"/>
          <w:szCs w:val="16"/>
        </w:rPr>
        <w:t xml:space="preserve">2016 činil </w:t>
      </w:r>
      <w:r>
        <w:rPr>
          <w:sz w:val="16"/>
          <w:szCs w:val="16"/>
        </w:rPr>
        <w:t>v průměru podíl investic na výdajích SR 10,2 %</w:t>
      </w:r>
      <w:r w:rsidRPr="009D7CC5">
        <w:rPr>
          <w:sz w:val="16"/>
          <w:szCs w:val="16"/>
        </w:rPr>
        <w:t xml:space="preserve"> podobně jak</w:t>
      </w:r>
      <w:r>
        <w:rPr>
          <w:sz w:val="16"/>
          <w:szCs w:val="16"/>
        </w:rPr>
        <w:t>o v předchozím desetiletí (2005</w:t>
      </w:r>
      <w:r w:rsidRPr="008525F9">
        <w:rPr>
          <w:rFonts w:cs="Arial"/>
          <w:color w:val="0D0D0D" w:themeColor="text1" w:themeTint="F2"/>
          <w:spacing w:val="-4"/>
          <w:sz w:val="16"/>
          <w:szCs w:val="16"/>
        </w:rPr>
        <w:t>–</w:t>
      </w:r>
      <w:r w:rsidRPr="009D7CC5">
        <w:rPr>
          <w:sz w:val="16"/>
          <w:szCs w:val="16"/>
        </w:rPr>
        <w:t xml:space="preserve">2014). </w:t>
      </w:r>
    </w:p>
  </w:footnote>
  <w:footnote w:id="37">
    <w:p w:rsidR="006E182C" w:rsidRPr="009675CE" w:rsidRDefault="006E182C" w:rsidP="008A03DE">
      <w:pPr>
        <w:pStyle w:val="Textpoznpodarou"/>
        <w:rPr>
          <w:rFonts w:cs="Arial"/>
          <w:sz w:val="16"/>
          <w:szCs w:val="16"/>
        </w:rPr>
      </w:pPr>
      <w:r w:rsidRPr="009675CE">
        <w:rPr>
          <w:rStyle w:val="Znakapoznpodarou"/>
          <w:rFonts w:cs="Arial"/>
          <w:sz w:val="16"/>
          <w:szCs w:val="16"/>
        </w:rPr>
        <w:footnoteRef/>
      </w:r>
      <w:r w:rsidRPr="009675CE">
        <w:rPr>
          <w:rFonts w:cs="Arial"/>
          <w:sz w:val="16"/>
          <w:szCs w:val="16"/>
        </w:rPr>
        <w:t xml:space="preserve"> Od ledna 2015 došlo k návratu k dřívější pl</w:t>
      </w:r>
      <w:r>
        <w:rPr>
          <w:rFonts w:cs="Arial"/>
          <w:sz w:val="16"/>
          <w:szCs w:val="16"/>
        </w:rPr>
        <w:t>né valorizaci důchodů. Ty při současném valorizačním schématu opět plně zohledňují nárůst</w:t>
      </w:r>
      <w:r w:rsidRPr="009675CE">
        <w:rPr>
          <w:rFonts w:cs="Arial"/>
          <w:sz w:val="16"/>
          <w:szCs w:val="16"/>
        </w:rPr>
        <w:t xml:space="preserve"> spotřebitelských cen a </w:t>
      </w:r>
      <w:r>
        <w:rPr>
          <w:rFonts w:cs="Arial"/>
          <w:sz w:val="16"/>
          <w:szCs w:val="16"/>
        </w:rPr>
        <w:t xml:space="preserve">dále </w:t>
      </w:r>
      <w:r w:rsidRPr="009675CE">
        <w:rPr>
          <w:rFonts w:cs="Arial"/>
          <w:sz w:val="16"/>
          <w:szCs w:val="16"/>
        </w:rPr>
        <w:t>1/3 nárůstu reálné mzdy.</w:t>
      </w:r>
    </w:p>
  </w:footnote>
  <w:footnote w:id="38">
    <w:p w:rsidR="006E182C" w:rsidRPr="00075762" w:rsidRDefault="006E182C" w:rsidP="008A03DE">
      <w:pPr>
        <w:pStyle w:val="Textpoznpodarou"/>
        <w:rPr>
          <w:sz w:val="16"/>
          <w:szCs w:val="16"/>
        </w:rPr>
      </w:pPr>
      <w:r w:rsidRPr="00075762">
        <w:rPr>
          <w:rStyle w:val="Znakapoznpodarou"/>
          <w:sz w:val="16"/>
          <w:szCs w:val="16"/>
        </w:rPr>
        <w:footnoteRef/>
      </w:r>
      <w:r w:rsidRPr="00075762">
        <w:rPr>
          <w:sz w:val="16"/>
          <w:szCs w:val="16"/>
        </w:rPr>
        <w:t xml:space="preserve"> Příliv spekulativního kapitálu v souvislosti s blížícím se ukončením kurzového závazku ČNB na počátku roku 2017 akceleroval. Na konci ledna vlastnili nerezidenti české dluhopisy </w:t>
      </w:r>
      <w:r>
        <w:rPr>
          <w:sz w:val="16"/>
          <w:szCs w:val="16"/>
        </w:rPr>
        <w:t xml:space="preserve">již </w:t>
      </w:r>
      <w:r w:rsidRPr="00075762">
        <w:rPr>
          <w:sz w:val="16"/>
          <w:szCs w:val="16"/>
        </w:rPr>
        <w:t xml:space="preserve">za </w:t>
      </w:r>
      <w:r>
        <w:rPr>
          <w:sz w:val="16"/>
          <w:szCs w:val="16"/>
        </w:rPr>
        <w:t xml:space="preserve">538,8 mld. korun, resp. 38,7 % </w:t>
      </w:r>
      <w:r w:rsidRPr="00075762">
        <w:rPr>
          <w:rFonts w:cs="Arial"/>
          <w:color w:val="0D0D0D"/>
          <w:spacing w:val="-4"/>
          <w:sz w:val="16"/>
          <w:szCs w:val="16"/>
        </w:rPr>
        <w:t>hodnoty všech korunových dluhopisů).</w:t>
      </w:r>
    </w:p>
  </w:footnote>
  <w:footnote w:id="39">
    <w:p w:rsidR="006E182C" w:rsidRPr="00AC3D02" w:rsidRDefault="00220838" w:rsidP="008A03DE">
      <w:pPr>
        <w:pStyle w:val="Textpoznpodarou"/>
        <w:jc w:val="both"/>
        <w:rPr>
          <w:rFonts w:cs="Arial"/>
          <w:color w:val="0D0D0D" w:themeColor="text1" w:themeTint="F2"/>
          <w:sz w:val="16"/>
          <w:szCs w:val="16"/>
        </w:rPr>
      </w:pPr>
      <w:r w:rsidRPr="00220838">
        <w:rPr>
          <w:rStyle w:val="Znakapoznpodarou"/>
          <w:color w:val="0D0D0D" w:themeColor="text1" w:themeTint="F2"/>
          <w:sz w:val="16"/>
        </w:rPr>
        <w:footnoteRef/>
      </w:r>
      <w:r w:rsidRPr="00220838">
        <w:rPr>
          <w:color w:val="0D0D0D" w:themeColor="text1" w:themeTint="F2"/>
          <w:sz w:val="16"/>
        </w:rPr>
        <w:t xml:space="preserve"> </w:t>
      </w:r>
      <w:r w:rsidRPr="00220838">
        <w:rPr>
          <w:color w:val="0D0D0D" w:themeColor="text1" w:themeTint="F2"/>
          <w:spacing w:val="-4"/>
          <w:sz w:val="16"/>
        </w:rPr>
        <w:t>Dluh sektoru vládních institucí zahrnuje vedle centrálních vládních institucí i hospodaření územně správních celků či zdravotních pojišťoven.</w:t>
      </w:r>
      <w:r w:rsidRPr="00220838">
        <w:rPr>
          <w:color w:val="0D0D0D" w:themeColor="text1" w:themeTint="F2"/>
          <w:sz w:val="16"/>
        </w:rPr>
        <w:t xml:space="preserve"> Předběžné údaje o dluhu a deficitu sektoru vládních institucí za celý rok 2016 zveřejní ČSÚ 4. dubna 2017 (Eurostat pak 24. dubna).</w:t>
      </w:r>
    </w:p>
  </w:footnote>
  <w:footnote w:id="40">
    <w:p w:rsidR="006E182C" w:rsidRPr="00AC3D02" w:rsidRDefault="00220838" w:rsidP="008A03DE">
      <w:pPr>
        <w:pStyle w:val="Textpoznpodarou"/>
        <w:rPr>
          <w:color w:val="0D0D0D" w:themeColor="text1" w:themeTint="F2"/>
          <w:sz w:val="16"/>
          <w:szCs w:val="16"/>
        </w:rPr>
      </w:pPr>
      <w:r w:rsidRPr="00220838">
        <w:rPr>
          <w:rStyle w:val="Znakapoznpodarou"/>
          <w:color w:val="0D0D0D" w:themeColor="text1" w:themeTint="F2"/>
          <w:sz w:val="16"/>
        </w:rPr>
        <w:footnoteRef/>
      </w:r>
      <w:r w:rsidRPr="00220838">
        <w:rPr>
          <w:color w:val="0D0D0D" w:themeColor="text1" w:themeTint="F2"/>
          <w:sz w:val="16"/>
        </w:rPr>
        <w:t xml:space="preserve"> Státy, jejichž dluh sektoru vládních institucí loni převyšoval 95 % HDP (Řecko, Portugalsko, Itálie, Kypr, Belgie, Španělsko a Francie).</w:t>
      </w:r>
    </w:p>
  </w:footnote>
  <w:footnote w:id="41">
    <w:p w:rsidR="006E182C" w:rsidRPr="00552EAB" w:rsidRDefault="00220838" w:rsidP="008A03DE">
      <w:pPr>
        <w:pStyle w:val="Textpoznpodarou"/>
        <w:jc w:val="both"/>
        <w:rPr>
          <w:sz w:val="16"/>
          <w:szCs w:val="16"/>
        </w:rPr>
      </w:pPr>
      <w:r w:rsidRPr="00220838">
        <w:rPr>
          <w:rStyle w:val="Znakapoznpodarou"/>
          <w:color w:val="0D0D0D" w:themeColor="text1" w:themeTint="F2"/>
          <w:sz w:val="16"/>
        </w:rPr>
        <w:footnoteRef/>
      </w:r>
      <w:r w:rsidRPr="00220838">
        <w:rPr>
          <w:color w:val="0D0D0D" w:themeColor="text1" w:themeTint="F2"/>
          <w:sz w:val="16"/>
        </w:rPr>
        <w:t xml:space="preserve"> Indikátory salda hospodaření a dluhu vládních institucí jsou založeny na akruálním principu. Dle něj jsou příjmy a výdaje přiřazeny období, se kterým věcně souvisí, tj. bez ohledu na období uskutečnění hotovostního toku (jak je tomu v případě pokladního plnění).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Default="006E182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Pr="00173642" w:rsidRDefault="006E182C"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Pr="00DC5B3B" w:rsidRDefault="006E182C"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Pr="00C00831" w:rsidRDefault="006E182C"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Pr="00D766EF" w:rsidRDefault="006E182C"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roce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1"/>
  </w:num>
  <w:num w:numId="2">
    <w:abstractNumId w:val="17"/>
  </w:num>
  <w:num w:numId="3">
    <w:abstractNumId w:val="8"/>
  </w:num>
  <w:num w:numId="4">
    <w:abstractNumId w:val="15"/>
  </w:num>
  <w:num w:numId="5">
    <w:abstractNumId w:val="9"/>
  </w:num>
  <w:num w:numId="6">
    <w:abstractNumId w:val="12"/>
  </w:num>
  <w:num w:numId="7">
    <w:abstractNumId w:val="3"/>
  </w:num>
  <w:num w:numId="8">
    <w:abstractNumId w:val="7"/>
  </w:num>
  <w:num w:numId="9">
    <w:abstractNumId w:val="14"/>
  </w:num>
  <w:num w:numId="10">
    <w:abstractNumId w:val="2"/>
  </w:num>
  <w:num w:numId="11">
    <w:abstractNumId w:val="6"/>
  </w:num>
  <w:num w:numId="12">
    <w:abstractNumId w:val="1"/>
  </w:num>
  <w:num w:numId="13">
    <w:abstractNumId w:val="5"/>
  </w:num>
  <w:num w:numId="14">
    <w:abstractNumId w:val="0"/>
  </w:num>
  <w:num w:numId="15">
    <w:abstractNumId w:val="13"/>
  </w:num>
  <w:num w:numId="16">
    <w:abstractNumId w:val="10"/>
  </w:num>
  <w:num w:numId="17">
    <w:abstractNumId w:val="4"/>
  </w:num>
  <w:num w:numId="18">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9B70BD"/>
    <w:rsid w:val="00000FA7"/>
    <w:rsid w:val="00001EFF"/>
    <w:rsid w:val="00003687"/>
    <w:rsid w:val="00003C43"/>
    <w:rsid w:val="00004EB0"/>
    <w:rsid w:val="00007498"/>
    <w:rsid w:val="0000767A"/>
    <w:rsid w:val="000101F5"/>
    <w:rsid w:val="000104B9"/>
    <w:rsid w:val="00010702"/>
    <w:rsid w:val="00010770"/>
    <w:rsid w:val="00011191"/>
    <w:rsid w:val="0001159B"/>
    <w:rsid w:val="000117CA"/>
    <w:rsid w:val="00012986"/>
    <w:rsid w:val="00014028"/>
    <w:rsid w:val="00015195"/>
    <w:rsid w:val="0001519F"/>
    <w:rsid w:val="0001572B"/>
    <w:rsid w:val="0001573E"/>
    <w:rsid w:val="000157DA"/>
    <w:rsid w:val="0001589D"/>
    <w:rsid w:val="00016033"/>
    <w:rsid w:val="000162DB"/>
    <w:rsid w:val="00017F05"/>
    <w:rsid w:val="000202C6"/>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5CCF"/>
    <w:rsid w:val="00035FC6"/>
    <w:rsid w:val="0003705E"/>
    <w:rsid w:val="00037667"/>
    <w:rsid w:val="0004075D"/>
    <w:rsid w:val="000411E1"/>
    <w:rsid w:val="00041E9C"/>
    <w:rsid w:val="00043C68"/>
    <w:rsid w:val="00043E05"/>
    <w:rsid w:val="0004694F"/>
    <w:rsid w:val="000500DC"/>
    <w:rsid w:val="000509FD"/>
    <w:rsid w:val="00051ADE"/>
    <w:rsid w:val="00052052"/>
    <w:rsid w:val="00052172"/>
    <w:rsid w:val="000534FD"/>
    <w:rsid w:val="00053CBA"/>
    <w:rsid w:val="00054E43"/>
    <w:rsid w:val="00055059"/>
    <w:rsid w:val="000553E4"/>
    <w:rsid w:val="000567FA"/>
    <w:rsid w:val="00056B26"/>
    <w:rsid w:val="00057C16"/>
    <w:rsid w:val="00060F26"/>
    <w:rsid w:val="00062D43"/>
    <w:rsid w:val="00062EC5"/>
    <w:rsid w:val="00064256"/>
    <w:rsid w:val="000706A4"/>
    <w:rsid w:val="00070A0C"/>
    <w:rsid w:val="00071F80"/>
    <w:rsid w:val="00072118"/>
    <w:rsid w:val="00073173"/>
    <w:rsid w:val="000779AC"/>
    <w:rsid w:val="00080A41"/>
    <w:rsid w:val="00080AA8"/>
    <w:rsid w:val="00083803"/>
    <w:rsid w:val="00083D7F"/>
    <w:rsid w:val="00084393"/>
    <w:rsid w:val="0008716A"/>
    <w:rsid w:val="00087634"/>
    <w:rsid w:val="00091237"/>
    <w:rsid w:val="000916B1"/>
    <w:rsid w:val="0009191B"/>
    <w:rsid w:val="000920EC"/>
    <w:rsid w:val="00092208"/>
    <w:rsid w:val="00092505"/>
    <w:rsid w:val="000927EB"/>
    <w:rsid w:val="00092C9A"/>
    <w:rsid w:val="000973B6"/>
    <w:rsid w:val="00097BFC"/>
    <w:rsid w:val="00097D02"/>
    <w:rsid w:val="000A1183"/>
    <w:rsid w:val="000A2121"/>
    <w:rsid w:val="000A2484"/>
    <w:rsid w:val="000A36CE"/>
    <w:rsid w:val="000A59BF"/>
    <w:rsid w:val="000A66C2"/>
    <w:rsid w:val="000A68A7"/>
    <w:rsid w:val="000B1CFE"/>
    <w:rsid w:val="000B210A"/>
    <w:rsid w:val="000B249B"/>
    <w:rsid w:val="000B2ADE"/>
    <w:rsid w:val="000B3B01"/>
    <w:rsid w:val="000B3DB9"/>
    <w:rsid w:val="000B3F02"/>
    <w:rsid w:val="000B48A2"/>
    <w:rsid w:val="000B48E7"/>
    <w:rsid w:val="000B4F41"/>
    <w:rsid w:val="000B7663"/>
    <w:rsid w:val="000C1106"/>
    <w:rsid w:val="000C11D3"/>
    <w:rsid w:val="000C12F5"/>
    <w:rsid w:val="000C3408"/>
    <w:rsid w:val="000C54AF"/>
    <w:rsid w:val="000C5C0F"/>
    <w:rsid w:val="000C5D56"/>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E025B"/>
    <w:rsid w:val="000E0ECB"/>
    <w:rsid w:val="000E153A"/>
    <w:rsid w:val="000E19A8"/>
    <w:rsid w:val="000E1EEA"/>
    <w:rsid w:val="000E4241"/>
    <w:rsid w:val="000E4A42"/>
    <w:rsid w:val="000E6476"/>
    <w:rsid w:val="000E78D2"/>
    <w:rsid w:val="000F3332"/>
    <w:rsid w:val="000F33EE"/>
    <w:rsid w:val="000F401E"/>
    <w:rsid w:val="000F5445"/>
    <w:rsid w:val="000F5673"/>
    <w:rsid w:val="000F67B2"/>
    <w:rsid w:val="000F6CFB"/>
    <w:rsid w:val="000F74B6"/>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110A"/>
    <w:rsid w:val="001118AF"/>
    <w:rsid w:val="00111CA5"/>
    <w:rsid w:val="0011256E"/>
    <w:rsid w:val="0011352E"/>
    <w:rsid w:val="00114FC0"/>
    <w:rsid w:val="00115496"/>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43FA3"/>
    <w:rsid w:val="0014428D"/>
    <w:rsid w:val="001500FC"/>
    <w:rsid w:val="00151AC0"/>
    <w:rsid w:val="00151B27"/>
    <w:rsid w:val="00152046"/>
    <w:rsid w:val="00152E53"/>
    <w:rsid w:val="00154147"/>
    <w:rsid w:val="001550F3"/>
    <w:rsid w:val="00155746"/>
    <w:rsid w:val="00156318"/>
    <w:rsid w:val="0015639A"/>
    <w:rsid w:val="0016081D"/>
    <w:rsid w:val="00160CF3"/>
    <w:rsid w:val="00160E61"/>
    <w:rsid w:val="00161300"/>
    <w:rsid w:val="001620FA"/>
    <w:rsid w:val="00162853"/>
    <w:rsid w:val="00163793"/>
    <w:rsid w:val="00167FB2"/>
    <w:rsid w:val="001707DE"/>
    <w:rsid w:val="00170B04"/>
    <w:rsid w:val="00170F47"/>
    <w:rsid w:val="001711F2"/>
    <w:rsid w:val="001714F2"/>
    <w:rsid w:val="00173642"/>
    <w:rsid w:val="00173AF4"/>
    <w:rsid w:val="00173CB0"/>
    <w:rsid w:val="00174CE8"/>
    <w:rsid w:val="00174E7D"/>
    <w:rsid w:val="001752CB"/>
    <w:rsid w:val="00175351"/>
    <w:rsid w:val="00175F60"/>
    <w:rsid w:val="00176050"/>
    <w:rsid w:val="001764D8"/>
    <w:rsid w:val="00176A8F"/>
    <w:rsid w:val="00180D58"/>
    <w:rsid w:val="00181938"/>
    <w:rsid w:val="00182981"/>
    <w:rsid w:val="00184CF9"/>
    <w:rsid w:val="00185010"/>
    <w:rsid w:val="001852EC"/>
    <w:rsid w:val="001857D6"/>
    <w:rsid w:val="00186447"/>
    <w:rsid w:val="001874CF"/>
    <w:rsid w:val="00190214"/>
    <w:rsid w:val="00190D9B"/>
    <w:rsid w:val="00191BAE"/>
    <w:rsid w:val="00193432"/>
    <w:rsid w:val="0019346C"/>
    <w:rsid w:val="00194AE3"/>
    <w:rsid w:val="00195335"/>
    <w:rsid w:val="00195444"/>
    <w:rsid w:val="0019579E"/>
    <w:rsid w:val="001A199D"/>
    <w:rsid w:val="001A2BDB"/>
    <w:rsid w:val="001A30F4"/>
    <w:rsid w:val="001A47AB"/>
    <w:rsid w:val="001A4C0D"/>
    <w:rsid w:val="001A552F"/>
    <w:rsid w:val="001A56F3"/>
    <w:rsid w:val="001A737B"/>
    <w:rsid w:val="001A750C"/>
    <w:rsid w:val="001B1D89"/>
    <w:rsid w:val="001B2143"/>
    <w:rsid w:val="001B3110"/>
    <w:rsid w:val="001B4198"/>
    <w:rsid w:val="001B44BC"/>
    <w:rsid w:val="001B5215"/>
    <w:rsid w:val="001B5888"/>
    <w:rsid w:val="001B618F"/>
    <w:rsid w:val="001B6277"/>
    <w:rsid w:val="001B6545"/>
    <w:rsid w:val="001B681B"/>
    <w:rsid w:val="001B6A49"/>
    <w:rsid w:val="001B7231"/>
    <w:rsid w:val="001B74FB"/>
    <w:rsid w:val="001B77A1"/>
    <w:rsid w:val="001C0422"/>
    <w:rsid w:val="001C0E0E"/>
    <w:rsid w:val="001C0EB9"/>
    <w:rsid w:val="001C1219"/>
    <w:rsid w:val="001C357A"/>
    <w:rsid w:val="001C3A37"/>
    <w:rsid w:val="001C4384"/>
    <w:rsid w:val="001C55F5"/>
    <w:rsid w:val="001C65FF"/>
    <w:rsid w:val="001D3787"/>
    <w:rsid w:val="001D47E5"/>
    <w:rsid w:val="001D584C"/>
    <w:rsid w:val="001D5E1B"/>
    <w:rsid w:val="001D66C1"/>
    <w:rsid w:val="001D7C6F"/>
    <w:rsid w:val="001E0024"/>
    <w:rsid w:val="001E0C65"/>
    <w:rsid w:val="001E23E3"/>
    <w:rsid w:val="001E29AF"/>
    <w:rsid w:val="001E387A"/>
    <w:rsid w:val="001E3DA4"/>
    <w:rsid w:val="001E5469"/>
    <w:rsid w:val="001E5830"/>
    <w:rsid w:val="001E684C"/>
    <w:rsid w:val="001E701C"/>
    <w:rsid w:val="001E7552"/>
    <w:rsid w:val="001E7C03"/>
    <w:rsid w:val="001F02AF"/>
    <w:rsid w:val="001F0649"/>
    <w:rsid w:val="001F28F4"/>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B46"/>
    <w:rsid w:val="002048E1"/>
    <w:rsid w:val="00207DB6"/>
    <w:rsid w:val="00210278"/>
    <w:rsid w:val="00210CC2"/>
    <w:rsid w:val="00210F5B"/>
    <w:rsid w:val="00210FFA"/>
    <w:rsid w:val="00211262"/>
    <w:rsid w:val="002115F5"/>
    <w:rsid w:val="00211AC9"/>
    <w:rsid w:val="002131D4"/>
    <w:rsid w:val="0021329E"/>
    <w:rsid w:val="0021355B"/>
    <w:rsid w:val="00215A2C"/>
    <w:rsid w:val="00217980"/>
    <w:rsid w:val="002179F9"/>
    <w:rsid w:val="002205F2"/>
    <w:rsid w:val="0022080E"/>
    <w:rsid w:val="00220838"/>
    <w:rsid w:val="00220B20"/>
    <w:rsid w:val="0022139E"/>
    <w:rsid w:val="0022272B"/>
    <w:rsid w:val="00222A99"/>
    <w:rsid w:val="00223678"/>
    <w:rsid w:val="002236F7"/>
    <w:rsid w:val="00223E00"/>
    <w:rsid w:val="002252E0"/>
    <w:rsid w:val="002255F6"/>
    <w:rsid w:val="00226466"/>
    <w:rsid w:val="002266D0"/>
    <w:rsid w:val="00226887"/>
    <w:rsid w:val="00227991"/>
    <w:rsid w:val="00230DAD"/>
    <w:rsid w:val="0023229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A0F"/>
    <w:rsid w:val="00261E5B"/>
    <w:rsid w:val="00262F34"/>
    <w:rsid w:val="00263470"/>
    <w:rsid w:val="00263733"/>
    <w:rsid w:val="00264676"/>
    <w:rsid w:val="00265536"/>
    <w:rsid w:val="00265E54"/>
    <w:rsid w:val="00266F3E"/>
    <w:rsid w:val="00270785"/>
    <w:rsid w:val="00272464"/>
    <w:rsid w:val="00272B0B"/>
    <w:rsid w:val="00272CC5"/>
    <w:rsid w:val="00273C60"/>
    <w:rsid w:val="00273DCD"/>
    <w:rsid w:val="00274291"/>
    <w:rsid w:val="00276C09"/>
    <w:rsid w:val="00276CFE"/>
    <w:rsid w:val="00277071"/>
    <w:rsid w:val="0027786C"/>
    <w:rsid w:val="00277BF7"/>
    <w:rsid w:val="00281416"/>
    <w:rsid w:val="00283C61"/>
    <w:rsid w:val="00285CD3"/>
    <w:rsid w:val="0028633E"/>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1DC1"/>
    <w:rsid w:val="002B36C8"/>
    <w:rsid w:val="002B385B"/>
    <w:rsid w:val="002B71B4"/>
    <w:rsid w:val="002B7240"/>
    <w:rsid w:val="002C0FF4"/>
    <w:rsid w:val="002C125A"/>
    <w:rsid w:val="002C2668"/>
    <w:rsid w:val="002C43BD"/>
    <w:rsid w:val="002C493D"/>
    <w:rsid w:val="002C5261"/>
    <w:rsid w:val="002C6091"/>
    <w:rsid w:val="002D0562"/>
    <w:rsid w:val="002D1B5A"/>
    <w:rsid w:val="002D2500"/>
    <w:rsid w:val="002D338A"/>
    <w:rsid w:val="002D3F00"/>
    <w:rsid w:val="002D4D59"/>
    <w:rsid w:val="002D54BF"/>
    <w:rsid w:val="002D5C3D"/>
    <w:rsid w:val="002D5E94"/>
    <w:rsid w:val="002D632D"/>
    <w:rsid w:val="002D6FC7"/>
    <w:rsid w:val="002E02A1"/>
    <w:rsid w:val="002E0982"/>
    <w:rsid w:val="002E0DB9"/>
    <w:rsid w:val="002E2CE4"/>
    <w:rsid w:val="002E34F3"/>
    <w:rsid w:val="002E4217"/>
    <w:rsid w:val="002E435E"/>
    <w:rsid w:val="002E73F2"/>
    <w:rsid w:val="002F33FB"/>
    <w:rsid w:val="002F663A"/>
    <w:rsid w:val="002F68A4"/>
    <w:rsid w:val="002F7594"/>
    <w:rsid w:val="002F7902"/>
    <w:rsid w:val="003003E7"/>
    <w:rsid w:val="00300D6F"/>
    <w:rsid w:val="00301357"/>
    <w:rsid w:val="00301D04"/>
    <w:rsid w:val="003035D4"/>
    <w:rsid w:val="00303A3C"/>
    <w:rsid w:val="00303DCB"/>
    <w:rsid w:val="00304771"/>
    <w:rsid w:val="00305736"/>
    <w:rsid w:val="00305C33"/>
    <w:rsid w:val="00306C5B"/>
    <w:rsid w:val="00306E3B"/>
    <w:rsid w:val="00310AD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1574"/>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6244"/>
    <w:rsid w:val="00357449"/>
    <w:rsid w:val="0036238B"/>
    <w:rsid w:val="003630B0"/>
    <w:rsid w:val="003649FC"/>
    <w:rsid w:val="003651A4"/>
    <w:rsid w:val="00365680"/>
    <w:rsid w:val="003657F3"/>
    <w:rsid w:val="00366D4D"/>
    <w:rsid w:val="00367038"/>
    <w:rsid w:val="00370963"/>
    <w:rsid w:val="0037144E"/>
    <w:rsid w:val="00372272"/>
    <w:rsid w:val="003736B5"/>
    <w:rsid w:val="00374F1E"/>
    <w:rsid w:val="003750CF"/>
    <w:rsid w:val="00375A22"/>
    <w:rsid w:val="00376DEC"/>
    <w:rsid w:val="00377200"/>
    <w:rsid w:val="00377666"/>
    <w:rsid w:val="0038034A"/>
    <w:rsid w:val="00380E04"/>
    <w:rsid w:val="00380E6C"/>
    <w:rsid w:val="00383227"/>
    <w:rsid w:val="003839C9"/>
    <w:rsid w:val="0038422D"/>
    <w:rsid w:val="00384D8F"/>
    <w:rsid w:val="003857A2"/>
    <w:rsid w:val="00385D98"/>
    <w:rsid w:val="00385EC5"/>
    <w:rsid w:val="0038658E"/>
    <w:rsid w:val="003875C2"/>
    <w:rsid w:val="0039066E"/>
    <w:rsid w:val="00391C95"/>
    <w:rsid w:val="00392110"/>
    <w:rsid w:val="00393D74"/>
    <w:rsid w:val="00394D49"/>
    <w:rsid w:val="00396DAC"/>
    <w:rsid w:val="003971D0"/>
    <w:rsid w:val="003A0214"/>
    <w:rsid w:val="003A027D"/>
    <w:rsid w:val="003A1D74"/>
    <w:rsid w:val="003A2B4D"/>
    <w:rsid w:val="003A2D2B"/>
    <w:rsid w:val="003A2DD4"/>
    <w:rsid w:val="003A3B1C"/>
    <w:rsid w:val="003A4088"/>
    <w:rsid w:val="003A478C"/>
    <w:rsid w:val="003A4F82"/>
    <w:rsid w:val="003A5525"/>
    <w:rsid w:val="003A6B38"/>
    <w:rsid w:val="003B2142"/>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C66C4"/>
    <w:rsid w:val="003D2C4E"/>
    <w:rsid w:val="003D3600"/>
    <w:rsid w:val="003D3825"/>
    <w:rsid w:val="003D3EC4"/>
    <w:rsid w:val="003D44E2"/>
    <w:rsid w:val="003D4760"/>
    <w:rsid w:val="003D49DC"/>
    <w:rsid w:val="003D4DD9"/>
    <w:rsid w:val="003D4FB5"/>
    <w:rsid w:val="003D5D7A"/>
    <w:rsid w:val="003D5E4B"/>
    <w:rsid w:val="003D653F"/>
    <w:rsid w:val="003E0663"/>
    <w:rsid w:val="003E133F"/>
    <w:rsid w:val="003E49F6"/>
    <w:rsid w:val="003E699C"/>
    <w:rsid w:val="003E69F3"/>
    <w:rsid w:val="003E7550"/>
    <w:rsid w:val="003E782E"/>
    <w:rsid w:val="003E7A0B"/>
    <w:rsid w:val="003E7B2B"/>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4000D5"/>
    <w:rsid w:val="00400244"/>
    <w:rsid w:val="004005C1"/>
    <w:rsid w:val="00401716"/>
    <w:rsid w:val="004018F7"/>
    <w:rsid w:val="00401A09"/>
    <w:rsid w:val="0040273A"/>
    <w:rsid w:val="00402C25"/>
    <w:rsid w:val="004036FB"/>
    <w:rsid w:val="004050D7"/>
    <w:rsid w:val="004078BD"/>
    <w:rsid w:val="00410132"/>
    <w:rsid w:val="004104E4"/>
    <w:rsid w:val="00410A97"/>
    <w:rsid w:val="00410BCD"/>
    <w:rsid w:val="00410DE5"/>
    <w:rsid w:val="0041175D"/>
    <w:rsid w:val="004117CE"/>
    <w:rsid w:val="004123BE"/>
    <w:rsid w:val="00414CE5"/>
    <w:rsid w:val="00416673"/>
    <w:rsid w:val="0042160D"/>
    <w:rsid w:val="00423A3C"/>
    <w:rsid w:val="00423C04"/>
    <w:rsid w:val="0042681B"/>
    <w:rsid w:val="00427193"/>
    <w:rsid w:val="0043068A"/>
    <w:rsid w:val="004306E0"/>
    <w:rsid w:val="00431D54"/>
    <w:rsid w:val="00431F98"/>
    <w:rsid w:val="004329BE"/>
    <w:rsid w:val="00432C38"/>
    <w:rsid w:val="004342EC"/>
    <w:rsid w:val="00437C76"/>
    <w:rsid w:val="00437F4A"/>
    <w:rsid w:val="0044105C"/>
    <w:rsid w:val="00442197"/>
    <w:rsid w:val="00443E95"/>
    <w:rsid w:val="004441A0"/>
    <w:rsid w:val="00444268"/>
    <w:rsid w:val="00444326"/>
    <w:rsid w:val="004443BF"/>
    <w:rsid w:val="00444C19"/>
    <w:rsid w:val="00445218"/>
    <w:rsid w:val="00445CDD"/>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247"/>
    <w:rsid w:val="0049104F"/>
    <w:rsid w:val="00491218"/>
    <w:rsid w:val="00491CFD"/>
    <w:rsid w:val="00492991"/>
    <w:rsid w:val="00493362"/>
    <w:rsid w:val="00494343"/>
    <w:rsid w:val="00494AAB"/>
    <w:rsid w:val="00496C2F"/>
    <w:rsid w:val="0049740D"/>
    <w:rsid w:val="004978D3"/>
    <w:rsid w:val="004A11F8"/>
    <w:rsid w:val="004A22BD"/>
    <w:rsid w:val="004A22FA"/>
    <w:rsid w:val="004A269A"/>
    <w:rsid w:val="004A26DB"/>
    <w:rsid w:val="004A30FB"/>
    <w:rsid w:val="004A35DD"/>
    <w:rsid w:val="004A37D3"/>
    <w:rsid w:val="004A3AD6"/>
    <w:rsid w:val="004A5865"/>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458D"/>
    <w:rsid w:val="004D4F13"/>
    <w:rsid w:val="004D504B"/>
    <w:rsid w:val="004D536E"/>
    <w:rsid w:val="004D70B1"/>
    <w:rsid w:val="004D76CC"/>
    <w:rsid w:val="004E1839"/>
    <w:rsid w:val="004E4A75"/>
    <w:rsid w:val="004E541A"/>
    <w:rsid w:val="004E5A5C"/>
    <w:rsid w:val="004E7007"/>
    <w:rsid w:val="004E76D6"/>
    <w:rsid w:val="004E7F57"/>
    <w:rsid w:val="004F06F5"/>
    <w:rsid w:val="004F191F"/>
    <w:rsid w:val="004F2A4D"/>
    <w:rsid w:val="004F2A73"/>
    <w:rsid w:val="004F33A0"/>
    <w:rsid w:val="004F4353"/>
    <w:rsid w:val="004F447D"/>
    <w:rsid w:val="004F4C28"/>
    <w:rsid w:val="004F4E82"/>
    <w:rsid w:val="004F5470"/>
    <w:rsid w:val="004F5CC5"/>
    <w:rsid w:val="004F6350"/>
    <w:rsid w:val="004F7170"/>
    <w:rsid w:val="005028E1"/>
    <w:rsid w:val="00505989"/>
    <w:rsid w:val="00506309"/>
    <w:rsid w:val="0050692E"/>
    <w:rsid w:val="00507040"/>
    <w:rsid w:val="005079F8"/>
    <w:rsid w:val="00510189"/>
    <w:rsid w:val="005108C0"/>
    <w:rsid w:val="00511873"/>
    <w:rsid w:val="00512603"/>
    <w:rsid w:val="0051367B"/>
    <w:rsid w:val="00513A89"/>
    <w:rsid w:val="00513B7E"/>
    <w:rsid w:val="005140DE"/>
    <w:rsid w:val="00514474"/>
    <w:rsid w:val="005147E9"/>
    <w:rsid w:val="0051593C"/>
    <w:rsid w:val="00517567"/>
    <w:rsid w:val="0051778E"/>
    <w:rsid w:val="005215EF"/>
    <w:rsid w:val="00524637"/>
    <w:rsid w:val="00524FDD"/>
    <w:rsid w:val="00525137"/>
    <w:rsid w:val="005251DD"/>
    <w:rsid w:val="00526DB6"/>
    <w:rsid w:val="0053017A"/>
    <w:rsid w:val="00530492"/>
    <w:rsid w:val="005308E4"/>
    <w:rsid w:val="00532854"/>
    <w:rsid w:val="005350F2"/>
    <w:rsid w:val="00535152"/>
    <w:rsid w:val="00535359"/>
    <w:rsid w:val="005357A2"/>
    <w:rsid w:val="005359E3"/>
    <w:rsid w:val="00535D87"/>
    <w:rsid w:val="00535EF0"/>
    <w:rsid w:val="005363DF"/>
    <w:rsid w:val="0053734B"/>
    <w:rsid w:val="005375B1"/>
    <w:rsid w:val="00537AFD"/>
    <w:rsid w:val="00537CB4"/>
    <w:rsid w:val="0054516B"/>
    <w:rsid w:val="0054559E"/>
    <w:rsid w:val="005459BD"/>
    <w:rsid w:val="005513D5"/>
    <w:rsid w:val="005523B9"/>
    <w:rsid w:val="005545E0"/>
    <w:rsid w:val="00554865"/>
    <w:rsid w:val="00554E57"/>
    <w:rsid w:val="00557E6A"/>
    <w:rsid w:val="00562749"/>
    <w:rsid w:val="00562DE9"/>
    <w:rsid w:val="005638A5"/>
    <w:rsid w:val="00566381"/>
    <w:rsid w:val="00566A03"/>
    <w:rsid w:val="00571932"/>
    <w:rsid w:val="00573C97"/>
    <w:rsid w:val="00574240"/>
    <w:rsid w:val="0057454C"/>
    <w:rsid w:val="005752EB"/>
    <w:rsid w:val="00575CDC"/>
    <w:rsid w:val="005765D5"/>
    <w:rsid w:val="00576A3E"/>
    <w:rsid w:val="0057703D"/>
    <w:rsid w:val="00581892"/>
    <w:rsid w:val="0058366F"/>
    <w:rsid w:val="00583D5B"/>
    <w:rsid w:val="00583FFD"/>
    <w:rsid w:val="00587CCD"/>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073B"/>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601D"/>
    <w:rsid w:val="005F6119"/>
    <w:rsid w:val="005F7940"/>
    <w:rsid w:val="0060107A"/>
    <w:rsid w:val="00601AFF"/>
    <w:rsid w:val="00602D1D"/>
    <w:rsid w:val="00604307"/>
    <w:rsid w:val="0060487F"/>
    <w:rsid w:val="00605814"/>
    <w:rsid w:val="00606B93"/>
    <w:rsid w:val="00607727"/>
    <w:rsid w:val="00607934"/>
    <w:rsid w:val="00610BD5"/>
    <w:rsid w:val="00611363"/>
    <w:rsid w:val="00611531"/>
    <w:rsid w:val="006118AA"/>
    <w:rsid w:val="00611C28"/>
    <w:rsid w:val="006139C7"/>
    <w:rsid w:val="006150EA"/>
    <w:rsid w:val="006153E3"/>
    <w:rsid w:val="006167AB"/>
    <w:rsid w:val="0061718A"/>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818"/>
    <w:rsid w:val="00635E79"/>
    <w:rsid w:val="00636E5E"/>
    <w:rsid w:val="006379E0"/>
    <w:rsid w:val="006404A7"/>
    <w:rsid w:val="006407F3"/>
    <w:rsid w:val="006408EC"/>
    <w:rsid w:val="0064129B"/>
    <w:rsid w:val="00641DF7"/>
    <w:rsid w:val="00643497"/>
    <w:rsid w:val="00643735"/>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CFD"/>
    <w:rsid w:val="00664B64"/>
    <w:rsid w:val="00665D67"/>
    <w:rsid w:val="00665D77"/>
    <w:rsid w:val="006660CD"/>
    <w:rsid w:val="00666EC8"/>
    <w:rsid w:val="00666F4B"/>
    <w:rsid w:val="006676D0"/>
    <w:rsid w:val="0066796E"/>
    <w:rsid w:val="00670FAC"/>
    <w:rsid w:val="006710C9"/>
    <w:rsid w:val="006716A5"/>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1781"/>
    <w:rsid w:val="006B23A9"/>
    <w:rsid w:val="006B23D8"/>
    <w:rsid w:val="006B281D"/>
    <w:rsid w:val="006B3F8A"/>
    <w:rsid w:val="006B5CA3"/>
    <w:rsid w:val="006B6B3B"/>
    <w:rsid w:val="006B7248"/>
    <w:rsid w:val="006B7714"/>
    <w:rsid w:val="006B78D8"/>
    <w:rsid w:val="006C090F"/>
    <w:rsid w:val="006C0935"/>
    <w:rsid w:val="006C0BCE"/>
    <w:rsid w:val="006C113F"/>
    <w:rsid w:val="006C2AED"/>
    <w:rsid w:val="006C38DD"/>
    <w:rsid w:val="006C457F"/>
    <w:rsid w:val="006C53C7"/>
    <w:rsid w:val="006C5577"/>
    <w:rsid w:val="006C559A"/>
    <w:rsid w:val="006C58FA"/>
    <w:rsid w:val="006D004F"/>
    <w:rsid w:val="006D042D"/>
    <w:rsid w:val="006D06EF"/>
    <w:rsid w:val="006D142E"/>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59FC"/>
    <w:rsid w:val="006E5CFD"/>
    <w:rsid w:val="006E7E2C"/>
    <w:rsid w:val="006F1326"/>
    <w:rsid w:val="006F2280"/>
    <w:rsid w:val="006F2BEE"/>
    <w:rsid w:val="006F3708"/>
    <w:rsid w:val="006F376C"/>
    <w:rsid w:val="006F3E6B"/>
    <w:rsid w:val="006F4619"/>
    <w:rsid w:val="006F4A59"/>
    <w:rsid w:val="006F6968"/>
    <w:rsid w:val="00700232"/>
    <w:rsid w:val="00701382"/>
    <w:rsid w:val="007014C7"/>
    <w:rsid w:val="00702100"/>
    <w:rsid w:val="00702D6F"/>
    <w:rsid w:val="00703B6C"/>
    <w:rsid w:val="00703C6B"/>
    <w:rsid w:val="007047D5"/>
    <w:rsid w:val="00705D98"/>
    <w:rsid w:val="00707891"/>
    <w:rsid w:val="00707D43"/>
    <w:rsid w:val="00710F7C"/>
    <w:rsid w:val="00711EF1"/>
    <w:rsid w:val="0071229A"/>
    <w:rsid w:val="00712572"/>
    <w:rsid w:val="00713495"/>
    <w:rsid w:val="00713EEB"/>
    <w:rsid w:val="007159D2"/>
    <w:rsid w:val="00717726"/>
    <w:rsid w:val="0072050E"/>
    <w:rsid w:val="00720958"/>
    <w:rsid w:val="00720FA2"/>
    <w:rsid w:val="007211F5"/>
    <w:rsid w:val="00724666"/>
    <w:rsid w:val="00724E80"/>
    <w:rsid w:val="00725492"/>
    <w:rsid w:val="007256B7"/>
    <w:rsid w:val="00726043"/>
    <w:rsid w:val="0072704A"/>
    <w:rsid w:val="00730AE8"/>
    <w:rsid w:val="007315DA"/>
    <w:rsid w:val="00731963"/>
    <w:rsid w:val="00732706"/>
    <w:rsid w:val="00734321"/>
    <w:rsid w:val="0073532E"/>
    <w:rsid w:val="00735B01"/>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F3C"/>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7058D"/>
    <w:rsid w:val="00770931"/>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7B5"/>
    <w:rsid w:val="007879F2"/>
    <w:rsid w:val="00790393"/>
    <w:rsid w:val="00791804"/>
    <w:rsid w:val="00791CF8"/>
    <w:rsid w:val="00791EF9"/>
    <w:rsid w:val="00792262"/>
    <w:rsid w:val="00793387"/>
    <w:rsid w:val="00793BAE"/>
    <w:rsid w:val="00794870"/>
    <w:rsid w:val="00794E0A"/>
    <w:rsid w:val="00795B04"/>
    <w:rsid w:val="00796642"/>
    <w:rsid w:val="007A11D9"/>
    <w:rsid w:val="007A327B"/>
    <w:rsid w:val="007A4048"/>
    <w:rsid w:val="007A45B1"/>
    <w:rsid w:val="007A4606"/>
    <w:rsid w:val="007A4D58"/>
    <w:rsid w:val="007B0D67"/>
    <w:rsid w:val="007B1966"/>
    <w:rsid w:val="007B2257"/>
    <w:rsid w:val="007B2779"/>
    <w:rsid w:val="007B2AF7"/>
    <w:rsid w:val="007B3DCC"/>
    <w:rsid w:val="007B4518"/>
    <w:rsid w:val="007B5031"/>
    <w:rsid w:val="007B573F"/>
    <w:rsid w:val="007B72AC"/>
    <w:rsid w:val="007B78F8"/>
    <w:rsid w:val="007C0065"/>
    <w:rsid w:val="007C010B"/>
    <w:rsid w:val="007C32B6"/>
    <w:rsid w:val="007C3AE3"/>
    <w:rsid w:val="007C605B"/>
    <w:rsid w:val="007C6EBA"/>
    <w:rsid w:val="007D2A5A"/>
    <w:rsid w:val="007D2AD8"/>
    <w:rsid w:val="007D2C47"/>
    <w:rsid w:val="007D2C61"/>
    <w:rsid w:val="007D2F81"/>
    <w:rsid w:val="007D3167"/>
    <w:rsid w:val="007D3CF7"/>
    <w:rsid w:val="007D4128"/>
    <w:rsid w:val="007D4281"/>
    <w:rsid w:val="007D42F5"/>
    <w:rsid w:val="007D44C3"/>
    <w:rsid w:val="007D5947"/>
    <w:rsid w:val="007D65C1"/>
    <w:rsid w:val="007E030F"/>
    <w:rsid w:val="007E0D49"/>
    <w:rsid w:val="007E0E59"/>
    <w:rsid w:val="007E0F4B"/>
    <w:rsid w:val="007E12C1"/>
    <w:rsid w:val="007E1EF7"/>
    <w:rsid w:val="007E3715"/>
    <w:rsid w:val="007E5F3D"/>
    <w:rsid w:val="007E6588"/>
    <w:rsid w:val="007E7063"/>
    <w:rsid w:val="007E7E61"/>
    <w:rsid w:val="007F0316"/>
    <w:rsid w:val="007F0845"/>
    <w:rsid w:val="007F1092"/>
    <w:rsid w:val="007F16F9"/>
    <w:rsid w:val="007F2801"/>
    <w:rsid w:val="007F3E3E"/>
    <w:rsid w:val="007F42E0"/>
    <w:rsid w:val="007F500D"/>
    <w:rsid w:val="007F5F14"/>
    <w:rsid w:val="007F7B54"/>
    <w:rsid w:val="007F7C60"/>
    <w:rsid w:val="00800073"/>
    <w:rsid w:val="008005D7"/>
    <w:rsid w:val="00801FDD"/>
    <w:rsid w:val="008020C2"/>
    <w:rsid w:val="0080255C"/>
    <w:rsid w:val="00806088"/>
    <w:rsid w:val="00806D07"/>
    <w:rsid w:val="0081019B"/>
    <w:rsid w:val="0081187C"/>
    <w:rsid w:val="00811E24"/>
    <w:rsid w:val="00812386"/>
    <w:rsid w:val="00812E2B"/>
    <w:rsid w:val="00813A70"/>
    <w:rsid w:val="00813FE6"/>
    <w:rsid w:val="00815C6E"/>
    <w:rsid w:val="00815DD0"/>
    <w:rsid w:val="00815F10"/>
    <w:rsid w:val="0081645F"/>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40699"/>
    <w:rsid w:val="00841D9F"/>
    <w:rsid w:val="00842078"/>
    <w:rsid w:val="00842604"/>
    <w:rsid w:val="00843ECF"/>
    <w:rsid w:val="00845AB1"/>
    <w:rsid w:val="00846673"/>
    <w:rsid w:val="008508A9"/>
    <w:rsid w:val="0085188D"/>
    <w:rsid w:val="008525F9"/>
    <w:rsid w:val="0085281A"/>
    <w:rsid w:val="00853F33"/>
    <w:rsid w:val="008550EA"/>
    <w:rsid w:val="008559FE"/>
    <w:rsid w:val="00857339"/>
    <w:rsid w:val="00860706"/>
    <w:rsid w:val="00862A7A"/>
    <w:rsid w:val="00862FBD"/>
    <w:rsid w:val="00863104"/>
    <w:rsid w:val="008636CD"/>
    <w:rsid w:val="00863702"/>
    <w:rsid w:val="00863D9E"/>
    <w:rsid w:val="00863FDC"/>
    <w:rsid w:val="008642AF"/>
    <w:rsid w:val="00865286"/>
    <w:rsid w:val="00865729"/>
    <w:rsid w:val="00865ED4"/>
    <w:rsid w:val="008669A7"/>
    <w:rsid w:val="00867464"/>
    <w:rsid w:val="00867D15"/>
    <w:rsid w:val="00867E29"/>
    <w:rsid w:val="00870F2B"/>
    <w:rsid w:val="00873B2E"/>
    <w:rsid w:val="008746E6"/>
    <w:rsid w:val="0087515D"/>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5EC6"/>
    <w:rsid w:val="008869D2"/>
    <w:rsid w:val="00886A8F"/>
    <w:rsid w:val="0088733A"/>
    <w:rsid w:val="00891BE0"/>
    <w:rsid w:val="00893302"/>
    <w:rsid w:val="00893648"/>
    <w:rsid w:val="00893F3C"/>
    <w:rsid w:val="008945A1"/>
    <w:rsid w:val="00894A63"/>
    <w:rsid w:val="00895A54"/>
    <w:rsid w:val="00896776"/>
    <w:rsid w:val="00896916"/>
    <w:rsid w:val="00896BDE"/>
    <w:rsid w:val="0089763E"/>
    <w:rsid w:val="008A03DE"/>
    <w:rsid w:val="008A0861"/>
    <w:rsid w:val="008A0BB2"/>
    <w:rsid w:val="008A1AB3"/>
    <w:rsid w:val="008A1D5C"/>
    <w:rsid w:val="008A3292"/>
    <w:rsid w:val="008A3A85"/>
    <w:rsid w:val="008A43E9"/>
    <w:rsid w:val="008A4CB1"/>
    <w:rsid w:val="008A615E"/>
    <w:rsid w:val="008A632B"/>
    <w:rsid w:val="008A6BFE"/>
    <w:rsid w:val="008A73DA"/>
    <w:rsid w:val="008B00C2"/>
    <w:rsid w:val="008B05E8"/>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AA8"/>
    <w:rsid w:val="008C22A8"/>
    <w:rsid w:val="008C5B43"/>
    <w:rsid w:val="008C63FD"/>
    <w:rsid w:val="008C6CB8"/>
    <w:rsid w:val="008C6D92"/>
    <w:rsid w:val="008C777A"/>
    <w:rsid w:val="008C7815"/>
    <w:rsid w:val="008C7A07"/>
    <w:rsid w:val="008C7E90"/>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AB3"/>
    <w:rsid w:val="008E6AD3"/>
    <w:rsid w:val="008E6EBD"/>
    <w:rsid w:val="008E71A6"/>
    <w:rsid w:val="008E77B6"/>
    <w:rsid w:val="008E7C55"/>
    <w:rsid w:val="008F032E"/>
    <w:rsid w:val="008F0F14"/>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3E06"/>
    <w:rsid w:val="009045D1"/>
    <w:rsid w:val="00904B9D"/>
    <w:rsid w:val="00905A11"/>
    <w:rsid w:val="00905FE8"/>
    <w:rsid w:val="00906225"/>
    <w:rsid w:val="009066E1"/>
    <w:rsid w:val="00906F67"/>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306BE"/>
    <w:rsid w:val="00934963"/>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095B"/>
    <w:rsid w:val="00982072"/>
    <w:rsid w:val="009833FA"/>
    <w:rsid w:val="00983DBB"/>
    <w:rsid w:val="00983ECF"/>
    <w:rsid w:val="00986745"/>
    <w:rsid w:val="009867BC"/>
    <w:rsid w:val="00987109"/>
    <w:rsid w:val="00987309"/>
    <w:rsid w:val="0099012D"/>
    <w:rsid w:val="00990363"/>
    <w:rsid w:val="00993BE6"/>
    <w:rsid w:val="00993D9C"/>
    <w:rsid w:val="00993F56"/>
    <w:rsid w:val="009954FF"/>
    <w:rsid w:val="00995E2F"/>
    <w:rsid w:val="009961BC"/>
    <w:rsid w:val="00996355"/>
    <w:rsid w:val="0099788F"/>
    <w:rsid w:val="00997ADD"/>
    <w:rsid w:val="009A1374"/>
    <w:rsid w:val="009A2014"/>
    <w:rsid w:val="009A2030"/>
    <w:rsid w:val="009A3A87"/>
    <w:rsid w:val="009A4E12"/>
    <w:rsid w:val="009A5C68"/>
    <w:rsid w:val="009A5DE2"/>
    <w:rsid w:val="009A6EF7"/>
    <w:rsid w:val="009B04D0"/>
    <w:rsid w:val="009B052C"/>
    <w:rsid w:val="009B0975"/>
    <w:rsid w:val="009B0EF2"/>
    <w:rsid w:val="009B23A3"/>
    <w:rsid w:val="009B2C0E"/>
    <w:rsid w:val="009B4925"/>
    <w:rsid w:val="009B4B4B"/>
    <w:rsid w:val="009B4CE3"/>
    <w:rsid w:val="009B6FD3"/>
    <w:rsid w:val="009B70BD"/>
    <w:rsid w:val="009C07A5"/>
    <w:rsid w:val="009C24A3"/>
    <w:rsid w:val="009C3705"/>
    <w:rsid w:val="009C7388"/>
    <w:rsid w:val="009C74C2"/>
    <w:rsid w:val="009D0CFF"/>
    <w:rsid w:val="009D1551"/>
    <w:rsid w:val="009D2859"/>
    <w:rsid w:val="009D36EC"/>
    <w:rsid w:val="009D3CD0"/>
    <w:rsid w:val="009D4173"/>
    <w:rsid w:val="009D51CA"/>
    <w:rsid w:val="009D6095"/>
    <w:rsid w:val="009D6306"/>
    <w:rsid w:val="009E048A"/>
    <w:rsid w:val="009E1124"/>
    <w:rsid w:val="009E1FBA"/>
    <w:rsid w:val="009E2C54"/>
    <w:rsid w:val="009E3710"/>
    <w:rsid w:val="009E6F65"/>
    <w:rsid w:val="009E7340"/>
    <w:rsid w:val="009E7B1F"/>
    <w:rsid w:val="009F2A39"/>
    <w:rsid w:val="009F346F"/>
    <w:rsid w:val="009F371A"/>
    <w:rsid w:val="009F3F25"/>
    <w:rsid w:val="009F3FC3"/>
    <w:rsid w:val="009F41C4"/>
    <w:rsid w:val="009F5846"/>
    <w:rsid w:val="009F63D2"/>
    <w:rsid w:val="009F777A"/>
    <w:rsid w:val="009F7B52"/>
    <w:rsid w:val="009F7D77"/>
    <w:rsid w:val="00A004D2"/>
    <w:rsid w:val="00A015EA"/>
    <w:rsid w:val="00A05B91"/>
    <w:rsid w:val="00A10D66"/>
    <w:rsid w:val="00A12BA8"/>
    <w:rsid w:val="00A133F2"/>
    <w:rsid w:val="00A13993"/>
    <w:rsid w:val="00A1420C"/>
    <w:rsid w:val="00A1456C"/>
    <w:rsid w:val="00A14821"/>
    <w:rsid w:val="00A17754"/>
    <w:rsid w:val="00A2055B"/>
    <w:rsid w:val="00A20E22"/>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78F8"/>
    <w:rsid w:val="00A40965"/>
    <w:rsid w:val="00A40B19"/>
    <w:rsid w:val="00A41D07"/>
    <w:rsid w:val="00A424F8"/>
    <w:rsid w:val="00A42883"/>
    <w:rsid w:val="00A437B7"/>
    <w:rsid w:val="00A43EA2"/>
    <w:rsid w:val="00A46C70"/>
    <w:rsid w:val="00A46D48"/>
    <w:rsid w:val="00A46DE0"/>
    <w:rsid w:val="00A4778A"/>
    <w:rsid w:val="00A47C94"/>
    <w:rsid w:val="00A504C0"/>
    <w:rsid w:val="00A5067F"/>
    <w:rsid w:val="00A517C1"/>
    <w:rsid w:val="00A518E0"/>
    <w:rsid w:val="00A5408A"/>
    <w:rsid w:val="00A55301"/>
    <w:rsid w:val="00A572FB"/>
    <w:rsid w:val="00A57B3C"/>
    <w:rsid w:val="00A57F1B"/>
    <w:rsid w:val="00A600D2"/>
    <w:rsid w:val="00A6128E"/>
    <w:rsid w:val="00A62CE1"/>
    <w:rsid w:val="00A631FA"/>
    <w:rsid w:val="00A64203"/>
    <w:rsid w:val="00A64348"/>
    <w:rsid w:val="00A644E1"/>
    <w:rsid w:val="00A711B0"/>
    <w:rsid w:val="00A71279"/>
    <w:rsid w:val="00A721FB"/>
    <w:rsid w:val="00A727BA"/>
    <w:rsid w:val="00A72D4B"/>
    <w:rsid w:val="00A732AE"/>
    <w:rsid w:val="00A74192"/>
    <w:rsid w:val="00A75837"/>
    <w:rsid w:val="00A75E40"/>
    <w:rsid w:val="00A76B12"/>
    <w:rsid w:val="00A76EF2"/>
    <w:rsid w:val="00A7727E"/>
    <w:rsid w:val="00A77EB2"/>
    <w:rsid w:val="00A81094"/>
    <w:rsid w:val="00A82B66"/>
    <w:rsid w:val="00A83B58"/>
    <w:rsid w:val="00A84FAF"/>
    <w:rsid w:val="00A851B6"/>
    <w:rsid w:val="00A85729"/>
    <w:rsid w:val="00A8574B"/>
    <w:rsid w:val="00A857C0"/>
    <w:rsid w:val="00A90343"/>
    <w:rsid w:val="00A91336"/>
    <w:rsid w:val="00A9221C"/>
    <w:rsid w:val="00A92277"/>
    <w:rsid w:val="00A92916"/>
    <w:rsid w:val="00A94628"/>
    <w:rsid w:val="00A94954"/>
    <w:rsid w:val="00A9497A"/>
    <w:rsid w:val="00A96463"/>
    <w:rsid w:val="00A97E3F"/>
    <w:rsid w:val="00AA09D3"/>
    <w:rsid w:val="00AA220F"/>
    <w:rsid w:val="00AA23FB"/>
    <w:rsid w:val="00AA34FE"/>
    <w:rsid w:val="00AA42AB"/>
    <w:rsid w:val="00AA559A"/>
    <w:rsid w:val="00AA57A4"/>
    <w:rsid w:val="00AA5F10"/>
    <w:rsid w:val="00AB0BB9"/>
    <w:rsid w:val="00AB104D"/>
    <w:rsid w:val="00AB1441"/>
    <w:rsid w:val="00AB2AF1"/>
    <w:rsid w:val="00AB440B"/>
    <w:rsid w:val="00AB47E3"/>
    <w:rsid w:val="00AB74C5"/>
    <w:rsid w:val="00AB7BEE"/>
    <w:rsid w:val="00AB7DF2"/>
    <w:rsid w:val="00AC1E3F"/>
    <w:rsid w:val="00AC219A"/>
    <w:rsid w:val="00AC3D02"/>
    <w:rsid w:val="00AC4F18"/>
    <w:rsid w:val="00AD0B46"/>
    <w:rsid w:val="00AD1094"/>
    <w:rsid w:val="00AD2565"/>
    <w:rsid w:val="00AD306C"/>
    <w:rsid w:val="00AD3424"/>
    <w:rsid w:val="00AD3E3F"/>
    <w:rsid w:val="00AD4FEF"/>
    <w:rsid w:val="00AD50D1"/>
    <w:rsid w:val="00AD59BB"/>
    <w:rsid w:val="00AD5D68"/>
    <w:rsid w:val="00AD6C73"/>
    <w:rsid w:val="00AD7D49"/>
    <w:rsid w:val="00AE06D0"/>
    <w:rsid w:val="00AE1B8A"/>
    <w:rsid w:val="00AE39DC"/>
    <w:rsid w:val="00AE3CDA"/>
    <w:rsid w:val="00AE481D"/>
    <w:rsid w:val="00AE6734"/>
    <w:rsid w:val="00AE7968"/>
    <w:rsid w:val="00AE7B2B"/>
    <w:rsid w:val="00AE7DFF"/>
    <w:rsid w:val="00AF128B"/>
    <w:rsid w:val="00AF1AEA"/>
    <w:rsid w:val="00AF2536"/>
    <w:rsid w:val="00AF2852"/>
    <w:rsid w:val="00AF3225"/>
    <w:rsid w:val="00AF4983"/>
    <w:rsid w:val="00AF518B"/>
    <w:rsid w:val="00AF5275"/>
    <w:rsid w:val="00AF5D62"/>
    <w:rsid w:val="00AF6367"/>
    <w:rsid w:val="00AF6A79"/>
    <w:rsid w:val="00AF724E"/>
    <w:rsid w:val="00AF73A9"/>
    <w:rsid w:val="00B01436"/>
    <w:rsid w:val="00B01C2C"/>
    <w:rsid w:val="00B0231C"/>
    <w:rsid w:val="00B07372"/>
    <w:rsid w:val="00B07C2A"/>
    <w:rsid w:val="00B128E5"/>
    <w:rsid w:val="00B13681"/>
    <w:rsid w:val="00B15DCD"/>
    <w:rsid w:val="00B17E71"/>
    <w:rsid w:val="00B17FDE"/>
    <w:rsid w:val="00B208FC"/>
    <w:rsid w:val="00B20C65"/>
    <w:rsid w:val="00B22E17"/>
    <w:rsid w:val="00B25567"/>
    <w:rsid w:val="00B266C5"/>
    <w:rsid w:val="00B27293"/>
    <w:rsid w:val="00B301BB"/>
    <w:rsid w:val="00B321E3"/>
    <w:rsid w:val="00B3229E"/>
    <w:rsid w:val="00B32DDB"/>
    <w:rsid w:val="00B3447A"/>
    <w:rsid w:val="00B3448C"/>
    <w:rsid w:val="00B34931"/>
    <w:rsid w:val="00B35174"/>
    <w:rsid w:val="00B35BEA"/>
    <w:rsid w:val="00B37915"/>
    <w:rsid w:val="00B3793D"/>
    <w:rsid w:val="00B41BE6"/>
    <w:rsid w:val="00B42831"/>
    <w:rsid w:val="00B428A4"/>
    <w:rsid w:val="00B457E7"/>
    <w:rsid w:val="00B45D1B"/>
    <w:rsid w:val="00B46D25"/>
    <w:rsid w:val="00B47430"/>
    <w:rsid w:val="00B47AC6"/>
    <w:rsid w:val="00B52D2D"/>
    <w:rsid w:val="00B534EF"/>
    <w:rsid w:val="00B55BA8"/>
    <w:rsid w:val="00B55F15"/>
    <w:rsid w:val="00B561A6"/>
    <w:rsid w:val="00B57CC4"/>
    <w:rsid w:val="00B60062"/>
    <w:rsid w:val="00B62960"/>
    <w:rsid w:val="00B63A11"/>
    <w:rsid w:val="00B63FD0"/>
    <w:rsid w:val="00B6553E"/>
    <w:rsid w:val="00B65C84"/>
    <w:rsid w:val="00B6608F"/>
    <w:rsid w:val="00B73180"/>
    <w:rsid w:val="00B74317"/>
    <w:rsid w:val="00B75700"/>
    <w:rsid w:val="00B760C1"/>
    <w:rsid w:val="00B76D1E"/>
    <w:rsid w:val="00B77BC8"/>
    <w:rsid w:val="00B800EB"/>
    <w:rsid w:val="00B822D2"/>
    <w:rsid w:val="00B823F1"/>
    <w:rsid w:val="00B83D46"/>
    <w:rsid w:val="00B848B8"/>
    <w:rsid w:val="00B84A41"/>
    <w:rsid w:val="00B84D57"/>
    <w:rsid w:val="00B8504B"/>
    <w:rsid w:val="00B853C2"/>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7746"/>
    <w:rsid w:val="00BC22EB"/>
    <w:rsid w:val="00BC682B"/>
    <w:rsid w:val="00BC68BA"/>
    <w:rsid w:val="00BC6B04"/>
    <w:rsid w:val="00BC6D27"/>
    <w:rsid w:val="00BD059A"/>
    <w:rsid w:val="00BD186B"/>
    <w:rsid w:val="00BD1EAC"/>
    <w:rsid w:val="00BD254C"/>
    <w:rsid w:val="00BD3428"/>
    <w:rsid w:val="00BD366B"/>
    <w:rsid w:val="00BD5298"/>
    <w:rsid w:val="00BD534C"/>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4C31"/>
    <w:rsid w:val="00BF4E57"/>
    <w:rsid w:val="00BF53B8"/>
    <w:rsid w:val="00BF786A"/>
    <w:rsid w:val="00BF7CB8"/>
    <w:rsid w:val="00C00831"/>
    <w:rsid w:val="00C00F20"/>
    <w:rsid w:val="00C01354"/>
    <w:rsid w:val="00C01700"/>
    <w:rsid w:val="00C01B84"/>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711F"/>
    <w:rsid w:val="00C17E38"/>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C6"/>
    <w:rsid w:val="00C30828"/>
    <w:rsid w:val="00C30924"/>
    <w:rsid w:val="00C31DD8"/>
    <w:rsid w:val="00C3271C"/>
    <w:rsid w:val="00C34FDE"/>
    <w:rsid w:val="00C35C16"/>
    <w:rsid w:val="00C40E09"/>
    <w:rsid w:val="00C40F81"/>
    <w:rsid w:val="00C41463"/>
    <w:rsid w:val="00C41A72"/>
    <w:rsid w:val="00C42D45"/>
    <w:rsid w:val="00C4422D"/>
    <w:rsid w:val="00C476C5"/>
    <w:rsid w:val="00C503B0"/>
    <w:rsid w:val="00C511C2"/>
    <w:rsid w:val="00C527C6"/>
    <w:rsid w:val="00C53CDB"/>
    <w:rsid w:val="00C53D82"/>
    <w:rsid w:val="00C54748"/>
    <w:rsid w:val="00C574CF"/>
    <w:rsid w:val="00C575FB"/>
    <w:rsid w:val="00C60696"/>
    <w:rsid w:val="00C60943"/>
    <w:rsid w:val="00C60EEF"/>
    <w:rsid w:val="00C6121D"/>
    <w:rsid w:val="00C615F1"/>
    <w:rsid w:val="00C61627"/>
    <w:rsid w:val="00C63B1A"/>
    <w:rsid w:val="00C64E60"/>
    <w:rsid w:val="00C657A4"/>
    <w:rsid w:val="00C66589"/>
    <w:rsid w:val="00C6736C"/>
    <w:rsid w:val="00C70422"/>
    <w:rsid w:val="00C7179C"/>
    <w:rsid w:val="00C71A1D"/>
    <w:rsid w:val="00C71EC4"/>
    <w:rsid w:val="00C7410A"/>
    <w:rsid w:val="00C74791"/>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11"/>
    <w:rsid w:val="00C94E83"/>
    <w:rsid w:val="00C9567E"/>
    <w:rsid w:val="00C97038"/>
    <w:rsid w:val="00CA02B2"/>
    <w:rsid w:val="00CA0883"/>
    <w:rsid w:val="00CA1085"/>
    <w:rsid w:val="00CA140F"/>
    <w:rsid w:val="00CA25C2"/>
    <w:rsid w:val="00CA37BB"/>
    <w:rsid w:val="00CA37CA"/>
    <w:rsid w:val="00CA5016"/>
    <w:rsid w:val="00CA5724"/>
    <w:rsid w:val="00CA6508"/>
    <w:rsid w:val="00CA6BA1"/>
    <w:rsid w:val="00CA6CD5"/>
    <w:rsid w:val="00CA6D0B"/>
    <w:rsid w:val="00CB1910"/>
    <w:rsid w:val="00CB2150"/>
    <w:rsid w:val="00CB28E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62AD"/>
    <w:rsid w:val="00CC6CA2"/>
    <w:rsid w:val="00CC7B80"/>
    <w:rsid w:val="00CD2B3C"/>
    <w:rsid w:val="00CD30F6"/>
    <w:rsid w:val="00CD4B29"/>
    <w:rsid w:val="00CD67CA"/>
    <w:rsid w:val="00CD6954"/>
    <w:rsid w:val="00CD6DA3"/>
    <w:rsid w:val="00CD6EF1"/>
    <w:rsid w:val="00CD7E35"/>
    <w:rsid w:val="00CE21C7"/>
    <w:rsid w:val="00CE2682"/>
    <w:rsid w:val="00CE2756"/>
    <w:rsid w:val="00CE442A"/>
    <w:rsid w:val="00CE57D8"/>
    <w:rsid w:val="00CE5F03"/>
    <w:rsid w:val="00CE617A"/>
    <w:rsid w:val="00CE6E3C"/>
    <w:rsid w:val="00CE797F"/>
    <w:rsid w:val="00CF107E"/>
    <w:rsid w:val="00CF15BF"/>
    <w:rsid w:val="00CF25D2"/>
    <w:rsid w:val="00CF28C2"/>
    <w:rsid w:val="00CF42BD"/>
    <w:rsid w:val="00CF51EC"/>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299"/>
    <w:rsid w:val="00D245BA"/>
    <w:rsid w:val="00D26923"/>
    <w:rsid w:val="00D27856"/>
    <w:rsid w:val="00D27D34"/>
    <w:rsid w:val="00D3006B"/>
    <w:rsid w:val="00D301CA"/>
    <w:rsid w:val="00D30740"/>
    <w:rsid w:val="00D31075"/>
    <w:rsid w:val="00D31445"/>
    <w:rsid w:val="00D31932"/>
    <w:rsid w:val="00D32AE0"/>
    <w:rsid w:val="00D360DA"/>
    <w:rsid w:val="00D37689"/>
    <w:rsid w:val="00D378CC"/>
    <w:rsid w:val="00D4042C"/>
    <w:rsid w:val="00D40B9E"/>
    <w:rsid w:val="00D41281"/>
    <w:rsid w:val="00D42312"/>
    <w:rsid w:val="00D433F5"/>
    <w:rsid w:val="00D43998"/>
    <w:rsid w:val="00D439C2"/>
    <w:rsid w:val="00D451E0"/>
    <w:rsid w:val="00D45A1D"/>
    <w:rsid w:val="00D4615E"/>
    <w:rsid w:val="00D4651F"/>
    <w:rsid w:val="00D478E2"/>
    <w:rsid w:val="00D5264C"/>
    <w:rsid w:val="00D547BA"/>
    <w:rsid w:val="00D55626"/>
    <w:rsid w:val="00D556BC"/>
    <w:rsid w:val="00D5626D"/>
    <w:rsid w:val="00D56631"/>
    <w:rsid w:val="00D60277"/>
    <w:rsid w:val="00D60336"/>
    <w:rsid w:val="00D61F88"/>
    <w:rsid w:val="00D62688"/>
    <w:rsid w:val="00D62901"/>
    <w:rsid w:val="00D6345E"/>
    <w:rsid w:val="00D6470C"/>
    <w:rsid w:val="00D64853"/>
    <w:rsid w:val="00D64CB5"/>
    <w:rsid w:val="00D66D48"/>
    <w:rsid w:val="00D7162F"/>
    <w:rsid w:val="00D72897"/>
    <w:rsid w:val="00D73256"/>
    <w:rsid w:val="00D73A30"/>
    <w:rsid w:val="00D74C65"/>
    <w:rsid w:val="00D74F21"/>
    <w:rsid w:val="00D758D0"/>
    <w:rsid w:val="00D75DC2"/>
    <w:rsid w:val="00D75DC3"/>
    <w:rsid w:val="00D766EF"/>
    <w:rsid w:val="00D76C03"/>
    <w:rsid w:val="00D77F8D"/>
    <w:rsid w:val="00D80E07"/>
    <w:rsid w:val="00D8119B"/>
    <w:rsid w:val="00D82462"/>
    <w:rsid w:val="00D831C6"/>
    <w:rsid w:val="00D83EF3"/>
    <w:rsid w:val="00D85886"/>
    <w:rsid w:val="00D868CE"/>
    <w:rsid w:val="00D86DAE"/>
    <w:rsid w:val="00D90116"/>
    <w:rsid w:val="00D90C1E"/>
    <w:rsid w:val="00D91BDF"/>
    <w:rsid w:val="00D91F2C"/>
    <w:rsid w:val="00D93F09"/>
    <w:rsid w:val="00D94859"/>
    <w:rsid w:val="00D954C2"/>
    <w:rsid w:val="00D97BB8"/>
    <w:rsid w:val="00DA1318"/>
    <w:rsid w:val="00DA1382"/>
    <w:rsid w:val="00DA28B7"/>
    <w:rsid w:val="00DA2FE8"/>
    <w:rsid w:val="00DA4AF6"/>
    <w:rsid w:val="00DB016E"/>
    <w:rsid w:val="00DB06E9"/>
    <w:rsid w:val="00DB0BF3"/>
    <w:rsid w:val="00DB19BD"/>
    <w:rsid w:val="00DB1D55"/>
    <w:rsid w:val="00DB378E"/>
    <w:rsid w:val="00DB3E9D"/>
    <w:rsid w:val="00DB47B9"/>
    <w:rsid w:val="00DB4FB8"/>
    <w:rsid w:val="00DB53CE"/>
    <w:rsid w:val="00DB549D"/>
    <w:rsid w:val="00DB5792"/>
    <w:rsid w:val="00DB6A88"/>
    <w:rsid w:val="00DB7BA4"/>
    <w:rsid w:val="00DC08D7"/>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D0821"/>
    <w:rsid w:val="00DD0E32"/>
    <w:rsid w:val="00DD1878"/>
    <w:rsid w:val="00DD2872"/>
    <w:rsid w:val="00DD2A62"/>
    <w:rsid w:val="00DD2BD0"/>
    <w:rsid w:val="00DD2BFE"/>
    <w:rsid w:val="00DD373E"/>
    <w:rsid w:val="00DD3867"/>
    <w:rsid w:val="00DD57AD"/>
    <w:rsid w:val="00DD7435"/>
    <w:rsid w:val="00DD7C6D"/>
    <w:rsid w:val="00DE009B"/>
    <w:rsid w:val="00DE08F8"/>
    <w:rsid w:val="00DE0C31"/>
    <w:rsid w:val="00DE2ED9"/>
    <w:rsid w:val="00DE319A"/>
    <w:rsid w:val="00DF0615"/>
    <w:rsid w:val="00DF0DC3"/>
    <w:rsid w:val="00DF21FD"/>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7F05"/>
    <w:rsid w:val="00E127E1"/>
    <w:rsid w:val="00E12BCE"/>
    <w:rsid w:val="00E144D2"/>
    <w:rsid w:val="00E144D6"/>
    <w:rsid w:val="00E15346"/>
    <w:rsid w:val="00E15B7D"/>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4985"/>
    <w:rsid w:val="00E34E4A"/>
    <w:rsid w:val="00E365B3"/>
    <w:rsid w:val="00E366BB"/>
    <w:rsid w:val="00E372FD"/>
    <w:rsid w:val="00E37C45"/>
    <w:rsid w:val="00E40AAA"/>
    <w:rsid w:val="00E41A59"/>
    <w:rsid w:val="00E42444"/>
    <w:rsid w:val="00E438CF"/>
    <w:rsid w:val="00E43B06"/>
    <w:rsid w:val="00E43C41"/>
    <w:rsid w:val="00E4500E"/>
    <w:rsid w:val="00E450CE"/>
    <w:rsid w:val="00E45A00"/>
    <w:rsid w:val="00E45CE7"/>
    <w:rsid w:val="00E4631F"/>
    <w:rsid w:val="00E46A4A"/>
    <w:rsid w:val="00E47CB8"/>
    <w:rsid w:val="00E522BB"/>
    <w:rsid w:val="00E52A3D"/>
    <w:rsid w:val="00E539E4"/>
    <w:rsid w:val="00E53C14"/>
    <w:rsid w:val="00E569C7"/>
    <w:rsid w:val="00E571F2"/>
    <w:rsid w:val="00E57429"/>
    <w:rsid w:val="00E60FCE"/>
    <w:rsid w:val="00E61EA8"/>
    <w:rsid w:val="00E63221"/>
    <w:rsid w:val="00E63EC6"/>
    <w:rsid w:val="00E64AE4"/>
    <w:rsid w:val="00E64CFF"/>
    <w:rsid w:val="00E64EA1"/>
    <w:rsid w:val="00E6582D"/>
    <w:rsid w:val="00E669C7"/>
    <w:rsid w:val="00E67611"/>
    <w:rsid w:val="00E70510"/>
    <w:rsid w:val="00E71262"/>
    <w:rsid w:val="00E71A58"/>
    <w:rsid w:val="00E737F6"/>
    <w:rsid w:val="00E7568F"/>
    <w:rsid w:val="00E764AE"/>
    <w:rsid w:val="00E7724B"/>
    <w:rsid w:val="00E80E31"/>
    <w:rsid w:val="00E83DAB"/>
    <w:rsid w:val="00E84F21"/>
    <w:rsid w:val="00E8618A"/>
    <w:rsid w:val="00E90A4B"/>
    <w:rsid w:val="00E90D67"/>
    <w:rsid w:val="00E90F73"/>
    <w:rsid w:val="00E910A7"/>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3EBE"/>
    <w:rsid w:val="00EA3FAC"/>
    <w:rsid w:val="00EA4153"/>
    <w:rsid w:val="00EA421A"/>
    <w:rsid w:val="00EA5CD6"/>
    <w:rsid w:val="00EA76FD"/>
    <w:rsid w:val="00EA77CA"/>
    <w:rsid w:val="00EA78FE"/>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2989"/>
    <w:rsid w:val="00ED2CA5"/>
    <w:rsid w:val="00ED336F"/>
    <w:rsid w:val="00ED3A94"/>
    <w:rsid w:val="00ED40F0"/>
    <w:rsid w:val="00ED4AC0"/>
    <w:rsid w:val="00ED54D6"/>
    <w:rsid w:val="00ED5726"/>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E75"/>
    <w:rsid w:val="00EF1F5A"/>
    <w:rsid w:val="00EF3486"/>
    <w:rsid w:val="00EF4685"/>
    <w:rsid w:val="00EF5397"/>
    <w:rsid w:val="00EF6BE3"/>
    <w:rsid w:val="00F00D0E"/>
    <w:rsid w:val="00F00D3C"/>
    <w:rsid w:val="00F04811"/>
    <w:rsid w:val="00F0488C"/>
    <w:rsid w:val="00F0496E"/>
    <w:rsid w:val="00F04D10"/>
    <w:rsid w:val="00F053EA"/>
    <w:rsid w:val="00F0625B"/>
    <w:rsid w:val="00F06944"/>
    <w:rsid w:val="00F06C6F"/>
    <w:rsid w:val="00F101FF"/>
    <w:rsid w:val="00F104DF"/>
    <w:rsid w:val="00F10A33"/>
    <w:rsid w:val="00F10B64"/>
    <w:rsid w:val="00F1186C"/>
    <w:rsid w:val="00F11AD5"/>
    <w:rsid w:val="00F126D0"/>
    <w:rsid w:val="00F12A83"/>
    <w:rsid w:val="00F14ACD"/>
    <w:rsid w:val="00F15309"/>
    <w:rsid w:val="00F15BEF"/>
    <w:rsid w:val="00F172BE"/>
    <w:rsid w:val="00F1776C"/>
    <w:rsid w:val="00F2037E"/>
    <w:rsid w:val="00F20D17"/>
    <w:rsid w:val="00F2103E"/>
    <w:rsid w:val="00F214FC"/>
    <w:rsid w:val="00F21C31"/>
    <w:rsid w:val="00F23825"/>
    <w:rsid w:val="00F2389A"/>
    <w:rsid w:val="00F23FFF"/>
    <w:rsid w:val="00F2441D"/>
    <w:rsid w:val="00F24FAA"/>
    <w:rsid w:val="00F25226"/>
    <w:rsid w:val="00F26197"/>
    <w:rsid w:val="00F273D4"/>
    <w:rsid w:val="00F307DD"/>
    <w:rsid w:val="00F30C2E"/>
    <w:rsid w:val="00F30CB4"/>
    <w:rsid w:val="00F318FC"/>
    <w:rsid w:val="00F31D53"/>
    <w:rsid w:val="00F31F76"/>
    <w:rsid w:val="00F325A3"/>
    <w:rsid w:val="00F3364D"/>
    <w:rsid w:val="00F353AE"/>
    <w:rsid w:val="00F35ACD"/>
    <w:rsid w:val="00F365BF"/>
    <w:rsid w:val="00F36BF8"/>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41ED"/>
    <w:rsid w:val="00F54B31"/>
    <w:rsid w:val="00F54FD3"/>
    <w:rsid w:val="00F55605"/>
    <w:rsid w:val="00F57CD7"/>
    <w:rsid w:val="00F61BFE"/>
    <w:rsid w:val="00F62F02"/>
    <w:rsid w:val="00F6339F"/>
    <w:rsid w:val="00F63DDE"/>
    <w:rsid w:val="00F63FB7"/>
    <w:rsid w:val="00F64726"/>
    <w:rsid w:val="00F64F44"/>
    <w:rsid w:val="00F6561A"/>
    <w:rsid w:val="00F66243"/>
    <w:rsid w:val="00F67BDA"/>
    <w:rsid w:val="00F70309"/>
    <w:rsid w:val="00F7078A"/>
    <w:rsid w:val="00F70E45"/>
    <w:rsid w:val="00F727D5"/>
    <w:rsid w:val="00F72F44"/>
    <w:rsid w:val="00F73A0C"/>
    <w:rsid w:val="00F759DC"/>
    <w:rsid w:val="00F76563"/>
    <w:rsid w:val="00F7717C"/>
    <w:rsid w:val="00F771A5"/>
    <w:rsid w:val="00F80D1E"/>
    <w:rsid w:val="00F817A4"/>
    <w:rsid w:val="00F81C3A"/>
    <w:rsid w:val="00F835E1"/>
    <w:rsid w:val="00F835FC"/>
    <w:rsid w:val="00F8373A"/>
    <w:rsid w:val="00F83E21"/>
    <w:rsid w:val="00F83FA4"/>
    <w:rsid w:val="00F84E18"/>
    <w:rsid w:val="00F852E5"/>
    <w:rsid w:val="00F90350"/>
    <w:rsid w:val="00F9310A"/>
    <w:rsid w:val="00F94681"/>
    <w:rsid w:val="00F95117"/>
    <w:rsid w:val="00F97ED2"/>
    <w:rsid w:val="00FA05D7"/>
    <w:rsid w:val="00FA16BD"/>
    <w:rsid w:val="00FA1992"/>
    <w:rsid w:val="00FA1C6C"/>
    <w:rsid w:val="00FA2447"/>
    <w:rsid w:val="00FA2C2A"/>
    <w:rsid w:val="00FA309A"/>
    <w:rsid w:val="00FA6B3F"/>
    <w:rsid w:val="00FA7644"/>
    <w:rsid w:val="00FB0A9A"/>
    <w:rsid w:val="00FB16AD"/>
    <w:rsid w:val="00FB1F21"/>
    <w:rsid w:val="00FB483B"/>
    <w:rsid w:val="00FB56F1"/>
    <w:rsid w:val="00FB5FD4"/>
    <w:rsid w:val="00FB67F3"/>
    <w:rsid w:val="00FB6AF4"/>
    <w:rsid w:val="00FC0D8A"/>
    <w:rsid w:val="00FC0E5F"/>
    <w:rsid w:val="00FC135D"/>
    <w:rsid w:val="00FC26FB"/>
    <w:rsid w:val="00FC2CF4"/>
    <w:rsid w:val="00FC3C84"/>
    <w:rsid w:val="00FC4660"/>
    <w:rsid w:val="00FC56DE"/>
    <w:rsid w:val="00FC5E01"/>
    <w:rsid w:val="00FC6140"/>
    <w:rsid w:val="00FD1261"/>
    <w:rsid w:val="00FD1627"/>
    <w:rsid w:val="00FD1BBD"/>
    <w:rsid w:val="00FD38B2"/>
    <w:rsid w:val="00FD43A0"/>
    <w:rsid w:val="00FD473D"/>
    <w:rsid w:val="00FD55BA"/>
    <w:rsid w:val="00FD61C8"/>
    <w:rsid w:val="00FD63CE"/>
    <w:rsid w:val="00FD7D49"/>
    <w:rsid w:val="00FE1251"/>
    <w:rsid w:val="00FE16E6"/>
    <w:rsid w:val="00FE2F78"/>
    <w:rsid w:val="00FE3510"/>
    <w:rsid w:val="00FE371D"/>
    <w:rsid w:val="00FE375F"/>
    <w:rsid w:val="00FE3D8B"/>
    <w:rsid w:val="00FE42D4"/>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emf"/><Relationship Id="rId29" Type="http://schemas.openxmlformats.org/officeDocument/2006/relationships/image" Target="media/image15.w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emf"/><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emf"/><Relationship Id="rId28" Type="http://schemas.openxmlformats.org/officeDocument/2006/relationships/image" Target="media/image14.wmf"/><Relationship Id="rId36" Type="http://schemas.openxmlformats.org/officeDocument/2006/relationships/image" Target="media/image22.emf"/><Relationship Id="rId10" Type="http://schemas.openxmlformats.org/officeDocument/2006/relationships/hyperlink" Target="mailto:jiri.kamenicky@czso.cz" TargetMode="External"/><Relationship Id="rId19" Type="http://schemas.openxmlformats.org/officeDocument/2006/relationships/image" Target="media/image5.wmf"/><Relationship Id="rId31" Type="http://schemas.openxmlformats.org/officeDocument/2006/relationships/image" Target="media/image17.emf"/><Relationship Id="rId4" Type="http://schemas.openxmlformats.org/officeDocument/2006/relationships/styles" Target="styles.xml"/><Relationship Id="rId9" Type="http://schemas.openxmlformats.org/officeDocument/2006/relationships/hyperlink" Target="mailto:jiri.kamenicky@czso.cz" TargetMode="External"/><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w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4.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3BFFD-6803-4F5F-96A6-19D0993ACDAE}">
  <ds:schemaRefs>
    <ds:schemaRef ds:uri="http://schemas.openxmlformats.org/officeDocument/2006/bibliography"/>
  </ds:schemaRefs>
</ds:datastoreItem>
</file>

<file path=customXml/itemProps2.xml><?xml version="1.0" encoding="utf-8"?>
<ds:datastoreItem xmlns:ds="http://schemas.openxmlformats.org/officeDocument/2006/customXml" ds:itemID="{FB66E5FE-7F9D-48C9-9761-4AE5EE89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4</TotalTime>
  <Pages>23</Pages>
  <Words>12075</Words>
  <Characters>71249</Characters>
  <Application>Microsoft Office Word</Application>
  <DocSecurity>0</DocSecurity>
  <Lines>593</Lines>
  <Paragraphs>166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83158</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Jašová</dc:creator>
  <cp:lastModifiedBy>kamenicky3604</cp:lastModifiedBy>
  <cp:revision>4</cp:revision>
  <cp:lastPrinted>2017-03-16T10:07:00Z</cp:lastPrinted>
  <dcterms:created xsi:type="dcterms:W3CDTF">2017-03-22T10:32:00Z</dcterms:created>
  <dcterms:modified xsi:type="dcterms:W3CDTF">2017-03-22T10:40:00Z</dcterms:modified>
</cp:coreProperties>
</file>