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9C" w:rsidRPr="006F5416" w:rsidRDefault="00DD569C" w:rsidP="00DD569C">
      <w:pPr>
        <w:pStyle w:val="Nadpis1"/>
      </w:pPr>
      <w:bookmarkStart w:id="0" w:name="_Toc468110159"/>
      <w:r>
        <w:t>1. Úvod a metodologie</w:t>
      </w:r>
      <w:bookmarkStart w:id="1" w:name="_GoBack"/>
      <w:bookmarkEnd w:id="0"/>
      <w:bookmarkEnd w:id="1"/>
    </w:p>
    <w:p w:rsidR="00DD569C" w:rsidRDefault="00DD569C" w:rsidP="00DD569C">
      <w:pPr>
        <w:spacing w:after="0"/>
      </w:pPr>
      <w:r>
        <w:t>Předkládaná analýza porodnosti a plodnosti v České republice se zaměřuje zejména na období let 2011–2015, i když ve své textové části obsahuje obvykle data za delší období let 2005–2015 z důvodu zasazení do rámce dlouhodobějšího vývoje. Publikace obsahuje informace o trendech v počtu narozených dětí zejména podle různých sociodemografických charakteristik matek, o vývoji intenzitních ukazatelů plodnosti včetně popisu regionálních rozdílů a mezinárodního srovnání. Zároveň byla doplněna o data z posledního Sčítání lidu, domů a bytů (dále jen SLDB 2011), jehož výsledky umožnily vypočítat ukazatele kohortní plodnosti podle dalších charakteristik ženy (např. národnost, vzdělání, náboženská víra atd.). Analýza navazuje na obdobnou publikaci za období let 2006–2010, která je dostupná zde:</w:t>
      </w:r>
    </w:p>
    <w:p w:rsidR="00DD569C" w:rsidRPr="00646599" w:rsidRDefault="00DD569C" w:rsidP="00DD569C">
      <w:pPr>
        <w:rPr>
          <w:rStyle w:val="Hypertextovodkaz"/>
          <w:bCs/>
          <w:i/>
        </w:rPr>
      </w:pPr>
      <w:hyperlink r:id="rId9" w:history="1">
        <w:bookmarkStart w:id="2" w:name="_Toc466990542"/>
        <w:r w:rsidRPr="00646599">
          <w:rPr>
            <w:rStyle w:val="Hypertextovodkaz"/>
            <w:bCs/>
            <w:i/>
          </w:rPr>
          <w:t>https://www.czso.cz/csu/czso/cri/porodnost-a-plodnost-2006-az-2010-bei2lxvhdf</w:t>
        </w:r>
        <w:bookmarkEnd w:id="2"/>
      </w:hyperlink>
    </w:p>
    <w:p w:rsidR="00DD569C" w:rsidRDefault="00DD569C" w:rsidP="00DD569C">
      <w:r>
        <w:t xml:space="preserve">Údaje o narozených dětech ve formě a rozsahu „Hlášení o narození“ získává Český statistický úřad od matričních úřadů, kam jsou tyto formuláře předávány zdravotnickými zařízeními, kde došlo k porodu, nebo kde byla matka s dítětem po porodu ošetřena. </w:t>
      </w:r>
      <w:r w:rsidRPr="002B506E">
        <w:t>Hlášení je povinné</w:t>
      </w:r>
      <w:r>
        <w:t xml:space="preserve"> a </w:t>
      </w:r>
      <w:r w:rsidRPr="002B506E">
        <w:t xml:space="preserve">podléhají mu </w:t>
      </w:r>
      <w:r>
        <w:t>všechny děti narozené</w:t>
      </w:r>
      <w:r w:rsidRPr="002B506E">
        <w:t xml:space="preserve"> na území ČR, </w:t>
      </w:r>
      <w:r>
        <w:t>bez ohledu na státní občanství rodičů</w:t>
      </w:r>
      <w:r w:rsidRPr="002B506E">
        <w:t>.</w:t>
      </w:r>
      <w:r>
        <w:t xml:space="preserve"> Do statistiky jsou pak zahrnovány děti, jejichž alespoň jeden z rodičů měl v době porodu registrovaný pobyt v ČR, tj., v případě občanů ČR trvalý pobyt, v případě cizinců trvalý pobyt, přechodný pobyt (občan EU), pobyt na základě víza nad 90 dnů, pobyt na základě povolení k dlouhodobému pobytu či šlo o osobu s přiznaným azylem. Dále jsou do statistiky zařazovány děti občana ČR s trvalým pobytem v ČR, které se narodily v zahraničí a které byly nahlášeny k zaregistrování v ČR.</w:t>
      </w:r>
    </w:p>
    <w:p w:rsidR="00DD569C" w:rsidRDefault="00DD569C" w:rsidP="00DD569C">
      <w:pPr>
        <w:spacing w:after="0"/>
      </w:pPr>
      <w:r>
        <w:t xml:space="preserve">V období, které tato publikace analyzuje, došlo ke změně definice živě a mrtvě narozeného dítěte. Definice platná do 31. 3. 2012 byla obsažena ve vyhlášce </w:t>
      </w:r>
      <w:r w:rsidRPr="007209E8">
        <w:t>Ministerstva zdravotnictví ČSR č. 11/1988</w:t>
      </w:r>
      <w:r>
        <w:t xml:space="preserve"> Sb.</w:t>
      </w:r>
      <w:r w:rsidRPr="007209E8">
        <w:t xml:space="preserve">, o povinném hlášení ukončení těhotenství, úmrtí dítěte a úmrtí matky, </w:t>
      </w:r>
      <w:r>
        <w:t>provádějící</w:t>
      </w:r>
      <w:r w:rsidRPr="007209E8">
        <w:t xml:space="preserve"> zákon </w:t>
      </w:r>
      <w:r>
        <w:t xml:space="preserve">č. </w:t>
      </w:r>
      <w:r w:rsidRPr="007209E8">
        <w:t>20/1966</w:t>
      </w:r>
      <w:r>
        <w:t xml:space="preserve"> Sb.,</w:t>
      </w:r>
      <w:r w:rsidRPr="007209E8">
        <w:t xml:space="preserve"> o péči o zdraví lidu</w:t>
      </w:r>
      <w:r>
        <w:t>. Vyhláška vymezovala pojmy následovně:</w:t>
      </w:r>
    </w:p>
    <w:p w:rsidR="00DD569C" w:rsidRDefault="00DD569C" w:rsidP="00DD569C">
      <w:pPr>
        <w:spacing w:after="0"/>
      </w:pPr>
      <w:r w:rsidRPr="008B45F6">
        <w:rPr>
          <w:b/>
          <w:i/>
        </w:rPr>
        <w:t>Narozením živého dítěte</w:t>
      </w:r>
      <w:r>
        <w:t xml:space="preserve"> se rozumí jeho úplné vypuzení nebo vynětí z těla matčina, jestliže dítě projevuje alespoň jednu ze známek života a má porodní hmotnost a) 500 g a vyšší anebo b) nižší než 500 g, přežije-li 24 hodin po porodu. Známkami života se rozumějí dech nebo akce srdeční nebo pulsace pupečníku nebo aktivní pohyb svalstva, i když pupečník nebyl přerušen nebo placenta nebyla porozena.</w:t>
      </w:r>
    </w:p>
    <w:p w:rsidR="00DD569C" w:rsidRDefault="00DD569C" w:rsidP="00DD569C">
      <w:pPr>
        <w:spacing w:after="0"/>
      </w:pPr>
      <w:r w:rsidRPr="009821DC">
        <w:rPr>
          <w:b/>
          <w:bCs/>
          <w:i/>
        </w:rPr>
        <w:t>Narozením</w:t>
      </w:r>
      <w:r w:rsidRPr="009821DC">
        <w:rPr>
          <w:i/>
        </w:rPr>
        <w:t xml:space="preserve"> </w:t>
      </w:r>
      <w:r w:rsidRPr="009821DC">
        <w:rPr>
          <w:b/>
          <w:bCs/>
          <w:i/>
        </w:rPr>
        <w:t>mrtvého dítěte</w:t>
      </w:r>
      <w:r w:rsidRPr="008B45F6">
        <w:rPr>
          <w:b/>
          <w:bCs/>
        </w:rPr>
        <w:t xml:space="preserve"> </w:t>
      </w:r>
      <w:r w:rsidRPr="008B45F6">
        <w:t>se rozumí úplné vypuzení nebo vynětí z těla matčina, jestliže plod neprojevuje ani jednu ze známek života a má porodní hmotnost 1</w:t>
      </w:r>
      <w:r>
        <w:t> </w:t>
      </w:r>
      <w:r w:rsidRPr="008B45F6">
        <w:t>000 g a vyšší.</w:t>
      </w:r>
    </w:p>
    <w:p w:rsidR="00DD569C" w:rsidRDefault="00DD569C" w:rsidP="00DD569C">
      <w:pPr>
        <w:spacing w:after="0"/>
        <w:rPr>
          <w:rFonts w:cs="Arial"/>
        </w:rPr>
      </w:pPr>
    </w:p>
    <w:p w:rsidR="00DD569C" w:rsidRDefault="00DD569C" w:rsidP="00DD569C">
      <w:r>
        <w:rPr>
          <w:rFonts w:cs="Arial"/>
        </w:rPr>
        <w:t xml:space="preserve">K 1. 4. 2012 byla </w:t>
      </w:r>
      <w:r w:rsidRPr="009821DC">
        <w:rPr>
          <w:rFonts w:cs="Arial"/>
        </w:rPr>
        <w:t>zákonem č</w:t>
      </w:r>
      <w:r w:rsidRPr="009821DC">
        <w:rPr>
          <w:rFonts w:cs="Arial"/>
          <w:bCs/>
        </w:rPr>
        <w:t>. </w:t>
      </w:r>
      <w:r w:rsidRPr="009821DC">
        <w:rPr>
          <w:rStyle w:val="Siln"/>
          <w:rFonts w:eastAsia="MS Gothic" w:cs="Arial"/>
          <w:b w:val="0"/>
        </w:rPr>
        <w:t>372/2011</w:t>
      </w:r>
      <w:r w:rsidRPr="009821DC">
        <w:rPr>
          <w:rFonts w:cs="Arial"/>
          <w:szCs w:val="20"/>
        </w:rPr>
        <w:t xml:space="preserve"> Sb.</w:t>
      </w:r>
      <w:r w:rsidRPr="009821DC">
        <w:rPr>
          <w:rFonts w:cs="Arial"/>
        </w:rPr>
        <w:t>, o zdravotních službách,</w:t>
      </w:r>
      <w:r>
        <w:rPr>
          <w:rFonts w:cs="Arial"/>
        </w:rPr>
        <w:t xml:space="preserve"> tato vyhláška zrušena.</w:t>
      </w:r>
      <w:r>
        <w:t xml:space="preserve"> </w:t>
      </w:r>
      <w:r w:rsidRPr="007209E8">
        <w:t>Obecné definice pojmů narození živého dítěte a narození mrtvého dítěte platná národní legislativa (v době vydání této publikace) neobsahuje. Definice jsou uvedeny pouze v pokynech k vyplnění Listu o prohlídce zemřelého a to pro potřeby vyplnění tohoto listu. Narození živého dítěte je definováno v nařízení Evropského parlamentu a Rady (EU) č. 1260/2013 o evropské demografické statistice</w:t>
      </w:r>
      <w:r>
        <w:t>, m</w:t>
      </w:r>
      <w:r w:rsidRPr="007209E8">
        <w:t>rtvě narozené dítě je definováno v nařízení Komise (EU) č. 328/2011, kterým se provádí nařízení Evropského parlamentu a Rady (ES) č. 1338/2008 o statistice Společenství v oblasti veřejného zdraví a bezpečnosti a ochrany zdraví při práci, pokud jde o statistiky příčin smrti, a to pro účely těchto nařízení.</w:t>
      </w:r>
      <w:r>
        <w:t xml:space="preserve"> </w:t>
      </w:r>
    </w:p>
    <w:p w:rsidR="00DD569C" w:rsidRDefault="00DD569C" w:rsidP="00DD569C">
      <w:r>
        <w:t xml:space="preserve">Dle pokynů k vyplnění Listu o prohlídce zemřelého (a definic v nařízeních) se za živě narozené dítě považuje takové, které projevuje známky života bez ohledu na jeho hmotnost nebo délku těhotenství. Za mrtvě narozené dítě je pak považováno takové, které nevykazuje žádné známky života a má porodní hmotnost 500 gramů a více, </w:t>
      </w:r>
      <w:r w:rsidRPr="00646599">
        <w:t>či by</w:t>
      </w:r>
      <w:r>
        <w:t>lo</w:t>
      </w:r>
      <w:r w:rsidRPr="00646599">
        <w:t xml:space="preserve"> narozené po </w:t>
      </w:r>
      <w:r>
        <w:t>22.</w:t>
      </w:r>
      <w:r w:rsidRPr="00646599">
        <w:t xml:space="preserve"> dokonče</w:t>
      </w:r>
      <w:r>
        <w:t>ném týdnu těhotenství, nebo bylo</w:t>
      </w:r>
      <w:r w:rsidRPr="00646599">
        <w:t xml:space="preserve"> při porodu alespoň 25 cm dlouhé, a to od temene hlavy k patě.</w:t>
      </w:r>
    </w:p>
    <w:p w:rsidR="00DD569C" w:rsidRDefault="00DD569C" w:rsidP="00DD569C">
      <w:r>
        <w:rPr>
          <w:rFonts w:cs="Arial"/>
          <w:szCs w:val="20"/>
        </w:rPr>
        <w:t xml:space="preserve">K menší metodologické změně došlo od roku 2014 v případě vykazování pořadí narozených dětí, které se nově týká pouze živě narozených dětí a zahrnují se do něj pouze předchozí živě narozené děti ženě, nikoliv i mrtvě narozené, jako tomu bylo v předešlých letech. </w:t>
      </w:r>
    </w:p>
    <w:p w:rsidR="00DD569C" w:rsidRDefault="00DD569C" w:rsidP="00DD569C">
      <w:r>
        <w:lastRenderedPageBreak/>
        <w:t>Většina dat a vypočítaných ukazatelů v této analýze vychází z průběžné evidence narozených. Výjimku tvoří kapitola 4, kde byly použity data ze SLDB 2011. Na sčítacím listu osoby vyplňovaly ženy ve věku 15 let a více údaj o počtu živě narozených dětí, které si jim narodily k rozhodnému okamžiku sčítání 2011. Z uvedených informací bylo možné dopočítat ukazatel kohortní plodnosti, který udává průměrný počet živě narozených dětí, které se ženě, do doby konání sčítání, narodily. Obvykle bývá vymezen k určitému dokončenému věku nebo ročníku narození ženy. Pokud se jednalo o ženy ve věku za hranicí reprodukčního období, tak se už ukazatel nazývá konečnou plodností, protože udává konečný průměrný počet dětí, které se ženám narodil. Kohortní nebo konečná plodnost podávají informace o skutečném průměrném počtu dětí, jež se ženám narodily. Na rozdíl od ukazatele úhrnné plodnosti, který vychází z dat průběžné evidence a udává hypotetický průměrný počet živě narozených dětí při zachování intenzity plodnosti daného roku.</w:t>
      </w: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F07CB9" w:rsidRDefault="00F07CB9" w:rsidP="00C5379F"/>
    <w:sectPr w:rsidR="00F07CB9" w:rsidSect="00F07CB9">
      <w:headerReference w:type="even" r:id="rId10"/>
      <w:headerReference w:type="default" r:id="rId11"/>
      <w:footerReference w:type="even" r:id="rId12"/>
      <w:footerReference w:type="default" r:id="rId13"/>
      <w:pgSz w:w="11906" w:h="16838" w:code="9"/>
      <w:pgMar w:top="1134" w:right="1134" w:bottom="1418" w:left="1134" w:header="680" w:footer="68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63" w:rsidRDefault="008D2E63" w:rsidP="00E71A58">
      <w:r>
        <w:separator/>
      </w:r>
    </w:p>
  </w:endnote>
  <w:endnote w:type="continuationSeparator" w:id="0">
    <w:p w:rsidR="008D2E63" w:rsidRDefault="008D2E6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8D2E63"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14.1pt;margin-top:-5.1pt;width:33.75pt;height:15.85pt;z-index:2;mso-position-horizontal:right">
          <v:imagedata r:id="rId1" o:title="CSU RGB CZ logo-01"/>
        </v:shape>
      </w:pict>
    </w:r>
    <w:r w:rsidR="009047B7" w:rsidRPr="00932443">
      <w:rPr>
        <w:szCs w:val="16"/>
      </w:rPr>
      <w:fldChar w:fldCharType="begin"/>
    </w:r>
    <w:r w:rsidR="009047B7" w:rsidRPr="00932443">
      <w:rPr>
        <w:szCs w:val="16"/>
      </w:rPr>
      <w:instrText>PAGE   \* MERGEFORMAT</w:instrText>
    </w:r>
    <w:r w:rsidR="009047B7" w:rsidRPr="00932443">
      <w:rPr>
        <w:szCs w:val="16"/>
      </w:rPr>
      <w:fldChar w:fldCharType="separate"/>
    </w:r>
    <w:r w:rsidR="00DD569C">
      <w:rPr>
        <w:szCs w:val="16"/>
      </w:rPr>
      <w:t>4</w:t>
    </w:r>
    <w:r w:rsidR="009047B7" w:rsidRPr="00932443">
      <w:rPr>
        <w:szCs w:val="16"/>
      </w:rPr>
      <w:fldChar w:fldCharType="end"/>
    </w:r>
    <w:r w:rsidR="009047B7" w:rsidRPr="00932443">
      <w:rPr>
        <w:szCs w:val="16"/>
      </w:rPr>
      <w:tab/>
    </w:r>
    <w:r w:rsidR="009047B7">
      <w:rPr>
        <w:szCs w:val="16"/>
      </w:rPr>
      <w:t>2011 - 2015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8D2E63"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9047B7" w:rsidRPr="00932443">
      <w:rPr>
        <w:szCs w:val="16"/>
      </w:rPr>
      <w:tab/>
    </w:r>
    <w:r w:rsidR="009047B7">
      <w:rPr>
        <w:rStyle w:val="ZpatChar"/>
        <w:szCs w:val="16"/>
      </w:rPr>
      <w:t>2011 – 2015</w:t>
    </w:r>
    <w:r w:rsidR="009047B7" w:rsidRPr="00932443">
      <w:rPr>
        <w:szCs w:val="16"/>
      </w:rPr>
      <w:tab/>
    </w:r>
    <w:r w:rsidR="009047B7" w:rsidRPr="00932443">
      <w:rPr>
        <w:rStyle w:val="ZpatChar"/>
        <w:szCs w:val="16"/>
      </w:rPr>
      <w:fldChar w:fldCharType="begin"/>
    </w:r>
    <w:r w:rsidR="009047B7" w:rsidRPr="00932443">
      <w:rPr>
        <w:rStyle w:val="ZpatChar"/>
        <w:szCs w:val="16"/>
      </w:rPr>
      <w:instrText>PAGE   \* MERGEFORMAT</w:instrText>
    </w:r>
    <w:r w:rsidR="009047B7" w:rsidRPr="00932443">
      <w:rPr>
        <w:rStyle w:val="ZpatChar"/>
        <w:szCs w:val="16"/>
      </w:rPr>
      <w:fldChar w:fldCharType="separate"/>
    </w:r>
    <w:r w:rsidR="00DD569C">
      <w:rPr>
        <w:rStyle w:val="ZpatChar"/>
        <w:szCs w:val="16"/>
      </w:rPr>
      <w:t>5</w:t>
    </w:r>
    <w:r w:rsidR="009047B7"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63" w:rsidRDefault="008D2E63" w:rsidP="00E71A58">
      <w:r>
        <w:separator/>
      </w:r>
    </w:p>
  </w:footnote>
  <w:footnote w:type="continuationSeparator" w:id="0">
    <w:p w:rsidR="008D2E63" w:rsidRDefault="008D2E63"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2037C9" w:rsidRDefault="009047B7" w:rsidP="002037C9">
    <w:pPr>
      <w:pStyle w:val="Zhlav"/>
    </w:pPr>
    <w:r>
      <w:t>Porodnost a plodnost 2011 - 2015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6F5416" w:rsidRDefault="009047B7" w:rsidP="00937AE2">
    <w:pPr>
      <w:pStyle w:val="Zhlav"/>
    </w:pPr>
    <w:r>
      <w:t>Porodnost a plodnost 2011 - 2015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BB"/>
    <w:rsid w:val="0000209D"/>
    <w:rsid w:val="00004D5A"/>
    <w:rsid w:val="000056D5"/>
    <w:rsid w:val="0000683B"/>
    <w:rsid w:val="0000767A"/>
    <w:rsid w:val="00010702"/>
    <w:rsid w:val="000234D6"/>
    <w:rsid w:val="00023D29"/>
    <w:rsid w:val="00026389"/>
    <w:rsid w:val="00031AE0"/>
    <w:rsid w:val="000322EF"/>
    <w:rsid w:val="000336AC"/>
    <w:rsid w:val="00033FCD"/>
    <w:rsid w:val="00041CEC"/>
    <w:rsid w:val="0004694F"/>
    <w:rsid w:val="00046F8A"/>
    <w:rsid w:val="000522E4"/>
    <w:rsid w:val="000610E1"/>
    <w:rsid w:val="00062EC5"/>
    <w:rsid w:val="00062F22"/>
    <w:rsid w:val="000712B3"/>
    <w:rsid w:val="00074CFC"/>
    <w:rsid w:val="00081632"/>
    <w:rsid w:val="000818F1"/>
    <w:rsid w:val="0008263E"/>
    <w:rsid w:val="00082C19"/>
    <w:rsid w:val="00085395"/>
    <w:rsid w:val="00085CB7"/>
    <w:rsid w:val="00086D37"/>
    <w:rsid w:val="00087634"/>
    <w:rsid w:val="00087F2B"/>
    <w:rsid w:val="00091A5B"/>
    <w:rsid w:val="00091F06"/>
    <w:rsid w:val="000974D1"/>
    <w:rsid w:val="0009799E"/>
    <w:rsid w:val="000A1183"/>
    <w:rsid w:val="000A256D"/>
    <w:rsid w:val="000A3A2C"/>
    <w:rsid w:val="000B0A56"/>
    <w:rsid w:val="000B21AE"/>
    <w:rsid w:val="000B5CD7"/>
    <w:rsid w:val="000B74DD"/>
    <w:rsid w:val="000C070C"/>
    <w:rsid w:val="000C3408"/>
    <w:rsid w:val="000C6AFD"/>
    <w:rsid w:val="000D3D56"/>
    <w:rsid w:val="000D5637"/>
    <w:rsid w:val="000E6FBD"/>
    <w:rsid w:val="000E7369"/>
    <w:rsid w:val="000F1A66"/>
    <w:rsid w:val="000F2B69"/>
    <w:rsid w:val="000F6376"/>
    <w:rsid w:val="00100F5C"/>
    <w:rsid w:val="00103392"/>
    <w:rsid w:val="00104C4C"/>
    <w:rsid w:val="00116BC3"/>
    <w:rsid w:val="0011725D"/>
    <w:rsid w:val="0012192F"/>
    <w:rsid w:val="00122DB3"/>
    <w:rsid w:val="00125D69"/>
    <w:rsid w:val="001276C3"/>
    <w:rsid w:val="001405FA"/>
    <w:rsid w:val="001425C3"/>
    <w:rsid w:val="00144E68"/>
    <w:rsid w:val="00162255"/>
    <w:rsid w:val="0016256B"/>
    <w:rsid w:val="00163793"/>
    <w:rsid w:val="0017050E"/>
    <w:rsid w:val="001706D6"/>
    <w:rsid w:val="001714F2"/>
    <w:rsid w:val="001766BA"/>
    <w:rsid w:val="001776AE"/>
    <w:rsid w:val="00184B08"/>
    <w:rsid w:val="00185010"/>
    <w:rsid w:val="0018715D"/>
    <w:rsid w:val="00192326"/>
    <w:rsid w:val="00196B60"/>
    <w:rsid w:val="001A552F"/>
    <w:rsid w:val="001A6BC0"/>
    <w:rsid w:val="001B2CA9"/>
    <w:rsid w:val="001B3110"/>
    <w:rsid w:val="001B34BB"/>
    <w:rsid w:val="001B4729"/>
    <w:rsid w:val="001B6C09"/>
    <w:rsid w:val="001B71EB"/>
    <w:rsid w:val="001C05CD"/>
    <w:rsid w:val="001C1392"/>
    <w:rsid w:val="001D1710"/>
    <w:rsid w:val="001D68B2"/>
    <w:rsid w:val="001F0A2C"/>
    <w:rsid w:val="001F243F"/>
    <w:rsid w:val="001F4597"/>
    <w:rsid w:val="001F52E2"/>
    <w:rsid w:val="001F6C36"/>
    <w:rsid w:val="00202314"/>
    <w:rsid w:val="002037C9"/>
    <w:rsid w:val="00203CFD"/>
    <w:rsid w:val="002118B9"/>
    <w:rsid w:val="00217C5B"/>
    <w:rsid w:val="0022139E"/>
    <w:rsid w:val="00222CAC"/>
    <w:rsid w:val="00224669"/>
    <w:rsid w:val="002252E0"/>
    <w:rsid w:val="002255F6"/>
    <w:rsid w:val="00227850"/>
    <w:rsid w:val="00227A53"/>
    <w:rsid w:val="002308B2"/>
    <w:rsid w:val="00230C6E"/>
    <w:rsid w:val="00236443"/>
    <w:rsid w:val="00240858"/>
    <w:rsid w:val="002436BA"/>
    <w:rsid w:val="00244A15"/>
    <w:rsid w:val="0024611D"/>
    <w:rsid w:val="00247319"/>
    <w:rsid w:val="0024799E"/>
    <w:rsid w:val="00253C0F"/>
    <w:rsid w:val="00260690"/>
    <w:rsid w:val="00260EBC"/>
    <w:rsid w:val="002645B6"/>
    <w:rsid w:val="00271465"/>
    <w:rsid w:val="00280E72"/>
    <w:rsid w:val="002821A7"/>
    <w:rsid w:val="00283CC2"/>
    <w:rsid w:val="00285412"/>
    <w:rsid w:val="00293C4F"/>
    <w:rsid w:val="0029542D"/>
    <w:rsid w:val="002A00BE"/>
    <w:rsid w:val="002A16D4"/>
    <w:rsid w:val="002A230C"/>
    <w:rsid w:val="002A47A3"/>
    <w:rsid w:val="002C05BD"/>
    <w:rsid w:val="002C43BD"/>
    <w:rsid w:val="002D0E59"/>
    <w:rsid w:val="002E02A1"/>
    <w:rsid w:val="002E4E4C"/>
    <w:rsid w:val="00303337"/>
    <w:rsid w:val="00304771"/>
    <w:rsid w:val="003052D4"/>
    <w:rsid w:val="00306C5B"/>
    <w:rsid w:val="003209D6"/>
    <w:rsid w:val="00321737"/>
    <w:rsid w:val="00321924"/>
    <w:rsid w:val="0032656E"/>
    <w:rsid w:val="003308C5"/>
    <w:rsid w:val="00332190"/>
    <w:rsid w:val="003367CA"/>
    <w:rsid w:val="00344668"/>
    <w:rsid w:val="003454EF"/>
    <w:rsid w:val="003462D9"/>
    <w:rsid w:val="00347E74"/>
    <w:rsid w:val="00352CA8"/>
    <w:rsid w:val="00354569"/>
    <w:rsid w:val="00354958"/>
    <w:rsid w:val="00360C86"/>
    <w:rsid w:val="003657F3"/>
    <w:rsid w:val="00367AA7"/>
    <w:rsid w:val="00370322"/>
    <w:rsid w:val="00370C61"/>
    <w:rsid w:val="00370E9E"/>
    <w:rsid w:val="00372A04"/>
    <w:rsid w:val="00374CB1"/>
    <w:rsid w:val="003801BD"/>
    <w:rsid w:val="003818DC"/>
    <w:rsid w:val="00384327"/>
    <w:rsid w:val="00385D98"/>
    <w:rsid w:val="00387C33"/>
    <w:rsid w:val="00391F25"/>
    <w:rsid w:val="00392800"/>
    <w:rsid w:val="003A2B4D"/>
    <w:rsid w:val="003A478C"/>
    <w:rsid w:val="003A5525"/>
    <w:rsid w:val="003A613A"/>
    <w:rsid w:val="003A6B38"/>
    <w:rsid w:val="003B0AF1"/>
    <w:rsid w:val="003B5A32"/>
    <w:rsid w:val="003C3490"/>
    <w:rsid w:val="003C4A90"/>
    <w:rsid w:val="003C4ED5"/>
    <w:rsid w:val="003D6920"/>
    <w:rsid w:val="003D736E"/>
    <w:rsid w:val="003E47B7"/>
    <w:rsid w:val="003E4C91"/>
    <w:rsid w:val="003F313C"/>
    <w:rsid w:val="003F4079"/>
    <w:rsid w:val="003F4B2C"/>
    <w:rsid w:val="003F551C"/>
    <w:rsid w:val="003F7D23"/>
    <w:rsid w:val="00400C70"/>
    <w:rsid w:val="00404562"/>
    <w:rsid w:val="00407C13"/>
    <w:rsid w:val="00410638"/>
    <w:rsid w:val="0041088C"/>
    <w:rsid w:val="00421D1D"/>
    <w:rsid w:val="00430E7E"/>
    <w:rsid w:val="00432A58"/>
    <w:rsid w:val="00434617"/>
    <w:rsid w:val="00437AAD"/>
    <w:rsid w:val="00440900"/>
    <w:rsid w:val="00442CE3"/>
    <w:rsid w:val="004441A0"/>
    <w:rsid w:val="00460FB3"/>
    <w:rsid w:val="00462E97"/>
    <w:rsid w:val="004669E8"/>
    <w:rsid w:val="00467694"/>
    <w:rsid w:val="00476240"/>
    <w:rsid w:val="00476439"/>
    <w:rsid w:val="0047735C"/>
    <w:rsid w:val="004776BC"/>
    <w:rsid w:val="0048139F"/>
    <w:rsid w:val="00481E40"/>
    <w:rsid w:val="00484A97"/>
    <w:rsid w:val="00484ECE"/>
    <w:rsid w:val="004867D0"/>
    <w:rsid w:val="004900FF"/>
    <w:rsid w:val="004915CB"/>
    <w:rsid w:val="004924DC"/>
    <w:rsid w:val="00492FD7"/>
    <w:rsid w:val="00492FDF"/>
    <w:rsid w:val="004A0994"/>
    <w:rsid w:val="004A14E4"/>
    <w:rsid w:val="004A1F23"/>
    <w:rsid w:val="004A3212"/>
    <w:rsid w:val="004A61C5"/>
    <w:rsid w:val="004A77DF"/>
    <w:rsid w:val="004B1417"/>
    <w:rsid w:val="004B37F1"/>
    <w:rsid w:val="004B48E1"/>
    <w:rsid w:val="004B55B7"/>
    <w:rsid w:val="004B6468"/>
    <w:rsid w:val="004B74FD"/>
    <w:rsid w:val="004C384C"/>
    <w:rsid w:val="004C3867"/>
    <w:rsid w:val="004C3F22"/>
    <w:rsid w:val="004C4CD0"/>
    <w:rsid w:val="004C4EF0"/>
    <w:rsid w:val="004C6B99"/>
    <w:rsid w:val="004C70DC"/>
    <w:rsid w:val="004D0211"/>
    <w:rsid w:val="004D0794"/>
    <w:rsid w:val="004D0803"/>
    <w:rsid w:val="004D48A1"/>
    <w:rsid w:val="004D67F0"/>
    <w:rsid w:val="004E2D09"/>
    <w:rsid w:val="004E483E"/>
    <w:rsid w:val="004E5429"/>
    <w:rsid w:val="004E54BF"/>
    <w:rsid w:val="004F06F5"/>
    <w:rsid w:val="004F0AD7"/>
    <w:rsid w:val="004F33A0"/>
    <w:rsid w:val="00500A8A"/>
    <w:rsid w:val="005072AC"/>
    <w:rsid w:val="005108C0"/>
    <w:rsid w:val="00510D30"/>
    <w:rsid w:val="00511873"/>
    <w:rsid w:val="00512A2F"/>
    <w:rsid w:val="00513B7E"/>
    <w:rsid w:val="00515C74"/>
    <w:rsid w:val="00517F07"/>
    <w:rsid w:val="0052007E"/>
    <w:rsid w:val="0052337A"/>
    <w:rsid w:val="00523F91"/>
    <w:rsid w:val="00525137"/>
    <w:rsid w:val="005251DD"/>
    <w:rsid w:val="00532CE7"/>
    <w:rsid w:val="0053324C"/>
    <w:rsid w:val="00534A28"/>
    <w:rsid w:val="00536611"/>
    <w:rsid w:val="005377E1"/>
    <w:rsid w:val="00540984"/>
    <w:rsid w:val="00541508"/>
    <w:rsid w:val="00541533"/>
    <w:rsid w:val="00544961"/>
    <w:rsid w:val="00544EE1"/>
    <w:rsid w:val="0055599F"/>
    <w:rsid w:val="00556D68"/>
    <w:rsid w:val="005570F2"/>
    <w:rsid w:val="00557A15"/>
    <w:rsid w:val="00560659"/>
    <w:rsid w:val="005647BF"/>
    <w:rsid w:val="005668F4"/>
    <w:rsid w:val="0057364B"/>
    <w:rsid w:val="00574773"/>
    <w:rsid w:val="00582B5E"/>
    <w:rsid w:val="00583FFD"/>
    <w:rsid w:val="00587B4C"/>
    <w:rsid w:val="00590434"/>
    <w:rsid w:val="005911BE"/>
    <w:rsid w:val="00593152"/>
    <w:rsid w:val="00593280"/>
    <w:rsid w:val="005A10F2"/>
    <w:rsid w:val="005A21E0"/>
    <w:rsid w:val="005A28FF"/>
    <w:rsid w:val="005A3DF8"/>
    <w:rsid w:val="005A5549"/>
    <w:rsid w:val="005A660A"/>
    <w:rsid w:val="005B121D"/>
    <w:rsid w:val="005B2ACF"/>
    <w:rsid w:val="005B6AD7"/>
    <w:rsid w:val="005C0558"/>
    <w:rsid w:val="005C06ED"/>
    <w:rsid w:val="005D2600"/>
    <w:rsid w:val="005D5802"/>
    <w:rsid w:val="005D6B94"/>
    <w:rsid w:val="005D7890"/>
    <w:rsid w:val="005E7C78"/>
    <w:rsid w:val="005F2579"/>
    <w:rsid w:val="005F3EB1"/>
    <w:rsid w:val="005F478F"/>
    <w:rsid w:val="005F539F"/>
    <w:rsid w:val="005F5469"/>
    <w:rsid w:val="005F6625"/>
    <w:rsid w:val="00601C79"/>
    <w:rsid w:val="00604307"/>
    <w:rsid w:val="0060487F"/>
    <w:rsid w:val="00604EAD"/>
    <w:rsid w:val="00606C65"/>
    <w:rsid w:val="006104FB"/>
    <w:rsid w:val="00610DAB"/>
    <w:rsid w:val="00612A2F"/>
    <w:rsid w:val="00614B01"/>
    <w:rsid w:val="00616E05"/>
    <w:rsid w:val="0062256D"/>
    <w:rsid w:val="00624093"/>
    <w:rsid w:val="0063536D"/>
    <w:rsid w:val="0063575A"/>
    <w:rsid w:val="006362BD"/>
    <w:rsid w:val="006368F9"/>
    <w:rsid w:val="006404A7"/>
    <w:rsid w:val="006451E4"/>
    <w:rsid w:val="00645B33"/>
    <w:rsid w:val="00646599"/>
    <w:rsid w:val="006503E7"/>
    <w:rsid w:val="006516CB"/>
    <w:rsid w:val="00657E87"/>
    <w:rsid w:val="006633C6"/>
    <w:rsid w:val="00664803"/>
    <w:rsid w:val="00665BA4"/>
    <w:rsid w:val="00667AF2"/>
    <w:rsid w:val="006710C9"/>
    <w:rsid w:val="00673CB5"/>
    <w:rsid w:val="00674D89"/>
    <w:rsid w:val="00675E37"/>
    <w:rsid w:val="0068174E"/>
    <w:rsid w:val="00681DCE"/>
    <w:rsid w:val="0068260E"/>
    <w:rsid w:val="00695BEF"/>
    <w:rsid w:val="006977A3"/>
    <w:rsid w:val="006977F6"/>
    <w:rsid w:val="00697A13"/>
    <w:rsid w:val="006A109C"/>
    <w:rsid w:val="006A5F00"/>
    <w:rsid w:val="006B344A"/>
    <w:rsid w:val="006B78D8"/>
    <w:rsid w:val="006C113F"/>
    <w:rsid w:val="006C123E"/>
    <w:rsid w:val="006C4BA5"/>
    <w:rsid w:val="006C56D4"/>
    <w:rsid w:val="006C6924"/>
    <w:rsid w:val="006C7CA6"/>
    <w:rsid w:val="006D3E8A"/>
    <w:rsid w:val="006D61F6"/>
    <w:rsid w:val="006E0A0B"/>
    <w:rsid w:val="006E279A"/>
    <w:rsid w:val="006E2DE0"/>
    <w:rsid w:val="006E313B"/>
    <w:rsid w:val="006F2352"/>
    <w:rsid w:val="006F5416"/>
    <w:rsid w:val="006F6002"/>
    <w:rsid w:val="006F7137"/>
    <w:rsid w:val="00705631"/>
    <w:rsid w:val="00706AD4"/>
    <w:rsid w:val="007140BE"/>
    <w:rsid w:val="0071781A"/>
    <w:rsid w:val="00717E46"/>
    <w:rsid w:val="007209E8"/>
    <w:rsid w:val="007211F5"/>
    <w:rsid w:val="00722587"/>
    <w:rsid w:val="00725764"/>
    <w:rsid w:val="00725BB5"/>
    <w:rsid w:val="00730AE8"/>
    <w:rsid w:val="00734255"/>
    <w:rsid w:val="00741493"/>
    <w:rsid w:val="00743D95"/>
    <w:rsid w:val="007501A5"/>
    <w:rsid w:val="00751611"/>
    <w:rsid w:val="00752180"/>
    <w:rsid w:val="00755202"/>
    <w:rsid w:val="00755D3A"/>
    <w:rsid w:val="007578D3"/>
    <w:rsid w:val="007609C6"/>
    <w:rsid w:val="0076175D"/>
    <w:rsid w:val="0076521E"/>
    <w:rsid w:val="007661E9"/>
    <w:rsid w:val="007758D2"/>
    <w:rsid w:val="00776169"/>
    <w:rsid w:val="00776527"/>
    <w:rsid w:val="00780EF1"/>
    <w:rsid w:val="00782A7C"/>
    <w:rsid w:val="00785FB1"/>
    <w:rsid w:val="00790764"/>
    <w:rsid w:val="0079453C"/>
    <w:rsid w:val="00794677"/>
    <w:rsid w:val="007B005E"/>
    <w:rsid w:val="007B6689"/>
    <w:rsid w:val="007C4665"/>
    <w:rsid w:val="007D40DF"/>
    <w:rsid w:val="007D4EB6"/>
    <w:rsid w:val="007D7B96"/>
    <w:rsid w:val="007E7E61"/>
    <w:rsid w:val="007F0845"/>
    <w:rsid w:val="007F3EC5"/>
    <w:rsid w:val="007F7943"/>
    <w:rsid w:val="008009CE"/>
    <w:rsid w:val="00807C82"/>
    <w:rsid w:val="00813EDF"/>
    <w:rsid w:val="00816905"/>
    <w:rsid w:val="00820556"/>
    <w:rsid w:val="00821EC7"/>
    <w:rsid w:val="00821FF6"/>
    <w:rsid w:val="00822E29"/>
    <w:rsid w:val="00825C4D"/>
    <w:rsid w:val="00830EB8"/>
    <w:rsid w:val="0083143E"/>
    <w:rsid w:val="00831CDE"/>
    <w:rsid w:val="00834304"/>
    <w:rsid w:val="00834FAA"/>
    <w:rsid w:val="00836086"/>
    <w:rsid w:val="00841E69"/>
    <w:rsid w:val="00844938"/>
    <w:rsid w:val="0084708F"/>
    <w:rsid w:val="008477C8"/>
    <w:rsid w:val="0085114D"/>
    <w:rsid w:val="00851356"/>
    <w:rsid w:val="00852217"/>
    <w:rsid w:val="008533E2"/>
    <w:rsid w:val="00855408"/>
    <w:rsid w:val="00856D65"/>
    <w:rsid w:val="00861B41"/>
    <w:rsid w:val="00863434"/>
    <w:rsid w:val="00865E4C"/>
    <w:rsid w:val="008701E4"/>
    <w:rsid w:val="00872E80"/>
    <w:rsid w:val="00875A32"/>
    <w:rsid w:val="00876086"/>
    <w:rsid w:val="0087779B"/>
    <w:rsid w:val="00885016"/>
    <w:rsid w:val="008873D4"/>
    <w:rsid w:val="00893E85"/>
    <w:rsid w:val="00894031"/>
    <w:rsid w:val="008B45F6"/>
    <w:rsid w:val="008B7C02"/>
    <w:rsid w:val="008B7D2B"/>
    <w:rsid w:val="008C0049"/>
    <w:rsid w:val="008C0E88"/>
    <w:rsid w:val="008C310F"/>
    <w:rsid w:val="008C426F"/>
    <w:rsid w:val="008D016D"/>
    <w:rsid w:val="008D1E6A"/>
    <w:rsid w:val="008D2661"/>
    <w:rsid w:val="008D2A16"/>
    <w:rsid w:val="008D2E63"/>
    <w:rsid w:val="008E2C57"/>
    <w:rsid w:val="008E31FF"/>
    <w:rsid w:val="008E6F06"/>
    <w:rsid w:val="008F029B"/>
    <w:rsid w:val="008F3FC9"/>
    <w:rsid w:val="008F4794"/>
    <w:rsid w:val="008F57A6"/>
    <w:rsid w:val="008F585B"/>
    <w:rsid w:val="008F612C"/>
    <w:rsid w:val="009003A8"/>
    <w:rsid w:val="00902500"/>
    <w:rsid w:val="00902EFF"/>
    <w:rsid w:val="009047B7"/>
    <w:rsid w:val="00904905"/>
    <w:rsid w:val="00906401"/>
    <w:rsid w:val="00906EE5"/>
    <w:rsid w:val="00907323"/>
    <w:rsid w:val="0091155E"/>
    <w:rsid w:val="00912A92"/>
    <w:rsid w:val="0091728D"/>
    <w:rsid w:val="0092180B"/>
    <w:rsid w:val="00921F14"/>
    <w:rsid w:val="0092254A"/>
    <w:rsid w:val="00922810"/>
    <w:rsid w:val="00923D47"/>
    <w:rsid w:val="009242ED"/>
    <w:rsid w:val="00924AC8"/>
    <w:rsid w:val="0092597A"/>
    <w:rsid w:val="00931308"/>
    <w:rsid w:val="00932443"/>
    <w:rsid w:val="00934193"/>
    <w:rsid w:val="00936899"/>
    <w:rsid w:val="00937AE2"/>
    <w:rsid w:val="0094427A"/>
    <w:rsid w:val="00954170"/>
    <w:rsid w:val="00955BC1"/>
    <w:rsid w:val="0096617D"/>
    <w:rsid w:val="0097155E"/>
    <w:rsid w:val="00974923"/>
    <w:rsid w:val="00980D3D"/>
    <w:rsid w:val="009813A8"/>
    <w:rsid w:val="009821DC"/>
    <w:rsid w:val="00987697"/>
    <w:rsid w:val="00987A30"/>
    <w:rsid w:val="00992CF3"/>
    <w:rsid w:val="009968D6"/>
    <w:rsid w:val="009A1CAB"/>
    <w:rsid w:val="009A57D7"/>
    <w:rsid w:val="009A60D1"/>
    <w:rsid w:val="009A617E"/>
    <w:rsid w:val="009B615A"/>
    <w:rsid w:val="009B6FD3"/>
    <w:rsid w:val="009C1750"/>
    <w:rsid w:val="009C2E29"/>
    <w:rsid w:val="009C554B"/>
    <w:rsid w:val="009C719E"/>
    <w:rsid w:val="009D3ACD"/>
    <w:rsid w:val="009E5273"/>
    <w:rsid w:val="009E55B9"/>
    <w:rsid w:val="009E5DDB"/>
    <w:rsid w:val="009F4CA7"/>
    <w:rsid w:val="00A037F4"/>
    <w:rsid w:val="00A03F42"/>
    <w:rsid w:val="00A06813"/>
    <w:rsid w:val="00A07E80"/>
    <w:rsid w:val="00A10D66"/>
    <w:rsid w:val="00A10EC3"/>
    <w:rsid w:val="00A13B8F"/>
    <w:rsid w:val="00A14114"/>
    <w:rsid w:val="00A16413"/>
    <w:rsid w:val="00A17080"/>
    <w:rsid w:val="00A23E43"/>
    <w:rsid w:val="00A30F65"/>
    <w:rsid w:val="00A3676E"/>
    <w:rsid w:val="00A37E07"/>
    <w:rsid w:val="00A413D4"/>
    <w:rsid w:val="00A418BC"/>
    <w:rsid w:val="00A46185"/>
    <w:rsid w:val="00A46DE0"/>
    <w:rsid w:val="00A50D73"/>
    <w:rsid w:val="00A513FA"/>
    <w:rsid w:val="00A52CAD"/>
    <w:rsid w:val="00A53FC7"/>
    <w:rsid w:val="00A553DE"/>
    <w:rsid w:val="00A62C82"/>
    <w:rsid w:val="00A62CE1"/>
    <w:rsid w:val="00A6741E"/>
    <w:rsid w:val="00A75E40"/>
    <w:rsid w:val="00A77D1D"/>
    <w:rsid w:val="00A8510B"/>
    <w:rsid w:val="00A857C0"/>
    <w:rsid w:val="00A92A4C"/>
    <w:rsid w:val="00AA17FB"/>
    <w:rsid w:val="00AA2996"/>
    <w:rsid w:val="00AA319D"/>
    <w:rsid w:val="00AA52BF"/>
    <w:rsid w:val="00AA559A"/>
    <w:rsid w:val="00AB1467"/>
    <w:rsid w:val="00AB2AF1"/>
    <w:rsid w:val="00AC58BB"/>
    <w:rsid w:val="00AD306C"/>
    <w:rsid w:val="00AD46A9"/>
    <w:rsid w:val="00AE09B3"/>
    <w:rsid w:val="00AE1A83"/>
    <w:rsid w:val="00AE3398"/>
    <w:rsid w:val="00AE3E55"/>
    <w:rsid w:val="00AF20FF"/>
    <w:rsid w:val="00B00913"/>
    <w:rsid w:val="00B01593"/>
    <w:rsid w:val="00B0303C"/>
    <w:rsid w:val="00B10A4D"/>
    <w:rsid w:val="00B10A7E"/>
    <w:rsid w:val="00B17E71"/>
    <w:rsid w:val="00B17FDE"/>
    <w:rsid w:val="00B2379C"/>
    <w:rsid w:val="00B2687D"/>
    <w:rsid w:val="00B32DDB"/>
    <w:rsid w:val="00B34528"/>
    <w:rsid w:val="00B373CF"/>
    <w:rsid w:val="00B402FC"/>
    <w:rsid w:val="00B43231"/>
    <w:rsid w:val="00B46604"/>
    <w:rsid w:val="00B471BD"/>
    <w:rsid w:val="00B47339"/>
    <w:rsid w:val="00B530CD"/>
    <w:rsid w:val="00B55F5E"/>
    <w:rsid w:val="00B56DC9"/>
    <w:rsid w:val="00B5752E"/>
    <w:rsid w:val="00B61479"/>
    <w:rsid w:val="00B62887"/>
    <w:rsid w:val="00B63A11"/>
    <w:rsid w:val="00B64C24"/>
    <w:rsid w:val="00B6608F"/>
    <w:rsid w:val="00B679FB"/>
    <w:rsid w:val="00B7185A"/>
    <w:rsid w:val="00B7442B"/>
    <w:rsid w:val="00B76D1E"/>
    <w:rsid w:val="00B80EC6"/>
    <w:rsid w:val="00B84FAD"/>
    <w:rsid w:val="00B92D1D"/>
    <w:rsid w:val="00B938C5"/>
    <w:rsid w:val="00B95940"/>
    <w:rsid w:val="00B96C18"/>
    <w:rsid w:val="00BA26B1"/>
    <w:rsid w:val="00BB46F3"/>
    <w:rsid w:val="00BB4CB1"/>
    <w:rsid w:val="00BB4F98"/>
    <w:rsid w:val="00BC674D"/>
    <w:rsid w:val="00BC7154"/>
    <w:rsid w:val="00BD198B"/>
    <w:rsid w:val="00BD30FC"/>
    <w:rsid w:val="00BD366B"/>
    <w:rsid w:val="00BD6D50"/>
    <w:rsid w:val="00BE0D56"/>
    <w:rsid w:val="00BE18B9"/>
    <w:rsid w:val="00BE2495"/>
    <w:rsid w:val="00BF1578"/>
    <w:rsid w:val="00BF218B"/>
    <w:rsid w:val="00C05A90"/>
    <w:rsid w:val="00C15E2B"/>
    <w:rsid w:val="00C21F94"/>
    <w:rsid w:val="00C27913"/>
    <w:rsid w:val="00C27D18"/>
    <w:rsid w:val="00C27ECC"/>
    <w:rsid w:val="00C3195B"/>
    <w:rsid w:val="00C33B68"/>
    <w:rsid w:val="00C3652B"/>
    <w:rsid w:val="00C36A79"/>
    <w:rsid w:val="00C405D4"/>
    <w:rsid w:val="00C409DC"/>
    <w:rsid w:val="00C43131"/>
    <w:rsid w:val="00C440D8"/>
    <w:rsid w:val="00C4513B"/>
    <w:rsid w:val="00C45FE0"/>
    <w:rsid w:val="00C5379F"/>
    <w:rsid w:val="00C54697"/>
    <w:rsid w:val="00C5561B"/>
    <w:rsid w:val="00C73885"/>
    <w:rsid w:val="00C747B1"/>
    <w:rsid w:val="00C82191"/>
    <w:rsid w:val="00C84E4D"/>
    <w:rsid w:val="00C90CF4"/>
    <w:rsid w:val="00C92502"/>
    <w:rsid w:val="00C92EB6"/>
    <w:rsid w:val="00C93389"/>
    <w:rsid w:val="00C96710"/>
    <w:rsid w:val="00CB4930"/>
    <w:rsid w:val="00CC2E7D"/>
    <w:rsid w:val="00CC565D"/>
    <w:rsid w:val="00CD10A5"/>
    <w:rsid w:val="00CD2076"/>
    <w:rsid w:val="00CE670B"/>
    <w:rsid w:val="00CF12ED"/>
    <w:rsid w:val="00CF51EC"/>
    <w:rsid w:val="00CF73AE"/>
    <w:rsid w:val="00D00502"/>
    <w:rsid w:val="00D040DD"/>
    <w:rsid w:val="00D12A19"/>
    <w:rsid w:val="00D135A5"/>
    <w:rsid w:val="00D13986"/>
    <w:rsid w:val="00D163BC"/>
    <w:rsid w:val="00D235B7"/>
    <w:rsid w:val="00D257C0"/>
    <w:rsid w:val="00D25F28"/>
    <w:rsid w:val="00D27973"/>
    <w:rsid w:val="00D325F0"/>
    <w:rsid w:val="00D3462F"/>
    <w:rsid w:val="00D50F46"/>
    <w:rsid w:val="00D5153F"/>
    <w:rsid w:val="00D52224"/>
    <w:rsid w:val="00D529C4"/>
    <w:rsid w:val="00D559C4"/>
    <w:rsid w:val="00D563CA"/>
    <w:rsid w:val="00D60536"/>
    <w:rsid w:val="00D66223"/>
    <w:rsid w:val="00D8084C"/>
    <w:rsid w:val="00D839DC"/>
    <w:rsid w:val="00D861E7"/>
    <w:rsid w:val="00D9332B"/>
    <w:rsid w:val="00D9378B"/>
    <w:rsid w:val="00D970E1"/>
    <w:rsid w:val="00DA7C0C"/>
    <w:rsid w:val="00DB0CB0"/>
    <w:rsid w:val="00DB2EC8"/>
    <w:rsid w:val="00DC5061"/>
    <w:rsid w:val="00DC5B3B"/>
    <w:rsid w:val="00DD0553"/>
    <w:rsid w:val="00DD129F"/>
    <w:rsid w:val="00DD569C"/>
    <w:rsid w:val="00DE1CFD"/>
    <w:rsid w:val="00DF42FF"/>
    <w:rsid w:val="00DF5E7C"/>
    <w:rsid w:val="00E0076C"/>
    <w:rsid w:val="00E01C0E"/>
    <w:rsid w:val="00E03F9A"/>
    <w:rsid w:val="00E04694"/>
    <w:rsid w:val="00E12B1E"/>
    <w:rsid w:val="00E17262"/>
    <w:rsid w:val="00E23793"/>
    <w:rsid w:val="00E243C8"/>
    <w:rsid w:val="00E253A2"/>
    <w:rsid w:val="00E3309D"/>
    <w:rsid w:val="00E358CA"/>
    <w:rsid w:val="00E427B0"/>
    <w:rsid w:val="00E50156"/>
    <w:rsid w:val="00E53470"/>
    <w:rsid w:val="00E539F6"/>
    <w:rsid w:val="00E6519D"/>
    <w:rsid w:val="00E67696"/>
    <w:rsid w:val="00E71A58"/>
    <w:rsid w:val="00E72A7A"/>
    <w:rsid w:val="00E72C16"/>
    <w:rsid w:val="00E75C94"/>
    <w:rsid w:val="00E801D6"/>
    <w:rsid w:val="00E810B0"/>
    <w:rsid w:val="00E858C7"/>
    <w:rsid w:val="00E93820"/>
    <w:rsid w:val="00EA0857"/>
    <w:rsid w:val="00EA0C68"/>
    <w:rsid w:val="00EA32BC"/>
    <w:rsid w:val="00EA63FB"/>
    <w:rsid w:val="00EA7389"/>
    <w:rsid w:val="00EB1118"/>
    <w:rsid w:val="00EB4511"/>
    <w:rsid w:val="00EB518D"/>
    <w:rsid w:val="00EC03D7"/>
    <w:rsid w:val="00ED2BAB"/>
    <w:rsid w:val="00ED62C6"/>
    <w:rsid w:val="00ED64C1"/>
    <w:rsid w:val="00EE3446"/>
    <w:rsid w:val="00EE3E78"/>
    <w:rsid w:val="00EE4B1B"/>
    <w:rsid w:val="00EF150D"/>
    <w:rsid w:val="00EF1F5A"/>
    <w:rsid w:val="00EF47BF"/>
    <w:rsid w:val="00EF797F"/>
    <w:rsid w:val="00F04811"/>
    <w:rsid w:val="00F0488C"/>
    <w:rsid w:val="00F05F5E"/>
    <w:rsid w:val="00F07CB9"/>
    <w:rsid w:val="00F10F11"/>
    <w:rsid w:val="00F122EF"/>
    <w:rsid w:val="00F12ED7"/>
    <w:rsid w:val="00F15AAA"/>
    <w:rsid w:val="00F15BEF"/>
    <w:rsid w:val="00F16257"/>
    <w:rsid w:val="00F24407"/>
    <w:rsid w:val="00F24FAA"/>
    <w:rsid w:val="00F258E6"/>
    <w:rsid w:val="00F31254"/>
    <w:rsid w:val="00F335D5"/>
    <w:rsid w:val="00F3364D"/>
    <w:rsid w:val="00F42A7A"/>
    <w:rsid w:val="00F437CC"/>
    <w:rsid w:val="00F44C2A"/>
    <w:rsid w:val="00F47067"/>
    <w:rsid w:val="00F525EB"/>
    <w:rsid w:val="00F55A6C"/>
    <w:rsid w:val="00F63DDE"/>
    <w:rsid w:val="00F63FB7"/>
    <w:rsid w:val="00F649D2"/>
    <w:rsid w:val="00F6602B"/>
    <w:rsid w:val="00F678F0"/>
    <w:rsid w:val="00F7260E"/>
    <w:rsid w:val="00F73A0C"/>
    <w:rsid w:val="00F756DB"/>
    <w:rsid w:val="00F7570B"/>
    <w:rsid w:val="00F85066"/>
    <w:rsid w:val="00FA5D4D"/>
    <w:rsid w:val="00FA5E67"/>
    <w:rsid w:val="00FB0EE2"/>
    <w:rsid w:val="00FB542E"/>
    <w:rsid w:val="00FB6523"/>
    <w:rsid w:val="00FC0DBA"/>
    <w:rsid w:val="00FC0E5F"/>
    <w:rsid w:val="00FC1A95"/>
    <w:rsid w:val="00FC56DE"/>
    <w:rsid w:val="00FC5805"/>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4867D0"/>
    <w:pPr>
      <w:spacing w:after="240" w:line="288" w:lineRule="auto"/>
    </w:pPr>
    <w:rPr>
      <w:rFonts w:ascii="Arial" w:eastAsia="Times New Roman" w:hAnsi="Arial"/>
      <w:szCs w:val="24"/>
    </w:rPr>
  </w:style>
  <w:style w:type="paragraph" w:styleId="Nadpis1">
    <w:name w:val="heading 1"/>
    <w:next w:val="Normln"/>
    <w:link w:val="Nadpis1Char"/>
    <w:uiPriority w:val="9"/>
    <w:qFormat/>
    <w:rsid w:val="008C310F"/>
    <w:pPr>
      <w:widowControl w:val="0"/>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8C310F"/>
    <w:pPr>
      <w:widowControl w:val="0"/>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10F"/>
    <w:rPr>
      <w:rFonts w:ascii="Arial" w:eastAsia="MS Gothic" w:hAnsi="Arial"/>
      <w:b/>
      <w:bCs/>
      <w:color w:val="C00000"/>
      <w:sz w:val="32"/>
      <w:szCs w:val="28"/>
    </w:rPr>
  </w:style>
  <w:style w:type="character" w:customStyle="1" w:styleId="Nadpis2Char">
    <w:name w:val="Nadpis 2 Char"/>
    <w:link w:val="Nadpis2"/>
    <w:uiPriority w:val="9"/>
    <w:rsid w:val="008C310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odkaz-style-wrapper">
    <w:name w:val="odkaz-style-wrapper"/>
    <w:rsid w:val="00C92502"/>
  </w:style>
  <w:style w:type="paragraph" w:styleId="Nadpisobsahu">
    <w:name w:val="TOC Heading"/>
    <w:basedOn w:val="Nadpis1"/>
    <w:next w:val="Normln"/>
    <w:uiPriority w:val="39"/>
    <w:semiHidden/>
    <w:unhideWhenUsed/>
    <w:qFormat/>
    <w:rsid w:val="00557A15"/>
    <w:pPr>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semiHidden/>
    <w:rsid w:val="00F12ED7"/>
    <w:pPr>
      <w:spacing w:after="0" w:line="240" w:lineRule="auto"/>
      <w:jc w:val="both"/>
    </w:pPr>
    <w:rPr>
      <w:i/>
      <w:sz w:val="18"/>
      <w:szCs w:val="20"/>
    </w:rPr>
  </w:style>
  <w:style w:type="character" w:customStyle="1" w:styleId="TextpoznpodarouChar">
    <w:name w:val="Text pozn. pod čarou Char"/>
    <w:link w:val="Textpoznpodarou"/>
    <w:semiHidden/>
    <w:rsid w:val="00F12ED7"/>
    <w:rPr>
      <w:rFonts w:ascii="Arial" w:eastAsia="Times New Roman" w:hAnsi="Arial"/>
      <w:i/>
      <w:sz w:val="18"/>
    </w:rPr>
  </w:style>
  <w:style w:type="character" w:styleId="Znakapoznpodarou">
    <w:name w:val="footnote reference"/>
    <w:semiHidden/>
    <w:rsid w:val="00F12ED7"/>
    <w:rPr>
      <w:vertAlign w:val="superscript"/>
    </w:rPr>
  </w:style>
  <w:style w:type="character" w:styleId="Odkaznakoment">
    <w:name w:val="annotation reference"/>
    <w:uiPriority w:val="99"/>
    <w:semiHidden/>
    <w:unhideWhenUsed/>
    <w:rsid w:val="00B7442B"/>
    <w:rPr>
      <w:sz w:val="16"/>
      <w:szCs w:val="16"/>
    </w:rPr>
  </w:style>
  <w:style w:type="paragraph" w:styleId="Textkomente">
    <w:name w:val="annotation text"/>
    <w:basedOn w:val="Normln"/>
    <w:link w:val="TextkomenteChar"/>
    <w:uiPriority w:val="99"/>
    <w:semiHidden/>
    <w:unhideWhenUsed/>
    <w:rsid w:val="00B7442B"/>
    <w:rPr>
      <w:szCs w:val="20"/>
    </w:rPr>
  </w:style>
  <w:style w:type="character" w:customStyle="1" w:styleId="TextkomenteChar">
    <w:name w:val="Text komentáře Char"/>
    <w:link w:val="Textkomente"/>
    <w:uiPriority w:val="99"/>
    <w:semiHidden/>
    <w:rsid w:val="00B7442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7442B"/>
    <w:rPr>
      <w:b/>
      <w:bCs/>
    </w:rPr>
  </w:style>
  <w:style w:type="character" w:customStyle="1" w:styleId="PedmtkomenteChar">
    <w:name w:val="Předmět komentáře Char"/>
    <w:link w:val="Pedmtkomente"/>
    <w:uiPriority w:val="99"/>
    <w:semiHidden/>
    <w:rsid w:val="00B7442B"/>
    <w:rPr>
      <w:rFonts w:ascii="Arial" w:eastAsia="Times New Roman" w:hAnsi="Arial"/>
      <w:b/>
      <w:bCs/>
    </w:rPr>
  </w:style>
  <w:style w:type="character" w:styleId="Sledovanodkaz">
    <w:name w:val="FollowedHyperlink"/>
    <w:uiPriority w:val="99"/>
    <w:semiHidden/>
    <w:unhideWhenUsed/>
    <w:rsid w:val="00C05A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93956">
      <w:bodyDiv w:val="1"/>
      <w:marLeft w:val="0"/>
      <w:marRight w:val="0"/>
      <w:marTop w:val="0"/>
      <w:marBottom w:val="0"/>
      <w:divBdr>
        <w:top w:val="none" w:sz="0" w:space="0" w:color="auto"/>
        <w:left w:val="none" w:sz="0" w:space="0" w:color="auto"/>
        <w:bottom w:val="none" w:sz="0" w:space="0" w:color="auto"/>
        <w:right w:val="none" w:sz="0" w:space="0" w:color="auto"/>
      </w:divBdr>
    </w:div>
    <w:div w:id="39062051">
      <w:bodyDiv w:val="1"/>
      <w:marLeft w:val="0"/>
      <w:marRight w:val="0"/>
      <w:marTop w:val="0"/>
      <w:marBottom w:val="0"/>
      <w:divBdr>
        <w:top w:val="none" w:sz="0" w:space="0" w:color="auto"/>
        <w:left w:val="none" w:sz="0" w:space="0" w:color="auto"/>
        <w:bottom w:val="none" w:sz="0" w:space="0" w:color="auto"/>
        <w:right w:val="none" w:sz="0" w:space="0" w:color="auto"/>
      </w:divBdr>
    </w:div>
    <w:div w:id="113718446">
      <w:bodyDiv w:val="1"/>
      <w:marLeft w:val="0"/>
      <w:marRight w:val="0"/>
      <w:marTop w:val="0"/>
      <w:marBottom w:val="0"/>
      <w:divBdr>
        <w:top w:val="none" w:sz="0" w:space="0" w:color="auto"/>
        <w:left w:val="none" w:sz="0" w:space="0" w:color="auto"/>
        <w:bottom w:val="none" w:sz="0" w:space="0" w:color="auto"/>
        <w:right w:val="none" w:sz="0" w:space="0" w:color="auto"/>
      </w:divBdr>
    </w:div>
    <w:div w:id="134497207">
      <w:bodyDiv w:val="1"/>
      <w:marLeft w:val="0"/>
      <w:marRight w:val="0"/>
      <w:marTop w:val="0"/>
      <w:marBottom w:val="0"/>
      <w:divBdr>
        <w:top w:val="none" w:sz="0" w:space="0" w:color="auto"/>
        <w:left w:val="none" w:sz="0" w:space="0" w:color="auto"/>
        <w:bottom w:val="none" w:sz="0" w:space="0" w:color="auto"/>
        <w:right w:val="none" w:sz="0" w:space="0" w:color="auto"/>
      </w:divBdr>
    </w:div>
    <w:div w:id="161286603">
      <w:bodyDiv w:val="1"/>
      <w:marLeft w:val="0"/>
      <w:marRight w:val="0"/>
      <w:marTop w:val="0"/>
      <w:marBottom w:val="0"/>
      <w:divBdr>
        <w:top w:val="none" w:sz="0" w:space="0" w:color="auto"/>
        <w:left w:val="none" w:sz="0" w:space="0" w:color="auto"/>
        <w:bottom w:val="none" w:sz="0" w:space="0" w:color="auto"/>
        <w:right w:val="none" w:sz="0" w:space="0" w:color="auto"/>
      </w:divBdr>
    </w:div>
    <w:div w:id="25926167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4243444">
      <w:bodyDiv w:val="1"/>
      <w:marLeft w:val="0"/>
      <w:marRight w:val="0"/>
      <w:marTop w:val="0"/>
      <w:marBottom w:val="0"/>
      <w:divBdr>
        <w:top w:val="none" w:sz="0" w:space="0" w:color="auto"/>
        <w:left w:val="none" w:sz="0" w:space="0" w:color="auto"/>
        <w:bottom w:val="none" w:sz="0" w:space="0" w:color="auto"/>
        <w:right w:val="none" w:sz="0" w:space="0" w:color="auto"/>
      </w:divBdr>
    </w:div>
    <w:div w:id="308753862">
      <w:bodyDiv w:val="1"/>
      <w:marLeft w:val="0"/>
      <w:marRight w:val="0"/>
      <w:marTop w:val="0"/>
      <w:marBottom w:val="0"/>
      <w:divBdr>
        <w:top w:val="none" w:sz="0" w:space="0" w:color="auto"/>
        <w:left w:val="none" w:sz="0" w:space="0" w:color="auto"/>
        <w:bottom w:val="none" w:sz="0" w:space="0" w:color="auto"/>
        <w:right w:val="none" w:sz="0" w:space="0" w:color="auto"/>
      </w:divBdr>
    </w:div>
    <w:div w:id="315576752">
      <w:bodyDiv w:val="1"/>
      <w:marLeft w:val="0"/>
      <w:marRight w:val="0"/>
      <w:marTop w:val="0"/>
      <w:marBottom w:val="0"/>
      <w:divBdr>
        <w:top w:val="none" w:sz="0" w:space="0" w:color="auto"/>
        <w:left w:val="none" w:sz="0" w:space="0" w:color="auto"/>
        <w:bottom w:val="none" w:sz="0" w:space="0" w:color="auto"/>
        <w:right w:val="none" w:sz="0" w:space="0" w:color="auto"/>
      </w:divBdr>
    </w:div>
    <w:div w:id="321470946">
      <w:bodyDiv w:val="1"/>
      <w:marLeft w:val="0"/>
      <w:marRight w:val="0"/>
      <w:marTop w:val="0"/>
      <w:marBottom w:val="0"/>
      <w:divBdr>
        <w:top w:val="none" w:sz="0" w:space="0" w:color="auto"/>
        <w:left w:val="none" w:sz="0" w:space="0" w:color="auto"/>
        <w:bottom w:val="none" w:sz="0" w:space="0" w:color="auto"/>
        <w:right w:val="none" w:sz="0" w:space="0" w:color="auto"/>
      </w:divBdr>
    </w:div>
    <w:div w:id="444347079">
      <w:bodyDiv w:val="1"/>
      <w:marLeft w:val="0"/>
      <w:marRight w:val="0"/>
      <w:marTop w:val="0"/>
      <w:marBottom w:val="0"/>
      <w:divBdr>
        <w:top w:val="none" w:sz="0" w:space="0" w:color="auto"/>
        <w:left w:val="none" w:sz="0" w:space="0" w:color="auto"/>
        <w:bottom w:val="none" w:sz="0" w:space="0" w:color="auto"/>
        <w:right w:val="none" w:sz="0" w:space="0" w:color="auto"/>
      </w:divBdr>
    </w:div>
    <w:div w:id="44532026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8353454">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1235638">
      <w:bodyDiv w:val="1"/>
      <w:marLeft w:val="0"/>
      <w:marRight w:val="0"/>
      <w:marTop w:val="0"/>
      <w:marBottom w:val="0"/>
      <w:divBdr>
        <w:top w:val="none" w:sz="0" w:space="0" w:color="auto"/>
        <w:left w:val="none" w:sz="0" w:space="0" w:color="auto"/>
        <w:bottom w:val="none" w:sz="0" w:space="0" w:color="auto"/>
        <w:right w:val="none" w:sz="0" w:space="0" w:color="auto"/>
      </w:divBdr>
    </w:div>
    <w:div w:id="646782327">
      <w:bodyDiv w:val="1"/>
      <w:marLeft w:val="0"/>
      <w:marRight w:val="0"/>
      <w:marTop w:val="0"/>
      <w:marBottom w:val="0"/>
      <w:divBdr>
        <w:top w:val="none" w:sz="0" w:space="0" w:color="auto"/>
        <w:left w:val="none" w:sz="0" w:space="0" w:color="auto"/>
        <w:bottom w:val="none" w:sz="0" w:space="0" w:color="auto"/>
        <w:right w:val="none" w:sz="0" w:space="0" w:color="auto"/>
      </w:divBdr>
    </w:div>
    <w:div w:id="65931409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1538508">
      <w:bodyDiv w:val="1"/>
      <w:marLeft w:val="0"/>
      <w:marRight w:val="0"/>
      <w:marTop w:val="0"/>
      <w:marBottom w:val="0"/>
      <w:divBdr>
        <w:top w:val="none" w:sz="0" w:space="0" w:color="auto"/>
        <w:left w:val="none" w:sz="0" w:space="0" w:color="auto"/>
        <w:bottom w:val="none" w:sz="0" w:space="0" w:color="auto"/>
        <w:right w:val="none" w:sz="0" w:space="0" w:color="auto"/>
      </w:divBdr>
    </w:div>
    <w:div w:id="725495322">
      <w:bodyDiv w:val="1"/>
      <w:marLeft w:val="0"/>
      <w:marRight w:val="0"/>
      <w:marTop w:val="0"/>
      <w:marBottom w:val="0"/>
      <w:divBdr>
        <w:top w:val="none" w:sz="0" w:space="0" w:color="auto"/>
        <w:left w:val="none" w:sz="0" w:space="0" w:color="auto"/>
        <w:bottom w:val="none" w:sz="0" w:space="0" w:color="auto"/>
        <w:right w:val="none" w:sz="0" w:space="0" w:color="auto"/>
      </w:divBdr>
    </w:div>
    <w:div w:id="846362488">
      <w:bodyDiv w:val="1"/>
      <w:marLeft w:val="0"/>
      <w:marRight w:val="0"/>
      <w:marTop w:val="0"/>
      <w:marBottom w:val="0"/>
      <w:divBdr>
        <w:top w:val="none" w:sz="0" w:space="0" w:color="auto"/>
        <w:left w:val="none" w:sz="0" w:space="0" w:color="auto"/>
        <w:bottom w:val="none" w:sz="0" w:space="0" w:color="auto"/>
        <w:right w:val="none" w:sz="0" w:space="0" w:color="auto"/>
      </w:divBdr>
    </w:div>
    <w:div w:id="870803653">
      <w:bodyDiv w:val="1"/>
      <w:marLeft w:val="0"/>
      <w:marRight w:val="0"/>
      <w:marTop w:val="0"/>
      <w:marBottom w:val="0"/>
      <w:divBdr>
        <w:top w:val="none" w:sz="0" w:space="0" w:color="auto"/>
        <w:left w:val="none" w:sz="0" w:space="0" w:color="auto"/>
        <w:bottom w:val="none" w:sz="0" w:space="0" w:color="auto"/>
        <w:right w:val="none" w:sz="0" w:space="0" w:color="auto"/>
      </w:divBdr>
    </w:div>
    <w:div w:id="936446864">
      <w:bodyDiv w:val="1"/>
      <w:marLeft w:val="0"/>
      <w:marRight w:val="0"/>
      <w:marTop w:val="0"/>
      <w:marBottom w:val="0"/>
      <w:divBdr>
        <w:top w:val="none" w:sz="0" w:space="0" w:color="auto"/>
        <w:left w:val="none" w:sz="0" w:space="0" w:color="auto"/>
        <w:bottom w:val="none" w:sz="0" w:space="0" w:color="auto"/>
        <w:right w:val="none" w:sz="0" w:space="0" w:color="auto"/>
      </w:divBdr>
    </w:div>
    <w:div w:id="966860990">
      <w:bodyDiv w:val="1"/>
      <w:marLeft w:val="0"/>
      <w:marRight w:val="0"/>
      <w:marTop w:val="0"/>
      <w:marBottom w:val="0"/>
      <w:divBdr>
        <w:top w:val="none" w:sz="0" w:space="0" w:color="auto"/>
        <w:left w:val="none" w:sz="0" w:space="0" w:color="auto"/>
        <w:bottom w:val="none" w:sz="0" w:space="0" w:color="auto"/>
        <w:right w:val="none" w:sz="0" w:space="0" w:color="auto"/>
      </w:divBdr>
    </w:div>
    <w:div w:id="978416494">
      <w:bodyDiv w:val="1"/>
      <w:marLeft w:val="0"/>
      <w:marRight w:val="0"/>
      <w:marTop w:val="0"/>
      <w:marBottom w:val="0"/>
      <w:divBdr>
        <w:top w:val="none" w:sz="0" w:space="0" w:color="auto"/>
        <w:left w:val="none" w:sz="0" w:space="0" w:color="auto"/>
        <w:bottom w:val="none" w:sz="0" w:space="0" w:color="auto"/>
        <w:right w:val="none" w:sz="0" w:space="0" w:color="auto"/>
      </w:divBdr>
    </w:div>
    <w:div w:id="992412867">
      <w:bodyDiv w:val="1"/>
      <w:marLeft w:val="0"/>
      <w:marRight w:val="0"/>
      <w:marTop w:val="0"/>
      <w:marBottom w:val="0"/>
      <w:divBdr>
        <w:top w:val="none" w:sz="0" w:space="0" w:color="auto"/>
        <w:left w:val="none" w:sz="0" w:space="0" w:color="auto"/>
        <w:bottom w:val="none" w:sz="0" w:space="0" w:color="auto"/>
        <w:right w:val="none" w:sz="0" w:space="0" w:color="auto"/>
      </w:divBdr>
    </w:div>
    <w:div w:id="1016880383">
      <w:bodyDiv w:val="1"/>
      <w:marLeft w:val="0"/>
      <w:marRight w:val="0"/>
      <w:marTop w:val="0"/>
      <w:marBottom w:val="0"/>
      <w:divBdr>
        <w:top w:val="none" w:sz="0" w:space="0" w:color="auto"/>
        <w:left w:val="none" w:sz="0" w:space="0" w:color="auto"/>
        <w:bottom w:val="none" w:sz="0" w:space="0" w:color="auto"/>
        <w:right w:val="none" w:sz="0" w:space="0" w:color="auto"/>
      </w:divBdr>
    </w:div>
    <w:div w:id="1098526939">
      <w:bodyDiv w:val="1"/>
      <w:marLeft w:val="0"/>
      <w:marRight w:val="0"/>
      <w:marTop w:val="0"/>
      <w:marBottom w:val="0"/>
      <w:divBdr>
        <w:top w:val="none" w:sz="0" w:space="0" w:color="auto"/>
        <w:left w:val="none" w:sz="0" w:space="0" w:color="auto"/>
        <w:bottom w:val="none" w:sz="0" w:space="0" w:color="auto"/>
        <w:right w:val="none" w:sz="0" w:space="0" w:color="auto"/>
      </w:divBdr>
    </w:div>
    <w:div w:id="117303244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0527526">
      <w:bodyDiv w:val="1"/>
      <w:marLeft w:val="0"/>
      <w:marRight w:val="0"/>
      <w:marTop w:val="0"/>
      <w:marBottom w:val="0"/>
      <w:divBdr>
        <w:top w:val="none" w:sz="0" w:space="0" w:color="auto"/>
        <w:left w:val="none" w:sz="0" w:space="0" w:color="auto"/>
        <w:bottom w:val="none" w:sz="0" w:space="0" w:color="auto"/>
        <w:right w:val="none" w:sz="0" w:space="0" w:color="auto"/>
      </w:divBdr>
    </w:div>
    <w:div w:id="1304852376">
      <w:bodyDiv w:val="1"/>
      <w:marLeft w:val="0"/>
      <w:marRight w:val="0"/>
      <w:marTop w:val="0"/>
      <w:marBottom w:val="0"/>
      <w:divBdr>
        <w:top w:val="none" w:sz="0" w:space="0" w:color="auto"/>
        <w:left w:val="none" w:sz="0" w:space="0" w:color="auto"/>
        <w:bottom w:val="none" w:sz="0" w:space="0" w:color="auto"/>
        <w:right w:val="none" w:sz="0" w:space="0" w:color="auto"/>
      </w:divBdr>
    </w:div>
    <w:div w:id="1310279944">
      <w:bodyDiv w:val="1"/>
      <w:marLeft w:val="0"/>
      <w:marRight w:val="0"/>
      <w:marTop w:val="0"/>
      <w:marBottom w:val="0"/>
      <w:divBdr>
        <w:top w:val="none" w:sz="0" w:space="0" w:color="auto"/>
        <w:left w:val="none" w:sz="0" w:space="0" w:color="auto"/>
        <w:bottom w:val="none" w:sz="0" w:space="0" w:color="auto"/>
        <w:right w:val="none" w:sz="0" w:space="0" w:color="auto"/>
      </w:divBdr>
    </w:div>
    <w:div w:id="1337417277">
      <w:bodyDiv w:val="1"/>
      <w:marLeft w:val="0"/>
      <w:marRight w:val="0"/>
      <w:marTop w:val="0"/>
      <w:marBottom w:val="0"/>
      <w:divBdr>
        <w:top w:val="none" w:sz="0" w:space="0" w:color="auto"/>
        <w:left w:val="none" w:sz="0" w:space="0" w:color="auto"/>
        <w:bottom w:val="none" w:sz="0" w:space="0" w:color="auto"/>
        <w:right w:val="none" w:sz="0" w:space="0" w:color="auto"/>
      </w:divBdr>
    </w:div>
    <w:div w:id="1341928311">
      <w:bodyDiv w:val="1"/>
      <w:marLeft w:val="0"/>
      <w:marRight w:val="0"/>
      <w:marTop w:val="0"/>
      <w:marBottom w:val="0"/>
      <w:divBdr>
        <w:top w:val="none" w:sz="0" w:space="0" w:color="auto"/>
        <w:left w:val="none" w:sz="0" w:space="0" w:color="auto"/>
        <w:bottom w:val="none" w:sz="0" w:space="0" w:color="auto"/>
        <w:right w:val="none" w:sz="0" w:space="0" w:color="auto"/>
      </w:divBdr>
    </w:div>
    <w:div w:id="1372730014">
      <w:bodyDiv w:val="1"/>
      <w:marLeft w:val="0"/>
      <w:marRight w:val="0"/>
      <w:marTop w:val="0"/>
      <w:marBottom w:val="0"/>
      <w:divBdr>
        <w:top w:val="none" w:sz="0" w:space="0" w:color="auto"/>
        <w:left w:val="none" w:sz="0" w:space="0" w:color="auto"/>
        <w:bottom w:val="none" w:sz="0" w:space="0" w:color="auto"/>
        <w:right w:val="none" w:sz="0" w:space="0" w:color="auto"/>
      </w:divBdr>
    </w:div>
    <w:div w:id="139265518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38162408">
      <w:bodyDiv w:val="1"/>
      <w:marLeft w:val="0"/>
      <w:marRight w:val="0"/>
      <w:marTop w:val="0"/>
      <w:marBottom w:val="0"/>
      <w:divBdr>
        <w:top w:val="none" w:sz="0" w:space="0" w:color="auto"/>
        <w:left w:val="none" w:sz="0" w:space="0" w:color="auto"/>
        <w:bottom w:val="none" w:sz="0" w:space="0" w:color="auto"/>
        <w:right w:val="none" w:sz="0" w:space="0" w:color="auto"/>
      </w:divBdr>
    </w:div>
    <w:div w:id="1547570088">
      <w:bodyDiv w:val="1"/>
      <w:marLeft w:val="0"/>
      <w:marRight w:val="0"/>
      <w:marTop w:val="0"/>
      <w:marBottom w:val="0"/>
      <w:divBdr>
        <w:top w:val="none" w:sz="0" w:space="0" w:color="auto"/>
        <w:left w:val="none" w:sz="0" w:space="0" w:color="auto"/>
        <w:bottom w:val="none" w:sz="0" w:space="0" w:color="auto"/>
        <w:right w:val="none" w:sz="0" w:space="0" w:color="auto"/>
      </w:divBdr>
    </w:div>
    <w:div w:id="1561592998">
      <w:bodyDiv w:val="1"/>
      <w:marLeft w:val="0"/>
      <w:marRight w:val="0"/>
      <w:marTop w:val="0"/>
      <w:marBottom w:val="0"/>
      <w:divBdr>
        <w:top w:val="none" w:sz="0" w:space="0" w:color="auto"/>
        <w:left w:val="none" w:sz="0" w:space="0" w:color="auto"/>
        <w:bottom w:val="none" w:sz="0" w:space="0" w:color="auto"/>
        <w:right w:val="none" w:sz="0" w:space="0" w:color="auto"/>
      </w:divBdr>
    </w:div>
    <w:div w:id="1575385723">
      <w:bodyDiv w:val="1"/>
      <w:marLeft w:val="0"/>
      <w:marRight w:val="0"/>
      <w:marTop w:val="0"/>
      <w:marBottom w:val="0"/>
      <w:divBdr>
        <w:top w:val="none" w:sz="0" w:space="0" w:color="auto"/>
        <w:left w:val="none" w:sz="0" w:space="0" w:color="auto"/>
        <w:bottom w:val="none" w:sz="0" w:space="0" w:color="auto"/>
        <w:right w:val="none" w:sz="0" w:space="0" w:color="auto"/>
      </w:divBdr>
    </w:div>
    <w:div w:id="1575508668">
      <w:bodyDiv w:val="1"/>
      <w:marLeft w:val="0"/>
      <w:marRight w:val="0"/>
      <w:marTop w:val="0"/>
      <w:marBottom w:val="0"/>
      <w:divBdr>
        <w:top w:val="none" w:sz="0" w:space="0" w:color="auto"/>
        <w:left w:val="none" w:sz="0" w:space="0" w:color="auto"/>
        <w:bottom w:val="none" w:sz="0" w:space="0" w:color="auto"/>
        <w:right w:val="none" w:sz="0" w:space="0" w:color="auto"/>
      </w:divBdr>
    </w:div>
    <w:div w:id="1597598017">
      <w:bodyDiv w:val="1"/>
      <w:marLeft w:val="0"/>
      <w:marRight w:val="0"/>
      <w:marTop w:val="0"/>
      <w:marBottom w:val="0"/>
      <w:divBdr>
        <w:top w:val="none" w:sz="0" w:space="0" w:color="auto"/>
        <w:left w:val="none" w:sz="0" w:space="0" w:color="auto"/>
        <w:bottom w:val="none" w:sz="0" w:space="0" w:color="auto"/>
        <w:right w:val="none" w:sz="0" w:space="0" w:color="auto"/>
      </w:divBdr>
    </w:div>
    <w:div w:id="1606767098">
      <w:bodyDiv w:val="1"/>
      <w:marLeft w:val="0"/>
      <w:marRight w:val="0"/>
      <w:marTop w:val="0"/>
      <w:marBottom w:val="0"/>
      <w:divBdr>
        <w:top w:val="none" w:sz="0" w:space="0" w:color="auto"/>
        <w:left w:val="none" w:sz="0" w:space="0" w:color="auto"/>
        <w:bottom w:val="none" w:sz="0" w:space="0" w:color="auto"/>
        <w:right w:val="none" w:sz="0" w:space="0" w:color="auto"/>
      </w:divBdr>
    </w:div>
    <w:div w:id="1608001271">
      <w:bodyDiv w:val="1"/>
      <w:marLeft w:val="0"/>
      <w:marRight w:val="0"/>
      <w:marTop w:val="0"/>
      <w:marBottom w:val="0"/>
      <w:divBdr>
        <w:top w:val="none" w:sz="0" w:space="0" w:color="auto"/>
        <w:left w:val="none" w:sz="0" w:space="0" w:color="auto"/>
        <w:bottom w:val="none" w:sz="0" w:space="0" w:color="auto"/>
        <w:right w:val="none" w:sz="0" w:space="0" w:color="auto"/>
      </w:divBdr>
    </w:div>
    <w:div w:id="1712613891">
      <w:bodyDiv w:val="1"/>
      <w:marLeft w:val="0"/>
      <w:marRight w:val="0"/>
      <w:marTop w:val="0"/>
      <w:marBottom w:val="0"/>
      <w:divBdr>
        <w:top w:val="none" w:sz="0" w:space="0" w:color="auto"/>
        <w:left w:val="none" w:sz="0" w:space="0" w:color="auto"/>
        <w:bottom w:val="none" w:sz="0" w:space="0" w:color="auto"/>
        <w:right w:val="none" w:sz="0" w:space="0" w:color="auto"/>
      </w:divBdr>
    </w:div>
    <w:div w:id="1766271024">
      <w:bodyDiv w:val="1"/>
      <w:marLeft w:val="0"/>
      <w:marRight w:val="0"/>
      <w:marTop w:val="0"/>
      <w:marBottom w:val="0"/>
      <w:divBdr>
        <w:top w:val="none" w:sz="0" w:space="0" w:color="auto"/>
        <w:left w:val="none" w:sz="0" w:space="0" w:color="auto"/>
        <w:bottom w:val="none" w:sz="0" w:space="0" w:color="auto"/>
        <w:right w:val="none" w:sz="0" w:space="0" w:color="auto"/>
      </w:divBdr>
    </w:div>
    <w:div w:id="1769691357">
      <w:bodyDiv w:val="1"/>
      <w:marLeft w:val="0"/>
      <w:marRight w:val="0"/>
      <w:marTop w:val="0"/>
      <w:marBottom w:val="0"/>
      <w:divBdr>
        <w:top w:val="none" w:sz="0" w:space="0" w:color="auto"/>
        <w:left w:val="none" w:sz="0" w:space="0" w:color="auto"/>
        <w:bottom w:val="none" w:sz="0" w:space="0" w:color="auto"/>
        <w:right w:val="none" w:sz="0" w:space="0" w:color="auto"/>
      </w:divBdr>
    </w:div>
    <w:div w:id="184427705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1091455">
      <w:bodyDiv w:val="1"/>
      <w:marLeft w:val="0"/>
      <w:marRight w:val="0"/>
      <w:marTop w:val="0"/>
      <w:marBottom w:val="0"/>
      <w:divBdr>
        <w:top w:val="none" w:sz="0" w:space="0" w:color="auto"/>
        <w:left w:val="none" w:sz="0" w:space="0" w:color="auto"/>
        <w:bottom w:val="none" w:sz="0" w:space="0" w:color="auto"/>
        <w:right w:val="none" w:sz="0" w:space="0" w:color="auto"/>
      </w:divBdr>
    </w:div>
    <w:div w:id="1916671889">
      <w:bodyDiv w:val="1"/>
      <w:marLeft w:val="0"/>
      <w:marRight w:val="0"/>
      <w:marTop w:val="0"/>
      <w:marBottom w:val="0"/>
      <w:divBdr>
        <w:top w:val="none" w:sz="0" w:space="0" w:color="auto"/>
        <w:left w:val="none" w:sz="0" w:space="0" w:color="auto"/>
        <w:bottom w:val="none" w:sz="0" w:space="0" w:color="auto"/>
        <w:right w:val="none" w:sz="0" w:space="0" w:color="auto"/>
      </w:divBdr>
    </w:div>
    <w:div w:id="1977298247">
      <w:bodyDiv w:val="1"/>
      <w:marLeft w:val="0"/>
      <w:marRight w:val="0"/>
      <w:marTop w:val="0"/>
      <w:marBottom w:val="0"/>
      <w:divBdr>
        <w:top w:val="none" w:sz="0" w:space="0" w:color="auto"/>
        <w:left w:val="none" w:sz="0" w:space="0" w:color="auto"/>
        <w:bottom w:val="none" w:sz="0" w:space="0" w:color="auto"/>
        <w:right w:val="none" w:sz="0" w:space="0" w:color="auto"/>
      </w:divBdr>
    </w:div>
    <w:div w:id="2034571184">
      <w:bodyDiv w:val="1"/>
      <w:marLeft w:val="0"/>
      <w:marRight w:val="0"/>
      <w:marTop w:val="0"/>
      <w:marBottom w:val="0"/>
      <w:divBdr>
        <w:top w:val="none" w:sz="0" w:space="0" w:color="auto"/>
        <w:left w:val="none" w:sz="0" w:space="0" w:color="auto"/>
        <w:bottom w:val="none" w:sz="0" w:space="0" w:color="auto"/>
        <w:right w:val="none" w:sz="0" w:space="0" w:color="auto"/>
      </w:divBdr>
    </w:div>
    <w:div w:id="2040084974">
      <w:bodyDiv w:val="1"/>
      <w:marLeft w:val="0"/>
      <w:marRight w:val="0"/>
      <w:marTop w:val="0"/>
      <w:marBottom w:val="0"/>
      <w:divBdr>
        <w:top w:val="none" w:sz="0" w:space="0" w:color="auto"/>
        <w:left w:val="none" w:sz="0" w:space="0" w:color="auto"/>
        <w:bottom w:val="none" w:sz="0" w:space="0" w:color="auto"/>
        <w:right w:val="none" w:sz="0" w:space="0" w:color="auto"/>
      </w:divBdr>
    </w:div>
    <w:div w:id="2041464997">
      <w:bodyDiv w:val="1"/>
      <w:marLeft w:val="0"/>
      <w:marRight w:val="0"/>
      <w:marTop w:val="0"/>
      <w:marBottom w:val="0"/>
      <w:divBdr>
        <w:top w:val="none" w:sz="0" w:space="0" w:color="auto"/>
        <w:left w:val="none" w:sz="0" w:space="0" w:color="auto"/>
        <w:bottom w:val="none" w:sz="0" w:space="0" w:color="auto"/>
        <w:right w:val="none" w:sz="0" w:space="0" w:color="auto"/>
      </w:divBdr>
    </w:div>
    <w:div w:id="205843196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zso.cz/csu/czso/cri/porodnost-a-plodnost-2006-az-2010-bei2lxvh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KIN~1\AppData\Local\Temp\Publikace%20bar%20CZ_lide%20a%20spolecnost_2016-03-2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4467-3CC9-4536-A536-88095684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4</TotalTime>
  <Pages>2</Pages>
  <Words>767</Words>
  <Characters>4528</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kurkin4488</dc:creator>
  <cp:lastModifiedBy>kurkin4488</cp:lastModifiedBy>
  <cp:revision>4</cp:revision>
  <cp:lastPrinted>2014-07-17T14:07:00Z</cp:lastPrinted>
  <dcterms:created xsi:type="dcterms:W3CDTF">2016-11-22T15:36:00Z</dcterms:created>
  <dcterms:modified xsi:type="dcterms:W3CDTF">2016-11-28T14:27:00Z</dcterms:modified>
</cp:coreProperties>
</file>