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89" w:rsidRDefault="00F05D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5. SOCIÁLNÍ ZABEZPEČENÍ</w:t>
      </w:r>
    </w:p>
    <w:p w:rsidR="00F05D89" w:rsidRDefault="00F05D89">
      <w:pPr>
        <w:pStyle w:val="Zkladntext"/>
        <w:tabs>
          <w:tab w:val="left" w:pos="567"/>
        </w:tabs>
        <w:rPr>
          <w:lang w:val="cs-CZ"/>
        </w:rPr>
      </w:pPr>
    </w:p>
    <w:p w:rsidR="009073FD" w:rsidRPr="009073FD" w:rsidRDefault="009073FD" w:rsidP="00195EB4">
      <w:pPr>
        <w:pStyle w:val="Zkladntext"/>
        <w:tabs>
          <w:tab w:val="left" w:pos="720"/>
        </w:tabs>
        <w:jc w:val="both"/>
        <w:rPr>
          <w:i w:val="0"/>
          <w:iCs w:val="0"/>
          <w:color w:val="FF0000"/>
          <w:lang w:val="cs-CZ"/>
        </w:rPr>
      </w:pPr>
      <w:r>
        <w:rPr>
          <w:i w:val="0"/>
          <w:iCs w:val="0"/>
          <w:lang w:val="cs-CZ"/>
        </w:rPr>
        <w:tab/>
      </w:r>
    </w:p>
    <w:p w:rsidR="009073FD" w:rsidRPr="002D3AAA" w:rsidRDefault="009073FD" w:rsidP="009073FD">
      <w:pPr>
        <w:tabs>
          <w:tab w:val="left" w:pos="-1099"/>
          <w:tab w:val="left" w:pos="-720"/>
          <w:tab w:val="left" w:pos="-80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 w:val="20"/>
        </w:rPr>
      </w:pPr>
      <w:r w:rsidRPr="002D3AAA">
        <w:rPr>
          <w:rFonts w:ascii="Arial" w:hAnsi="Arial" w:cs="Arial"/>
          <w:b/>
          <w:bCs/>
          <w:sz w:val="20"/>
        </w:rPr>
        <w:t>Dávky důchodového pojištění</w:t>
      </w:r>
    </w:p>
    <w:p w:rsidR="009073FD" w:rsidRPr="009073FD" w:rsidRDefault="009073FD" w:rsidP="009073FD">
      <w:pPr>
        <w:pStyle w:val="Zkladntext"/>
        <w:rPr>
          <w:i w:val="0"/>
          <w:iCs w:val="0"/>
          <w:color w:val="FF0000"/>
          <w:lang w:val="cs-CZ"/>
        </w:rPr>
      </w:pPr>
    </w:p>
    <w:p w:rsidR="009073FD" w:rsidRPr="009073FD" w:rsidRDefault="009073FD" w:rsidP="009073FD">
      <w:pPr>
        <w:pStyle w:val="Zkladntext"/>
        <w:tabs>
          <w:tab w:val="left" w:pos="720"/>
        </w:tabs>
        <w:jc w:val="both"/>
        <w:rPr>
          <w:i w:val="0"/>
          <w:color w:val="FF0000"/>
          <w:lang w:val="cs-CZ"/>
        </w:rPr>
      </w:pPr>
      <w:r w:rsidRPr="009073FD">
        <w:rPr>
          <w:i w:val="0"/>
          <w:color w:val="FF0000"/>
          <w:lang w:val="cs-CZ"/>
        </w:rPr>
        <w:tab/>
      </w:r>
      <w:r w:rsidRPr="00A92474">
        <w:rPr>
          <w:i w:val="0"/>
          <w:lang w:val="cs-CZ"/>
        </w:rPr>
        <w:t>Důchodové pojištění zajišťuje občany pro případ stáří, invalidity nebo při ztrátě živitele.</w:t>
      </w:r>
      <w:r w:rsidRPr="009073FD">
        <w:rPr>
          <w:i w:val="0"/>
          <w:color w:val="FF0000"/>
          <w:lang w:val="cs-CZ"/>
        </w:rPr>
        <w:t xml:space="preserve"> </w:t>
      </w:r>
      <w:r w:rsidRPr="00A92474">
        <w:rPr>
          <w:i w:val="0"/>
          <w:lang w:val="cs-CZ"/>
        </w:rPr>
        <w:t>V rámci důchodového pojištění se poskytují</w:t>
      </w:r>
      <w:r w:rsidRPr="009073FD">
        <w:rPr>
          <w:i w:val="0"/>
          <w:color w:val="FF0000"/>
          <w:lang w:val="cs-CZ"/>
        </w:rPr>
        <w:t xml:space="preserve"> </w:t>
      </w:r>
      <w:r w:rsidRPr="002D3AAA">
        <w:rPr>
          <w:i w:val="0"/>
          <w:lang w:val="cs-CZ"/>
        </w:rPr>
        <w:t>důchody starobní,</w:t>
      </w:r>
      <w:r w:rsidRPr="009073FD">
        <w:rPr>
          <w:i w:val="0"/>
          <w:color w:val="FF0000"/>
          <w:lang w:val="cs-CZ"/>
        </w:rPr>
        <w:t xml:space="preserve"> </w:t>
      </w:r>
      <w:r w:rsidRPr="002D3AAA">
        <w:rPr>
          <w:i w:val="0"/>
          <w:lang w:val="cs-CZ"/>
        </w:rPr>
        <w:t>invalidní, vdovské</w:t>
      </w:r>
      <w:r w:rsidRPr="00552D55">
        <w:rPr>
          <w:i w:val="0"/>
          <w:iCs w:val="0"/>
          <w:lang w:val="cs-CZ"/>
        </w:rPr>
        <w:t>,</w:t>
      </w:r>
      <w:r w:rsidRPr="009073FD">
        <w:rPr>
          <w:i w:val="0"/>
          <w:iCs w:val="0"/>
          <w:color w:val="FF0000"/>
          <w:lang w:val="cs-CZ"/>
        </w:rPr>
        <w:t xml:space="preserve"> </w:t>
      </w:r>
      <w:r w:rsidRPr="002D3AAA">
        <w:rPr>
          <w:i w:val="0"/>
          <w:lang w:val="cs-CZ"/>
        </w:rPr>
        <w:t>vdovecké</w:t>
      </w:r>
      <w:r w:rsidRPr="009073FD">
        <w:rPr>
          <w:i w:val="0"/>
          <w:iCs w:val="0"/>
          <w:color w:val="FF0000"/>
          <w:lang w:val="cs-CZ"/>
        </w:rPr>
        <w:t xml:space="preserve"> </w:t>
      </w:r>
      <w:r w:rsidRPr="00552D55">
        <w:rPr>
          <w:i w:val="0"/>
          <w:iCs w:val="0"/>
          <w:lang w:val="cs-CZ"/>
        </w:rPr>
        <w:t>a</w:t>
      </w:r>
      <w:r w:rsidRPr="009073FD">
        <w:rPr>
          <w:i w:val="0"/>
          <w:color w:val="FF0000"/>
          <w:lang w:val="cs-CZ"/>
        </w:rPr>
        <w:t xml:space="preserve"> </w:t>
      </w:r>
      <w:r w:rsidRPr="002D3AAA">
        <w:rPr>
          <w:i w:val="0"/>
          <w:lang w:val="cs-CZ"/>
        </w:rPr>
        <w:t>sirotčí</w:t>
      </w:r>
      <w:r w:rsidRPr="009073FD">
        <w:rPr>
          <w:i w:val="0"/>
          <w:iCs w:val="0"/>
          <w:color w:val="FF0000"/>
          <w:lang w:val="cs-CZ"/>
        </w:rPr>
        <w:t xml:space="preserve"> </w:t>
      </w:r>
      <w:r w:rsidRPr="00552D55">
        <w:rPr>
          <w:i w:val="0"/>
          <w:iCs w:val="0"/>
          <w:lang w:val="cs-CZ"/>
        </w:rPr>
        <w:t>(zákon č. 155/1995 Sb., o důchodovém pojištění, ve znění pozdějších předpisů).</w:t>
      </w:r>
      <w:r w:rsidRPr="009073FD">
        <w:rPr>
          <w:i w:val="0"/>
          <w:color w:val="FF0000"/>
          <w:lang w:val="cs-CZ"/>
        </w:rPr>
        <w:t xml:space="preserve"> </w:t>
      </w:r>
    </w:p>
    <w:p w:rsidR="00195EB4" w:rsidRDefault="009073FD" w:rsidP="009073FD">
      <w:pPr>
        <w:pStyle w:val="Zkladntext"/>
        <w:tabs>
          <w:tab w:val="left" w:pos="-1099"/>
          <w:tab w:val="left" w:pos="-720"/>
          <w:tab w:val="left" w:pos="-8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i w:val="0"/>
          <w:iCs w:val="0"/>
          <w:lang w:val="cs-CZ"/>
        </w:rPr>
      </w:pPr>
      <w:r w:rsidRPr="009073FD">
        <w:rPr>
          <w:color w:val="FF0000"/>
          <w:lang w:val="cs-CZ"/>
        </w:rPr>
        <w:tab/>
      </w:r>
      <w:r w:rsidRPr="00A92474">
        <w:rPr>
          <w:i w:val="0"/>
          <w:lang w:val="cs-CZ"/>
        </w:rPr>
        <w:t xml:space="preserve">V tabulkách </w:t>
      </w:r>
      <w:r w:rsidR="00195EB4">
        <w:rPr>
          <w:i w:val="0"/>
          <w:lang w:val="cs-CZ"/>
        </w:rPr>
        <w:t xml:space="preserve">5-1. a 5-2. </w:t>
      </w:r>
      <w:r w:rsidRPr="00A92474">
        <w:rPr>
          <w:i w:val="0"/>
          <w:lang w:val="cs-CZ"/>
        </w:rPr>
        <w:t>jsou v roce 1995 uváděny</w:t>
      </w:r>
      <w:r w:rsidRPr="009073FD">
        <w:rPr>
          <w:i w:val="0"/>
          <w:color w:val="FF0000"/>
          <w:lang w:val="cs-CZ"/>
        </w:rPr>
        <w:t xml:space="preserve"> </w:t>
      </w:r>
      <w:r w:rsidRPr="00552D55">
        <w:rPr>
          <w:i w:val="0"/>
          <w:iCs w:val="0"/>
          <w:lang w:val="cs-CZ"/>
        </w:rPr>
        <w:t>údaje o důchodech</w:t>
      </w:r>
      <w:r w:rsidRPr="00552D55">
        <w:rPr>
          <w:i w:val="0"/>
          <w:lang w:val="cs-CZ"/>
        </w:rPr>
        <w:t>,</w:t>
      </w:r>
      <w:r w:rsidRPr="009073FD">
        <w:rPr>
          <w:i w:val="0"/>
          <w:color w:val="FF0000"/>
          <w:lang w:val="cs-CZ"/>
        </w:rPr>
        <w:t xml:space="preserve"> </w:t>
      </w:r>
      <w:r w:rsidRPr="00367E5E">
        <w:rPr>
          <w:i w:val="0"/>
          <w:lang w:val="cs-CZ"/>
        </w:rPr>
        <w:t xml:space="preserve">které </w:t>
      </w:r>
      <w:r w:rsidRPr="00367E5E">
        <w:rPr>
          <w:i w:val="0"/>
          <w:iCs w:val="0"/>
          <w:lang w:val="cs-CZ"/>
        </w:rPr>
        <w:t>byly</w:t>
      </w:r>
      <w:r w:rsidRPr="00367E5E">
        <w:rPr>
          <w:i w:val="0"/>
          <w:lang w:val="cs-CZ"/>
        </w:rPr>
        <w:t xml:space="preserve"> vypláceny podle zákona č. 100/1988 Sb., o důchodovém pojištění, ve znění pozdějších předpisů</w:t>
      </w:r>
      <w:r w:rsidR="00195EB4">
        <w:rPr>
          <w:i w:val="0"/>
          <w:lang w:val="cs-CZ"/>
        </w:rPr>
        <w:t>. V pozdějších letech se jedná o</w:t>
      </w:r>
      <w:r w:rsidRPr="00367E5E">
        <w:rPr>
          <w:i w:val="0"/>
          <w:lang w:val="cs-CZ"/>
        </w:rPr>
        <w:t xml:space="preserve"> důchody </w:t>
      </w:r>
      <w:r w:rsidR="00195EB4">
        <w:rPr>
          <w:i w:val="0"/>
          <w:lang w:val="cs-CZ"/>
        </w:rPr>
        <w:t>poskytované</w:t>
      </w:r>
      <w:r w:rsidRPr="00367E5E">
        <w:rPr>
          <w:i w:val="0"/>
          <w:lang w:val="cs-CZ"/>
        </w:rPr>
        <w:t xml:space="preserve"> podle zákona č. 155/1995 Sb., o důchodovém pojištění</w:t>
      </w:r>
      <w:r w:rsidRPr="00552D55">
        <w:rPr>
          <w:i w:val="0"/>
          <w:iCs w:val="0"/>
          <w:lang w:val="cs-CZ"/>
        </w:rPr>
        <w:t>, ve znění pozdějších předpisů. S účinností od</w:t>
      </w:r>
      <w:r w:rsidR="00BD5C01" w:rsidRPr="00552D55">
        <w:rPr>
          <w:i w:val="0"/>
          <w:iCs w:val="0"/>
          <w:lang w:val="cs-CZ"/>
        </w:rPr>
        <w:t> </w:t>
      </w:r>
      <w:r w:rsidRPr="00552D55">
        <w:rPr>
          <w:i w:val="0"/>
          <w:iCs w:val="0"/>
          <w:lang w:val="cs-CZ"/>
        </w:rPr>
        <w:t xml:space="preserve">1. ledna 2010 došlo k zavedení třístupňové invalidity </w:t>
      </w:r>
      <w:r w:rsidR="00195EB4">
        <w:rPr>
          <w:i w:val="0"/>
          <w:iCs w:val="0"/>
          <w:lang w:val="cs-CZ"/>
        </w:rPr>
        <w:t xml:space="preserve">(dosavadní </w:t>
      </w:r>
      <w:r w:rsidRPr="00552D55">
        <w:rPr>
          <w:i w:val="0"/>
          <w:iCs w:val="0"/>
          <w:lang w:val="cs-CZ"/>
        </w:rPr>
        <w:t>pln</w:t>
      </w:r>
      <w:r w:rsidR="00195EB4">
        <w:rPr>
          <w:i w:val="0"/>
          <w:iCs w:val="0"/>
          <w:lang w:val="cs-CZ"/>
        </w:rPr>
        <w:t>é</w:t>
      </w:r>
      <w:r w:rsidRPr="00552D55">
        <w:rPr>
          <w:i w:val="0"/>
          <w:iCs w:val="0"/>
          <w:lang w:val="cs-CZ"/>
        </w:rPr>
        <w:t xml:space="preserve"> </w:t>
      </w:r>
      <w:r w:rsidR="00195EB4">
        <w:rPr>
          <w:i w:val="0"/>
          <w:iCs w:val="0"/>
          <w:lang w:val="cs-CZ"/>
        </w:rPr>
        <w:t>a částečné invalidní důchody byly nahrazeny</w:t>
      </w:r>
      <w:r w:rsidRPr="00552D55">
        <w:rPr>
          <w:i w:val="0"/>
          <w:iCs w:val="0"/>
          <w:lang w:val="cs-CZ"/>
        </w:rPr>
        <w:t xml:space="preserve"> invalidní</w:t>
      </w:r>
      <w:r w:rsidR="00195EB4">
        <w:rPr>
          <w:i w:val="0"/>
          <w:iCs w:val="0"/>
          <w:lang w:val="cs-CZ"/>
        </w:rPr>
        <w:t>mi</w:t>
      </w:r>
      <w:r w:rsidRPr="00552D55">
        <w:rPr>
          <w:i w:val="0"/>
          <w:iCs w:val="0"/>
          <w:lang w:val="cs-CZ"/>
        </w:rPr>
        <w:t xml:space="preserve"> důchody pro invaliditu I., II., a III. stupně (zákon č.</w:t>
      </w:r>
      <w:r w:rsidR="00195EB4">
        <w:rPr>
          <w:i w:val="0"/>
          <w:iCs w:val="0"/>
          <w:lang w:val="cs-CZ"/>
        </w:rPr>
        <w:t> </w:t>
      </w:r>
      <w:r w:rsidRPr="00552D55">
        <w:rPr>
          <w:i w:val="0"/>
          <w:iCs w:val="0"/>
          <w:lang w:val="cs-CZ"/>
        </w:rPr>
        <w:t>306/2008</w:t>
      </w:r>
      <w:r w:rsidR="00195EB4">
        <w:rPr>
          <w:i w:val="0"/>
          <w:iCs w:val="0"/>
          <w:lang w:val="cs-CZ"/>
        </w:rPr>
        <w:t> </w:t>
      </w:r>
      <w:r w:rsidRPr="00552D55">
        <w:rPr>
          <w:i w:val="0"/>
          <w:iCs w:val="0"/>
          <w:lang w:val="cs-CZ"/>
        </w:rPr>
        <w:t xml:space="preserve">Sb.). </w:t>
      </w:r>
    </w:p>
    <w:p w:rsidR="009A2C06" w:rsidRDefault="009A2C06" w:rsidP="009073FD">
      <w:pPr>
        <w:pStyle w:val="Zkladntext"/>
        <w:tabs>
          <w:tab w:val="left" w:pos="-1099"/>
          <w:tab w:val="left" w:pos="-720"/>
          <w:tab w:val="left" w:pos="-8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i w:val="0"/>
          <w:iCs w:val="0"/>
          <w:lang w:val="cs-CZ"/>
        </w:rPr>
      </w:pPr>
    </w:p>
    <w:p w:rsidR="009073FD" w:rsidRPr="00552D55" w:rsidRDefault="00195EB4" w:rsidP="009073FD">
      <w:pPr>
        <w:pStyle w:val="Zkladntext"/>
        <w:tabs>
          <w:tab w:val="left" w:pos="-1099"/>
          <w:tab w:val="left" w:pos="-720"/>
          <w:tab w:val="left" w:pos="-8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i w:val="0"/>
          <w:lang w:val="cs-CZ"/>
        </w:rPr>
      </w:pPr>
      <w:r>
        <w:rPr>
          <w:i w:val="0"/>
          <w:iCs w:val="0"/>
          <w:lang w:val="cs-CZ"/>
        </w:rPr>
        <w:tab/>
        <w:t>Od roku 2010 j</w:t>
      </w:r>
      <w:r w:rsidR="009073FD" w:rsidRPr="00552D55">
        <w:rPr>
          <w:i w:val="0"/>
          <w:iCs w:val="0"/>
          <w:lang w:val="cs-CZ"/>
        </w:rPr>
        <w:t xml:space="preserve">sou uváděny </w:t>
      </w:r>
      <w:r>
        <w:rPr>
          <w:i w:val="0"/>
          <w:iCs w:val="0"/>
          <w:lang w:val="cs-CZ"/>
        </w:rPr>
        <w:t xml:space="preserve">údaje za následující </w:t>
      </w:r>
      <w:r w:rsidR="009073FD" w:rsidRPr="00552D55">
        <w:rPr>
          <w:i w:val="0"/>
          <w:iCs w:val="0"/>
          <w:lang w:val="cs-CZ"/>
        </w:rPr>
        <w:t>důchody:</w:t>
      </w:r>
    </w:p>
    <w:p w:rsidR="009073FD" w:rsidRPr="00552D55" w:rsidRDefault="009073FD" w:rsidP="009073FD">
      <w:p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851" w:hanging="851"/>
        <w:jc w:val="both"/>
        <w:rPr>
          <w:rFonts w:ascii="Arial" w:hAnsi="Arial" w:cs="Arial"/>
          <w:sz w:val="20"/>
        </w:rPr>
      </w:pPr>
      <w:r w:rsidRPr="00552D55">
        <w:rPr>
          <w:rFonts w:ascii="Arial" w:hAnsi="Arial" w:cs="Arial"/>
          <w:sz w:val="20"/>
        </w:rPr>
        <w:tab/>
        <w:t>starobní (§ 29 zákona č. 155/1995 Sb. a § 26 zákona č. 100/1988 Sb.)</w:t>
      </w:r>
      <w:r w:rsidR="00195EB4">
        <w:rPr>
          <w:rFonts w:ascii="Arial" w:hAnsi="Arial" w:cs="Arial"/>
          <w:sz w:val="20"/>
        </w:rPr>
        <w:t>,</w:t>
      </w:r>
    </w:p>
    <w:p w:rsidR="009073FD" w:rsidRPr="00552D55" w:rsidRDefault="009073FD" w:rsidP="009073FD">
      <w:pPr>
        <w:pStyle w:val="Zkladntextodsazen3"/>
      </w:pPr>
      <w:r w:rsidRPr="00552D55">
        <w:tab/>
        <w:t>starobní předčasný – o 2 roky (§ 30, od roku 2007 je toto ustanovení zákona zrušeno)</w:t>
      </w:r>
      <w:r w:rsidR="00195EB4">
        <w:t>,</w:t>
      </w:r>
    </w:p>
    <w:p w:rsidR="009073FD" w:rsidRPr="00552D55" w:rsidRDefault="009073FD" w:rsidP="009073FD">
      <w:pPr>
        <w:pStyle w:val="Zkladntext"/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 w:val="0"/>
          <w:iCs w:val="0"/>
          <w:lang w:val="cs-CZ"/>
        </w:rPr>
      </w:pPr>
      <w:r w:rsidRPr="00552D55">
        <w:rPr>
          <w:lang w:val="cs-CZ"/>
        </w:rPr>
        <w:tab/>
      </w:r>
      <w:r w:rsidRPr="00552D55">
        <w:rPr>
          <w:i w:val="0"/>
          <w:iCs w:val="0"/>
          <w:lang w:val="cs-CZ"/>
        </w:rPr>
        <w:t>starobní předčasný - o 3 roky (§ 31)</w:t>
      </w:r>
      <w:r w:rsidR="00195EB4">
        <w:rPr>
          <w:i w:val="0"/>
          <w:iCs w:val="0"/>
          <w:lang w:val="cs-CZ"/>
        </w:rPr>
        <w:t>,</w:t>
      </w:r>
    </w:p>
    <w:p w:rsidR="00FE1712" w:rsidRPr="00552D55" w:rsidRDefault="009073FD" w:rsidP="009073FD">
      <w:p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 w:val="20"/>
        </w:rPr>
      </w:pPr>
      <w:r w:rsidRPr="00552D55">
        <w:rPr>
          <w:rFonts w:ascii="Arial" w:hAnsi="Arial" w:cs="Arial"/>
          <w:sz w:val="20"/>
        </w:rPr>
        <w:tab/>
        <w:t xml:space="preserve">invalidní plný – </w:t>
      </w:r>
      <w:r w:rsidR="00A36160">
        <w:rPr>
          <w:rFonts w:ascii="Arial" w:hAnsi="Arial" w:cs="Arial"/>
          <w:sz w:val="20"/>
        </w:rPr>
        <w:t xml:space="preserve">do roku 2009 </w:t>
      </w:r>
      <w:r w:rsidRPr="00552D55">
        <w:rPr>
          <w:rFonts w:ascii="Arial" w:hAnsi="Arial" w:cs="Arial"/>
          <w:sz w:val="20"/>
        </w:rPr>
        <w:t>(§ 38</w:t>
      </w:r>
      <w:r w:rsidR="00A36160">
        <w:rPr>
          <w:rFonts w:ascii="Arial" w:hAnsi="Arial" w:cs="Arial"/>
          <w:sz w:val="20"/>
        </w:rPr>
        <w:t xml:space="preserve"> a § 39</w:t>
      </w:r>
      <w:r w:rsidR="00FE1712" w:rsidRPr="00552D55">
        <w:rPr>
          <w:rFonts w:ascii="Arial" w:hAnsi="Arial" w:cs="Arial"/>
          <w:sz w:val="20"/>
        </w:rPr>
        <w:t>)</w:t>
      </w:r>
      <w:r w:rsidR="00A36160" w:rsidRPr="00552D55">
        <w:rPr>
          <w:rFonts w:ascii="Arial" w:hAnsi="Arial" w:cs="Arial"/>
          <w:sz w:val="20"/>
        </w:rPr>
        <w:t>, od roku 2010 je toto ustanovení zákona zrušeno</w:t>
      </w:r>
      <w:r w:rsidR="00195EB4">
        <w:rPr>
          <w:rFonts w:ascii="Arial" w:hAnsi="Arial" w:cs="Arial"/>
          <w:sz w:val="20"/>
        </w:rPr>
        <w:t>,</w:t>
      </w:r>
    </w:p>
    <w:p w:rsidR="009073FD" w:rsidRPr="00552D55" w:rsidRDefault="009073FD" w:rsidP="009073FD">
      <w:p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 w:val="20"/>
        </w:rPr>
      </w:pPr>
      <w:r w:rsidRPr="00552D55">
        <w:rPr>
          <w:rFonts w:ascii="Arial" w:hAnsi="Arial" w:cs="Arial"/>
          <w:sz w:val="20"/>
        </w:rPr>
        <w:tab/>
        <w:t>invalidní částečný - do roku 2009 (§ 43 a § 44</w:t>
      </w:r>
      <w:r w:rsidR="00A36160">
        <w:rPr>
          <w:rFonts w:ascii="Arial" w:hAnsi="Arial" w:cs="Arial"/>
          <w:sz w:val="20"/>
        </w:rPr>
        <w:t>)</w:t>
      </w:r>
      <w:r w:rsidRPr="00552D55">
        <w:rPr>
          <w:rFonts w:ascii="Arial" w:hAnsi="Arial" w:cs="Arial"/>
          <w:sz w:val="20"/>
        </w:rPr>
        <w:t>, od roku 2010 je toto ustanovení zákona zrušeno</w:t>
      </w:r>
      <w:r w:rsidR="00195EB4">
        <w:rPr>
          <w:rFonts w:ascii="Arial" w:hAnsi="Arial" w:cs="Arial"/>
          <w:sz w:val="20"/>
        </w:rPr>
        <w:t>,</w:t>
      </w:r>
    </w:p>
    <w:p w:rsidR="009073FD" w:rsidRPr="009073FD" w:rsidRDefault="009073FD" w:rsidP="009073FD">
      <w:p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color w:val="FF0000"/>
          <w:sz w:val="20"/>
        </w:rPr>
      </w:pPr>
      <w:r w:rsidRPr="00552D55">
        <w:rPr>
          <w:rFonts w:ascii="Arial" w:hAnsi="Arial" w:cs="Arial"/>
          <w:sz w:val="20"/>
        </w:rPr>
        <w:tab/>
        <w:t>invalidní I., II. a III. stupně – od roku 2010 (§ 38 a § 39)</w:t>
      </w:r>
      <w:r w:rsidR="00195EB4">
        <w:rPr>
          <w:rFonts w:ascii="Arial" w:hAnsi="Arial" w:cs="Arial"/>
          <w:sz w:val="20"/>
        </w:rPr>
        <w:t>,</w:t>
      </w:r>
    </w:p>
    <w:p w:rsidR="009073FD" w:rsidRPr="003744C2" w:rsidRDefault="009073FD" w:rsidP="009073FD">
      <w:pPr>
        <w:pStyle w:val="Zkladntext2"/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uto"/>
        <w:rPr>
          <w:rFonts w:cs="Arial"/>
        </w:rPr>
      </w:pPr>
      <w:r w:rsidRPr="009073FD">
        <w:rPr>
          <w:rFonts w:cs="Arial"/>
          <w:color w:val="FF0000"/>
        </w:rPr>
        <w:tab/>
      </w:r>
      <w:r w:rsidRPr="003744C2">
        <w:rPr>
          <w:rFonts w:cs="Arial"/>
        </w:rPr>
        <w:t>vdovský (§ 49, odst. 1)</w:t>
      </w:r>
      <w:r w:rsidR="00195EB4">
        <w:rPr>
          <w:rFonts w:cs="Arial"/>
        </w:rPr>
        <w:t>,</w:t>
      </w:r>
    </w:p>
    <w:p w:rsidR="009073FD" w:rsidRPr="003744C2" w:rsidRDefault="009073FD" w:rsidP="009073FD">
      <w:p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 w:val="20"/>
        </w:rPr>
      </w:pPr>
      <w:r w:rsidRPr="009073FD">
        <w:rPr>
          <w:rFonts w:ascii="Arial" w:hAnsi="Arial" w:cs="Arial"/>
          <w:color w:val="FF0000"/>
          <w:sz w:val="20"/>
        </w:rPr>
        <w:tab/>
      </w:r>
      <w:r w:rsidRPr="003744C2">
        <w:rPr>
          <w:rFonts w:ascii="Arial" w:hAnsi="Arial" w:cs="Arial"/>
          <w:sz w:val="20"/>
        </w:rPr>
        <w:t>vdovecký (§ 49, odst. 2)</w:t>
      </w:r>
      <w:r w:rsidR="00195EB4">
        <w:rPr>
          <w:rFonts w:ascii="Arial" w:hAnsi="Arial" w:cs="Arial"/>
          <w:sz w:val="20"/>
        </w:rPr>
        <w:t>,</w:t>
      </w:r>
    </w:p>
    <w:p w:rsidR="009073FD" w:rsidRDefault="009073FD" w:rsidP="009073FD">
      <w:pPr>
        <w:pStyle w:val="Zkladntext2"/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uto"/>
        <w:rPr>
          <w:rFonts w:cs="Arial"/>
        </w:rPr>
      </w:pPr>
      <w:r w:rsidRPr="009073FD">
        <w:rPr>
          <w:rFonts w:cs="Arial"/>
          <w:color w:val="FF0000"/>
        </w:rPr>
        <w:tab/>
      </w:r>
      <w:r w:rsidRPr="003744C2">
        <w:rPr>
          <w:rFonts w:cs="Arial"/>
        </w:rPr>
        <w:t>sirotčí (§ 52)</w:t>
      </w:r>
      <w:r w:rsidR="00195EB4">
        <w:rPr>
          <w:rFonts w:cs="Arial"/>
        </w:rPr>
        <w:t>.</w:t>
      </w:r>
    </w:p>
    <w:p w:rsidR="00AD0D90" w:rsidRPr="003744C2" w:rsidRDefault="00AD0D90" w:rsidP="009073FD">
      <w:pPr>
        <w:pStyle w:val="Zkladntext2"/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uto"/>
        <w:rPr>
          <w:rFonts w:cs="Arial"/>
        </w:rPr>
      </w:pPr>
    </w:p>
    <w:p w:rsidR="009073FD" w:rsidRPr="00195EB4" w:rsidRDefault="00195EB4" w:rsidP="009073FD">
      <w:p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color w:val="FF0000"/>
          <w:sz w:val="16"/>
        </w:rPr>
      </w:pPr>
      <w:r w:rsidRPr="00195EB4">
        <w:rPr>
          <w:rFonts w:ascii="Arial" w:hAnsi="Arial" w:cs="Arial"/>
          <w:sz w:val="20"/>
        </w:rPr>
        <w:t>Pro potřeby statistiky</w:t>
      </w:r>
      <w:r w:rsidRPr="00195EB4">
        <w:rPr>
          <w:rFonts w:ascii="Arial" w:hAnsi="Arial" w:cs="Arial"/>
          <w:color w:val="FF0000"/>
          <w:sz w:val="20"/>
        </w:rPr>
        <w:t xml:space="preserve"> </w:t>
      </w:r>
      <w:r w:rsidRPr="00195EB4">
        <w:rPr>
          <w:rFonts w:ascii="Arial" w:hAnsi="Arial" w:cs="Arial"/>
          <w:iCs/>
          <w:sz w:val="20"/>
        </w:rPr>
        <w:t>o</w:t>
      </w:r>
      <w:r w:rsidRPr="00195EB4">
        <w:rPr>
          <w:rFonts w:ascii="Arial" w:hAnsi="Arial" w:cs="Arial"/>
          <w:iCs/>
          <w:color w:val="FF0000"/>
          <w:sz w:val="20"/>
        </w:rPr>
        <w:t xml:space="preserve"> </w:t>
      </w:r>
      <w:r w:rsidRPr="00195EB4">
        <w:rPr>
          <w:rFonts w:ascii="Arial" w:hAnsi="Arial" w:cs="Arial"/>
          <w:iCs/>
          <w:sz w:val="20"/>
        </w:rPr>
        <w:t>dávkách důchodového pojištění jsou využívány výstupy z informačních systémů České správy sociálního zabezpečení, které nezahrnují údaje týkající se důchodového pojištění prováděného Ministerstvem obrany, Ministerstvem vnitra a Ministerstvem spravedlnosti.</w:t>
      </w:r>
    </w:p>
    <w:p w:rsidR="009073FD" w:rsidRDefault="009073FD" w:rsidP="009073FD">
      <w:pPr>
        <w:pStyle w:val="Zkladntext"/>
        <w:rPr>
          <w:i w:val="0"/>
          <w:color w:val="FF0000"/>
          <w:lang w:val="cs-CZ"/>
        </w:rPr>
      </w:pPr>
    </w:p>
    <w:p w:rsidR="00626A0E" w:rsidRPr="009073FD" w:rsidRDefault="00626A0E" w:rsidP="009073FD">
      <w:pPr>
        <w:pStyle w:val="Zkladntext"/>
        <w:rPr>
          <w:i w:val="0"/>
          <w:color w:val="FF0000"/>
          <w:lang w:val="cs-CZ"/>
        </w:rPr>
      </w:pPr>
    </w:p>
    <w:p w:rsidR="009073FD" w:rsidRPr="00367E5E" w:rsidRDefault="009073FD" w:rsidP="00B82612">
      <w:pPr>
        <w:tabs>
          <w:tab w:val="left" w:pos="-1099"/>
          <w:tab w:val="left" w:pos="-720"/>
          <w:tab w:val="left" w:pos="-80"/>
          <w:tab w:val="left" w:pos="714"/>
          <w:tab w:val="left" w:pos="7755"/>
        </w:tabs>
        <w:jc w:val="both"/>
        <w:rPr>
          <w:rFonts w:ascii="Arial" w:hAnsi="Arial"/>
          <w:sz w:val="20"/>
        </w:rPr>
      </w:pPr>
      <w:r w:rsidRPr="00367E5E">
        <w:rPr>
          <w:rFonts w:ascii="Arial" w:hAnsi="Arial"/>
          <w:b/>
          <w:sz w:val="20"/>
        </w:rPr>
        <w:t>Průměrná měsíční výše důchodu</w:t>
      </w:r>
      <w:r w:rsidR="00B82612">
        <w:rPr>
          <w:rFonts w:ascii="Arial" w:hAnsi="Arial"/>
          <w:b/>
          <w:sz w:val="20"/>
        </w:rPr>
        <w:tab/>
      </w:r>
    </w:p>
    <w:p w:rsidR="009073FD" w:rsidRPr="009073FD" w:rsidRDefault="009073FD" w:rsidP="009073FD">
      <w:pPr>
        <w:pStyle w:val="Zkladntext"/>
        <w:rPr>
          <w:i w:val="0"/>
          <w:color w:val="FF0000"/>
          <w:lang w:val="cs-CZ"/>
        </w:rPr>
      </w:pPr>
    </w:p>
    <w:p w:rsidR="009073FD" w:rsidRDefault="009073FD" w:rsidP="009073FD">
      <w:pPr>
        <w:pStyle w:val="podraeny"/>
        <w:tabs>
          <w:tab w:val="clear" w:pos="1"/>
          <w:tab w:val="clear" w:pos="283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099"/>
          <w:tab w:val="left" w:pos="-80"/>
        </w:tabs>
        <w:overflowPunct/>
        <w:autoSpaceDE/>
        <w:autoSpaceDN/>
        <w:adjustRightInd/>
        <w:spacing w:after="0"/>
        <w:textAlignment w:val="auto"/>
        <w:rPr>
          <w:iCs/>
          <w:lang w:val="cs-CZ"/>
        </w:rPr>
      </w:pPr>
      <w:r w:rsidRPr="009073FD">
        <w:rPr>
          <w:color w:val="FF0000"/>
          <w:lang w:val="cs-CZ"/>
        </w:rPr>
        <w:tab/>
      </w:r>
      <w:r w:rsidRPr="00367E5E">
        <w:rPr>
          <w:lang w:val="cs-CZ"/>
        </w:rPr>
        <w:t xml:space="preserve">V tabulce </w:t>
      </w:r>
      <w:r w:rsidR="00195EB4">
        <w:rPr>
          <w:lang w:val="cs-CZ"/>
        </w:rPr>
        <w:t xml:space="preserve">č. 5-1. </w:t>
      </w:r>
      <w:r w:rsidRPr="00367E5E">
        <w:rPr>
          <w:lang w:val="cs-CZ"/>
        </w:rPr>
        <w:t>jsou uvedeny údaje za důchodce, kteří pobírají</w:t>
      </w:r>
      <w:r w:rsidRPr="009073FD">
        <w:rPr>
          <w:color w:val="FF0000"/>
          <w:lang w:val="cs-CZ"/>
        </w:rPr>
        <w:t xml:space="preserve"> </w:t>
      </w:r>
      <w:r w:rsidR="00195EB4">
        <w:rPr>
          <w:lang w:val="cs-CZ"/>
        </w:rPr>
        <w:t>jak</w:t>
      </w:r>
      <w:r w:rsidRPr="009073FD">
        <w:rPr>
          <w:color w:val="FF0000"/>
          <w:lang w:val="cs-CZ"/>
        </w:rPr>
        <w:t xml:space="preserve"> </w:t>
      </w:r>
      <w:r w:rsidR="00195EB4">
        <w:rPr>
          <w:lang w:val="cs-CZ"/>
        </w:rPr>
        <w:t>samostatný důchod (sólo-důchody</w:t>
      </w:r>
      <w:r w:rsidRPr="00367E5E">
        <w:rPr>
          <w:lang w:val="cs-CZ"/>
        </w:rPr>
        <w:t xml:space="preserve"> starobní, invalidní, vdovské</w:t>
      </w:r>
      <w:r w:rsidRPr="009073FD">
        <w:rPr>
          <w:color w:val="FF0000"/>
          <w:lang w:val="cs-CZ"/>
        </w:rPr>
        <w:t xml:space="preserve"> </w:t>
      </w:r>
      <w:r w:rsidRPr="00367E5E">
        <w:rPr>
          <w:lang w:val="cs-CZ"/>
        </w:rPr>
        <w:t>nebo</w:t>
      </w:r>
      <w:r w:rsidRPr="009073FD">
        <w:rPr>
          <w:color w:val="FF0000"/>
          <w:lang w:val="cs-CZ"/>
        </w:rPr>
        <w:t xml:space="preserve"> </w:t>
      </w:r>
      <w:r w:rsidRPr="00367E5E">
        <w:rPr>
          <w:lang w:val="cs-CZ"/>
        </w:rPr>
        <w:t>vdovecké</w:t>
      </w:r>
      <w:r w:rsidR="00195EB4">
        <w:rPr>
          <w:lang w:val="cs-CZ"/>
        </w:rPr>
        <w:t xml:space="preserve">), tak </w:t>
      </w:r>
      <w:r w:rsidRPr="00367E5E">
        <w:rPr>
          <w:lang w:val="cs-CZ"/>
        </w:rPr>
        <w:t>důchody vdovské a vdovecké</w:t>
      </w:r>
      <w:r w:rsidRPr="009073FD">
        <w:rPr>
          <w:color w:val="FF0000"/>
          <w:lang w:val="cs-CZ"/>
        </w:rPr>
        <w:t xml:space="preserve"> </w:t>
      </w:r>
      <w:r w:rsidRPr="00552D55">
        <w:rPr>
          <w:lang w:val="cs-CZ"/>
        </w:rPr>
        <w:t xml:space="preserve">vyplácené v souběhu </w:t>
      </w:r>
      <w:r w:rsidR="00195EB4">
        <w:rPr>
          <w:lang w:val="cs-CZ"/>
        </w:rPr>
        <w:t>s </w:t>
      </w:r>
      <w:r w:rsidRPr="00552D55">
        <w:rPr>
          <w:lang w:val="cs-CZ"/>
        </w:rPr>
        <w:t>invalidní</w:t>
      </w:r>
      <w:r w:rsidR="00195EB4">
        <w:rPr>
          <w:lang w:val="cs-CZ"/>
        </w:rPr>
        <w:t>mi nebo starobními důchody. V případě souběhu je</w:t>
      </w:r>
      <w:r w:rsidRPr="009073FD">
        <w:rPr>
          <w:color w:val="FF0000"/>
          <w:lang w:val="cs-CZ"/>
        </w:rPr>
        <w:t xml:space="preserve"> </w:t>
      </w:r>
      <w:r w:rsidR="00195EB4" w:rsidRPr="00E708F2">
        <w:rPr>
          <w:color w:val="000000"/>
          <w:lang w:val="cs-CZ"/>
        </w:rPr>
        <w:t>p</w:t>
      </w:r>
      <w:r w:rsidRPr="00552D55">
        <w:rPr>
          <w:lang w:val="cs-CZ"/>
        </w:rPr>
        <w:t>růměrná výše důchodu vypočtena součtem výší</w:t>
      </w:r>
      <w:r w:rsidRPr="009073FD">
        <w:rPr>
          <w:color w:val="FF0000"/>
          <w:lang w:val="cs-CZ"/>
        </w:rPr>
        <w:t xml:space="preserve"> </w:t>
      </w:r>
      <w:r w:rsidRPr="00FE1712">
        <w:rPr>
          <w:lang w:val="cs-CZ"/>
        </w:rPr>
        <w:t>obou vyplácených důchodů</w:t>
      </w:r>
      <w:r w:rsidRPr="009073FD">
        <w:rPr>
          <w:color w:val="FF0000"/>
          <w:lang w:val="cs-CZ"/>
        </w:rPr>
        <w:t xml:space="preserve">. </w:t>
      </w:r>
      <w:r w:rsidRPr="00FE1712">
        <w:rPr>
          <w:lang w:val="cs-CZ"/>
        </w:rPr>
        <w:t xml:space="preserve">Do výše důchodu není zahrnováno </w:t>
      </w:r>
      <w:r w:rsidR="00195EB4">
        <w:rPr>
          <w:lang w:val="cs-CZ"/>
        </w:rPr>
        <w:t xml:space="preserve">dříve poskytované </w:t>
      </w:r>
      <w:r w:rsidRPr="00FE1712">
        <w:rPr>
          <w:lang w:val="cs-CZ"/>
        </w:rPr>
        <w:t>zvýšení důchodu pro</w:t>
      </w:r>
      <w:r w:rsidR="00195EB4">
        <w:rPr>
          <w:lang w:val="cs-CZ"/>
        </w:rPr>
        <w:t> </w:t>
      </w:r>
      <w:r w:rsidRPr="00FE1712">
        <w:rPr>
          <w:lang w:val="cs-CZ"/>
        </w:rPr>
        <w:t>bezmocnost a výchovné.</w:t>
      </w:r>
      <w:r w:rsidRPr="009073FD">
        <w:rPr>
          <w:color w:val="FF0000"/>
          <w:lang w:val="cs-CZ"/>
        </w:rPr>
        <w:t xml:space="preserve"> </w:t>
      </w:r>
      <w:r w:rsidRPr="00552D55">
        <w:rPr>
          <w:iCs/>
          <w:lang w:val="cs-CZ"/>
        </w:rPr>
        <w:t>Průměrná měsíční výše důchodu k 31. 12. sledovaného roku představuje výši důchodu vypláceného v prosinci v průměru na jednoho důchodce.</w:t>
      </w:r>
    </w:p>
    <w:p w:rsidR="00FB20D2" w:rsidRPr="00FB20D2" w:rsidRDefault="00FB20D2" w:rsidP="009073FD">
      <w:pPr>
        <w:pStyle w:val="podraeny"/>
        <w:tabs>
          <w:tab w:val="clear" w:pos="1"/>
          <w:tab w:val="clear" w:pos="283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099"/>
          <w:tab w:val="left" w:pos="-80"/>
        </w:tabs>
        <w:overflowPunct/>
        <w:autoSpaceDE/>
        <w:autoSpaceDN/>
        <w:adjustRightInd/>
        <w:spacing w:after="0"/>
        <w:textAlignment w:val="auto"/>
        <w:rPr>
          <w:color w:val="FF0000"/>
          <w:lang w:val="cs-CZ"/>
        </w:rPr>
      </w:pPr>
      <w:r w:rsidRPr="003A4D63">
        <w:rPr>
          <w:lang w:val="cs-CZ"/>
        </w:rPr>
        <w:t>Tabulky 5-4. a 5-5. se liší v metodice.</w:t>
      </w:r>
      <w:r>
        <w:rPr>
          <w:color w:val="FF0000"/>
          <w:lang w:val="cs-CZ"/>
        </w:rPr>
        <w:t xml:space="preserve"> </w:t>
      </w: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případě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tabulky</w:t>
      </w:r>
      <w:proofErr w:type="spellEnd"/>
      <w:r>
        <w:rPr>
          <w:rFonts w:ascii="Arial" w:hAnsi="Arial" w:cs="Arial"/>
        </w:rPr>
        <w:t xml:space="preserve"> 5-5. se </w:t>
      </w:r>
      <w:proofErr w:type="spellStart"/>
      <w:r>
        <w:rPr>
          <w:rFonts w:ascii="Arial" w:hAnsi="Arial" w:cs="Arial"/>
        </w:rPr>
        <w:t>jedná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národní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invalidních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starobních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důchodů</w:t>
      </w:r>
      <w:proofErr w:type="spellEnd"/>
      <w:r>
        <w:rPr>
          <w:rFonts w:ascii="Arial" w:hAnsi="Arial" w:cs="Arial"/>
        </w:rPr>
        <w:t xml:space="preserve">, u </w:t>
      </w:r>
      <w:proofErr w:type="spellStart"/>
      <w:r>
        <w:rPr>
          <w:rFonts w:ascii="Arial" w:hAnsi="Arial" w:cs="Arial"/>
        </w:rPr>
        <w:t>mezinárodního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srovnání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jde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metodiku</w:t>
      </w:r>
      <w:proofErr w:type="spellEnd"/>
      <w:r>
        <w:rPr>
          <w:rFonts w:ascii="Arial" w:hAnsi="Arial" w:cs="Arial"/>
        </w:rPr>
        <w:t xml:space="preserve"> ESSPROS.</w:t>
      </w:r>
    </w:p>
    <w:p w:rsidR="009073FD" w:rsidRPr="009073FD" w:rsidRDefault="009073FD" w:rsidP="009073FD">
      <w:pPr>
        <w:pStyle w:val="Zkladntext"/>
        <w:tabs>
          <w:tab w:val="left" w:pos="-1099"/>
          <w:tab w:val="left" w:pos="-720"/>
          <w:tab w:val="left" w:pos="-22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 w:val="0"/>
          <w:iCs w:val="0"/>
          <w:color w:val="FF0000"/>
          <w:lang w:val="cs-CZ"/>
        </w:rPr>
      </w:pPr>
    </w:p>
    <w:p w:rsidR="00F05D89" w:rsidRDefault="00F05D89">
      <w:pPr>
        <w:pStyle w:val="Zkladntext"/>
        <w:tabs>
          <w:tab w:val="left" w:pos="-1099"/>
          <w:tab w:val="left" w:pos="-720"/>
          <w:tab w:val="left" w:pos="-22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strike/>
          <w:lang w:val="cs-CZ"/>
        </w:rPr>
      </w:pPr>
      <w:r>
        <w:rPr>
          <w:i w:val="0"/>
          <w:iCs w:val="0"/>
          <w:lang w:val="cs-CZ"/>
        </w:rPr>
        <w:tab/>
      </w:r>
    </w:p>
    <w:p w:rsidR="00F05D89" w:rsidRDefault="00F05D8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spacing w:before="120"/>
        <w:rPr>
          <w:rFonts w:ascii="Arial" w:hAnsi="Arial" w:cs="Arial"/>
        </w:rPr>
      </w:pPr>
    </w:p>
    <w:sectPr w:rsidR="00F05D89" w:rsidSect="00CE1BD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2E" w:rsidRDefault="00FC262E">
      <w:r>
        <w:separator/>
      </w:r>
    </w:p>
  </w:endnote>
  <w:endnote w:type="continuationSeparator" w:id="0">
    <w:p w:rsidR="00FC262E" w:rsidRDefault="00FC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obye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5E" w:rsidRDefault="000D13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135E" w:rsidRDefault="000D135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06" w:rsidRDefault="009A2C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2E" w:rsidRDefault="00FC262E">
      <w:r>
        <w:separator/>
      </w:r>
    </w:p>
  </w:footnote>
  <w:footnote w:type="continuationSeparator" w:id="0">
    <w:p w:rsidR="00FC262E" w:rsidRDefault="00FC2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06" w:rsidRDefault="009A2C0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347E"/>
    <w:multiLevelType w:val="hybridMultilevel"/>
    <w:tmpl w:val="4970C0E4"/>
    <w:lvl w:ilvl="0" w:tplc="983A7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CD0"/>
    <w:rsid w:val="00033015"/>
    <w:rsid w:val="000A3AB2"/>
    <w:rsid w:val="000B0EC2"/>
    <w:rsid w:val="000B464B"/>
    <w:rsid w:val="000D135E"/>
    <w:rsid w:val="00144F0A"/>
    <w:rsid w:val="00153D7B"/>
    <w:rsid w:val="001729DA"/>
    <w:rsid w:val="00186D5C"/>
    <w:rsid w:val="00195EB4"/>
    <w:rsid w:val="001B7D27"/>
    <w:rsid w:val="001D5D00"/>
    <w:rsid w:val="0020770C"/>
    <w:rsid w:val="00290056"/>
    <w:rsid w:val="002B0848"/>
    <w:rsid w:val="002D3AAA"/>
    <w:rsid w:val="00323C66"/>
    <w:rsid w:val="0033698E"/>
    <w:rsid w:val="00367E5E"/>
    <w:rsid w:val="003744C2"/>
    <w:rsid w:val="003A4D63"/>
    <w:rsid w:val="003F01C5"/>
    <w:rsid w:val="00467525"/>
    <w:rsid w:val="00476708"/>
    <w:rsid w:val="004779F0"/>
    <w:rsid w:val="004B585F"/>
    <w:rsid w:val="004D2E7F"/>
    <w:rsid w:val="00545BE7"/>
    <w:rsid w:val="00552D55"/>
    <w:rsid w:val="00556565"/>
    <w:rsid w:val="005A0C41"/>
    <w:rsid w:val="005A0DD4"/>
    <w:rsid w:val="005B518D"/>
    <w:rsid w:val="00604C19"/>
    <w:rsid w:val="00626A0E"/>
    <w:rsid w:val="00697BA4"/>
    <w:rsid w:val="006A76B8"/>
    <w:rsid w:val="006B0EC1"/>
    <w:rsid w:val="006D5456"/>
    <w:rsid w:val="006D7346"/>
    <w:rsid w:val="006E3513"/>
    <w:rsid w:val="00774E18"/>
    <w:rsid w:val="007A1A5C"/>
    <w:rsid w:val="007A70B7"/>
    <w:rsid w:val="007C2E92"/>
    <w:rsid w:val="00833ECE"/>
    <w:rsid w:val="0086514F"/>
    <w:rsid w:val="00892042"/>
    <w:rsid w:val="008970E8"/>
    <w:rsid w:val="008A6EDD"/>
    <w:rsid w:val="009073FD"/>
    <w:rsid w:val="009547CD"/>
    <w:rsid w:val="009A2C06"/>
    <w:rsid w:val="009C33C5"/>
    <w:rsid w:val="009C5748"/>
    <w:rsid w:val="009E29B0"/>
    <w:rsid w:val="00A00FCA"/>
    <w:rsid w:val="00A36160"/>
    <w:rsid w:val="00A92474"/>
    <w:rsid w:val="00A9348C"/>
    <w:rsid w:val="00AA05DB"/>
    <w:rsid w:val="00AD0D90"/>
    <w:rsid w:val="00B34863"/>
    <w:rsid w:val="00B469A2"/>
    <w:rsid w:val="00B66C70"/>
    <w:rsid w:val="00B82612"/>
    <w:rsid w:val="00BB2BFB"/>
    <w:rsid w:val="00BD5C01"/>
    <w:rsid w:val="00BF4522"/>
    <w:rsid w:val="00C02CFF"/>
    <w:rsid w:val="00CE1BD3"/>
    <w:rsid w:val="00CF2209"/>
    <w:rsid w:val="00D15450"/>
    <w:rsid w:val="00D8778B"/>
    <w:rsid w:val="00D97CD0"/>
    <w:rsid w:val="00DD5570"/>
    <w:rsid w:val="00E708F2"/>
    <w:rsid w:val="00E922A9"/>
    <w:rsid w:val="00F05D89"/>
    <w:rsid w:val="00FB20D2"/>
    <w:rsid w:val="00FC262E"/>
    <w:rsid w:val="00FC64DE"/>
    <w:rsid w:val="00FE171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rFonts w:ascii="Arial" w:hAnsi="Arial" w:cs="Arial"/>
      <w:i/>
      <w:iCs/>
      <w:sz w:val="20"/>
      <w:lang w:val="en-GB"/>
    </w:rPr>
  </w:style>
  <w:style w:type="paragraph" w:styleId="Zkladntextodsazen">
    <w:name w:val="Body Text Indent"/>
    <w:basedOn w:val="Normln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kladntextodsazen2">
    <w:name w:val="Body Text Indent 2"/>
    <w:basedOn w:val="Normln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pPr>
      <w:spacing w:line="360" w:lineRule="auto"/>
      <w:jc w:val="both"/>
    </w:pPr>
    <w:rPr>
      <w:rFonts w:ascii="Arial" w:hAnsi="Arial"/>
      <w:sz w:val="20"/>
    </w:rPr>
  </w:style>
  <w:style w:type="paragraph" w:customStyle="1" w:styleId="podraeny">
    <w:name w:val="podraženy"/>
    <w:basedOn w:val="Normln"/>
    <w:pPr>
      <w:tabs>
        <w:tab w:val="left" w:pos="-720"/>
        <w:tab w:val="left" w:pos="1"/>
        <w:tab w:val="left" w:pos="283"/>
        <w:tab w:val="left" w:pos="566"/>
        <w:tab w:val="left" w:pos="720"/>
        <w:tab w:val="left" w:pos="851"/>
        <w:tab w:val="left" w:pos="1134"/>
        <w:tab w:val="left" w:pos="1440"/>
        <w:tab w:val="left" w:pos="1700"/>
        <w:tab w:val="left" w:pos="1984"/>
        <w:tab w:val="left" w:pos="2160"/>
        <w:tab w:val="left" w:pos="2268"/>
        <w:tab w:val="left" w:pos="2551"/>
        <w:tab w:val="left" w:pos="2834"/>
        <w:tab w:val="left" w:pos="2880"/>
        <w:tab w:val="left" w:pos="3118"/>
        <w:tab w:val="left" w:pos="340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36"/>
      <w:jc w:val="both"/>
      <w:textAlignment w:val="baseline"/>
    </w:pPr>
    <w:rPr>
      <w:rFonts w:ascii="Arial obyeejné" w:hAnsi="Arial obyeejné"/>
      <w:sz w:val="20"/>
      <w:szCs w:val="20"/>
      <w:lang w:val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pPr>
      <w:tabs>
        <w:tab w:val="left" w:pos="-1099"/>
        <w:tab w:val="left" w:pos="-720"/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720" w:hanging="720"/>
      <w:jc w:val="both"/>
    </w:pPr>
    <w:rPr>
      <w:rFonts w:ascii="Arial" w:hAnsi="Arial" w:cs="Arial"/>
      <w:sz w:val="20"/>
    </w:rPr>
  </w:style>
  <w:style w:type="paragraph" w:styleId="Revize">
    <w:name w:val="Revision"/>
    <w:hidden/>
    <w:uiPriority w:val="99"/>
    <w:semiHidden/>
    <w:rsid w:val="006D73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jileckova</dc:creator>
  <cp:lastModifiedBy>Marek Řezanka</cp:lastModifiedBy>
  <cp:revision>2</cp:revision>
  <cp:lastPrinted>2016-09-23T10:23:00Z</cp:lastPrinted>
  <dcterms:created xsi:type="dcterms:W3CDTF">2016-12-21T12:02:00Z</dcterms:created>
  <dcterms:modified xsi:type="dcterms:W3CDTF">2016-12-21T12:02:00Z</dcterms:modified>
</cp:coreProperties>
</file>