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97" w:rsidRDefault="003A4797">
      <w:pPr>
        <w:jc w:val="both"/>
        <w:rPr>
          <w:rFonts w:ascii="Arial" w:hAnsi="Arial" w:cs="Arial"/>
          <w:b/>
          <w:bCs/>
          <w:i/>
          <w:iCs/>
          <w:sz w:val="20"/>
          <w:lang w:val="en-GB"/>
        </w:rPr>
      </w:pPr>
      <w:r>
        <w:rPr>
          <w:rFonts w:ascii="Arial" w:hAnsi="Arial" w:cs="Arial"/>
          <w:b/>
          <w:bCs/>
          <w:i/>
          <w:iCs/>
          <w:sz w:val="20"/>
          <w:lang w:val="en-GB"/>
        </w:rPr>
        <w:t>2. HEALTH</w:t>
      </w:r>
    </w:p>
    <w:p w:rsidR="003A4797"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3A4797"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3A4797"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t>Complete information on health care personnel and health status of the population is collected by the Institute of Health Information and Statistics of the Czech Republic (IHIS CR) on the basis of statistical surveys of respective ministries and mandatory notifications sent by health establishments.</w:t>
      </w:r>
      <w:r w:rsidR="002E0D5C">
        <w:rPr>
          <w:rFonts w:ascii="Arial" w:hAnsi="Arial" w:cs="Arial"/>
          <w:i/>
          <w:iCs/>
          <w:sz w:val="20"/>
          <w:lang w:val="en-GB"/>
        </w:rPr>
        <w:t xml:space="preserve"> Some data for 2014 is not available. </w:t>
      </w:r>
      <w:r>
        <w:rPr>
          <w:rFonts w:ascii="Arial" w:hAnsi="Arial" w:cs="Arial"/>
          <w:i/>
          <w:iCs/>
          <w:sz w:val="20"/>
          <w:lang w:val="en-GB"/>
        </w:rPr>
        <w:t xml:space="preserve"> </w:t>
      </w:r>
    </w:p>
    <w:p w:rsidR="003A4797"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3A4797" w:rsidRDefault="003A4797">
      <w:pPr>
        <w:pStyle w:val="Nadpis1"/>
        <w:ind w:firstLine="708"/>
        <w:jc w:val="both"/>
        <w:rPr>
          <w:rFonts w:ascii="Arial" w:hAnsi="Arial" w:cs="Arial"/>
          <w:i/>
          <w:iCs/>
          <w:sz w:val="20"/>
          <w:szCs w:val="20"/>
          <w:u w:val="none"/>
          <w:lang w:val="en-GB"/>
        </w:rPr>
      </w:pPr>
      <w:r>
        <w:rPr>
          <w:rFonts w:ascii="Arial" w:hAnsi="Arial" w:cs="Arial"/>
          <w:b/>
          <w:bCs/>
          <w:i/>
          <w:iCs/>
          <w:sz w:val="20"/>
          <w:szCs w:val="20"/>
          <w:u w:val="none"/>
          <w:lang w:val="en-GB"/>
        </w:rPr>
        <w:t xml:space="preserve">Basic indicators on the number of employees in health </w:t>
      </w:r>
      <w:r>
        <w:rPr>
          <w:rFonts w:ascii="Arial" w:hAnsi="Arial" w:cs="Arial"/>
          <w:i/>
          <w:iCs/>
          <w:sz w:val="20"/>
          <w:szCs w:val="20"/>
          <w:u w:val="none"/>
          <w:lang w:val="en-GB"/>
        </w:rPr>
        <w:t>– Source: The annual questionnaire on employers, the registered number of employees, and on contractual workers</w:t>
      </w:r>
      <w:r w:rsidR="000D2725">
        <w:rPr>
          <w:rFonts w:ascii="Arial" w:hAnsi="Arial" w:cs="Arial"/>
          <w:i/>
          <w:iCs/>
          <w:sz w:val="20"/>
          <w:szCs w:val="20"/>
          <w:u w:val="none"/>
          <w:lang w:val="en-GB"/>
        </w:rPr>
        <w:t xml:space="preserve">; </w:t>
      </w:r>
      <w:r>
        <w:rPr>
          <w:rFonts w:ascii="Arial" w:hAnsi="Arial" w:cs="Arial"/>
          <w:i/>
          <w:iCs/>
          <w:sz w:val="20"/>
          <w:szCs w:val="20"/>
          <w:u w:val="none"/>
          <w:lang w:val="en-GB"/>
        </w:rPr>
        <w:t>the numbers are headcount</w:t>
      </w:r>
      <w:r w:rsidR="000D2725">
        <w:rPr>
          <w:rFonts w:ascii="Arial" w:hAnsi="Arial" w:cs="Arial"/>
          <w:i/>
          <w:iCs/>
          <w:sz w:val="20"/>
          <w:szCs w:val="20"/>
          <w:u w:val="none"/>
          <w:lang w:val="en-GB"/>
        </w:rPr>
        <w:t>s</w:t>
      </w:r>
      <w:r>
        <w:rPr>
          <w:rFonts w:ascii="Arial" w:hAnsi="Arial" w:cs="Arial"/>
          <w:i/>
          <w:iCs/>
          <w:sz w:val="20"/>
          <w:szCs w:val="20"/>
          <w:u w:val="none"/>
          <w:lang w:val="en-GB"/>
        </w:rPr>
        <w:t>, excluding contractual workers (</w:t>
      </w:r>
      <w:r w:rsidR="003F42B8">
        <w:rPr>
          <w:rFonts w:ascii="Arial" w:hAnsi="Arial" w:cs="Arial"/>
          <w:i/>
          <w:iCs/>
          <w:sz w:val="20"/>
          <w:szCs w:val="20"/>
          <w:u w:val="none"/>
          <w:lang w:val="en-GB"/>
        </w:rPr>
        <w:t xml:space="preserve">it </w:t>
      </w:r>
      <w:r>
        <w:rPr>
          <w:rFonts w:ascii="Arial" w:hAnsi="Arial" w:cs="Arial"/>
          <w:i/>
          <w:iCs/>
          <w:sz w:val="20"/>
          <w:szCs w:val="20"/>
          <w:u w:val="none"/>
          <w:lang w:val="en-GB"/>
        </w:rPr>
        <w:t>refers to the number of contracts of employment).</w:t>
      </w:r>
      <w:r w:rsidR="00DC5A54">
        <w:rPr>
          <w:rFonts w:ascii="Arial" w:hAnsi="Arial" w:cs="Arial"/>
          <w:i/>
          <w:iCs/>
          <w:sz w:val="20"/>
          <w:szCs w:val="20"/>
          <w:u w:val="none"/>
          <w:lang w:val="en-GB"/>
        </w:rPr>
        <w:t xml:space="preserve"> Due to the new </w:t>
      </w:r>
      <w:r w:rsidR="00F76F1F">
        <w:rPr>
          <w:rFonts w:ascii="Arial" w:hAnsi="Arial" w:cs="Arial"/>
          <w:i/>
          <w:iCs/>
          <w:sz w:val="20"/>
          <w:szCs w:val="20"/>
          <w:u w:val="none"/>
          <w:lang w:val="en-GB"/>
        </w:rPr>
        <w:t>electronic</w:t>
      </w:r>
      <w:r w:rsidR="00DC5A54">
        <w:rPr>
          <w:rFonts w:ascii="Arial" w:hAnsi="Arial" w:cs="Arial"/>
          <w:i/>
          <w:iCs/>
          <w:sz w:val="20"/>
          <w:szCs w:val="20"/>
          <w:u w:val="none"/>
          <w:lang w:val="en-GB"/>
        </w:rPr>
        <w:t xml:space="preserve"> system of data collection </w:t>
      </w:r>
      <w:r w:rsidR="00F76F1F">
        <w:rPr>
          <w:rFonts w:ascii="Arial" w:hAnsi="Arial" w:cs="Arial"/>
          <w:i/>
          <w:iCs/>
          <w:sz w:val="20"/>
          <w:szCs w:val="20"/>
          <w:u w:val="none"/>
          <w:lang w:val="en-GB"/>
        </w:rPr>
        <w:t xml:space="preserve">there is lower receiving of statistical report (71% for 2014). Data for 2014 is modified by trend of time series. </w:t>
      </w:r>
      <w:r w:rsidR="00DC5A54">
        <w:rPr>
          <w:rFonts w:ascii="Arial" w:hAnsi="Arial" w:cs="Arial"/>
          <w:i/>
          <w:iCs/>
          <w:sz w:val="20"/>
          <w:szCs w:val="20"/>
          <w:u w:val="none"/>
          <w:lang w:val="en-GB"/>
        </w:rPr>
        <w:t xml:space="preserve"> </w:t>
      </w:r>
      <w:r w:rsidR="00C018C2">
        <w:rPr>
          <w:rFonts w:ascii="Arial" w:hAnsi="Arial" w:cs="Arial"/>
          <w:i/>
          <w:iCs/>
          <w:sz w:val="20"/>
          <w:szCs w:val="20"/>
          <w:u w:val="none"/>
          <w:lang w:val="en-GB"/>
        </w:rPr>
        <w:t xml:space="preserve"> </w:t>
      </w:r>
    </w:p>
    <w:p w:rsidR="003A4797" w:rsidRPr="002E0D5C" w:rsidRDefault="003A4797" w:rsidP="002E0D5C">
      <w:pPr>
        <w:autoSpaceDE w:val="0"/>
        <w:autoSpaceDN w:val="0"/>
        <w:adjustRightInd w:val="0"/>
        <w:jc w:val="both"/>
        <w:rPr>
          <w:rFonts w:ascii="Arial" w:hAnsi="Arial" w:cs="Arial"/>
          <w:i/>
          <w:iCs/>
          <w:sz w:val="20"/>
          <w:lang w:val="en-GB"/>
        </w:rPr>
      </w:pPr>
    </w:p>
    <w:p w:rsidR="003A4797" w:rsidRDefault="003A4797" w:rsidP="005A4DEE">
      <w:pPr>
        <w:pStyle w:val="Zkladntextodsazen"/>
        <w:ind w:firstLine="720"/>
        <w:rPr>
          <w:lang w:val="en-GB"/>
        </w:rPr>
      </w:pPr>
      <w:r>
        <w:rPr>
          <w:b/>
          <w:bCs/>
          <w:i/>
          <w:iCs/>
          <w:color w:val="auto"/>
          <w:lang w:val="en-GB"/>
        </w:rPr>
        <w:t xml:space="preserve">Abortions </w:t>
      </w:r>
      <w:r>
        <w:rPr>
          <w:i/>
          <w:iCs/>
          <w:color w:val="auto"/>
          <w:lang w:val="en-GB"/>
        </w:rPr>
        <w:t>– Source: National Registry of</w:t>
      </w:r>
      <w:r w:rsidR="002A50BB">
        <w:rPr>
          <w:i/>
          <w:iCs/>
          <w:color w:val="auto"/>
          <w:lang w:val="en-GB"/>
        </w:rPr>
        <w:t xml:space="preserve"> Reproduction Health – </w:t>
      </w:r>
      <w:r>
        <w:rPr>
          <w:i/>
          <w:iCs/>
          <w:color w:val="auto"/>
          <w:lang w:val="en-GB"/>
        </w:rPr>
        <w:t xml:space="preserve">Abortions. Since </w:t>
      </w:r>
      <w:r w:rsidR="008E040F">
        <w:rPr>
          <w:i/>
          <w:iCs/>
          <w:color w:val="auto"/>
          <w:lang w:val="en-GB"/>
        </w:rPr>
        <w:t xml:space="preserve">2001 </w:t>
      </w:r>
      <w:r>
        <w:rPr>
          <w:i/>
          <w:iCs/>
          <w:color w:val="auto"/>
          <w:lang w:val="en-GB"/>
        </w:rPr>
        <w:t xml:space="preserve">the provided data </w:t>
      </w:r>
      <w:r w:rsidR="008E040F">
        <w:rPr>
          <w:i/>
          <w:iCs/>
          <w:color w:val="auto"/>
          <w:lang w:val="en-GB"/>
        </w:rPr>
        <w:t xml:space="preserve">have </w:t>
      </w:r>
      <w:r>
        <w:rPr>
          <w:i/>
          <w:iCs/>
          <w:color w:val="auto"/>
          <w:lang w:val="en-GB"/>
        </w:rPr>
        <w:t>applied to both females with Czech nationality and female foreigners</w:t>
      </w:r>
      <w:r w:rsidR="007D3606">
        <w:rPr>
          <w:i/>
          <w:iCs/>
          <w:color w:val="auto"/>
          <w:lang w:val="en-GB"/>
        </w:rPr>
        <w:t xml:space="preserve"> with permanent or long-term stay in the CR</w:t>
      </w:r>
      <w:r>
        <w:rPr>
          <w:i/>
          <w:iCs/>
          <w:color w:val="auto"/>
          <w:lang w:val="en-GB"/>
        </w:rPr>
        <w:t xml:space="preserve">. </w:t>
      </w:r>
    </w:p>
    <w:p w:rsidR="003A4797" w:rsidRDefault="003A4797">
      <w:pPr>
        <w:tabs>
          <w:tab w:val="left" w:pos="709"/>
          <w:tab w:val="left" w:pos="1418"/>
          <w:tab w:val="left" w:pos="2126"/>
          <w:tab w:val="left" w:pos="2835"/>
        </w:tabs>
        <w:jc w:val="both"/>
        <w:rPr>
          <w:rFonts w:ascii="Arial" w:hAnsi="Arial"/>
          <w:i/>
          <w:iCs/>
          <w:lang w:val="en-GB"/>
        </w:rPr>
      </w:pPr>
      <w:r>
        <w:rPr>
          <w:rFonts w:ascii="Arial" w:hAnsi="Arial" w:cs="Arial"/>
          <w:i/>
          <w:iCs/>
          <w:sz w:val="20"/>
          <w:lang w:val="en-GB"/>
        </w:rPr>
        <w:tab/>
        <w:t>All kinds of abortions (spontaneous, vacuum aspirations, other legal abortions, other abortions, and terminations of ectopic pregnancy) carried out in health establishments of the Czech Republic are subject to mandatory notification.</w:t>
      </w:r>
    </w:p>
    <w:p w:rsidR="003A4797" w:rsidRDefault="003A4797">
      <w:pPr>
        <w:tabs>
          <w:tab w:val="left" w:pos="709"/>
          <w:tab w:val="left" w:pos="1418"/>
          <w:tab w:val="left" w:pos="2126"/>
          <w:tab w:val="left" w:pos="2835"/>
        </w:tabs>
        <w:jc w:val="both"/>
        <w:rPr>
          <w:rFonts w:ascii="Arial" w:hAnsi="Arial"/>
          <w:i/>
          <w:iCs/>
          <w:lang w:val="en-GB"/>
        </w:rPr>
      </w:pPr>
    </w:p>
    <w:p w:rsidR="003A4797" w:rsidRDefault="003A4797">
      <w:pPr>
        <w:tabs>
          <w:tab w:val="left" w:pos="709"/>
          <w:tab w:val="left" w:pos="1418"/>
          <w:tab w:val="left" w:pos="2126"/>
          <w:tab w:val="left" w:pos="2835"/>
        </w:tabs>
        <w:jc w:val="both"/>
        <w:rPr>
          <w:rFonts w:ascii="Arial" w:hAnsi="Arial"/>
          <w:i/>
          <w:iCs/>
          <w:sz w:val="20"/>
          <w:lang w:val="en-GB"/>
        </w:rPr>
      </w:pPr>
      <w:r>
        <w:rPr>
          <w:rFonts w:ascii="Arial" w:hAnsi="Arial"/>
          <w:i/>
          <w:iCs/>
          <w:lang w:val="en-GB"/>
        </w:rPr>
        <w:tab/>
      </w:r>
      <w:r>
        <w:rPr>
          <w:rFonts w:ascii="Arial" w:hAnsi="Arial"/>
          <w:b/>
          <w:bCs/>
          <w:i/>
          <w:iCs/>
          <w:sz w:val="20"/>
          <w:lang w:val="en-GB"/>
        </w:rPr>
        <w:t xml:space="preserve">Contraception – </w:t>
      </w:r>
      <w:r>
        <w:rPr>
          <w:rFonts w:ascii="Arial" w:hAnsi="Arial"/>
          <w:i/>
          <w:iCs/>
          <w:sz w:val="20"/>
          <w:lang w:val="en-GB"/>
        </w:rPr>
        <w:t xml:space="preserve">Source: The annual questionnaire on activity of health establishments for gynaecology. The numbers of women taking hormonal contraceptives or using intra-uterine devices as at 31 December are given here. Until 1999 the data given do not include health establishments of other central government authorities and since 2000 the data </w:t>
      </w:r>
      <w:r w:rsidR="008B027A">
        <w:rPr>
          <w:rFonts w:ascii="Arial" w:hAnsi="Arial"/>
          <w:i/>
          <w:iCs/>
          <w:sz w:val="20"/>
          <w:lang w:val="en-GB"/>
        </w:rPr>
        <w:t xml:space="preserve">have </w:t>
      </w:r>
      <w:r>
        <w:rPr>
          <w:rFonts w:ascii="Arial" w:hAnsi="Arial"/>
          <w:i/>
          <w:iCs/>
          <w:sz w:val="20"/>
          <w:lang w:val="en-GB"/>
        </w:rPr>
        <w:t>covered the whole health care</w:t>
      </w:r>
      <w:r w:rsidR="00C73C28">
        <w:rPr>
          <w:rFonts w:ascii="Arial" w:hAnsi="Arial"/>
          <w:i/>
          <w:iCs/>
          <w:sz w:val="20"/>
          <w:lang w:val="en-GB"/>
        </w:rPr>
        <w:t xml:space="preserve"> system</w:t>
      </w:r>
      <w:r>
        <w:rPr>
          <w:rFonts w:ascii="Arial" w:hAnsi="Arial"/>
          <w:i/>
          <w:iCs/>
          <w:sz w:val="20"/>
          <w:lang w:val="en-GB"/>
        </w:rPr>
        <w:t>.</w:t>
      </w:r>
      <w:r w:rsidR="00C018C2" w:rsidRPr="00C018C2">
        <w:rPr>
          <w:rFonts w:ascii="Arial" w:hAnsi="Arial" w:cs="Arial"/>
          <w:i/>
          <w:iCs/>
          <w:sz w:val="20"/>
          <w:szCs w:val="20"/>
          <w:lang w:val="en-GB"/>
        </w:rPr>
        <w:t xml:space="preserve"> </w:t>
      </w:r>
    </w:p>
    <w:p w:rsidR="003A4797" w:rsidRDefault="003A4797">
      <w:pPr>
        <w:ind w:firstLine="720"/>
        <w:jc w:val="both"/>
        <w:rPr>
          <w:rFonts w:ascii="Arial" w:hAnsi="Arial" w:cs="Arial"/>
          <w:i/>
          <w:iCs/>
          <w:sz w:val="20"/>
          <w:lang w:val="en-GB"/>
        </w:rPr>
      </w:pPr>
    </w:p>
    <w:p w:rsidR="003A4797" w:rsidRDefault="003A4797">
      <w:pPr>
        <w:pStyle w:val="Zkladntextodsazen"/>
        <w:ind w:firstLine="720"/>
        <w:rPr>
          <w:i/>
          <w:iCs/>
          <w:color w:val="auto"/>
          <w:lang w:val="en-GB"/>
        </w:rPr>
      </w:pPr>
      <w:r>
        <w:rPr>
          <w:b/>
          <w:bCs/>
          <w:i/>
          <w:iCs/>
          <w:color w:val="auto"/>
          <w:lang w:val="en-GB"/>
        </w:rPr>
        <w:t>Hospitalisation</w:t>
      </w:r>
      <w:r>
        <w:rPr>
          <w:i/>
          <w:iCs/>
          <w:color w:val="auto"/>
          <w:lang w:val="en-GB"/>
        </w:rPr>
        <w:t xml:space="preserve"> – Source: National Registry of Hospitalized Patients. The following is considered to be one case: each termination of hospitalisation at one ward (department) (it does not matter whether the hospitalisation was terminated by a patient release or death, or the patient was transferred to another ward (department) of the health establishment). The table provides the number of hospitalised persons in all wards (departments) of hospitals from sectors of all ministries. The released and dead patients from psychiatric in-patient establishments are all patients from psychiatric wards (departments) of hospitals and from psychiatric institutes, including the Prague Psychiatric Cent</w:t>
      </w:r>
      <w:r w:rsidR="008D6B22">
        <w:rPr>
          <w:i/>
          <w:iCs/>
          <w:color w:val="auto"/>
          <w:lang w:val="en-GB"/>
        </w:rPr>
        <w:t>re</w:t>
      </w:r>
      <w:r>
        <w:rPr>
          <w:i/>
          <w:iCs/>
          <w:color w:val="auto"/>
          <w:lang w:val="en-GB"/>
        </w:rPr>
        <w:t xml:space="preserve">. Until 1997 the data do not cover health establishments of other central government authorities, since 1998 the data </w:t>
      </w:r>
      <w:r w:rsidR="00E05159">
        <w:rPr>
          <w:i/>
          <w:iCs/>
          <w:color w:val="auto"/>
          <w:lang w:val="en-GB"/>
        </w:rPr>
        <w:t xml:space="preserve">have </w:t>
      </w:r>
      <w:r>
        <w:rPr>
          <w:i/>
          <w:iCs/>
          <w:color w:val="auto"/>
          <w:lang w:val="en-GB"/>
        </w:rPr>
        <w:t>referred to the whole health care</w:t>
      </w:r>
      <w:r w:rsidR="00B63B21">
        <w:rPr>
          <w:i/>
          <w:iCs/>
          <w:color w:val="auto"/>
          <w:lang w:val="en-GB"/>
        </w:rPr>
        <w:t xml:space="preserve"> system</w:t>
      </w:r>
      <w:r>
        <w:rPr>
          <w:i/>
          <w:iCs/>
          <w:color w:val="auto"/>
          <w:lang w:val="en-GB"/>
        </w:rPr>
        <w:t xml:space="preserve">. </w:t>
      </w:r>
    </w:p>
    <w:p w:rsidR="003A4797" w:rsidRDefault="003A4797">
      <w:pPr>
        <w:pStyle w:val="Zkladntextodsazen"/>
        <w:ind w:firstLine="720"/>
        <w:rPr>
          <w:i/>
          <w:iCs/>
          <w:color w:val="auto"/>
          <w:lang w:val="en-GB"/>
        </w:rPr>
      </w:pPr>
    </w:p>
    <w:p w:rsidR="003A4797" w:rsidRPr="00C018C2" w:rsidRDefault="003A4797">
      <w:pPr>
        <w:pStyle w:val="Zkladntextodsazen"/>
        <w:ind w:firstLine="720"/>
        <w:rPr>
          <w:i/>
          <w:iCs/>
          <w:color w:val="auto"/>
          <w:lang w:val="en-GB"/>
        </w:rPr>
      </w:pPr>
      <w:r>
        <w:rPr>
          <w:b/>
          <w:bCs/>
          <w:i/>
          <w:iCs/>
          <w:color w:val="auto"/>
          <w:lang w:val="en-GB"/>
        </w:rPr>
        <w:t xml:space="preserve">Diabetes mellitus – </w:t>
      </w:r>
      <w:r>
        <w:rPr>
          <w:i/>
          <w:iCs/>
          <w:color w:val="auto"/>
          <w:lang w:val="en-GB"/>
        </w:rPr>
        <w:t>Source: The annual questionnaire on activity of health establishments for diabetology. Each diabetology consulting room, including specialists’ out-patient rooms in hospitals, or out-patient clinics, irrespective of their founders, fills in the questionnaire and since 1995 general practitioners for adult patients have completed the questionnaire as well. General practitioners report only those diabetics who they treat in active manner. Until 1999 the data do not include health establishments of other central government authorities and since 2000 they have covered the whole health care</w:t>
      </w:r>
      <w:r w:rsidR="00B63B21">
        <w:rPr>
          <w:i/>
          <w:iCs/>
          <w:color w:val="auto"/>
          <w:lang w:val="en-GB"/>
        </w:rPr>
        <w:t xml:space="preserve"> system</w:t>
      </w:r>
      <w:r>
        <w:rPr>
          <w:i/>
          <w:iCs/>
          <w:color w:val="auto"/>
          <w:lang w:val="en-GB"/>
        </w:rPr>
        <w:t>.</w:t>
      </w:r>
      <w:r w:rsidR="00C018C2" w:rsidRPr="00C018C2">
        <w:rPr>
          <w:i/>
          <w:iCs/>
          <w:lang w:val="en-GB"/>
        </w:rPr>
        <w:t xml:space="preserve"> </w:t>
      </w:r>
      <w:r w:rsidR="00C018C2" w:rsidRPr="00C018C2">
        <w:rPr>
          <w:i/>
          <w:iCs/>
          <w:color w:val="auto"/>
          <w:lang w:val="en-GB"/>
        </w:rPr>
        <w:t xml:space="preserve">Data for 2014 </w:t>
      </w:r>
      <w:r w:rsidR="00F76F1F">
        <w:rPr>
          <w:i/>
          <w:iCs/>
          <w:color w:val="auto"/>
          <w:lang w:val="en-GB"/>
        </w:rPr>
        <w:t xml:space="preserve">and 2015 is approximated by trends of time series because of missing and outlying values. </w:t>
      </w:r>
    </w:p>
    <w:p w:rsidR="003A4797" w:rsidRDefault="003A4797">
      <w:pPr>
        <w:pStyle w:val="Zkladntextodsazen"/>
        <w:ind w:firstLine="720"/>
        <w:rPr>
          <w:i/>
          <w:iCs/>
          <w:color w:val="auto"/>
          <w:lang w:val="en-GB"/>
        </w:rPr>
      </w:pPr>
    </w:p>
    <w:p w:rsidR="003A4797" w:rsidRDefault="003A4797">
      <w:pPr>
        <w:pStyle w:val="Zkladntextodsazen"/>
        <w:ind w:firstLine="720"/>
        <w:rPr>
          <w:i/>
          <w:iCs/>
          <w:color w:val="auto"/>
          <w:lang w:val="en-GB"/>
        </w:rPr>
      </w:pPr>
      <w:r>
        <w:rPr>
          <w:b/>
          <w:bCs/>
          <w:i/>
          <w:iCs/>
          <w:color w:val="auto"/>
          <w:lang w:val="en-GB"/>
        </w:rPr>
        <w:t xml:space="preserve">Tuberculosis (TB) </w:t>
      </w:r>
      <w:r>
        <w:rPr>
          <w:i/>
          <w:iCs/>
          <w:color w:val="auto"/>
          <w:lang w:val="en-GB"/>
        </w:rPr>
        <w:t xml:space="preserve">– Source: TB Registry. The number of notified diseases involves newly notified diseases, including relapses in the reference year and encompasses pulmonary tuberculosis, which make up almost 90% of all cases, and tuberculosis of other organs. </w:t>
      </w:r>
    </w:p>
    <w:p w:rsidR="003A4797" w:rsidRDefault="003A4797">
      <w:pPr>
        <w:pStyle w:val="Zkladntextodsazen"/>
        <w:ind w:firstLine="720"/>
        <w:rPr>
          <w:i/>
          <w:iCs/>
          <w:color w:val="auto"/>
          <w:lang w:val="en-GB"/>
        </w:rPr>
      </w:pPr>
    </w:p>
    <w:p w:rsidR="003A4797" w:rsidRPr="00364482" w:rsidRDefault="003A4797">
      <w:pPr>
        <w:pStyle w:val="Zkladntextodsazen"/>
        <w:ind w:firstLine="720"/>
        <w:rPr>
          <w:i/>
          <w:iCs/>
          <w:color w:val="auto"/>
          <w:lang w:val="en-GB"/>
        </w:rPr>
      </w:pPr>
      <w:r>
        <w:rPr>
          <w:b/>
          <w:bCs/>
          <w:i/>
          <w:iCs/>
          <w:color w:val="auto"/>
          <w:lang w:val="en-GB"/>
        </w:rPr>
        <w:t>Malignant neoplasms</w:t>
      </w:r>
      <w:r>
        <w:rPr>
          <w:i/>
          <w:iCs/>
          <w:color w:val="auto"/>
          <w:lang w:val="en-GB"/>
        </w:rPr>
        <w:t xml:space="preserve"> – data are drawn from the </w:t>
      </w:r>
      <w:r w:rsidR="002A50BB" w:rsidRPr="002A50BB">
        <w:rPr>
          <w:i/>
          <w:color w:val="000000"/>
          <w:lang w:val="en-US"/>
        </w:rPr>
        <w:t>Czech National Cancer Registry</w:t>
      </w:r>
      <w:r>
        <w:rPr>
          <w:i/>
          <w:iCs/>
          <w:color w:val="auto"/>
          <w:lang w:val="en-GB"/>
        </w:rPr>
        <w:t xml:space="preserve"> and include all malignant neoplasms including in situ neoplasms (diagnosis codes of C00-C97 and </w:t>
      </w:r>
      <w:r w:rsidRPr="00364482">
        <w:rPr>
          <w:i/>
          <w:iCs/>
          <w:color w:val="auto"/>
          <w:lang w:val="en-GB"/>
        </w:rPr>
        <w:t xml:space="preserve">D00-D09). </w:t>
      </w:r>
    </w:p>
    <w:p w:rsidR="003A4797" w:rsidRDefault="003A4797">
      <w:pPr>
        <w:pStyle w:val="Zkladntextodsazen"/>
        <w:ind w:firstLine="720"/>
        <w:rPr>
          <w:i/>
          <w:iCs/>
          <w:color w:val="auto"/>
          <w:lang w:val="en-GB"/>
        </w:rPr>
      </w:pPr>
    </w:p>
    <w:p w:rsidR="003A4797" w:rsidRDefault="003A4797" w:rsidP="00CD36E2">
      <w:pPr>
        <w:autoSpaceDE w:val="0"/>
        <w:autoSpaceDN w:val="0"/>
        <w:adjustRightInd w:val="0"/>
        <w:ind w:firstLine="708"/>
        <w:jc w:val="both"/>
        <w:rPr>
          <w:rFonts w:ascii="Arial" w:hAnsi="Arial" w:cs="Arial"/>
          <w:i/>
          <w:sz w:val="20"/>
          <w:szCs w:val="20"/>
          <w:lang w:val="en-GB"/>
        </w:rPr>
      </w:pPr>
      <w:r>
        <w:rPr>
          <w:rFonts w:ascii="Arial" w:hAnsi="Arial" w:cs="Arial"/>
          <w:b/>
          <w:bCs/>
          <w:i/>
          <w:sz w:val="20"/>
          <w:szCs w:val="20"/>
          <w:lang w:val="en-GB"/>
        </w:rPr>
        <w:t>Congenital malformations</w:t>
      </w:r>
      <w:r>
        <w:rPr>
          <w:rFonts w:ascii="Arial" w:hAnsi="Arial" w:cs="Arial"/>
          <w:i/>
          <w:sz w:val="20"/>
          <w:szCs w:val="20"/>
          <w:lang w:val="en-GB"/>
        </w:rPr>
        <w:t xml:space="preserve"> – Source: </w:t>
      </w:r>
      <w:r w:rsidR="002A50BB" w:rsidRPr="002A50BB">
        <w:rPr>
          <w:rFonts w:ascii="Arial" w:hAnsi="Arial" w:cs="Arial"/>
          <w:i/>
          <w:color w:val="000000"/>
          <w:sz w:val="20"/>
          <w:szCs w:val="20"/>
          <w:lang w:val="en-US"/>
        </w:rPr>
        <w:t xml:space="preserve">National Registry of Reproduction Health </w:t>
      </w:r>
      <w:r w:rsidR="002A50BB">
        <w:rPr>
          <w:rFonts w:ascii="Arial" w:hAnsi="Arial" w:cs="Arial"/>
          <w:i/>
          <w:sz w:val="20"/>
          <w:szCs w:val="20"/>
          <w:lang w:val="en-GB"/>
        </w:rPr>
        <w:t>–</w:t>
      </w:r>
      <w:r w:rsidR="002A50BB" w:rsidRPr="002A50BB">
        <w:rPr>
          <w:rFonts w:ascii="Arial" w:hAnsi="Arial" w:cs="Arial"/>
          <w:i/>
          <w:color w:val="000000"/>
          <w:sz w:val="20"/>
          <w:szCs w:val="20"/>
          <w:lang w:val="en-US"/>
        </w:rPr>
        <w:t xml:space="preserve"> Congenital anomalies</w:t>
      </w:r>
      <w:r>
        <w:rPr>
          <w:rFonts w:ascii="Arial" w:hAnsi="Arial" w:cs="Arial"/>
          <w:i/>
          <w:sz w:val="20"/>
          <w:szCs w:val="20"/>
          <w:lang w:val="en-GB"/>
        </w:rPr>
        <w:t xml:space="preserve"> and since 2000</w:t>
      </w:r>
      <w:r w:rsidR="00B3205E">
        <w:rPr>
          <w:rFonts w:ascii="Arial" w:hAnsi="Arial" w:cs="Arial"/>
          <w:i/>
          <w:sz w:val="20"/>
          <w:szCs w:val="20"/>
          <w:lang w:val="en-GB"/>
        </w:rPr>
        <w:t xml:space="preserve"> also</w:t>
      </w:r>
      <w:r>
        <w:rPr>
          <w:rFonts w:ascii="Arial" w:hAnsi="Arial" w:cs="Arial"/>
          <w:i/>
          <w:sz w:val="20"/>
          <w:szCs w:val="20"/>
          <w:lang w:val="en-GB"/>
        </w:rPr>
        <w:t xml:space="preserve"> the </w:t>
      </w:r>
      <w:r w:rsidR="002A50BB" w:rsidRPr="002A50BB">
        <w:rPr>
          <w:rFonts w:ascii="Arial" w:hAnsi="Arial" w:cs="Arial"/>
          <w:i/>
          <w:color w:val="000000"/>
          <w:sz w:val="20"/>
          <w:szCs w:val="20"/>
          <w:lang w:val="en-US"/>
        </w:rPr>
        <w:t xml:space="preserve">National </w:t>
      </w:r>
      <w:r w:rsidR="00CE431E" w:rsidRPr="002A50BB">
        <w:rPr>
          <w:rFonts w:ascii="Arial" w:hAnsi="Arial" w:cs="Arial"/>
          <w:i/>
          <w:color w:val="000000"/>
          <w:sz w:val="20"/>
          <w:szCs w:val="20"/>
          <w:lang w:val="en-US"/>
        </w:rPr>
        <w:t>Regist</w:t>
      </w:r>
      <w:r w:rsidR="00CE431E">
        <w:rPr>
          <w:rFonts w:ascii="Arial" w:hAnsi="Arial" w:cs="Arial"/>
          <w:i/>
          <w:color w:val="000000"/>
          <w:sz w:val="20"/>
          <w:szCs w:val="20"/>
          <w:lang w:val="en-US"/>
        </w:rPr>
        <w:t>er</w:t>
      </w:r>
      <w:r w:rsidR="00CE431E" w:rsidRPr="002A50BB">
        <w:rPr>
          <w:rFonts w:ascii="Arial" w:hAnsi="Arial" w:cs="Arial"/>
          <w:i/>
          <w:color w:val="000000"/>
          <w:sz w:val="20"/>
          <w:szCs w:val="20"/>
          <w:lang w:val="en-US"/>
        </w:rPr>
        <w:t xml:space="preserve"> </w:t>
      </w:r>
      <w:r w:rsidR="002A50BB" w:rsidRPr="002A50BB">
        <w:rPr>
          <w:rFonts w:ascii="Arial" w:hAnsi="Arial" w:cs="Arial"/>
          <w:i/>
          <w:color w:val="000000"/>
          <w:sz w:val="20"/>
          <w:szCs w:val="20"/>
          <w:lang w:val="en-US"/>
        </w:rPr>
        <w:t>of Newborns</w:t>
      </w:r>
      <w:r>
        <w:rPr>
          <w:rFonts w:ascii="Arial" w:hAnsi="Arial" w:cs="Arial"/>
          <w:i/>
          <w:sz w:val="20"/>
          <w:szCs w:val="20"/>
          <w:lang w:val="en-GB"/>
        </w:rPr>
        <w:t xml:space="preserve">. Until 1996 solely congenial malformations, as defined in </w:t>
      </w:r>
      <w:r w:rsidR="00D977E9">
        <w:rPr>
          <w:rFonts w:ascii="Arial" w:hAnsi="Arial" w:cs="Arial"/>
          <w:i/>
          <w:sz w:val="20"/>
          <w:szCs w:val="20"/>
          <w:lang w:val="en-GB"/>
        </w:rPr>
        <w:t xml:space="preserve">the </w:t>
      </w:r>
      <w:r>
        <w:rPr>
          <w:rFonts w:ascii="Arial" w:hAnsi="Arial" w:cs="Arial"/>
          <w:i/>
          <w:sz w:val="20"/>
          <w:szCs w:val="20"/>
          <w:lang w:val="en-GB"/>
        </w:rPr>
        <w:t xml:space="preserve">chapter XVII of the International Statistical Classification of Diseases and Related Health Problems, ICD-10 - Congenial malformations, deformations and chromosomal abnormalities, were monitored and since 1997 also congenial malformations not mentioned in </w:t>
      </w:r>
      <w:r w:rsidR="00467655">
        <w:rPr>
          <w:rFonts w:ascii="Arial" w:hAnsi="Arial" w:cs="Arial"/>
          <w:i/>
          <w:sz w:val="20"/>
          <w:szCs w:val="20"/>
          <w:lang w:val="en-GB"/>
        </w:rPr>
        <w:t xml:space="preserve">the </w:t>
      </w:r>
      <w:r>
        <w:rPr>
          <w:rFonts w:ascii="Arial" w:hAnsi="Arial" w:cs="Arial"/>
          <w:i/>
          <w:sz w:val="20"/>
          <w:szCs w:val="20"/>
          <w:lang w:val="en-GB"/>
        </w:rPr>
        <w:t xml:space="preserve">chapter XVII have been observed. The data apply to live births in the reference year, in which a congenital malformation was diagnosed and notified within the first year of life. </w:t>
      </w:r>
    </w:p>
    <w:p w:rsidR="003A4797" w:rsidRDefault="003A4797">
      <w:pPr>
        <w:jc w:val="both"/>
        <w:rPr>
          <w:rFonts w:ascii="Arial" w:hAnsi="Arial" w:cs="Arial"/>
          <w:b/>
          <w:bCs/>
          <w:sz w:val="20"/>
          <w:lang w:val="en-GB"/>
        </w:rPr>
      </w:pPr>
    </w:p>
    <w:p w:rsidR="00F76F1F" w:rsidRDefault="00F76F1F">
      <w:pPr>
        <w:jc w:val="both"/>
        <w:rPr>
          <w:rFonts w:ascii="Arial" w:hAnsi="Arial" w:cs="Arial"/>
          <w:b/>
          <w:bCs/>
          <w:sz w:val="20"/>
          <w:lang w:val="en-GB"/>
        </w:rPr>
      </w:pPr>
    </w:p>
    <w:p w:rsidR="00F76F1F" w:rsidRDefault="00F76F1F">
      <w:pPr>
        <w:jc w:val="both"/>
        <w:rPr>
          <w:rFonts w:ascii="Arial" w:hAnsi="Arial" w:cs="Arial"/>
          <w:b/>
          <w:bCs/>
          <w:sz w:val="20"/>
          <w:lang w:val="en-GB"/>
        </w:rPr>
      </w:pPr>
    </w:p>
    <w:p w:rsidR="003A4797"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r>
        <w:rPr>
          <w:rFonts w:ascii="Arial" w:hAnsi="Arial" w:cs="Arial"/>
          <w:b/>
          <w:bCs/>
          <w:i/>
          <w:iCs/>
          <w:sz w:val="20"/>
          <w:lang w:val="en-GB"/>
        </w:rPr>
        <w:lastRenderedPageBreak/>
        <w:tab/>
      </w:r>
      <w:r>
        <w:rPr>
          <w:rFonts w:ascii="Arial" w:hAnsi="Arial" w:cs="Arial"/>
          <w:b/>
          <w:bCs/>
          <w:i/>
          <w:iCs/>
          <w:sz w:val="20"/>
          <w:lang w:val="en-GB"/>
        </w:rPr>
        <w:tab/>
        <w:t xml:space="preserve">Average percentage of incapacity for work </w:t>
      </w:r>
      <w:r w:rsidRPr="00930AE1">
        <w:rPr>
          <w:rFonts w:ascii="Arial" w:hAnsi="Arial" w:cs="Arial"/>
          <w:b/>
          <w:bCs/>
          <w:i/>
          <w:iCs/>
          <w:sz w:val="20"/>
          <w:lang w:val="en-GB"/>
        </w:rPr>
        <w:t>per year</w:t>
      </w:r>
      <w:r w:rsidRPr="00930AE1">
        <w:rPr>
          <w:rFonts w:ascii="Arial" w:hAnsi="Arial" w:cs="Arial"/>
          <w:b/>
          <w:i/>
          <w:iCs/>
          <w:sz w:val="20"/>
          <w:lang w:val="en-GB"/>
        </w:rPr>
        <w:t xml:space="preserve"> </w:t>
      </w:r>
      <w:r w:rsidRPr="00930AE1">
        <w:rPr>
          <w:rFonts w:ascii="Arial" w:hAnsi="Arial" w:cs="Arial"/>
          <w:b/>
          <w:bCs/>
          <w:i/>
          <w:iCs/>
          <w:sz w:val="20"/>
          <w:lang w:val="en-GB"/>
        </w:rPr>
        <w:t>is measured as a share of persons</w:t>
      </w:r>
      <w:r w:rsidRPr="00930AE1">
        <w:rPr>
          <w:rFonts w:ascii="Arial" w:hAnsi="Arial" w:cs="Arial"/>
          <w:b/>
          <w:i/>
          <w:iCs/>
          <w:sz w:val="20"/>
          <w:lang w:val="en-GB"/>
        </w:rPr>
        <w:t xml:space="preserve"> </w:t>
      </w:r>
      <w:r w:rsidRPr="00930AE1">
        <w:rPr>
          <w:rFonts w:ascii="Arial" w:hAnsi="Arial" w:cs="Arial"/>
          <w:b/>
          <w:bCs/>
          <w:i/>
          <w:iCs/>
          <w:sz w:val="20"/>
          <w:lang w:val="en-GB"/>
        </w:rPr>
        <w:t xml:space="preserve">incapable </w:t>
      </w:r>
      <w:r w:rsidR="00A546A9">
        <w:rPr>
          <w:rFonts w:ascii="Arial" w:hAnsi="Arial" w:cs="Arial"/>
          <w:b/>
          <w:bCs/>
          <w:i/>
          <w:iCs/>
          <w:sz w:val="20"/>
          <w:lang w:val="en-GB"/>
        </w:rPr>
        <w:t>of</w:t>
      </w:r>
      <w:r w:rsidR="00A546A9" w:rsidRPr="00930AE1">
        <w:rPr>
          <w:rFonts w:ascii="Arial" w:hAnsi="Arial" w:cs="Arial"/>
          <w:b/>
          <w:bCs/>
          <w:i/>
          <w:iCs/>
          <w:sz w:val="20"/>
          <w:lang w:val="en-GB"/>
        </w:rPr>
        <w:t xml:space="preserve"> </w:t>
      </w:r>
      <w:r w:rsidRPr="00930AE1">
        <w:rPr>
          <w:rFonts w:ascii="Arial" w:hAnsi="Arial" w:cs="Arial"/>
          <w:b/>
          <w:bCs/>
          <w:i/>
          <w:iCs/>
          <w:sz w:val="20"/>
          <w:lang w:val="en-GB"/>
        </w:rPr>
        <w:t>work of the number of the</w:t>
      </w:r>
      <w:r w:rsidRPr="00930AE1">
        <w:rPr>
          <w:rFonts w:ascii="Arial" w:hAnsi="Arial" w:cs="Arial"/>
          <w:b/>
          <w:i/>
          <w:iCs/>
          <w:sz w:val="20"/>
          <w:lang w:val="en-GB"/>
        </w:rPr>
        <w:t xml:space="preserve"> </w:t>
      </w:r>
      <w:r w:rsidRPr="00930AE1">
        <w:rPr>
          <w:rFonts w:ascii="Arial" w:hAnsi="Arial" w:cs="Arial"/>
          <w:b/>
          <w:bCs/>
          <w:i/>
          <w:iCs/>
          <w:sz w:val="20"/>
          <w:lang w:val="en-GB"/>
        </w:rPr>
        <w:t>sickness insured per day</w:t>
      </w:r>
      <w:r>
        <w:rPr>
          <w:rFonts w:ascii="Arial" w:hAnsi="Arial" w:cs="Arial"/>
          <w:i/>
          <w:iCs/>
          <w:sz w:val="20"/>
          <w:lang w:val="en-GB"/>
        </w:rPr>
        <w:t xml:space="preserve"> </w:t>
      </w:r>
      <w:r w:rsidRPr="00930AE1">
        <w:rPr>
          <w:rFonts w:ascii="Arial" w:hAnsi="Arial" w:cs="Arial"/>
          <w:b/>
          <w:i/>
          <w:iCs/>
          <w:sz w:val="20"/>
          <w:lang w:val="en-GB"/>
        </w:rPr>
        <w:t xml:space="preserve">on average </w:t>
      </w:r>
      <w:r w:rsidRPr="00D977E9">
        <w:rPr>
          <w:rFonts w:ascii="Arial" w:hAnsi="Arial" w:cs="Arial"/>
          <w:i/>
          <w:iCs/>
          <w:sz w:val="20"/>
          <w:lang w:val="en-GB"/>
        </w:rPr>
        <w:t>and</w:t>
      </w:r>
      <w:r>
        <w:rPr>
          <w:rFonts w:ascii="Arial" w:hAnsi="Arial" w:cs="Arial"/>
          <w:i/>
          <w:iCs/>
          <w:sz w:val="20"/>
          <w:lang w:val="en-GB"/>
        </w:rPr>
        <w:t xml:space="preserve"> is calculated as a fraction of the number of calendar days of incapacity for work due to disease or injury and the average number of the sickness insured employees then multiplied by the number of calendar days in a year. </w:t>
      </w:r>
    </w:p>
    <w:p w:rsidR="003A4797"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3A4797" w:rsidRDefault="003A4797" w:rsidP="002E2D03">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ind w:firstLine="680"/>
        <w:jc w:val="both"/>
        <w:rPr>
          <w:rFonts w:ascii="Arial" w:hAnsi="Arial" w:cs="Arial"/>
          <w:i/>
          <w:iCs/>
          <w:sz w:val="20"/>
          <w:lang w:val="en-GB"/>
        </w:rPr>
      </w:pPr>
      <w:r>
        <w:rPr>
          <w:rFonts w:ascii="Arial" w:hAnsi="Arial" w:cs="Arial"/>
          <w:i/>
          <w:iCs/>
          <w:sz w:val="20"/>
          <w:lang w:val="en-GB"/>
        </w:rPr>
        <w:tab/>
      </w:r>
      <w:r w:rsidRPr="00B02A2B">
        <w:rPr>
          <w:rFonts w:ascii="Arial" w:hAnsi="Arial" w:cs="Arial"/>
          <w:b/>
          <w:bCs/>
          <w:i/>
          <w:iCs/>
          <w:sz w:val="20"/>
          <w:lang w:val="en-GB"/>
        </w:rPr>
        <w:t>The</w:t>
      </w:r>
      <w:r>
        <w:rPr>
          <w:rFonts w:ascii="Arial" w:hAnsi="Arial" w:cs="Arial"/>
          <w:b/>
          <w:bCs/>
          <w:i/>
          <w:iCs/>
          <w:sz w:val="20"/>
          <w:lang w:val="en-GB"/>
        </w:rPr>
        <w:t xml:space="preserve"> average number of sickness-insured persons</w:t>
      </w:r>
      <w:r>
        <w:rPr>
          <w:rFonts w:ascii="Arial" w:hAnsi="Arial" w:cs="Arial"/>
          <w:i/>
          <w:iCs/>
          <w:sz w:val="20"/>
          <w:lang w:val="en-GB"/>
        </w:rPr>
        <w:t xml:space="preserve"> - this indicator includes the average number of </w:t>
      </w:r>
      <w:r w:rsidRPr="002E7861">
        <w:rPr>
          <w:rFonts w:ascii="Arial" w:hAnsi="Arial" w:cs="Arial"/>
          <w:i/>
          <w:iCs/>
          <w:sz w:val="20"/>
          <w:lang w:val="en-GB"/>
        </w:rPr>
        <w:t xml:space="preserve">sickness insured persons under the Act No. 187/2006 Sb. on sickness insurance, as amended. </w:t>
      </w:r>
      <w:r w:rsidR="00627651" w:rsidRPr="002E7861">
        <w:rPr>
          <w:rFonts w:ascii="Arial" w:hAnsi="Arial" w:cs="Arial"/>
          <w:i/>
          <w:sz w:val="20"/>
          <w:lang w:val="en-GB"/>
        </w:rPr>
        <w:t>Administrativ</w:t>
      </w:r>
      <w:r w:rsidR="002E7861" w:rsidRPr="002E7861">
        <w:rPr>
          <w:rFonts w:ascii="Arial" w:hAnsi="Arial" w:cs="Arial"/>
          <w:i/>
          <w:sz w:val="20"/>
          <w:lang w:val="en-GB"/>
        </w:rPr>
        <w:t xml:space="preserve">e data of the </w:t>
      </w:r>
      <w:r w:rsidR="00513D84">
        <w:rPr>
          <w:rFonts w:ascii="Arial" w:hAnsi="Arial" w:cs="Arial"/>
          <w:i/>
          <w:sz w:val="20"/>
          <w:lang w:val="en-GB"/>
        </w:rPr>
        <w:t xml:space="preserve">Information System of the Czech Social Security Administration are reported for all </w:t>
      </w:r>
      <w:r w:rsidR="00513D84" w:rsidRPr="001728B9">
        <w:rPr>
          <w:rFonts w:ascii="Arial" w:hAnsi="Arial" w:cs="Arial"/>
          <w:i/>
          <w:sz w:val="20"/>
          <w:lang w:val="en-GB"/>
        </w:rPr>
        <w:t>employees of legal and natural persons and independently for the self-employed. Members of the Police of</w:t>
      </w:r>
      <w:r w:rsidR="00513D84">
        <w:rPr>
          <w:rFonts w:ascii="Arial" w:hAnsi="Arial" w:cs="Arial"/>
          <w:i/>
          <w:sz w:val="20"/>
          <w:lang w:val="en-GB"/>
        </w:rPr>
        <w:t xml:space="preserve"> the CR, Fire and Rescue Service of the CR, Czech Customs Administration, Prison Service of the CR, </w:t>
      </w:r>
      <w:r w:rsidR="00970D02" w:rsidRPr="00A5662D">
        <w:rPr>
          <w:rFonts w:ascii="Arial" w:hAnsi="Arial" w:cs="Arial"/>
          <w:i/>
          <w:iCs/>
          <w:sz w:val="20"/>
          <w:lang w:val="en-GB"/>
        </w:rPr>
        <w:t>Security Information Service, Office for Foreign Relations and Information, and professional soldiers</w:t>
      </w:r>
      <w:r w:rsidR="00970D02">
        <w:rPr>
          <w:rFonts w:ascii="Arial" w:hAnsi="Arial" w:cs="Arial"/>
          <w:i/>
          <w:iCs/>
          <w:sz w:val="20"/>
          <w:lang w:val="en-GB"/>
        </w:rPr>
        <w:t xml:space="preserve"> (Section 5a (2) of the Act No. 187/2006 Sb.) are not observed for the purposes of statistics on the incapacity for work due to disease or injury.</w:t>
      </w:r>
    </w:p>
    <w:p w:rsidR="003A4797"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r>
        <w:rPr>
          <w:rFonts w:ascii="Arial" w:hAnsi="Arial" w:cs="Arial"/>
          <w:i/>
          <w:iCs/>
          <w:sz w:val="20"/>
          <w:lang w:val="en-GB"/>
        </w:rPr>
        <w:tab/>
      </w:r>
      <w:r>
        <w:rPr>
          <w:rFonts w:ascii="Arial" w:hAnsi="Arial" w:cs="Arial"/>
          <w:i/>
          <w:iCs/>
          <w:sz w:val="20"/>
          <w:lang w:val="en-GB"/>
        </w:rPr>
        <w:tab/>
        <w:t>The</w:t>
      </w:r>
      <w:r>
        <w:rPr>
          <w:rFonts w:ascii="Arial" w:hAnsi="Arial" w:cs="Arial"/>
          <w:b/>
          <w:i/>
          <w:iCs/>
          <w:sz w:val="20"/>
          <w:lang w:val="en-GB"/>
        </w:rPr>
        <w:t xml:space="preserve"> number of </w:t>
      </w:r>
      <w:r>
        <w:rPr>
          <w:rFonts w:ascii="Arial" w:hAnsi="Arial" w:cs="Arial"/>
          <w:b/>
          <w:bCs/>
          <w:i/>
          <w:iCs/>
          <w:sz w:val="20"/>
          <w:lang w:val="en-GB"/>
        </w:rPr>
        <w:t xml:space="preserve">cases of incapacity for work </w:t>
      </w:r>
      <w:r>
        <w:rPr>
          <w:rFonts w:ascii="Arial" w:hAnsi="Arial" w:cs="Arial"/>
          <w:i/>
          <w:iCs/>
          <w:sz w:val="20"/>
          <w:lang w:val="en-GB"/>
        </w:rPr>
        <w:t>– data refer to newly notified cases of incapacity for work due to disease</w:t>
      </w:r>
      <w:r w:rsidR="00F5369C">
        <w:rPr>
          <w:rFonts w:ascii="Arial" w:hAnsi="Arial" w:cs="Arial"/>
          <w:i/>
          <w:iCs/>
          <w:sz w:val="20"/>
          <w:lang w:val="en-GB"/>
        </w:rPr>
        <w:t xml:space="preserve"> or injury</w:t>
      </w:r>
      <w:r>
        <w:rPr>
          <w:rFonts w:ascii="Arial" w:hAnsi="Arial" w:cs="Arial"/>
          <w:i/>
          <w:iCs/>
          <w:sz w:val="20"/>
          <w:lang w:val="en-GB"/>
        </w:rPr>
        <w:t>.</w:t>
      </w:r>
    </w:p>
    <w:p w:rsidR="003A4797"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3A4797" w:rsidRDefault="003A4797" w:rsidP="00CD36E2">
      <w:pPr>
        <w:jc w:val="both"/>
        <w:rPr>
          <w:rFonts w:ascii="Arial" w:eastAsia="Arial Unicode MS" w:hAnsi="Arial" w:cs="Arial"/>
          <w:i/>
          <w:iCs/>
          <w:sz w:val="20"/>
          <w:lang w:val="en-GB"/>
        </w:rPr>
      </w:pPr>
      <w:r>
        <w:rPr>
          <w:rFonts w:ascii="Arial" w:hAnsi="Arial" w:cs="Arial"/>
          <w:b/>
          <w:bCs/>
          <w:i/>
          <w:iCs/>
          <w:sz w:val="20"/>
          <w:lang w:val="en-GB"/>
        </w:rPr>
        <w:tab/>
      </w:r>
      <w:r>
        <w:rPr>
          <w:rFonts w:ascii="Arial" w:hAnsi="Arial" w:cs="Arial"/>
          <w:bCs/>
          <w:i/>
          <w:iCs/>
          <w:sz w:val="20"/>
          <w:lang w:val="en-GB"/>
        </w:rPr>
        <w:t>The</w:t>
      </w:r>
      <w:r>
        <w:rPr>
          <w:rFonts w:ascii="Arial" w:hAnsi="Arial" w:cs="Arial"/>
          <w:b/>
          <w:bCs/>
          <w:i/>
          <w:iCs/>
          <w:sz w:val="20"/>
          <w:lang w:val="en-GB"/>
        </w:rPr>
        <w:t xml:space="preserve"> number of calendar days of incapacity for work due to disease or injury</w:t>
      </w:r>
      <w:r>
        <w:rPr>
          <w:rFonts w:ascii="Arial" w:hAnsi="Arial" w:cs="Arial"/>
          <w:sz w:val="20"/>
          <w:lang w:val="en-GB"/>
        </w:rPr>
        <w:t xml:space="preserve"> </w:t>
      </w:r>
      <w:r>
        <w:rPr>
          <w:rFonts w:ascii="Arial" w:hAnsi="Arial" w:cs="Arial"/>
          <w:i/>
          <w:iCs/>
          <w:sz w:val="20"/>
          <w:lang w:val="en-GB"/>
        </w:rPr>
        <w:t xml:space="preserve">- includes data for each insurance relation separately. The number of calendar days, during which the sickness-insured employees were </w:t>
      </w:r>
      <w:r w:rsidR="00A567C0">
        <w:rPr>
          <w:rFonts w:ascii="Arial" w:hAnsi="Arial" w:cs="Arial"/>
          <w:i/>
          <w:iCs/>
          <w:sz w:val="20"/>
          <w:lang w:val="en-GB"/>
        </w:rPr>
        <w:t>incapable of</w:t>
      </w:r>
      <w:r>
        <w:rPr>
          <w:rFonts w:ascii="Arial" w:hAnsi="Arial" w:cs="Arial"/>
          <w:i/>
          <w:iCs/>
          <w:sz w:val="20"/>
          <w:lang w:val="en-GB"/>
        </w:rPr>
        <w:t xml:space="preserve"> work due to given causes, is reported. C</w:t>
      </w:r>
      <w:r>
        <w:rPr>
          <w:rFonts w:ascii="Arial" w:hAnsi="Arial" w:cs="Arial"/>
          <w:i/>
          <w:iCs/>
          <w:sz w:val="20"/>
          <w:shd w:val="clear" w:color="auto" w:fill="FFFFFF"/>
          <w:lang w:val="en-GB"/>
        </w:rPr>
        <w:t>alendar days of incapacity for work are determined on the basis of reports on the beginning and end of incapacity for work.</w:t>
      </w:r>
    </w:p>
    <w:p w:rsidR="003A4797" w:rsidRDefault="003A4797" w:rsidP="00CD36E2">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A029F4" w:rsidRPr="00496C66" w:rsidRDefault="003A4797" w:rsidP="00496C66">
      <w:pPr>
        <w:autoSpaceDE w:val="0"/>
        <w:autoSpaceDN w:val="0"/>
        <w:adjustRightInd w:val="0"/>
        <w:jc w:val="both"/>
        <w:rPr>
          <w:rFonts w:ascii="Arial" w:hAnsi="Arial" w:cs="Arial"/>
          <w:i/>
          <w:iCs/>
          <w:sz w:val="20"/>
          <w:lang w:val="en-GB"/>
        </w:rPr>
      </w:pPr>
      <w:r>
        <w:rPr>
          <w:rFonts w:ascii="Arial" w:hAnsi="Arial" w:cs="Arial"/>
          <w:i/>
          <w:iCs/>
          <w:sz w:val="20"/>
          <w:lang w:val="en-GB"/>
        </w:rPr>
        <w:tab/>
      </w:r>
      <w:r>
        <w:rPr>
          <w:rFonts w:ascii="Arial" w:hAnsi="Arial" w:cs="Arial"/>
          <w:b/>
          <w:bCs/>
          <w:i/>
          <w:iCs/>
          <w:sz w:val="20"/>
          <w:lang w:val="en-GB"/>
        </w:rPr>
        <w:t xml:space="preserve">Deaths analysed by cause </w:t>
      </w:r>
      <w:r>
        <w:rPr>
          <w:rFonts w:ascii="Arial" w:hAnsi="Arial" w:cs="Arial"/>
          <w:i/>
          <w:iCs/>
          <w:sz w:val="20"/>
          <w:lang w:val="en-GB"/>
        </w:rPr>
        <w:t xml:space="preserve">– </w:t>
      </w:r>
      <w:r w:rsidR="007B7E19">
        <w:rPr>
          <w:rFonts w:ascii="Arial" w:hAnsi="Arial" w:cs="Arial"/>
          <w:i/>
          <w:iCs/>
          <w:sz w:val="20"/>
          <w:lang w:val="en-GB"/>
        </w:rPr>
        <w:t xml:space="preserve">with effect from </w:t>
      </w:r>
      <w:r>
        <w:rPr>
          <w:rFonts w:ascii="Arial" w:hAnsi="Arial" w:cs="Arial"/>
          <w:i/>
          <w:iCs/>
          <w:sz w:val="20"/>
          <w:lang w:val="en-GB"/>
        </w:rPr>
        <w:t>1 January 1994 the 10</w:t>
      </w:r>
      <w:r>
        <w:rPr>
          <w:rFonts w:ascii="Arial" w:hAnsi="Arial" w:cs="Arial"/>
          <w:i/>
          <w:iCs/>
          <w:sz w:val="20"/>
          <w:vertAlign w:val="superscript"/>
          <w:lang w:val="en-GB"/>
        </w:rPr>
        <w:t>th</w:t>
      </w:r>
      <w:r>
        <w:rPr>
          <w:rFonts w:ascii="Arial" w:hAnsi="Arial" w:cs="Arial"/>
          <w:i/>
          <w:iCs/>
          <w:sz w:val="20"/>
          <w:lang w:val="en-GB"/>
        </w:rPr>
        <w:t xml:space="preserve"> decennial revision of the International Statistical Classification of Diseases and Related Health Problems (hereinafter as the ICD-10) </w:t>
      </w:r>
      <w:r w:rsidR="007B7E19">
        <w:rPr>
          <w:rFonts w:ascii="Arial" w:hAnsi="Arial" w:cs="Arial"/>
          <w:i/>
          <w:iCs/>
          <w:sz w:val="20"/>
          <w:lang w:val="en-GB"/>
        </w:rPr>
        <w:t>was introduced</w:t>
      </w:r>
      <w:r w:rsidRPr="00107D8E">
        <w:rPr>
          <w:rFonts w:ascii="Arial" w:hAnsi="Arial" w:cs="Arial"/>
          <w:i/>
          <w:iCs/>
          <w:sz w:val="20"/>
          <w:lang w:val="en-GB"/>
        </w:rPr>
        <w:t xml:space="preserve"> in the CR </w:t>
      </w:r>
      <w:r w:rsidR="007E0BDA">
        <w:rPr>
          <w:rFonts w:ascii="Arial" w:hAnsi="Arial" w:cs="Arial"/>
          <w:i/>
          <w:iCs/>
          <w:sz w:val="20"/>
          <w:lang w:val="en-GB"/>
        </w:rPr>
        <w:t>under</w:t>
      </w:r>
      <w:r w:rsidRPr="00107D8E">
        <w:rPr>
          <w:rFonts w:ascii="Arial" w:hAnsi="Arial" w:cs="Arial"/>
          <w:i/>
          <w:iCs/>
          <w:sz w:val="20"/>
          <w:lang w:val="en-GB"/>
        </w:rPr>
        <w:t xml:space="preserve"> the Section 24 paragraph 4 of the Act of the Czech National </w:t>
      </w:r>
      <w:r w:rsidRPr="00496C66">
        <w:rPr>
          <w:rFonts w:ascii="Arial" w:hAnsi="Arial" w:cs="Arial"/>
          <w:i/>
          <w:iCs/>
          <w:sz w:val="20"/>
          <w:lang w:val="en-GB"/>
        </w:rPr>
        <w:t xml:space="preserve">Council No. 278/1992 Sb. </w:t>
      </w:r>
      <w:r w:rsidR="00BF5BF9" w:rsidRPr="00FB1F0C">
        <w:rPr>
          <w:rFonts w:ascii="Arial" w:hAnsi="Arial" w:cs="Arial"/>
          <w:i/>
          <w:iCs/>
          <w:sz w:val="20"/>
          <w:szCs w:val="20"/>
          <w:lang w:val="en-GB"/>
        </w:rPr>
        <w:t>It was introduced by the CZSO Communication No. 495/2003 Sb. on issuing of the International Statistical Classification of Diseases and Related Health Problems 10th Revision (ICD-10), effective since 1 January 2004, and updated by the CZSO Communications No. 430/2008 Sb., effective since 1 January 2009, No. 340/2011 Sb., effective since 1 January 2012, and No. 426/2012 Sb., effective since 1 January 2013. It corresponds to the international standard of the ICD-10. It classifies diseases and related health problems and uses combinations of alphabetical and numerical codes.</w:t>
      </w:r>
      <w:r w:rsidR="00BF5BF9">
        <w:rPr>
          <w:rFonts w:ascii="Arial" w:hAnsi="Arial" w:cs="Arial"/>
          <w:i/>
          <w:iCs/>
          <w:sz w:val="20"/>
          <w:szCs w:val="20"/>
          <w:lang w:val="en-GB"/>
        </w:rPr>
        <w:t xml:space="preserve"> </w:t>
      </w:r>
    </w:p>
    <w:p w:rsidR="003A4797" w:rsidRPr="00A029F4"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rPr>
      </w:pPr>
      <w:r w:rsidRPr="00A029F4">
        <w:rPr>
          <w:rFonts w:ascii="Arial" w:hAnsi="Arial" w:cs="Arial"/>
          <w:i/>
          <w:iCs/>
          <w:sz w:val="20"/>
        </w:rPr>
        <w:tab/>
      </w:r>
    </w:p>
    <w:p w:rsidR="003A4797" w:rsidRDefault="003A4797">
      <w:pPr>
        <w:ind w:firstLine="708"/>
        <w:jc w:val="both"/>
        <w:rPr>
          <w:rFonts w:ascii="Arial" w:hAnsi="Arial" w:cs="Arial"/>
          <w:i/>
          <w:iCs/>
          <w:sz w:val="20"/>
          <w:lang w:val="en-GB"/>
        </w:rPr>
      </w:pPr>
      <w:r>
        <w:rPr>
          <w:rFonts w:ascii="Arial" w:hAnsi="Arial" w:cs="Arial"/>
          <w:b/>
          <w:bCs/>
          <w:i/>
          <w:iCs/>
          <w:sz w:val="20"/>
          <w:lang w:val="en-GB"/>
        </w:rPr>
        <w:t xml:space="preserve">Costs of health care – </w:t>
      </w:r>
      <w:r>
        <w:rPr>
          <w:rFonts w:ascii="Arial" w:hAnsi="Arial" w:cs="Arial"/>
          <w:i/>
          <w:iCs/>
          <w:sz w:val="20"/>
          <w:lang w:val="en-GB"/>
        </w:rPr>
        <w:t>for the period 2000-</w:t>
      </w:r>
      <w:r w:rsidR="00AF6F49" w:rsidRPr="00FB1F0C">
        <w:rPr>
          <w:rFonts w:ascii="Arial" w:hAnsi="Arial" w:cs="Arial"/>
          <w:i/>
          <w:iCs/>
          <w:sz w:val="20"/>
          <w:lang w:val="en-GB"/>
        </w:rPr>
        <w:t>201</w:t>
      </w:r>
      <w:r w:rsidR="00FB1F0C" w:rsidRPr="00FB1F0C">
        <w:rPr>
          <w:rFonts w:ascii="Arial" w:hAnsi="Arial" w:cs="Arial"/>
          <w:i/>
          <w:iCs/>
          <w:sz w:val="20"/>
          <w:lang w:val="en-GB"/>
        </w:rPr>
        <w:t>2</w:t>
      </w:r>
      <w:r w:rsidR="00AF6F49">
        <w:rPr>
          <w:rFonts w:ascii="Arial" w:hAnsi="Arial" w:cs="Arial"/>
          <w:i/>
          <w:iCs/>
          <w:sz w:val="20"/>
          <w:lang w:val="en-GB"/>
        </w:rPr>
        <w:t xml:space="preserve"> </w:t>
      </w:r>
      <w:r>
        <w:rPr>
          <w:rFonts w:ascii="Arial" w:hAnsi="Arial" w:cs="Arial"/>
          <w:i/>
          <w:iCs/>
          <w:sz w:val="20"/>
          <w:lang w:val="en-GB"/>
        </w:rPr>
        <w:t xml:space="preserve">there are costs of the public health insurance for health care available itemised by age </w:t>
      </w:r>
      <w:r w:rsidR="00C37B67">
        <w:rPr>
          <w:rFonts w:ascii="Arial" w:hAnsi="Arial" w:cs="Arial"/>
          <w:i/>
          <w:iCs/>
          <w:sz w:val="20"/>
          <w:lang w:val="en-GB"/>
        </w:rPr>
        <w:t xml:space="preserve">category </w:t>
      </w:r>
      <w:r>
        <w:rPr>
          <w:rFonts w:ascii="Arial" w:hAnsi="Arial" w:cs="Arial"/>
          <w:i/>
          <w:iCs/>
          <w:sz w:val="20"/>
          <w:lang w:val="en-GB"/>
        </w:rPr>
        <w:t xml:space="preserve">(1 category = 5 years) and by sex of the insured persons. Furthermore, costs of selected groups of diagnoses from the International Statistical Classification of Diseases and Related Health Problems (ICD-10) with respect to the aforementioned age categories and age of the insured and also the average costs per insured person by age and sex are available. The data come from health insurance companies, which cover </w:t>
      </w:r>
      <w:r w:rsidR="00EC2E74">
        <w:rPr>
          <w:rFonts w:ascii="Arial" w:hAnsi="Arial" w:cs="Arial"/>
          <w:i/>
          <w:iCs/>
          <w:sz w:val="20"/>
          <w:lang w:val="en-GB"/>
        </w:rPr>
        <w:t>more than</w:t>
      </w:r>
      <w:r>
        <w:rPr>
          <w:rFonts w:ascii="Arial" w:hAnsi="Arial" w:cs="Arial"/>
          <w:i/>
          <w:iCs/>
          <w:sz w:val="20"/>
          <w:lang w:val="en-GB"/>
        </w:rPr>
        <w:t xml:space="preserve"> </w:t>
      </w:r>
      <w:r w:rsidR="00AF6F49">
        <w:rPr>
          <w:rFonts w:ascii="Arial" w:hAnsi="Arial" w:cs="Arial"/>
          <w:i/>
          <w:iCs/>
          <w:sz w:val="20"/>
          <w:lang w:val="en-GB"/>
        </w:rPr>
        <w:t>75</w:t>
      </w:r>
      <w:r>
        <w:rPr>
          <w:rFonts w:ascii="Arial" w:hAnsi="Arial" w:cs="Arial"/>
          <w:i/>
          <w:iCs/>
          <w:sz w:val="20"/>
          <w:lang w:val="en-GB"/>
        </w:rPr>
        <w:t>% of expenditure on health.</w:t>
      </w:r>
    </w:p>
    <w:p w:rsidR="003A4797" w:rsidRDefault="003A4797">
      <w:pPr>
        <w:ind w:firstLine="708"/>
        <w:jc w:val="both"/>
        <w:rPr>
          <w:rFonts w:ascii="Arial" w:hAnsi="Arial" w:cs="Arial"/>
          <w:i/>
          <w:iCs/>
          <w:sz w:val="20"/>
          <w:lang w:val="en-GB"/>
        </w:rPr>
      </w:pPr>
    </w:p>
    <w:p w:rsidR="003A4797" w:rsidRDefault="003A4797">
      <w:pPr>
        <w:ind w:firstLine="708"/>
        <w:jc w:val="both"/>
        <w:rPr>
          <w:rFonts w:ascii="Arial" w:hAnsi="Arial" w:cs="Arial"/>
          <w:i/>
          <w:iCs/>
          <w:sz w:val="20"/>
          <w:lang w:val="en-GB"/>
        </w:rPr>
      </w:pPr>
      <w:r>
        <w:rPr>
          <w:rFonts w:ascii="Arial" w:hAnsi="Arial" w:cs="Arial"/>
          <w:b/>
          <w:bCs/>
          <w:i/>
          <w:iCs/>
          <w:sz w:val="20"/>
          <w:lang w:val="en-GB"/>
        </w:rPr>
        <w:t>Table 2-</w:t>
      </w:r>
      <w:r w:rsidR="00D01683">
        <w:rPr>
          <w:rFonts w:ascii="Arial" w:hAnsi="Arial" w:cs="Arial"/>
          <w:b/>
          <w:bCs/>
          <w:i/>
          <w:iCs/>
          <w:sz w:val="20"/>
          <w:lang w:val="en-GB"/>
        </w:rPr>
        <w:t>2</w:t>
      </w:r>
      <w:r w:rsidR="00F95A77">
        <w:rPr>
          <w:rFonts w:ascii="Arial" w:hAnsi="Arial" w:cs="Arial"/>
          <w:b/>
          <w:bCs/>
          <w:i/>
          <w:iCs/>
          <w:sz w:val="20"/>
          <w:lang w:val="en-GB"/>
        </w:rPr>
        <w:t>6</w:t>
      </w:r>
      <w:r>
        <w:rPr>
          <w:rFonts w:ascii="Arial" w:hAnsi="Arial" w:cs="Arial"/>
          <w:i/>
          <w:iCs/>
          <w:sz w:val="20"/>
          <w:lang w:val="en-GB"/>
        </w:rPr>
        <w:t xml:space="preserve"> –</w:t>
      </w:r>
      <w:r w:rsidR="00041E4B">
        <w:rPr>
          <w:rFonts w:ascii="Arial" w:hAnsi="Arial" w:cs="Arial"/>
          <w:i/>
          <w:iCs/>
          <w:sz w:val="20"/>
          <w:lang w:val="en-GB"/>
        </w:rPr>
        <w:t xml:space="preserve"> </w:t>
      </w:r>
      <w:r w:rsidR="005D222A">
        <w:rPr>
          <w:rFonts w:ascii="Arial" w:hAnsi="Arial" w:cs="Arial"/>
          <w:i/>
          <w:iCs/>
          <w:sz w:val="20"/>
          <w:lang w:val="en-GB"/>
        </w:rPr>
        <w:t>includes</w:t>
      </w:r>
      <w:r>
        <w:rPr>
          <w:rFonts w:ascii="Arial" w:hAnsi="Arial" w:cs="Arial"/>
          <w:i/>
          <w:iCs/>
          <w:sz w:val="20"/>
          <w:lang w:val="en-GB"/>
        </w:rPr>
        <w:t xml:space="preserve"> data from the </w:t>
      </w:r>
      <w:r w:rsidR="007E33CD" w:rsidRPr="00FB1F0C">
        <w:rPr>
          <w:rFonts w:ascii="Arial" w:hAnsi="Arial" w:cs="Arial"/>
          <w:i/>
          <w:iCs/>
          <w:sz w:val="20"/>
          <w:lang w:val="en-GB"/>
        </w:rPr>
        <w:t>201</w:t>
      </w:r>
      <w:r w:rsidR="00F95A77">
        <w:rPr>
          <w:rFonts w:ascii="Arial" w:hAnsi="Arial" w:cs="Arial"/>
          <w:i/>
          <w:iCs/>
          <w:sz w:val="20"/>
          <w:lang w:val="en-GB"/>
        </w:rPr>
        <w:t>4</w:t>
      </w:r>
      <w:r w:rsidR="007E33CD">
        <w:rPr>
          <w:rFonts w:ascii="Arial" w:hAnsi="Arial" w:cs="Arial"/>
          <w:i/>
          <w:iCs/>
          <w:sz w:val="20"/>
          <w:lang w:val="en-GB"/>
        </w:rPr>
        <w:t xml:space="preserve"> </w:t>
      </w:r>
      <w:r>
        <w:rPr>
          <w:rFonts w:ascii="Arial" w:hAnsi="Arial" w:cs="Arial"/>
          <w:i/>
          <w:iCs/>
          <w:sz w:val="20"/>
          <w:lang w:val="en-GB"/>
        </w:rPr>
        <w:t>Living Conditions Survey</w:t>
      </w:r>
      <w:r w:rsidR="00C92AA8">
        <w:rPr>
          <w:rFonts w:ascii="Arial" w:hAnsi="Arial" w:cs="Arial"/>
          <w:i/>
          <w:iCs/>
          <w:sz w:val="20"/>
          <w:lang w:val="en-GB"/>
        </w:rPr>
        <w:t>. It r</w:t>
      </w:r>
      <w:r>
        <w:rPr>
          <w:rFonts w:ascii="Arial" w:hAnsi="Arial" w:cs="Arial"/>
          <w:i/>
          <w:iCs/>
          <w:sz w:val="20"/>
          <w:lang w:val="en-GB"/>
        </w:rPr>
        <w:t>epresents the self-assessment of health status of respondents aged 16+.</w:t>
      </w:r>
    </w:p>
    <w:p w:rsidR="003A4797" w:rsidRDefault="003A4797">
      <w:pPr>
        <w:jc w:val="both"/>
        <w:rPr>
          <w:b/>
          <w:bCs/>
          <w:i/>
          <w:iCs/>
          <w:lang w:val="en-GB"/>
        </w:rPr>
      </w:pPr>
    </w:p>
    <w:sectPr w:rsidR="003A4797" w:rsidSect="007B2D91">
      <w:footerReference w:type="even" r:id="rId7"/>
      <w:pgSz w:w="11906" w:h="16838" w:code="9"/>
      <w:pgMar w:top="1134" w:right="1134" w:bottom="1418"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E2E" w:rsidRDefault="00B96E2E">
      <w:r>
        <w:separator/>
      </w:r>
    </w:p>
  </w:endnote>
  <w:endnote w:type="continuationSeparator" w:id="0">
    <w:p w:rsidR="00B96E2E" w:rsidRDefault="00B96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60" w:rsidRDefault="0040536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05360" w:rsidRDefault="0040536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E2E" w:rsidRDefault="00B96E2E">
      <w:r>
        <w:separator/>
      </w:r>
    </w:p>
  </w:footnote>
  <w:footnote w:type="continuationSeparator" w:id="0">
    <w:p w:rsidR="00B96E2E" w:rsidRDefault="00B96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715"/>
    <w:rsid w:val="000233D3"/>
    <w:rsid w:val="00023FB4"/>
    <w:rsid w:val="00026312"/>
    <w:rsid w:val="00027956"/>
    <w:rsid w:val="00031892"/>
    <w:rsid w:val="00041E4B"/>
    <w:rsid w:val="000441F8"/>
    <w:rsid w:val="00050443"/>
    <w:rsid w:val="00050E0A"/>
    <w:rsid w:val="00075325"/>
    <w:rsid w:val="000D2725"/>
    <w:rsid w:val="00107D8E"/>
    <w:rsid w:val="00131F0D"/>
    <w:rsid w:val="001728B9"/>
    <w:rsid w:val="001B2373"/>
    <w:rsid w:val="001B717E"/>
    <w:rsid w:val="001D4099"/>
    <w:rsid w:val="001D4715"/>
    <w:rsid w:val="001D51AB"/>
    <w:rsid w:val="001E5606"/>
    <w:rsid w:val="001F392C"/>
    <w:rsid w:val="00216165"/>
    <w:rsid w:val="00227B9E"/>
    <w:rsid w:val="002356F5"/>
    <w:rsid w:val="00243EA5"/>
    <w:rsid w:val="002548BC"/>
    <w:rsid w:val="002A16DA"/>
    <w:rsid w:val="002A50BB"/>
    <w:rsid w:val="002B1BC6"/>
    <w:rsid w:val="002D7314"/>
    <w:rsid w:val="002E0D5C"/>
    <w:rsid w:val="002E2D03"/>
    <w:rsid w:val="002E719C"/>
    <w:rsid w:val="002E7861"/>
    <w:rsid w:val="00337CF5"/>
    <w:rsid w:val="00364482"/>
    <w:rsid w:val="003A4797"/>
    <w:rsid w:val="003B4500"/>
    <w:rsid w:val="003D42D4"/>
    <w:rsid w:val="003E524F"/>
    <w:rsid w:val="003F42B8"/>
    <w:rsid w:val="0040484B"/>
    <w:rsid w:val="00405360"/>
    <w:rsid w:val="00410547"/>
    <w:rsid w:val="00423C7A"/>
    <w:rsid w:val="004322B6"/>
    <w:rsid w:val="00467655"/>
    <w:rsid w:val="00472401"/>
    <w:rsid w:val="00496C66"/>
    <w:rsid w:val="004B1243"/>
    <w:rsid w:val="004C0EC7"/>
    <w:rsid w:val="004C6BC9"/>
    <w:rsid w:val="004F4CEB"/>
    <w:rsid w:val="004F5441"/>
    <w:rsid w:val="005018F5"/>
    <w:rsid w:val="00513D84"/>
    <w:rsid w:val="00552F05"/>
    <w:rsid w:val="005A4DEE"/>
    <w:rsid w:val="005D222A"/>
    <w:rsid w:val="005D7823"/>
    <w:rsid w:val="005F6430"/>
    <w:rsid w:val="00616D8E"/>
    <w:rsid w:val="00627651"/>
    <w:rsid w:val="00643673"/>
    <w:rsid w:val="006A0DE4"/>
    <w:rsid w:val="006B6DD4"/>
    <w:rsid w:val="006C467C"/>
    <w:rsid w:val="00711F90"/>
    <w:rsid w:val="007737CB"/>
    <w:rsid w:val="007B2D91"/>
    <w:rsid w:val="007B7E19"/>
    <w:rsid w:val="007D3606"/>
    <w:rsid w:val="007E0BDA"/>
    <w:rsid w:val="007E33CD"/>
    <w:rsid w:val="00806433"/>
    <w:rsid w:val="008072D4"/>
    <w:rsid w:val="00826D19"/>
    <w:rsid w:val="00850E06"/>
    <w:rsid w:val="008968FB"/>
    <w:rsid w:val="008B027A"/>
    <w:rsid w:val="008B0D05"/>
    <w:rsid w:val="008D6B22"/>
    <w:rsid w:val="008E040F"/>
    <w:rsid w:val="00924268"/>
    <w:rsid w:val="00925720"/>
    <w:rsid w:val="00930AE1"/>
    <w:rsid w:val="009344D9"/>
    <w:rsid w:val="00934DB5"/>
    <w:rsid w:val="00945CE3"/>
    <w:rsid w:val="00954FD4"/>
    <w:rsid w:val="00961B41"/>
    <w:rsid w:val="00963460"/>
    <w:rsid w:val="00970D02"/>
    <w:rsid w:val="00987643"/>
    <w:rsid w:val="009938D8"/>
    <w:rsid w:val="00A029F4"/>
    <w:rsid w:val="00A0741C"/>
    <w:rsid w:val="00A26D96"/>
    <w:rsid w:val="00A546A9"/>
    <w:rsid w:val="00A5662D"/>
    <w:rsid w:val="00A567C0"/>
    <w:rsid w:val="00A60F87"/>
    <w:rsid w:val="00AD1337"/>
    <w:rsid w:val="00AF6F49"/>
    <w:rsid w:val="00B01514"/>
    <w:rsid w:val="00B02A2B"/>
    <w:rsid w:val="00B255E2"/>
    <w:rsid w:val="00B3205E"/>
    <w:rsid w:val="00B32AFB"/>
    <w:rsid w:val="00B63B21"/>
    <w:rsid w:val="00B64263"/>
    <w:rsid w:val="00B7770D"/>
    <w:rsid w:val="00B96E2E"/>
    <w:rsid w:val="00BD2D36"/>
    <w:rsid w:val="00BD2F34"/>
    <w:rsid w:val="00BF5BF9"/>
    <w:rsid w:val="00C018C2"/>
    <w:rsid w:val="00C37B67"/>
    <w:rsid w:val="00C53522"/>
    <w:rsid w:val="00C5463C"/>
    <w:rsid w:val="00C609B5"/>
    <w:rsid w:val="00C64629"/>
    <w:rsid w:val="00C73C28"/>
    <w:rsid w:val="00C92AA8"/>
    <w:rsid w:val="00C92CC0"/>
    <w:rsid w:val="00CD36E2"/>
    <w:rsid w:val="00CD793B"/>
    <w:rsid w:val="00CE431E"/>
    <w:rsid w:val="00CE4352"/>
    <w:rsid w:val="00D01683"/>
    <w:rsid w:val="00D0523E"/>
    <w:rsid w:val="00D06F3D"/>
    <w:rsid w:val="00D669CB"/>
    <w:rsid w:val="00D73C8A"/>
    <w:rsid w:val="00D73F69"/>
    <w:rsid w:val="00D75715"/>
    <w:rsid w:val="00D961FB"/>
    <w:rsid w:val="00D977E9"/>
    <w:rsid w:val="00DC5A54"/>
    <w:rsid w:val="00DD3F10"/>
    <w:rsid w:val="00DD59AB"/>
    <w:rsid w:val="00DD74CC"/>
    <w:rsid w:val="00DF44B9"/>
    <w:rsid w:val="00E05159"/>
    <w:rsid w:val="00E34433"/>
    <w:rsid w:val="00E56FCF"/>
    <w:rsid w:val="00EB0B5F"/>
    <w:rsid w:val="00EC2E74"/>
    <w:rsid w:val="00F03622"/>
    <w:rsid w:val="00F5369C"/>
    <w:rsid w:val="00F61F72"/>
    <w:rsid w:val="00F66D9A"/>
    <w:rsid w:val="00F76F1F"/>
    <w:rsid w:val="00F8154C"/>
    <w:rsid w:val="00F86454"/>
    <w:rsid w:val="00F95A77"/>
    <w:rsid w:val="00FB1F0C"/>
    <w:rsid w:val="00FF71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Pr>
      <w:rFonts w:ascii="Arial" w:hAnsi="Arial" w:cs="Arial"/>
      <w:i/>
      <w:iCs/>
      <w:sz w:val="20"/>
      <w:lang w:val="en-GB"/>
    </w:rPr>
  </w:style>
  <w:style w:type="paragraph" w:styleId="Zkladntextodsazen">
    <w:name w:val="Body Text Indent"/>
    <w:basedOn w:val="Normln"/>
    <w:pPr>
      <w:ind w:firstLine="567"/>
      <w:jc w:val="both"/>
    </w:pPr>
    <w:rPr>
      <w:rFonts w:ascii="Arial" w:hAnsi="Arial" w:cs="Arial"/>
      <w:color w:val="FF0000"/>
      <w:sz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Siln">
    <w:name w:val="Strong"/>
    <w:basedOn w:val="Standardnpsmoodstavce"/>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6552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jileckova</dc:creator>
  <cp:lastModifiedBy>Marek Řezanka</cp:lastModifiedBy>
  <cp:revision>2</cp:revision>
  <cp:lastPrinted>2014-12-12T12:29:00Z</cp:lastPrinted>
  <dcterms:created xsi:type="dcterms:W3CDTF">2016-12-22T12:33:00Z</dcterms:created>
  <dcterms:modified xsi:type="dcterms:W3CDTF">2016-12-22T12:33:00Z</dcterms:modified>
</cp:coreProperties>
</file>