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62" w:rsidRPr="00711E28" w:rsidRDefault="00FC7562">
      <w:pPr>
        <w:jc w:val="both"/>
        <w:rPr>
          <w:rFonts w:ascii="Arial" w:hAnsi="Arial" w:cs="Arial"/>
          <w:b/>
          <w:bCs/>
          <w:i/>
          <w:iCs/>
          <w:sz w:val="20"/>
          <w:szCs w:val="20"/>
          <w:lang w:val="en-GB"/>
        </w:rPr>
      </w:pPr>
      <w:r w:rsidRPr="00711E28">
        <w:rPr>
          <w:rFonts w:ascii="Arial" w:hAnsi="Arial" w:cs="Arial"/>
          <w:b/>
          <w:bCs/>
          <w:i/>
          <w:iCs/>
          <w:sz w:val="20"/>
          <w:szCs w:val="20"/>
          <w:lang w:val="en-GB"/>
        </w:rPr>
        <w:t>1. POPULATION</w:t>
      </w:r>
      <w:r w:rsidR="00967D3E" w:rsidRPr="00711E28">
        <w:rPr>
          <w:rFonts w:ascii="Arial" w:hAnsi="Arial" w:cs="Arial"/>
          <w:b/>
          <w:bCs/>
          <w:i/>
          <w:iCs/>
          <w:sz w:val="20"/>
          <w:szCs w:val="20"/>
          <w:lang w:val="en-GB"/>
        </w:rPr>
        <w:t>,</w:t>
      </w:r>
      <w:r w:rsidRPr="00711E28">
        <w:rPr>
          <w:rFonts w:ascii="Arial" w:hAnsi="Arial" w:cs="Arial"/>
          <w:b/>
          <w:bCs/>
          <w:i/>
          <w:iCs/>
          <w:sz w:val="20"/>
          <w:szCs w:val="20"/>
          <w:lang w:val="en-GB"/>
        </w:rPr>
        <w:t xml:space="preserve"> FAMILIES AND HOUSEHOLDS</w:t>
      </w:r>
    </w:p>
    <w:p w:rsidR="00FC7562" w:rsidRPr="00711E28" w:rsidRDefault="00FC7562">
      <w:pPr>
        <w:tabs>
          <w:tab w:val="left" w:pos="600"/>
        </w:tabs>
        <w:jc w:val="both"/>
        <w:rPr>
          <w:rFonts w:ascii="Arial" w:hAnsi="Arial" w:cs="Arial"/>
          <w:i/>
          <w:iCs/>
          <w:sz w:val="20"/>
          <w:szCs w:val="20"/>
          <w:lang w:val="en-GB"/>
        </w:rPr>
      </w:pPr>
    </w:p>
    <w:p w:rsidR="00FC7562" w:rsidRPr="00711E28" w:rsidRDefault="00FC7562">
      <w:pPr>
        <w:pStyle w:val="Zkladntext3"/>
      </w:pPr>
      <w:r w:rsidRPr="00711E28">
        <w:tab/>
      </w:r>
      <w:r w:rsidR="00EA3B03" w:rsidRPr="00842845">
        <w:rPr>
          <w:iCs w:val="0"/>
        </w:rPr>
        <w:t xml:space="preserve">The basis of information on </w:t>
      </w:r>
      <w:r w:rsidR="00872D1B">
        <w:rPr>
          <w:iCs w:val="0"/>
        </w:rPr>
        <w:t xml:space="preserve">the </w:t>
      </w:r>
      <w:r w:rsidR="00EA3B03" w:rsidRPr="00842845">
        <w:rPr>
          <w:iCs w:val="0"/>
        </w:rPr>
        <w:t xml:space="preserve">demographic structure of </w:t>
      </w:r>
      <w:r w:rsidR="00872D1B">
        <w:rPr>
          <w:iCs w:val="0"/>
        </w:rPr>
        <w:t xml:space="preserve">the </w:t>
      </w:r>
      <w:r w:rsidR="00EA3B03" w:rsidRPr="00842845">
        <w:rPr>
          <w:iCs w:val="0"/>
        </w:rPr>
        <w:t xml:space="preserve">population and its changes lies in periodic </w:t>
      </w:r>
      <w:r w:rsidR="00EA3B03" w:rsidRPr="00842845">
        <w:rPr>
          <w:b/>
          <w:bCs/>
          <w:iCs w:val="0"/>
        </w:rPr>
        <w:t>population and housing censuses</w:t>
      </w:r>
      <w:r w:rsidR="00EA3B03" w:rsidRPr="00842845">
        <w:rPr>
          <w:iCs w:val="0"/>
        </w:rPr>
        <w:t xml:space="preserve"> the last of which took place as at 26 March 2011. Data found in censuses are followed by intercensal </w:t>
      </w:r>
      <w:r w:rsidR="00EA3B03" w:rsidRPr="00842845">
        <w:rPr>
          <w:b/>
          <w:iCs w:val="0"/>
        </w:rPr>
        <w:t>statistical population balance</w:t>
      </w:r>
      <w:r w:rsidR="00023488">
        <w:rPr>
          <w:b/>
          <w:iCs w:val="0"/>
        </w:rPr>
        <w:t>s</w:t>
      </w:r>
      <w:r w:rsidR="00EA3B03" w:rsidRPr="00842845">
        <w:rPr>
          <w:iCs w:val="0"/>
        </w:rPr>
        <w:t xml:space="preserve"> and annually processed </w:t>
      </w:r>
      <w:r w:rsidR="00EA3B03" w:rsidRPr="00842845">
        <w:rPr>
          <w:b/>
          <w:iCs w:val="0"/>
        </w:rPr>
        <w:t>statistics on marriages, divorces, births, deaths, abortions</w:t>
      </w:r>
      <w:r w:rsidR="00842845">
        <w:rPr>
          <w:b/>
          <w:iCs w:val="0"/>
        </w:rPr>
        <w:t>,</w:t>
      </w:r>
      <w:r w:rsidR="00EA3B03" w:rsidRPr="00842845">
        <w:rPr>
          <w:b/>
          <w:iCs w:val="0"/>
        </w:rPr>
        <w:t xml:space="preserve"> and migration</w:t>
      </w:r>
      <w:r w:rsidR="00EA3B03" w:rsidRPr="00842845">
        <w:rPr>
          <w:iCs w:val="0"/>
        </w:rPr>
        <w:t>.</w:t>
      </w:r>
      <w:r w:rsidR="00EA3B03" w:rsidRPr="00842845">
        <w:rPr>
          <w:iCs w:val="0"/>
          <w:szCs w:val="17"/>
        </w:rPr>
        <w:t xml:space="preserve"> They result from the processing of statistical reports on marriages, births, and deaths provided by registries and from processing of data taken over from other information systems. Since 2007 the Information System of the Ministry of Justice of the CR is the source of data on divorces (before 2007 the statistics was based on processing of reports on divorce). The data on abortions are provided to the Czech Statistical Office by the Institute of Health Information and Statistics of the </w:t>
      </w:r>
      <w:r w:rsidR="00EA3B03" w:rsidRPr="00890984">
        <w:rPr>
          <w:iCs w:val="0"/>
          <w:szCs w:val="17"/>
        </w:rPr>
        <w:t>CR. The data on migration are taken by the CZSO from information systems of the Directorate of Alien Police</w:t>
      </w:r>
      <w:r w:rsidR="00842845" w:rsidRPr="00890984">
        <w:rPr>
          <w:iCs w:val="0"/>
          <w:szCs w:val="17"/>
        </w:rPr>
        <w:t xml:space="preserve"> Service</w:t>
      </w:r>
      <w:r w:rsidR="00EA3B03" w:rsidRPr="00890984">
        <w:rPr>
          <w:iCs w:val="0"/>
          <w:szCs w:val="17"/>
        </w:rPr>
        <w:t xml:space="preserve"> and the Ministry of the Interior of the CR since 2001 (migration of foreigners) and 2005 </w:t>
      </w:r>
      <w:r w:rsidR="00842845" w:rsidRPr="00890984">
        <w:t>in an electronic form from information systems of the Directorate of Alien Police Service and the Ministry of the Interior of the CR (before 2005 the statistics was based on processing of reports on migration).</w:t>
      </w:r>
      <w:r w:rsidRPr="00711E28">
        <w:t xml:space="preserve"> Data on </w:t>
      </w:r>
      <w:r w:rsidR="008B48ED" w:rsidRPr="00711E28">
        <w:t xml:space="preserve">the </w:t>
      </w:r>
      <w:r w:rsidRPr="00711E28">
        <w:t xml:space="preserve">number of foreigners with residence permit </w:t>
      </w:r>
      <w:r w:rsidR="008B48ED" w:rsidRPr="00711E28">
        <w:t xml:space="preserve">granted </w:t>
      </w:r>
      <w:r w:rsidRPr="00711E28">
        <w:t>are taken over from the Directorate of Alien Police</w:t>
      </w:r>
      <w:r w:rsidR="00A02F16" w:rsidRPr="00711E28">
        <w:t xml:space="preserve"> Service</w:t>
      </w:r>
      <w:r w:rsidR="00FF73B3" w:rsidRPr="00711E28">
        <w:t xml:space="preserve"> </w:t>
      </w:r>
      <w:r w:rsidRPr="00711E28">
        <w:t xml:space="preserve">and from the </w:t>
      </w:r>
      <w:r w:rsidR="008B48ED" w:rsidRPr="00711E28">
        <w:t xml:space="preserve">Department for </w:t>
      </w:r>
      <w:r w:rsidRPr="00711E28">
        <w:t>Asylum and Migration Polic</w:t>
      </w:r>
      <w:r w:rsidR="008B48ED" w:rsidRPr="00711E28">
        <w:t xml:space="preserve">y </w:t>
      </w:r>
      <w:r w:rsidRPr="00711E28">
        <w:t xml:space="preserve">of the Ministry of the Interior of the Czech Republic. </w:t>
      </w:r>
    </w:p>
    <w:p w:rsidR="00FC7562" w:rsidRPr="00711E28" w:rsidRDefault="00FC7562">
      <w:pPr>
        <w:tabs>
          <w:tab w:val="left" w:pos="283"/>
        </w:tabs>
        <w:jc w:val="both"/>
        <w:rPr>
          <w:rFonts w:ascii="Arial" w:hAnsi="Arial" w:cs="Arial"/>
          <w:i/>
          <w:iCs/>
          <w:sz w:val="20"/>
          <w:szCs w:val="20"/>
          <w:lang w:val="en-GB"/>
        </w:rPr>
      </w:pPr>
    </w:p>
    <w:p w:rsidR="00FC7562" w:rsidRPr="00711E28" w:rsidRDefault="00FC7562">
      <w:pPr>
        <w:pStyle w:val="Nadpis4"/>
      </w:pPr>
      <w:r w:rsidRPr="00711E28">
        <w:t>Births</w:t>
      </w:r>
    </w:p>
    <w:p w:rsidR="00494804" w:rsidRPr="00010F44" w:rsidRDefault="00961723" w:rsidP="00181A8A">
      <w:pPr>
        <w:pStyle w:val="Normlnweb"/>
        <w:spacing w:before="0" w:beforeAutospacing="0" w:after="0" w:afterAutospacing="0"/>
        <w:jc w:val="both"/>
        <w:rPr>
          <w:rFonts w:ascii="Arial" w:hAnsi="Arial" w:cs="Arial"/>
          <w:bCs/>
          <w:i/>
          <w:sz w:val="20"/>
          <w:lang w:val="en-GB"/>
        </w:rPr>
      </w:pPr>
      <w:r w:rsidRPr="00961723">
        <w:rPr>
          <w:rFonts w:ascii="Arial" w:hAnsi="Arial" w:cs="Arial"/>
          <w:b/>
          <w:bCs/>
          <w:i/>
          <w:sz w:val="20"/>
          <w:lang w:val="en-GB"/>
        </w:rPr>
        <w:t xml:space="preserve">Number of children born </w:t>
      </w:r>
      <w:r>
        <w:rPr>
          <w:rFonts w:ascii="Arial" w:hAnsi="Arial" w:cs="Arial"/>
          <w:bCs/>
          <w:i/>
          <w:sz w:val="20"/>
          <w:lang w:val="en-GB"/>
        </w:rPr>
        <w:t xml:space="preserve">(live-born, stillborn) is obtained by summarization of individual statistical reports on births. It does not include children born during </w:t>
      </w:r>
      <w:r w:rsidR="005E597B">
        <w:rPr>
          <w:rFonts w:ascii="Arial" w:hAnsi="Arial" w:cs="Arial"/>
          <w:bCs/>
          <w:i/>
          <w:sz w:val="20"/>
          <w:lang w:val="en-GB"/>
        </w:rPr>
        <w:t xml:space="preserve">secret </w:t>
      </w:r>
      <w:r w:rsidR="00097E40">
        <w:rPr>
          <w:rFonts w:ascii="Arial" w:hAnsi="Arial" w:cs="Arial"/>
          <w:bCs/>
          <w:i/>
          <w:sz w:val="20"/>
          <w:lang w:val="en-GB"/>
        </w:rPr>
        <w:t>childbirths</w:t>
      </w:r>
      <w:r w:rsidR="005E597B">
        <w:rPr>
          <w:rFonts w:ascii="Arial" w:hAnsi="Arial" w:cs="Arial"/>
          <w:bCs/>
          <w:i/>
          <w:sz w:val="20"/>
          <w:lang w:val="en-GB"/>
        </w:rPr>
        <w:t xml:space="preserve"> (including</w:t>
      </w:r>
      <w:r w:rsidR="00097E40">
        <w:rPr>
          <w:rFonts w:ascii="Arial" w:hAnsi="Arial" w:cs="Arial"/>
          <w:bCs/>
          <w:i/>
          <w:sz w:val="20"/>
          <w:lang w:val="en-GB"/>
        </w:rPr>
        <w:t xml:space="preserve"> found</w:t>
      </w:r>
      <w:r w:rsidR="005E597B">
        <w:rPr>
          <w:rFonts w:ascii="Arial" w:hAnsi="Arial" w:cs="Arial"/>
          <w:bCs/>
          <w:i/>
          <w:sz w:val="20"/>
          <w:lang w:val="en-GB"/>
        </w:rPr>
        <w:t xml:space="preserve"> children) pursuant to the Act No. 20/1966 Sb., on </w:t>
      </w:r>
      <w:r w:rsidR="00494804">
        <w:rPr>
          <w:rFonts w:ascii="Arial" w:hAnsi="Arial" w:cs="Arial"/>
          <w:bCs/>
          <w:i/>
          <w:sz w:val="20"/>
          <w:lang w:val="en-GB"/>
        </w:rPr>
        <w:t xml:space="preserve">public health care, as amended by the Act No. 422/2004 Sb. </w:t>
      </w:r>
    </w:p>
    <w:p w:rsidR="00895446" w:rsidRPr="00C31CA6" w:rsidRDefault="000F1B8A" w:rsidP="0052712B">
      <w:pPr>
        <w:pStyle w:val="Normlnweb"/>
        <w:spacing w:before="0" w:beforeAutospacing="0" w:after="0" w:afterAutospacing="0"/>
        <w:ind w:firstLine="708"/>
        <w:jc w:val="both"/>
        <w:rPr>
          <w:rFonts w:ascii="Arial" w:hAnsi="Arial" w:cs="Arial"/>
          <w:i/>
          <w:sz w:val="20"/>
          <w:lang w:val="en-GB"/>
        </w:rPr>
      </w:pPr>
      <w:r w:rsidRPr="00C31CA6">
        <w:rPr>
          <w:rFonts w:ascii="Arial" w:hAnsi="Arial" w:cs="Arial"/>
          <w:i/>
          <w:sz w:val="20"/>
          <w:lang w:val="en-GB"/>
        </w:rPr>
        <w:t xml:space="preserve">Pursuant to the </w:t>
      </w:r>
      <w:r w:rsidR="008B28A1" w:rsidRPr="00C31CA6">
        <w:rPr>
          <w:rFonts w:ascii="Arial" w:hAnsi="Arial" w:cs="Arial"/>
          <w:i/>
          <w:sz w:val="20"/>
          <w:lang w:val="en-GB"/>
        </w:rPr>
        <w:t>Regulation</w:t>
      </w:r>
      <w:r w:rsidRPr="00C31CA6">
        <w:rPr>
          <w:rFonts w:ascii="Arial" w:hAnsi="Arial" w:cs="Arial"/>
          <w:i/>
          <w:sz w:val="20"/>
          <w:lang w:val="en-GB"/>
        </w:rPr>
        <w:t xml:space="preserve"> of the Ministry of Health </w:t>
      </w:r>
      <w:r w:rsidR="0052712B" w:rsidRPr="00C31CA6">
        <w:rPr>
          <w:rFonts w:ascii="Arial" w:hAnsi="Arial" w:cs="Arial"/>
          <w:i/>
          <w:sz w:val="20"/>
          <w:lang w:val="en-GB"/>
        </w:rPr>
        <w:t xml:space="preserve">of the CSR No. 11/1988, on </w:t>
      </w:r>
      <w:r w:rsidR="00427122" w:rsidRPr="00C31CA6">
        <w:rPr>
          <w:rFonts w:ascii="Arial" w:hAnsi="Arial" w:cs="Arial"/>
          <w:i/>
          <w:sz w:val="20"/>
          <w:lang w:val="en-GB"/>
        </w:rPr>
        <w:t>mandatory notifications</w:t>
      </w:r>
      <w:r w:rsidR="0052712B" w:rsidRPr="00C31CA6">
        <w:rPr>
          <w:rFonts w:ascii="Arial" w:hAnsi="Arial" w:cs="Arial"/>
          <w:i/>
          <w:sz w:val="20"/>
          <w:lang w:val="en-GB"/>
        </w:rPr>
        <w:t xml:space="preserve"> of terminat</w:t>
      </w:r>
      <w:r w:rsidR="00427122" w:rsidRPr="00C31CA6">
        <w:rPr>
          <w:rFonts w:ascii="Arial" w:hAnsi="Arial" w:cs="Arial"/>
          <w:i/>
          <w:sz w:val="20"/>
          <w:lang w:val="en-GB"/>
        </w:rPr>
        <w:t>ed</w:t>
      </w:r>
      <w:r w:rsidR="0052712B" w:rsidRPr="00C31CA6">
        <w:rPr>
          <w:rFonts w:ascii="Arial" w:hAnsi="Arial" w:cs="Arial"/>
          <w:i/>
          <w:sz w:val="20"/>
          <w:lang w:val="en-GB"/>
        </w:rPr>
        <w:t xml:space="preserve"> pregnanc</w:t>
      </w:r>
      <w:r w:rsidR="00427122" w:rsidRPr="00C31CA6">
        <w:rPr>
          <w:rFonts w:ascii="Arial" w:hAnsi="Arial" w:cs="Arial"/>
          <w:i/>
          <w:sz w:val="20"/>
          <w:lang w:val="en-GB"/>
        </w:rPr>
        <w:t>ies</w:t>
      </w:r>
      <w:r w:rsidR="0052712B" w:rsidRPr="00C31CA6">
        <w:rPr>
          <w:rFonts w:ascii="Arial" w:hAnsi="Arial" w:cs="Arial"/>
          <w:i/>
          <w:sz w:val="20"/>
          <w:lang w:val="en-GB"/>
        </w:rPr>
        <w:t xml:space="preserve">, death of a child, and death of the mother, which was </w:t>
      </w:r>
      <w:r w:rsidR="00497CAC" w:rsidRPr="00C31CA6">
        <w:rPr>
          <w:rFonts w:ascii="Arial" w:hAnsi="Arial" w:cs="Arial"/>
          <w:i/>
          <w:sz w:val="20"/>
          <w:lang w:val="en-GB"/>
        </w:rPr>
        <w:t>repealed</w:t>
      </w:r>
      <w:r w:rsidR="0052712B" w:rsidRPr="00C31CA6">
        <w:rPr>
          <w:rFonts w:ascii="Arial" w:hAnsi="Arial" w:cs="Arial"/>
          <w:i/>
          <w:sz w:val="20"/>
          <w:lang w:val="en-GB"/>
        </w:rPr>
        <w:t xml:space="preserve"> on 1 April 2012 by the Act </w:t>
      </w:r>
      <w:r w:rsidR="00CA4D44">
        <w:rPr>
          <w:rFonts w:ascii="Arial" w:hAnsi="Arial" w:cs="Arial"/>
          <w:i/>
          <w:sz w:val="20"/>
          <w:lang w:val="en-GB"/>
        </w:rPr>
        <w:t>N</w:t>
      </w:r>
      <w:r w:rsidR="0052712B" w:rsidRPr="00C31CA6">
        <w:rPr>
          <w:rFonts w:ascii="Arial" w:hAnsi="Arial" w:cs="Arial"/>
          <w:i/>
          <w:sz w:val="20"/>
          <w:lang w:val="en-GB"/>
        </w:rPr>
        <w:t xml:space="preserve">o. 372/2011 Sb., on health services, </w:t>
      </w:r>
      <w:r w:rsidR="00895446" w:rsidRPr="00E75988">
        <w:rPr>
          <w:rFonts w:ascii="Arial" w:hAnsi="Arial" w:cs="Arial"/>
          <w:bCs/>
          <w:i/>
          <w:sz w:val="20"/>
          <w:lang w:val="en-GB"/>
        </w:rPr>
        <w:t>a</w:t>
      </w:r>
      <w:r w:rsidR="00895446" w:rsidRPr="00C31CA6">
        <w:rPr>
          <w:rFonts w:ascii="Arial" w:hAnsi="Arial" w:cs="Arial"/>
          <w:b/>
          <w:bCs/>
          <w:i/>
          <w:sz w:val="20"/>
          <w:lang w:val="en-GB"/>
        </w:rPr>
        <w:t xml:space="preserve"> live-born child </w:t>
      </w:r>
      <w:r w:rsidR="00895446" w:rsidRPr="00C31CA6">
        <w:rPr>
          <w:rFonts w:ascii="Arial" w:hAnsi="Arial" w:cs="Arial"/>
          <w:bCs/>
          <w:i/>
          <w:sz w:val="20"/>
          <w:lang w:val="en-GB"/>
        </w:rPr>
        <w:t xml:space="preserve">is a foetus that after delivery </w:t>
      </w:r>
      <w:r w:rsidR="00466030" w:rsidRPr="00C31CA6">
        <w:rPr>
          <w:rFonts w:ascii="Arial" w:hAnsi="Arial" w:cs="Arial"/>
          <w:bCs/>
          <w:i/>
          <w:sz w:val="20"/>
          <w:lang w:val="en-GB"/>
        </w:rPr>
        <w:t xml:space="preserve">shows at least one sign of life and whose birth weight is 500 g or more or </w:t>
      </w:r>
      <w:r w:rsidR="00A35FA5" w:rsidRPr="00C31CA6">
        <w:rPr>
          <w:rFonts w:ascii="Arial" w:hAnsi="Arial" w:cs="Arial"/>
          <w:bCs/>
          <w:i/>
          <w:sz w:val="20"/>
          <w:lang w:val="en-GB"/>
        </w:rPr>
        <w:t>below</w:t>
      </w:r>
      <w:r w:rsidR="00466030" w:rsidRPr="00C31CA6">
        <w:rPr>
          <w:rFonts w:ascii="Arial" w:hAnsi="Arial" w:cs="Arial"/>
          <w:bCs/>
          <w:i/>
          <w:sz w:val="20"/>
          <w:lang w:val="en-GB"/>
        </w:rPr>
        <w:t xml:space="preserve"> 500 g provided that it </w:t>
      </w:r>
      <w:r w:rsidR="00D56877">
        <w:rPr>
          <w:rFonts w:ascii="Arial" w:hAnsi="Arial" w:cs="Arial"/>
          <w:bCs/>
          <w:i/>
          <w:sz w:val="20"/>
          <w:lang w:val="en-GB"/>
        </w:rPr>
        <w:t xml:space="preserve">has </w:t>
      </w:r>
      <w:r w:rsidR="00466030" w:rsidRPr="00C31CA6">
        <w:rPr>
          <w:rFonts w:ascii="Arial" w:hAnsi="Arial" w:cs="Arial"/>
          <w:bCs/>
          <w:i/>
          <w:sz w:val="20"/>
          <w:lang w:val="en-GB"/>
        </w:rPr>
        <w:t>survive</w:t>
      </w:r>
      <w:r w:rsidR="00D56877">
        <w:rPr>
          <w:rFonts w:ascii="Arial" w:hAnsi="Arial" w:cs="Arial"/>
          <w:bCs/>
          <w:i/>
          <w:sz w:val="20"/>
          <w:lang w:val="en-GB"/>
        </w:rPr>
        <w:t>d</w:t>
      </w:r>
      <w:r w:rsidR="00466030" w:rsidRPr="00C31CA6">
        <w:rPr>
          <w:rFonts w:ascii="Arial" w:hAnsi="Arial" w:cs="Arial"/>
          <w:bCs/>
          <w:i/>
          <w:sz w:val="20"/>
          <w:lang w:val="en-GB"/>
        </w:rPr>
        <w:t xml:space="preserve"> 24 hours after the delivery. Signs of life are </w:t>
      </w:r>
      <w:r w:rsidR="00497CAC" w:rsidRPr="00C31CA6">
        <w:rPr>
          <w:rFonts w:ascii="Arial" w:hAnsi="Arial" w:cs="Arial"/>
          <w:bCs/>
          <w:i/>
          <w:sz w:val="20"/>
          <w:lang w:val="en-GB"/>
        </w:rPr>
        <w:t>breathing</w:t>
      </w:r>
      <w:r w:rsidR="00466030" w:rsidRPr="00C31CA6">
        <w:rPr>
          <w:rFonts w:ascii="Arial" w:hAnsi="Arial" w:cs="Arial"/>
          <w:bCs/>
          <w:i/>
          <w:sz w:val="20"/>
          <w:lang w:val="en-GB"/>
        </w:rPr>
        <w:t xml:space="preserve">, </w:t>
      </w:r>
      <w:r w:rsidR="008B28A1" w:rsidRPr="00C31CA6">
        <w:rPr>
          <w:rFonts w:ascii="Arial" w:hAnsi="Arial" w:cs="Arial"/>
          <w:bCs/>
          <w:i/>
          <w:sz w:val="20"/>
          <w:lang w:val="en-GB"/>
        </w:rPr>
        <w:t>beating of the heart</w:t>
      </w:r>
      <w:r w:rsidR="00466030" w:rsidRPr="00C31CA6">
        <w:rPr>
          <w:rFonts w:ascii="Arial" w:hAnsi="Arial" w:cs="Arial"/>
          <w:bCs/>
          <w:i/>
          <w:sz w:val="20"/>
          <w:lang w:val="en-GB"/>
        </w:rPr>
        <w:t>,</w:t>
      </w:r>
      <w:r w:rsidR="008B28A1" w:rsidRPr="00C31CA6">
        <w:rPr>
          <w:rFonts w:ascii="Arial" w:hAnsi="Arial" w:cs="Arial"/>
          <w:bCs/>
          <w:i/>
          <w:sz w:val="20"/>
          <w:lang w:val="en-GB"/>
        </w:rPr>
        <w:t xml:space="preserve"> pulsation of the</w:t>
      </w:r>
      <w:r w:rsidR="00466030" w:rsidRPr="00C31CA6">
        <w:rPr>
          <w:rFonts w:ascii="Arial" w:hAnsi="Arial" w:cs="Arial"/>
          <w:bCs/>
          <w:i/>
          <w:sz w:val="20"/>
          <w:lang w:val="en-GB"/>
        </w:rPr>
        <w:t xml:space="preserve"> umbilical cord,</w:t>
      </w:r>
      <w:r w:rsidR="00E75988">
        <w:rPr>
          <w:rFonts w:ascii="Arial" w:hAnsi="Arial" w:cs="Arial"/>
          <w:bCs/>
          <w:i/>
          <w:sz w:val="20"/>
          <w:lang w:val="en-GB"/>
        </w:rPr>
        <w:t xml:space="preserve"> and</w:t>
      </w:r>
      <w:r w:rsidR="00466030" w:rsidRPr="00C31CA6">
        <w:rPr>
          <w:rFonts w:ascii="Arial" w:hAnsi="Arial" w:cs="Arial"/>
          <w:bCs/>
          <w:i/>
          <w:sz w:val="20"/>
          <w:lang w:val="en-GB"/>
        </w:rPr>
        <w:t xml:space="preserve"> movement of</w:t>
      </w:r>
      <w:r w:rsidR="008B28A1" w:rsidRPr="00C31CA6">
        <w:rPr>
          <w:rFonts w:ascii="Arial" w:hAnsi="Arial" w:cs="Arial"/>
          <w:bCs/>
          <w:i/>
          <w:sz w:val="20"/>
          <w:lang w:val="en-GB"/>
        </w:rPr>
        <w:t xml:space="preserve"> voluntary</w:t>
      </w:r>
      <w:r w:rsidR="00466030" w:rsidRPr="00C31CA6">
        <w:rPr>
          <w:rFonts w:ascii="Arial" w:hAnsi="Arial" w:cs="Arial"/>
          <w:bCs/>
          <w:i/>
          <w:sz w:val="20"/>
          <w:lang w:val="en-GB"/>
        </w:rPr>
        <w:t xml:space="preserve"> muscles. </w:t>
      </w:r>
    </w:p>
    <w:p w:rsidR="00814E4B" w:rsidRPr="00814E4B" w:rsidRDefault="00814E4B" w:rsidP="00181A8A">
      <w:pPr>
        <w:pStyle w:val="Normlnweb"/>
        <w:spacing w:before="0" w:beforeAutospacing="0" w:after="0" w:afterAutospacing="0"/>
        <w:ind w:firstLine="708"/>
        <w:jc w:val="both"/>
        <w:rPr>
          <w:rFonts w:ascii="Arial" w:hAnsi="Arial" w:cs="Arial"/>
          <w:i/>
          <w:sz w:val="20"/>
          <w:lang w:val="en-GB"/>
        </w:rPr>
      </w:pPr>
      <w:r w:rsidRPr="00814E4B">
        <w:rPr>
          <w:rFonts w:ascii="Arial" w:hAnsi="Arial" w:cs="Arial"/>
          <w:i/>
          <w:sz w:val="20"/>
          <w:lang w:val="en-GB"/>
        </w:rPr>
        <w:t xml:space="preserve">A </w:t>
      </w:r>
      <w:r w:rsidRPr="00814E4B">
        <w:rPr>
          <w:rFonts w:ascii="Arial" w:hAnsi="Arial" w:cs="Arial"/>
          <w:b/>
          <w:i/>
          <w:sz w:val="20"/>
          <w:lang w:val="en-GB"/>
        </w:rPr>
        <w:t xml:space="preserve">stillborn child </w:t>
      </w:r>
      <w:r w:rsidRPr="00814E4B">
        <w:rPr>
          <w:rFonts w:ascii="Arial" w:hAnsi="Arial" w:cs="Arial"/>
          <w:i/>
          <w:sz w:val="20"/>
          <w:lang w:val="en-GB"/>
        </w:rPr>
        <w:t>is a foetus</w:t>
      </w:r>
      <w:r>
        <w:rPr>
          <w:rFonts w:ascii="Arial" w:hAnsi="Arial" w:cs="Arial"/>
          <w:i/>
          <w:sz w:val="20"/>
          <w:lang w:val="en-GB"/>
        </w:rPr>
        <w:t xml:space="preserve"> </w:t>
      </w:r>
      <w:r w:rsidR="00C9421D">
        <w:rPr>
          <w:rFonts w:ascii="Arial" w:hAnsi="Arial" w:cs="Arial"/>
          <w:i/>
          <w:sz w:val="20"/>
          <w:lang w:val="en-GB"/>
        </w:rPr>
        <w:t>showing no sign of life and its birth weight is 1 000 g or more.</w:t>
      </w:r>
    </w:p>
    <w:p w:rsidR="00DA3DBB" w:rsidRPr="00181A8A" w:rsidRDefault="00C9421D" w:rsidP="007C357A">
      <w:pPr>
        <w:pStyle w:val="Zkladntext3"/>
        <w:rPr>
          <w:iCs w:val="0"/>
          <w:lang w:val="cs-CZ"/>
        </w:rPr>
      </w:pPr>
      <w:r>
        <w:rPr>
          <w:rStyle w:val="Zvraznn"/>
          <w:i/>
          <w:iCs/>
        </w:rPr>
        <w:t>The legislation valid now</w:t>
      </w:r>
      <w:r w:rsidRPr="00C9421D">
        <w:rPr>
          <w:rStyle w:val="Zvraznn"/>
          <w:i/>
          <w:iCs/>
        </w:rPr>
        <w:t xml:space="preserve"> (</w:t>
      </w:r>
      <w:r w:rsidR="00D96BBC">
        <w:rPr>
          <w:rStyle w:val="Zvraznn"/>
          <w:i/>
          <w:iCs/>
        </w:rPr>
        <w:t>as at the date of the publication release</w:t>
      </w:r>
      <w:r>
        <w:rPr>
          <w:rStyle w:val="Zvraznn"/>
          <w:i/>
          <w:iCs/>
        </w:rPr>
        <w:t xml:space="preserve">) does not include general definitions of </w:t>
      </w:r>
      <w:r w:rsidR="00426623">
        <w:rPr>
          <w:rStyle w:val="Zvraznn"/>
          <w:i/>
          <w:iCs/>
        </w:rPr>
        <w:t xml:space="preserve">the </w:t>
      </w:r>
      <w:r>
        <w:rPr>
          <w:rStyle w:val="Zvraznn"/>
          <w:i/>
          <w:iCs/>
        </w:rPr>
        <w:t xml:space="preserve">terms </w:t>
      </w:r>
      <w:r w:rsidR="00426623">
        <w:rPr>
          <w:rStyle w:val="Zvraznn"/>
          <w:i/>
          <w:iCs/>
        </w:rPr>
        <w:t xml:space="preserve">“delivery </w:t>
      </w:r>
      <w:r>
        <w:rPr>
          <w:rStyle w:val="Zvraznn"/>
          <w:i/>
          <w:iCs/>
        </w:rPr>
        <w:t>of a live-born child</w:t>
      </w:r>
      <w:r w:rsidR="00426623">
        <w:rPr>
          <w:rStyle w:val="Zvraznn"/>
          <w:i/>
          <w:iCs/>
        </w:rPr>
        <w:t>”</w:t>
      </w:r>
      <w:r>
        <w:rPr>
          <w:rStyle w:val="Zvraznn"/>
          <w:i/>
          <w:iCs/>
        </w:rPr>
        <w:t xml:space="preserve"> and </w:t>
      </w:r>
      <w:r w:rsidR="00426623">
        <w:rPr>
          <w:rStyle w:val="Zvraznn"/>
          <w:i/>
          <w:iCs/>
        </w:rPr>
        <w:t xml:space="preserve">“delivery of </w:t>
      </w:r>
      <w:r>
        <w:rPr>
          <w:rStyle w:val="Zvraznn"/>
          <w:i/>
          <w:iCs/>
        </w:rPr>
        <w:t>a stillborn child</w:t>
      </w:r>
      <w:r w:rsidR="00426623">
        <w:rPr>
          <w:rStyle w:val="Zvraznn"/>
          <w:i/>
          <w:iCs/>
        </w:rPr>
        <w:t>”</w:t>
      </w:r>
      <w:r>
        <w:rPr>
          <w:rStyle w:val="Zvraznn"/>
          <w:i/>
          <w:iCs/>
        </w:rPr>
        <w:t>. Th</w:t>
      </w:r>
      <w:r w:rsidR="00756E70">
        <w:rPr>
          <w:rStyle w:val="Zvraznn"/>
          <w:i/>
          <w:iCs/>
        </w:rPr>
        <w:t>e</w:t>
      </w:r>
      <w:r>
        <w:rPr>
          <w:rStyle w:val="Zvraznn"/>
          <w:i/>
          <w:iCs/>
        </w:rPr>
        <w:t xml:space="preserve">se definitions together with all cases of abortions are mentioned only in the guidelines for filling in the “Death certificate (Report on examination of the deceased person)” in the respective regulation, namely for the needs of filling in of the Death certificate (Report on examination of the deceased person). A stillborn child is also defined in the Commission Regulation (EU) implementing Regulation (EC) of the European Parliament </w:t>
      </w:r>
      <w:r w:rsidR="00386080">
        <w:rPr>
          <w:rStyle w:val="Zvraznn"/>
          <w:i/>
          <w:iCs/>
        </w:rPr>
        <w:t xml:space="preserve">and of the Council on Community statistics on public health and safety at work, as regards statistics on causes of death, namely for the purposes of the </w:t>
      </w:r>
      <w:r w:rsidR="004A47E0">
        <w:rPr>
          <w:rStyle w:val="Zvraznn"/>
          <w:i/>
          <w:iCs/>
        </w:rPr>
        <w:t>R</w:t>
      </w:r>
      <w:r w:rsidR="00386080">
        <w:rPr>
          <w:rStyle w:val="Zvraznn"/>
          <w:i/>
          <w:iCs/>
        </w:rPr>
        <w:t xml:space="preserve">egulation. </w:t>
      </w:r>
    </w:p>
    <w:p w:rsidR="00FC7562" w:rsidRPr="00181A8A" w:rsidRDefault="00FC7562">
      <w:pPr>
        <w:tabs>
          <w:tab w:val="left" w:pos="720"/>
        </w:tabs>
        <w:jc w:val="both"/>
        <w:rPr>
          <w:rFonts w:ascii="Arial" w:hAnsi="Arial" w:cs="Arial"/>
          <w:i/>
          <w:iCs/>
          <w:sz w:val="20"/>
          <w:szCs w:val="20"/>
        </w:rPr>
      </w:pPr>
    </w:p>
    <w:p w:rsidR="00FC7562" w:rsidRPr="00711E28" w:rsidRDefault="00FC75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sz w:val="20"/>
          <w:lang w:val="en-GB"/>
        </w:rPr>
      </w:pPr>
      <w:r w:rsidRPr="00711E28">
        <w:rPr>
          <w:rFonts w:ascii="Arial" w:hAnsi="Arial" w:cs="Arial"/>
          <w:b/>
          <w:bCs/>
          <w:i/>
          <w:iCs/>
          <w:sz w:val="20"/>
          <w:lang w:val="en-GB"/>
        </w:rPr>
        <w:t>Abortions</w:t>
      </w:r>
    </w:p>
    <w:p w:rsidR="00FC7562" w:rsidRPr="00711E28" w:rsidRDefault="00FC7562">
      <w:pPr>
        <w:pStyle w:val="Zkladntext3"/>
        <w:rPr>
          <w:szCs w:val="24"/>
        </w:rPr>
      </w:pPr>
      <w:r w:rsidRPr="00711E28">
        <w:rPr>
          <w:szCs w:val="24"/>
        </w:rPr>
        <w:tab/>
      </w:r>
      <w:r w:rsidR="001D2854">
        <w:rPr>
          <w:szCs w:val="24"/>
        </w:rPr>
        <w:t xml:space="preserve">In demographic statistics, </w:t>
      </w:r>
      <w:r w:rsidR="001D2854">
        <w:rPr>
          <w:b/>
          <w:szCs w:val="24"/>
        </w:rPr>
        <w:t>abortions</w:t>
      </w:r>
      <w:r w:rsidR="001D2854">
        <w:rPr>
          <w:szCs w:val="24"/>
        </w:rPr>
        <w:t xml:space="preserve"> are premature terminations of pregnanc</w:t>
      </w:r>
      <w:r w:rsidR="004D4F64">
        <w:rPr>
          <w:szCs w:val="24"/>
        </w:rPr>
        <w:t>ies</w:t>
      </w:r>
      <w:r w:rsidR="001D2854">
        <w:rPr>
          <w:szCs w:val="24"/>
        </w:rPr>
        <w:t xml:space="preserve"> classified by a doctor as termin</w:t>
      </w:r>
      <w:r w:rsidR="00E02688">
        <w:rPr>
          <w:szCs w:val="24"/>
        </w:rPr>
        <w:t xml:space="preserve">ation of pregnancy by abortion. </w:t>
      </w:r>
      <w:r w:rsidR="00C93AD3" w:rsidRPr="00C93AD3">
        <w:t>Pursuant to the Regulation of the Ministry of Health of the CSR No. 11/1988, on mandatory notifications of terminated pregnancies</w:t>
      </w:r>
      <w:r w:rsidR="00C93AD3" w:rsidRPr="00C31CA6">
        <w:t xml:space="preserve">, death of a child, and death of the mother, </w:t>
      </w:r>
      <w:r w:rsidR="00C93AD3" w:rsidRPr="007D42D8">
        <w:t xml:space="preserve">which was repealed on 1 April 2012 by the Act No. 372/2011 Sb., on health services, an abortion is </w:t>
      </w:r>
      <w:r w:rsidR="002C37C9" w:rsidRPr="00FA70BC">
        <w:rPr>
          <w:bCs/>
          <w:szCs w:val="24"/>
        </w:rPr>
        <w:t>a</w:t>
      </w:r>
      <w:r w:rsidR="002C37C9" w:rsidRPr="00711E28">
        <w:rPr>
          <w:b/>
          <w:bCs/>
          <w:szCs w:val="24"/>
        </w:rPr>
        <w:t xml:space="preserve"> </w:t>
      </w:r>
      <w:r w:rsidRPr="00711E28">
        <w:rPr>
          <w:b/>
          <w:bCs/>
          <w:szCs w:val="24"/>
        </w:rPr>
        <w:t>termination of pregnancy</w:t>
      </w:r>
      <w:r w:rsidR="002C37C9" w:rsidRPr="00711E28">
        <w:rPr>
          <w:b/>
          <w:bCs/>
          <w:szCs w:val="24"/>
        </w:rPr>
        <w:t xml:space="preserve"> </w:t>
      </w:r>
      <w:r w:rsidR="00834F46">
        <w:rPr>
          <w:b/>
          <w:bCs/>
          <w:szCs w:val="24"/>
        </w:rPr>
        <w:t>in</w:t>
      </w:r>
      <w:r w:rsidR="00834F46" w:rsidRPr="00711E28">
        <w:rPr>
          <w:b/>
          <w:bCs/>
          <w:szCs w:val="24"/>
        </w:rPr>
        <w:t xml:space="preserve"> </w:t>
      </w:r>
      <w:r w:rsidR="002C37C9" w:rsidRPr="00711E28">
        <w:rPr>
          <w:b/>
          <w:bCs/>
          <w:szCs w:val="24"/>
        </w:rPr>
        <w:t>a woman</w:t>
      </w:r>
      <w:r w:rsidRPr="00711E28">
        <w:rPr>
          <w:b/>
          <w:bCs/>
          <w:szCs w:val="24"/>
        </w:rPr>
        <w:t xml:space="preserve">, </w:t>
      </w:r>
      <w:r w:rsidR="00F2185D">
        <w:rPr>
          <w:b/>
          <w:bCs/>
          <w:szCs w:val="24"/>
        </w:rPr>
        <w:t>at</w:t>
      </w:r>
      <w:r w:rsidR="00F2185D" w:rsidRPr="00711E28">
        <w:rPr>
          <w:b/>
          <w:bCs/>
          <w:szCs w:val="24"/>
        </w:rPr>
        <w:t xml:space="preserve"> </w:t>
      </w:r>
      <w:r w:rsidRPr="00711E28">
        <w:rPr>
          <w:b/>
          <w:bCs/>
          <w:szCs w:val="24"/>
        </w:rPr>
        <w:t>which</w:t>
      </w:r>
      <w:r w:rsidR="002C37C9" w:rsidRPr="00711E28">
        <w:rPr>
          <w:b/>
          <w:bCs/>
          <w:szCs w:val="24"/>
        </w:rPr>
        <w:t>:</w:t>
      </w:r>
    </w:p>
    <w:p w:rsidR="00FC7562" w:rsidRPr="00711E28" w:rsidRDefault="00FC7562">
      <w:pPr>
        <w:pStyle w:val="Zkladntext3"/>
        <w:tabs>
          <w:tab w:val="clear" w:pos="720"/>
        </w:tabs>
        <w:ind w:left="357" w:hanging="357"/>
        <w:rPr>
          <w:szCs w:val="24"/>
        </w:rPr>
      </w:pPr>
      <w:r w:rsidRPr="00E3168D">
        <w:rPr>
          <w:szCs w:val="24"/>
        </w:rPr>
        <w:t>a)  the foetus show</w:t>
      </w:r>
      <w:r w:rsidR="00F079B0" w:rsidRPr="00E3168D">
        <w:rPr>
          <w:szCs w:val="24"/>
        </w:rPr>
        <w:t>s</w:t>
      </w:r>
      <w:r w:rsidRPr="00E3168D">
        <w:rPr>
          <w:szCs w:val="24"/>
        </w:rPr>
        <w:t xml:space="preserve"> n</w:t>
      </w:r>
      <w:r w:rsidR="00DC4737" w:rsidRPr="00E3168D">
        <w:rPr>
          <w:szCs w:val="24"/>
        </w:rPr>
        <w:t xml:space="preserve">o </w:t>
      </w:r>
      <w:r w:rsidR="00E3168D" w:rsidRPr="00E3168D">
        <w:rPr>
          <w:szCs w:val="24"/>
        </w:rPr>
        <w:t xml:space="preserve">sign </w:t>
      </w:r>
      <w:r w:rsidRPr="00E3168D">
        <w:rPr>
          <w:szCs w:val="24"/>
        </w:rPr>
        <w:t>of life and its birth weight is below 1</w:t>
      </w:r>
      <w:r w:rsidR="00DC4737" w:rsidRPr="00E3168D">
        <w:rPr>
          <w:szCs w:val="24"/>
        </w:rPr>
        <w:t> </w:t>
      </w:r>
      <w:r w:rsidRPr="00E3168D">
        <w:rPr>
          <w:szCs w:val="24"/>
        </w:rPr>
        <w:t>000 g or</w:t>
      </w:r>
      <w:r w:rsidR="00B75D99">
        <w:rPr>
          <w:szCs w:val="24"/>
        </w:rPr>
        <w:t>,</w:t>
      </w:r>
      <w:r w:rsidR="00BF7729">
        <w:rPr>
          <w:szCs w:val="24"/>
        </w:rPr>
        <w:t xml:space="preserve"> provided that it</w:t>
      </w:r>
      <w:r w:rsidRPr="00E3168D">
        <w:rPr>
          <w:szCs w:val="24"/>
        </w:rPr>
        <w:t xml:space="preserve"> cannot be measured, if</w:t>
      </w:r>
      <w:r w:rsidRPr="00711E28">
        <w:rPr>
          <w:szCs w:val="24"/>
        </w:rPr>
        <w:t xml:space="preserve"> the pregnancy </w:t>
      </w:r>
      <w:r w:rsidR="00DC4737" w:rsidRPr="00711E28">
        <w:rPr>
          <w:szCs w:val="24"/>
        </w:rPr>
        <w:t>has been shorter</w:t>
      </w:r>
      <w:r w:rsidRPr="00711E28">
        <w:rPr>
          <w:szCs w:val="24"/>
        </w:rPr>
        <w:t xml:space="preserve"> than 28 weeks,</w:t>
      </w:r>
    </w:p>
    <w:p w:rsidR="00FC7562" w:rsidRPr="00711E28" w:rsidRDefault="00FC7562">
      <w:pPr>
        <w:pStyle w:val="Zkladntext3"/>
        <w:ind w:left="357" w:hanging="357"/>
        <w:rPr>
          <w:szCs w:val="24"/>
        </w:rPr>
      </w:pPr>
      <w:r w:rsidRPr="00E3168D">
        <w:rPr>
          <w:szCs w:val="24"/>
        </w:rPr>
        <w:t xml:space="preserve">b)  the foetus shows at least one </w:t>
      </w:r>
      <w:r w:rsidR="00E3168D" w:rsidRPr="00E3168D">
        <w:rPr>
          <w:szCs w:val="24"/>
        </w:rPr>
        <w:t xml:space="preserve">sign </w:t>
      </w:r>
      <w:r w:rsidRPr="00E3168D">
        <w:rPr>
          <w:szCs w:val="24"/>
        </w:rPr>
        <w:t xml:space="preserve">of life and its birth weight is below 500 g, but it </w:t>
      </w:r>
      <w:r w:rsidR="00DC4737" w:rsidRPr="00E3168D">
        <w:rPr>
          <w:szCs w:val="24"/>
        </w:rPr>
        <w:t xml:space="preserve">has </w:t>
      </w:r>
      <w:r w:rsidRPr="00E3168D">
        <w:rPr>
          <w:szCs w:val="24"/>
        </w:rPr>
        <w:t>not live</w:t>
      </w:r>
      <w:r w:rsidR="000472FC" w:rsidRPr="00E3168D">
        <w:rPr>
          <w:szCs w:val="24"/>
        </w:rPr>
        <w:t>d</w:t>
      </w:r>
      <w:r w:rsidRPr="00711E28">
        <w:rPr>
          <w:szCs w:val="24"/>
        </w:rPr>
        <w:t xml:space="preserve"> longer than 24 hours after </w:t>
      </w:r>
      <w:r w:rsidR="00DC4737" w:rsidRPr="00711E28">
        <w:rPr>
          <w:szCs w:val="24"/>
        </w:rPr>
        <w:t xml:space="preserve">the </w:t>
      </w:r>
      <w:r w:rsidRPr="00711E28">
        <w:rPr>
          <w:szCs w:val="24"/>
        </w:rPr>
        <w:t>delivery,</w:t>
      </w:r>
    </w:p>
    <w:p w:rsidR="00FC7562" w:rsidRPr="00711E28" w:rsidRDefault="00E23BE7" w:rsidP="00FC7562">
      <w:pPr>
        <w:pStyle w:val="Zkladntext3"/>
        <w:numPr>
          <w:ilvl w:val="0"/>
          <w:numId w:val="3"/>
        </w:numPr>
        <w:tabs>
          <w:tab w:val="clear" w:pos="420"/>
          <w:tab w:val="clear" w:pos="720"/>
          <w:tab w:val="num" w:pos="0"/>
          <w:tab w:val="left" w:pos="360"/>
        </w:tabs>
        <w:ind w:left="419" w:hanging="419"/>
        <w:rPr>
          <w:szCs w:val="24"/>
        </w:rPr>
      </w:pPr>
      <w:r w:rsidRPr="00711E28">
        <w:rPr>
          <w:szCs w:val="24"/>
        </w:rPr>
        <w:t>a</w:t>
      </w:r>
      <w:r w:rsidR="00FC7562" w:rsidRPr="00711E28">
        <w:rPr>
          <w:szCs w:val="24"/>
        </w:rPr>
        <w:t xml:space="preserve"> </w:t>
      </w:r>
      <w:r w:rsidRPr="00711E28">
        <w:rPr>
          <w:szCs w:val="24"/>
        </w:rPr>
        <w:t>gestational sac</w:t>
      </w:r>
      <w:r w:rsidR="000401EC" w:rsidRPr="00711E28">
        <w:rPr>
          <w:szCs w:val="24"/>
        </w:rPr>
        <w:t>k</w:t>
      </w:r>
      <w:r w:rsidR="00FC7562" w:rsidRPr="00711E28">
        <w:rPr>
          <w:szCs w:val="24"/>
        </w:rPr>
        <w:t xml:space="preserve"> without a foetus or gestational </w:t>
      </w:r>
      <w:r w:rsidRPr="00711E28">
        <w:rPr>
          <w:szCs w:val="24"/>
        </w:rPr>
        <w:t xml:space="preserve">tissue </w:t>
      </w:r>
      <w:r w:rsidR="00A07009">
        <w:rPr>
          <w:szCs w:val="24"/>
        </w:rPr>
        <w:t>were</w:t>
      </w:r>
      <w:r w:rsidR="00A07009" w:rsidRPr="00711E28">
        <w:rPr>
          <w:szCs w:val="24"/>
        </w:rPr>
        <w:t xml:space="preserve"> </w:t>
      </w:r>
      <w:r w:rsidRPr="00711E28">
        <w:rPr>
          <w:szCs w:val="24"/>
        </w:rPr>
        <w:t>extracted from a</w:t>
      </w:r>
      <w:r w:rsidR="00FC7562" w:rsidRPr="00711E28">
        <w:rPr>
          <w:szCs w:val="24"/>
        </w:rPr>
        <w:t xml:space="preserve"> </w:t>
      </w:r>
      <w:r w:rsidR="000472FC" w:rsidRPr="00711E28">
        <w:rPr>
          <w:szCs w:val="24"/>
        </w:rPr>
        <w:t>woman’s</w:t>
      </w:r>
      <w:r w:rsidR="00FC7562" w:rsidRPr="00711E28">
        <w:rPr>
          <w:szCs w:val="24"/>
        </w:rPr>
        <w:t xml:space="preserve"> uterus.</w:t>
      </w:r>
    </w:p>
    <w:p w:rsidR="00181A8A" w:rsidRDefault="00BA57F1" w:rsidP="00E35C1B">
      <w:pPr>
        <w:tabs>
          <w:tab w:val="left" w:pos="426"/>
        </w:tabs>
        <w:spacing w:before="60"/>
        <w:ind w:left="419"/>
        <w:jc w:val="both"/>
        <w:rPr>
          <w:rFonts w:ascii="ArialMT" w:hAnsi="ArialMT"/>
          <w:i/>
          <w:sz w:val="20"/>
          <w:lang w:val="en-GB"/>
        </w:rPr>
      </w:pPr>
      <w:r>
        <w:rPr>
          <w:rFonts w:ascii="ArialMT" w:hAnsi="ArialMT"/>
          <w:i/>
          <w:sz w:val="20"/>
          <w:lang w:val="en-GB"/>
        </w:rPr>
        <w:t>Cases of</w:t>
      </w:r>
      <w:r w:rsidR="00B20203">
        <w:rPr>
          <w:rFonts w:ascii="ArialMT" w:hAnsi="ArialMT"/>
          <w:i/>
          <w:sz w:val="20"/>
          <w:lang w:val="en-GB"/>
        </w:rPr>
        <w:t xml:space="preserve"> termination of </w:t>
      </w:r>
      <w:r>
        <w:rPr>
          <w:rFonts w:ascii="ArialMT" w:hAnsi="ArialMT"/>
          <w:i/>
          <w:sz w:val="20"/>
          <w:lang w:val="en-GB"/>
        </w:rPr>
        <w:t>ectopic pregnancy or induced abortions carried out as stipulated in special regulations are also considered as abortions.</w:t>
      </w:r>
    </w:p>
    <w:p w:rsidR="00FC7562" w:rsidRPr="00711E28" w:rsidRDefault="00C0356D">
      <w:pPr>
        <w:pStyle w:val="Zkladntext3"/>
        <w:spacing w:before="60"/>
        <w:rPr>
          <w:szCs w:val="24"/>
        </w:rPr>
      </w:pPr>
      <w:r w:rsidRPr="0014302D">
        <w:t>Existing legal regulations</w:t>
      </w:r>
      <w:r w:rsidR="00181A8A" w:rsidRPr="0014302D">
        <w:t xml:space="preserve"> (</w:t>
      </w:r>
      <w:r w:rsidRPr="0014302D">
        <w:rPr>
          <w:rStyle w:val="Siln"/>
          <w:b w:val="0"/>
          <w:bCs w:val="0"/>
        </w:rPr>
        <w:t>the Act No.</w:t>
      </w:r>
      <w:r w:rsidR="00181A8A" w:rsidRPr="0014302D">
        <w:rPr>
          <w:rStyle w:val="Siln"/>
          <w:b w:val="0"/>
          <w:bCs w:val="0"/>
        </w:rPr>
        <w:t xml:space="preserve"> 372/2011</w:t>
      </w:r>
      <w:r w:rsidR="00181A8A" w:rsidRPr="0014302D">
        <w:t xml:space="preserve"> Sb., o</w:t>
      </w:r>
      <w:r w:rsidRPr="0014302D">
        <w:t>n health services</w:t>
      </w:r>
      <w:r w:rsidR="00181A8A" w:rsidRPr="0014302D">
        <w:t>) defin</w:t>
      </w:r>
      <w:r w:rsidRPr="0014302D">
        <w:t>e</w:t>
      </w:r>
      <w:r w:rsidR="00462E74" w:rsidRPr="0014302D">
        <w:t xml:space="preserve"> only a </w:t>
      </w:r>
      <w:r w:rsidR="00462E74" w:rsidRPr="0014302D">
        <w:rPr>
          <w:b/>
        </w:rPr>
        <w:t>foetus after abortion</w:t>
      </w:r>
      <w:r w:rsidR="00462E74" w:rsidRPr="0014302D">
        <w:t>, which</w:t>
      </w:r>
      <w:r w:rsidR="009345CA" w:rsidRPr="0014302D">
        <w:t xml:space="preserve"> is a foetus that</w:t>
      </w:r>
      <w:r w:rsidR="00462E74" w:rsidRPr="0014302D">
        <w:t xml:space="preserve"> after the complete expulsion or extraction from its mother shows none of the signs of life and at the same time its birth weight is lower than 500 g and provided that the weight cannot be measured, if the pregnancy lasted less than 22 weeks. </w:t>
      </w:r>
      <w:r w:rsidR="00FC7562" w:rsidRPr="002B7454">
        <w:rPr>
          <w:color w:val="FF0000"/>
          <w:lang w:val="cs-CZ"/>
        </w:rPr>
        <w:tab/>
      </w:r>
      <w:r w:rsidR="00FC7562" w:rsidRPr="00711E28">
        <w:t xml:space="preserve">Abortions are </w:t>
      </w:r>
      <w:r w:rsidR="006A414D" w:rsidRPr="00711E28">
        <w:t xml:space="preserve">dealt </w:t>
      </w:r>
      <w:r w:rsidR="00E23BE7" w:rsidRPr="00711E28">
        <w:t xml:space="preserve">with </w:t>
      </w:r>
      <w:r w:rsidR="00FC7562" w:rsidRPr="00711E28">
        <w:t>in two chapters</w:t>
      </w:r>
      <w:r w:rsidR="000472FC" w:rsidRPr="00711E28">
        <w:t xml:space="preserve"> </w:t>
      </w:r>
      <w:r w:rsidR="00FC7562" w:rsidRPr="00711E28">
        <w:t xml:space="preserve">– </w:t>
      </w:r>
      <w:r w:rsidR="004648CA" w:rsidRPr="00711E28">
        <w:t>“</w:t>
      </w:r>
      <w:r w:rsidR="00FC7562" w:rsidRPr="00711E28">
        <w:t>Population</w:t>
      </w:r>
      <w:r w:rsidR="004648CA" w:rsidRPr="00711E28">
        <w:t xml:space="preserve">, </w:t>
      </w:r>
      <w:r w:rsidR="00CF0F96" w:rsidRPr="00711E28">
        <w:t>f</w:t>
      </w:r>
      <w:r w:rsidR="004648CA" w:rsidRPr="00711E28">
        <w:t xml:space="preserve">amilies and </w:t>
      </w:r>
      <w:r w:rsidR="00CF0F96" w:rsidRPr="00711E28">
        <w:t>h</w:t>
      </w:r>
      <w:r w:rsidR="004648CA" w:rsidRPr="00711E28">
        <w:t>ouseholds”</w:t>
      </w:r>
      <w:r w:rsidR="00FC7562" w:rsidRPr="00711E28">
        <w:t xml:space="preserve"> and </w:t>
      </w:r>
      <w:r w:rsidR="004648CA" w:rsidRPr="00711E28">
        <w:t>“</w:t>
      </w:r>
      <w:r w:rsidR="00FC7562" w:rsidRPr="00711E28">
        <w:t>Health</w:t>
      </w:r>
      <w:r w:rsidR="004648CA" w:rsidRPr="00711E28">
        <w:t>”</w:t>
      </w:r>
      <w:r w:rsidR="00FC7562" w:rsidRPr="00711E28">
        <w:t xml:space="preserve">. In </w:t>
      </w:r>
      <w:r w:rsidR="00605384" w:rsidRPr="00711E28">
        <w:t>the part “</w:t>
      </w:r>
      <w:r w:rsidR="00FC7562" w:rsidRPr="00711E28">
        <w:t>Population</w:t>
      </w:r>
      <w:r w:rsidR="00605384" w:rsidRPr="00711E28">
        <w:t>”</w:t>
      </w:r>
      <w:r w:rsidR="00FC7562" w:rsidRPr="00711E28">
        <w:t xml:space="preserve"> </w:t>
      </w:r>
      <w:r w:rsidR="00841FF0" w:rsidRPr="00711E28">
        <w:t xml:space="preserve">the </w:t>
      </w:r>
      <w:r w:rsidR="00FC7562" w:rsidRPr="00711E28">
        <w:t>number</w:t>
      </w:r>
      <w:r w:rsidR="004437A7">
        <w:t xml:space="preserve"> of abortions</w:t>
      </w:r>
      <w:r w:rsidR="00FC7562" w:rsidRPr="00711E28">
        <w:t xml:space="preserve"> and total abortion rate are processed, </w:t>
      </w:r>
      <w:r w:rsidR="00841FF0" w:rsidRPr="00711E28">
        <w:t xml:space="preserve">chapter </w:t>
      </w:r>
      <w:r w:rsidR="00FC7562" w:rsidRPr="00711E28">
        <w:t xml:space="preserve">Health </w:t>
      </w:r>
      <w:r w:rsidR="00714A0B">
        <w:t>pays special attention to</w:t>
      </w:r>
      <w:r w:rsidR="00FC7562" w:rsidRPr="00711E28">
        <w:t xml:space="preserve"> </w:t>
      </w:r>
      <w:r w:rsidR="00841FF0" w:rsidRPr="00711E28">
        <w:t xml:space="preserve">respective </w:t>
      </w:r>
      <w:r w:rsidR="00FC7562" w:rsidRPr="00711E28">
        <w:t>types of abortions (</w:t>
      </w:r>
      <w:r w:rsidR="00841FF0" w:rsidRPr="00711E28">
        <w:t>spontaneous abortions</w:t>
      </w:r>
      <w:r w:rsidR="00FC7562" w:rsidRPr="00711E28">
        <w:t xml:space="preserve">, </w:t>
      </w:r>
      <w:r w:rsidR="00B76C53" w:rsidRPr="00711E28">
        <w:t>induced abortions</w:t>
      </w:r>
      <w:r w:rsidR="00BC0858" w:rsidRPr="00711E28">
        <w:t>,</w:t>
      </w:r>
      <w:r w:rsidR="00841FF0" w:rsidRPr="00711E28">
        <w:t xml:space="preserve"> </w:t>
      </w:r>
      <w:r w:rsidR="00FC7562" w:rsidRPr="00711E28">
        <w:t xml:space="preserve">and </w:t>
      </w:r>
      <w:r w:rsidR="00841FF0" w:rsidRPr="00711E28">
        <w:t xml:space="preserve">terminated </w:t>
      </w:r>
      <w:r w:rsidR="00FC7562" w:rsidRPr="00711E28">
        <w:t>ectopic pregnancies).</w:t>
      </w:r>
    </w:p>
    <w:p w:rsidR="00FC7562" w:rsidRDefault="00FC7562">
      <w:pPr>
        <w:tabs>
          <w:tab w:val="left" w:pos="600"/>
        </w:tabs>
        <w:jc w:val="both"/>
        <w:rPr>
          <w:rFonts w:ascii="Arial" w:hAnsi="Arial" w:cs="Arial"/>
          <w:i/>
          <w:iCs/>
          <w:sz w:val="20"/>
          <w:szCs w:val="20"/>
          <w:lang w:val="en-GB"/>
        </w:rPr>
      </w:pPr>
    </w:p>
    <w:p w:rsidR="00F91E15" w:rsidRDefault="00F91E15">
      <w:pPr>
        <w:tabs>
          <w:tab w:val="left" w:pos="600"/>
        </w:tabs>
        <w:jc w:val="both"/>
        <w:rPr>
          <w:rFonts w:ascii="Arial" w:hAnsi="Arial" w:cs="Arial"/>
          <w:i/>
          <w:iCs/>
          <w:sz w:val="20"/>
          <w:szCs w:val="20"/>
          <w:lang w:val="en-GB"/>
        </w:rPr>
      </w:pPr>
    </w:p>
    <w:p w:rsidR="00F91E15" w:rsidRDefault="00F91E15">
      <w:pPr>
        <w:tabs>
          <w:tab w:val="left" w:pos="600"/>
        </w:tabs>
        <w:jc w:val="both"/>
        <w:rPr>
          <w:rFonts w:ascii="Arial" w:hAnsi="Arial" w:cs="Arial"/>
          <w:i/>
          <w:iCs/>
          <w:sz w:val="20"/>
          <w:szCs w:val="20"/>
          <w:lang w:val="en-GB"/>
        </w:rPr>
      </w:pPr>
    </w:p>
    <w:p w:rsidR="00F91E15" w:rsidRDefault="00F91E15">
      <w:pPr>
        <w:tabs>
          <w:tab w:val="left" w:pos="600"/>
        </w:tabs>
        <w:jc w:val="both"/>
        <w:rPr>
          <w:rFonts w:ascii="Arial" w:hAnsi="Arial" w:cs="Arial"/>
          <w:i/>
          <w:iCs/>
          <w:sz w:val="20"/>
          <w:szCs w:val="20"/>
          <w:lang w:val="en-GB"/>
        </w:rPr>
      </w:pPr>
    </w:p>
    <w:p w:rsidR="00F91E15" w:rsidRPr="00711E28" w:rsidRDefault="00F91E15">
      <w:pPr>
        <w:tabs>
          <w:tab w:val="left" w:pos="600"/>
        </w:tabs>
        <w:jc w:val="both"/>
        <w:rPr>
          <w:rFonts w:ascii="Arial" w:hAnsi="Arial" w:cs="Arial"/>
          <w:i/>
          <w:iCs/>
          <w:sz w:val="20"/>
          <w:szCs w:val="20"/>
          <w:lang w:val="en-GB"/>
        </w:rPr>
      </w:pPr>
    </w:p>
    <w:p w:rsidR="00FC7562" w:rsidRPr="00711E28" w:rsidRDefault="00BC0858">
      <w:pPr>
        <w:tabs>
          <w:tab w:val="left" w:pos="600"/>
        </w:tabs>
        <w:jc w:val="both"/>
        <w:rPr>
          <w:rFonts w:ascii="Arial" w:hAnsi="Arial" w:cs="Arial"/>
          <w:i/>
          <w:iCs/>
          <w:sz w:val="20"/>
          <w:szCs w:val="20"/>
          <w:lang w:val="en-GB"/>
        </w:rPr>
      </w:pPr>
      <w:r w:rsidRPr="00711E28">
        <w:rPr>
          <w:rFonts w:ascii="Arial" w:hAnsi="Arial" w:cs="Arial"/>
          <w:b/>
          <w:bCs/>
          <w:i/>
          <w:iCs/>
          <w:sz w:val="20"/>
          <w:szCs w:val="20"/>
          <w:lang w:val="en-GB"/>
        </w:rPr>
        <w:t xml:space="preserve">Age-specific reproduction </w:t>
      </w:r>
      <w:r w:rsidR="00FC7562" w:rsidRPr="00711E28">
        <w:rPr>
          <w:rFonts w:ascii="Arial" w:hAnsi="Arial" w:cs="Arial"/>
          <w:b/>
          <w:bCs/>
          <w:i/>
          <w:iCs/>
          <w:sz w:val="20"/>
          <w:szCs w:val="20"/>
          <w:lang w:val="en-GB"/>
        </w:rPr>
        <w:t>rates</w:t>
      </w:r>
    </w:p>
    <w:p w:rsidR="00FC7562" w:rsidRPr="00711E28" w:rsidRDefault="00FC7562">
      <w:pPr>
        <w:tabs>
          <w:tab w:val="left" w:pos="283"/>
        </w:tabs>
        <w:jc w:val="both"/>
        <w:rPr>
          <w:rFonts w:ascii="Arial" w:hAnsi="Arial" w:cs="Arial"/>
          <w:b/>
          <w:bCs/>
          <w:i/>
          <w:iCs/>
          <w:sz w:val="20"/>
          <w:szCs w:val="20"/>
          <w:lang w:val="en-GB"/>
        </w:rPr>
      </w:pPr>
    </w:p>
    <w:p w:rsidR="00FC7562" w:rsidRPr="00D83B02" w:rsidRDefault="00817A96" w:rsidP="00817A96">
      <w:pPr>
        <w:tabs>
          <w:tab w:val="left" w:pos="720"/>
        </w:tabs>
        <w:jc w:val="both"/>
        <w:rPr>
          <w:rFonts w:ascii="Arial" w:hAnsi="Arial" w:cs="Arial"/>
          <w:i/>
          <w:iCs/>
          <w:sz w:val="20"/>
          <w:szCs w:val="20"/>
          <w:lang w:val="en-GB"/>
        </w:rPr>
      </w:pPr>
      <w:r>
        <w:rPr>
          <w:rFonts w:ascii="Arial" w:hAnsi="Arial" w:cs="Arial"/>
          <w:b/>
          <w:bCs/>
          <w:i/>
          <w:iCs/>
          <w:sz w:val="20"/>
          <w:szCs w:val="20"/>
          <w:lang w:val="en-GB"/>
        </w:rPr>
        <w:tab/>
      </w:r>
      <w:r w:rsidR="00A51030" w:rsidRPr="00711E28">
        <w:rPr>
          <w:rFonts w:ascii="Arial" w:hAnsi="Arial" w:cs="Arial"/>
          <w:b/>
          <w:bCs/>
          <w:i/>
          <w:iCs/>
          <w:sz w:val="20"/>
          <w:szCs w:val="20"/>
          <w:lang w:val="en-GB"/>
        </w:rPr>
        <w:t xml:space="preserve">Age-specific fertility </w:t>
      </w:r>
      <w:r w:rsidR="00FC7562" w:rsidRPr="00711E28">
        <w:rPr>
          <w:rFonts w:ascii="Arial" w:hAnsi="Arial" w:cs="Arial"/>
          <w:b/>
          <w:bCs/>
          <w:i/>
          <w:iCs/>
          <w:sz w:val="20"/>
          <w:szCs w:val="20"/>
          <w:lang w:val="en-GB"/>
        </w:rPr>
        <w:t>rate</w:t>
      </w:r>
      <w:r w:rsidR="00FC7562" w:rsidRPr="00711E28">
        <w:rPr>
          <w:rFonts w:ascii="Arial" w:hAnsi="Arial" w:cs="Arial"/>
          <w:i/>
          <w:iCs/>
          <w:sz w:val="20"/>
          <w:szCs w:val="20"/>
          <w:lang w:val="en-GB"/>
        </w:rPr>
        <w:t xml:space="preserve">: </w:t>
      </w:r>
      <w:r w:rsidR="000D63BA">
        <w:rPr>
          <w:rFonts w:ascii="Arial" w:hAnsi="Arial" w:cs="Arial"/>
          <w:i/>
          <w:iCs/>
          <w:sz w:val="20"/>
          <w:szCs w:val="20"/>
          <w:lang w:val="en-GB"/>
        </w:rPr>
        <w:t>t</w:t>
      </w:r>
      <w:r w:rsidR="001D2A66" w:rsidRPr="00711E28">
        <w:rPr>
          <w:rFonts w:ascii="Arial" w:hAnsi="Arial" w:cs="Arial"/>
          <w:i/>
          <w:iCs/>
          <w:sz w:val="20"/>
          <w:szCs w:val="20"/>
          <w:lang w:val="en-GB"/>
        </w:rPr>
        <w:t xml:space="preserve">he </w:t>
      </w:r>
      <w:r w:rsidR="00FC7562" w:rsidRPr="00711E28">
        <w:rPr>
          <w:rFonts w:ascii="Arial" w:hAnsi="Arial" w:cs="Arial"/>
          <w:i/>
          <w:iCs/>
          <w:sz w:val="20"/>
          <w:szCs w:val="20"/>
          <w:lang w:val="en-GB"/>
        </w:rPr>
        <w:t xml:space="preserve">number of </w:t>
      </w:r>
      <w:r w:rsidR="00BC0858" w:rsidRPr="00711E28">
        <w:rPr>
          <w:rFonts w:ascii="Arial" w:hAnsi="Arial" w:cs="Arial"/>
          <w:i/>
          <w:iCs/>
          <w:sz w:val="20"/>
          <w:lang w:val="en-GB"/>
        </w:rPr>
        <w:t xml:space="preserve">live-born </w:t>
      </w:r>
      <w:r w:rsidR="00FC7562" w:rsidRPr="00711E28">
        <w:rPr>
          <w:rFonts w:ascii="Arial" w:hAnsi="Arial" w:cs="Arial"/>
          <w:i/>
          <w:iCs/>
          <w:sz w:val="20"/>
          <w:szCs w:val="20"/>
          <w:lang w:val="en-GB"/>
        </w:rPr>
        <w:t>children</w:t>
      </w:r>
      <w:r w:rsidR="00FC7562" w:rsidRPr="00711E28">
        <w:rPr>
          <w:rFonts w:ascii="Arial" w:hAnsi="Arial" w:cs="Arial"/>
          <w:i/>
          <w:iCs/>
          <w:color w:val="FF0000"/>
          <w:sz w:val="20"/>
          <w:lang w:val="en-GB"/>
        </w:rPr>
        <w:t xml:space="preserve"> </w:t>
      </w:r>
      <w:r w:rsidR="00FC7562" w:rsidRPr="00711E28">
        <w:rPr>
          <w:rFonts w:ascii="Arial" w:hAnsi="Arial" w:cs="Arial"/>
          <w:i/>
          <w:iCs/>
          <w:sz w:val="20"/>
          <w:lang w:val="en-GB"/>
        </w:rPr>
        <w:t xml:space="preserve">to </w:t>
      </w:r>
      <w:r w:rsidR="00C924BA" w:rsidRPr="00711E28">
        <w:rPr>
          <w:rFonts w:ascii="Arial" w:hAnsi="Arial" w:cs="Arial"/>
          <w:i/>
          <w:iCs/>
          <w:sz w:val="20"/>
          <w:lang w:val="en-GB"/>
        </w:rPr>
        <w:t xml:space="preserve">women </w:t>
      </w:r>
      <w:r w:rsidR="00FC7562" w:rsidRPr="00711E28">
        <w:rPr>
          <w:rFonts w:ascii="Arial" w:hAnsi="Arial" w:cs="Arial"/>
          <w:i/>
          <w:iCs/>
          <w:sz w:val="20"/>
          <w:lang w:val="en-GB"/>
        </w:rPr>
        <w:t>of a given age</w:t>
      </w:r>
      <w:r w:rsidR="00FC7562" w:rsidRPr="00711E28">
        <w:rPr>
          <w:rFonts w:ascii="Arial" w:hAnsi="Arial" w:cs="Arial"/>
          <w:i/>
          <w:iCs/>
          <w:sz w:val="20"/>
          <w:szCs w:val="20"/>
          <w:lang w:val="en-GB"/>
        </w:rPr>
        <w:t xml:space="preserve"> per 1 000 </w:t>
      </w:r>
      <w:r w:rsidR="00D83B02" w:rsidRPr="00D83B02">
        <w:rPr>
          <w:rFonts w:ascii="Arial" w:hAnsi="Arial"/>
          <w:i/>
          <w:sz w:val="20"/>
          <w:lang w:val="en-GB"/>
        </w:rPr>
        <w:t>mid-year population</w:t>
      </w:r>
      <w:r w:rsidR="004F29B6">
        <w:rPr>
          <w:rFonts w:ascii="Arial" w:hAnsi="Arial"/>
          <w:i/>
          <w:sz w:val="20"/>
          <w:lang w:val="en-GB"/>
        </w:rPr>
        <w:t xml:space="preserve"> of women</w:t>
      </w:r>
      <w:r w:rsidR="00181A8A" w:rsidRPr="00D83B02">
        <w:rPr>
          <w:rFonts w:ascii="Arial" w:hAnsi="Arial" w:cs="Arial"/>
          <w:i/>
          <w:iCs/>
          <w:sz w:val="20"/>
          <w:szCs w:val="20"/>
          <w:lang w:val="en-GB"/>
        </w:rPr>
        <w:t xml:space="preserve"> </w:t>
      </w:r>
      <w:r w:rsidR="00FC7562" w:rsidRPr="00D83B02">
        <w:rPr>
          <w:rFonts w:ascii="Arial" w:hAnsi="Arial" w:cs="Arial"/>
          <w:i/>
          <w:iCs/>
          <w:sz w:val="20"/>
          <w:szCs w:val="20"/>
          <w:lang w:val="en-GB"/>
        </w:rPr>
        <w:t>of the same age.</w:t>
      </w:r>
    </w:p>
    <w:p w:rsidR="00FC7562" w:rsidRPr="00DD3DDB" w:rsidRDefault="00817A96">
      <w:pPr>
        <w:tabs>
          <w:tab w:val="left" w:pos="720"/>
        </w:tabs>
        <w:spacing w:before="120"/>
        <w:ind w:right="43"/>
        <w:jc w:val="both"/>
        <w:rPr>
          <w:rFonts w:ascii="Arial" w:hAnsi="Arial" w:cs="Arial"/>
          <w:i/>
          <w:sz w:val="20"/>
          <w:lang w:val="en-GB"/>
        </w:rPr>
      </w:pPr>
      <w:r w:rsidRPr="00A87C5C">
        <w:rPr>
          <w:rFonts w:ascii="Arial" w:hAnsi="Arial" w:cs="Arial"/>
          <w:b/>
          <w:bCs/>
          <w:i/>
          <w:iCs/>
          <w:sz w:val="20"/>
          <w:szCs w:val="20"/>
          <w:lang w:val="en-GB"/>
        </w:rPr>
        <w:tab/>
      </w:r>
      <w:r w:rsidR="00FC7562" w:rsidRPr="00A87C5C">
        <w:rPr>
          <w:rFonts w:ascii="Arial" w:hAnsi="Arial" w:cs="Arial"/>
          <w:b/>
          <w:bCs/>
          <w:i/>
          <w:iCs/>
          <w:sz w:val="20"/>
          <w:szCs w:val="20"/>
          <w:lang w:val="en-GB"/>
        </w:rPr>
        <w:t>Total fertility rate</w:t>
      </w:r>
      <w:r w:rsidR="006F0C40" w:rsidRPr="00A87C5C">
        <w:rPr>
          <w:rFonts w:ascii="Arial" w:hAnsi="Arial" w:cs="Arial"/>
          <w:b/>
          <w:bCs/>
          <w:i/>
          <w:iCs/>
          <w:sz w:val="20"/>
          <w:szCs w:val="20"/>
          <w:lang w:val="en-GB"/>
        </w:rPr>
        <w:t xml:space="preserve"> </w:t>
      </w:r>
      <w:r w:rsidR="00181A8A" w:rsidRPr="00A87C5C">
        <w:rPr>
          <w:rFonts w:ascii="Arial" w:hAnsi="Arial" w:cs="Arial"/>
          <w:i/>
          <w:sz w:val="20"/>
          <w:lang w:val="en-GB"/>
        </w:rPr>
        <w:t>(</w:t>
      </w:r>
      <w:r w:rsidR="00A87C5C" w:rsidRPr="00A87C5C">
        <w:rPr>
          <w:rFonts w:ascii="Arial" w:hAnsi="Arial" w:cs="Arial"/>
          <w:i/>
          <w:sz w:val="20"/>
          <w:lang w:val="en-GB"/>
        </w:rPr>
        <w:t>the sum of age-specific fertility rates</w:t>
      </w:r>
      <w:r w:rsidR="00181A8A" w:rsidRPr="00A87C5C">
        <w:rPr>
          <w:rFonts w:ascii="Arial" w:hAnsi="Arial" w:cs="Arial"/>
          <w:i/>
          <w:sz w:val="20"/>
          <w:lang w:val="en-GB"/>
        </w:rPr>
        <w:t xml:space="preserve">): </w:t>
      </w:r>
      <w:r w:rsidR="00A87C5C">
        <w:rPr>
          <w:rFonts w:ascii="Arial" w:hAnsi="Arial" w:cs="Arial"/>
          <w:i/>
          <w:sz w:val="20"/>
          <w:lang w:val="en-GB"/>
        </w:rPr>
        <w:t>the average number of children that would be born alive to a woman provided that age-specific fertility rates recorded in a reference</w:t>
      </w:r>
      <w:r w:rsidR="00107394">
        <w:rPr>
          <w:rFonts w:ascii="Arial" w:hAnsi="Arial" w:cs="Arial"/>
          <w:i/>
          <w:sz w:val="20"/>
          <w:lang w:val="en-GB"/>
        </w:rPr>
        <w:t xml:space="preserve"> calendar</w:t>
      </w:r>
      <w:r w:rsidR="00A87C5C">
        <w:rPr>
          <w:rFonts w:ascii="Arial" w:hAnsi="Arial" w:cs="Arial"/>
          <w:i/>
          <w:sz w:val="20"/>
          <w:lang w:val="en-GB"/>
        </w:rPr>
        <w:t xml:space="preserve"> year would remain unchanged during her childbearing period (age 15–49 years). </w:t>
      </w:r>
    </w:p>
    <w:p w:rsidR="00FC7562" w:rsidRPr="00711E28" w:rsidRDefault="00817A96">
      <w:pPr>
        <w:tabs>
          <w:tab w:val="left" w:pos="720"/>
        </w:tabs>
        <w:spacing w:before="120"/>
        <w:ind w:right="43"/>
        <w:jc w:val="both"/>
        <w:rPr>
          <w:rFonts w:ascii="Arial" w:hAnsi="Arial" w:cs="Arial"/>
          <w:i/>
          <w:iCs/>
          <w:sz w:val="20"/>
          <w:szCs w:val="20"/>
          <w:lang w:val="en-GB"/>
        </w:rPr>
      </w:pPr>
      <w:r w:rsidRPr="00C47B69">
        <w:rPr>
          <w:rFonts w:ascii="Arial" w:hAnsi="Arial" w:cs="Arial"/>
          <w:b/>
          <w:bCs/>
          <w:i/>
          <w:iCs/>
          <w:sz w:val="20"/>
          <w:szCs w:val="20"/>
          <w:lang w:val="en-GB"/>
        </w:rPr>
        <w:tab/>
      </w:r>
      <w:r w:rsidR="00FC7562" w:rsidRPr="00C47B69">
        <w:rPr>
          <w:rFonts w:ascii="Arial" w:hAnsi="Arial" w:cs="Arial"/>
          <w:b/>
          <w:bCs/>
          <w:i/>
          <w:iCs/>
          <w:sz w:val="20"/>
          <w:szCs w:val="20"/>
          <w:lang w:val="en-GB"/>
        </w:rPr>
        <w:t>Gross reproduction rate</w:t>
      </w:r>
      <w:r w:rsidR="00FC7562" w:rsidRPr="00C47B69">
        <w:rPr>
          <w:rFonts w:ascii="Arial" w:hAnsi="Arial" w:cs="Arial"/>
          <w:i/>
          <w:iCs/>
          <w:sz w:val="20"/>
          <w:szCs w:val="20"/>
          <w:lang w:val="en-GB"/>
        </w:rPr>
        <w:t xml:space="preserve">: </w:t>
      </w:r>
      <w:r w:rsidR="00E01696">
        <w:rPr>
          <w:rFonts w:ascii="Arial" w:hAnsi="Arial" w:cs="Arial"/>
          <w:i/>
          <w:iCs/>
          <w:sz w:val="20"/>
          <w:szCs w:val="20"/>
          <w:lang w:val="en-GB"/>
        </w:rPr>
        <w:t>the average number of daughters that would be born alive to a woman provided that age-specific fertility rates recorded in a reference</w:t>
      </w:r>
      <w:r w:rsidR="00311466">
        <w:rPr>
          <w:rFonts w:ascii="Arial" w:hAnsi="Arial" w:cs="Arial"/>
          <w:i/>
          <w:iCs/>
          <w:sz w:val="20"/>
          <w:szCs w:val="20"/>
          <w:lang w:val="en-GB"/>
        </w:rPr>
        <w:t xml:space="preserve"> calendar</w:t>
      </w:r>
      <w:r w:rsidR="00E01696">
        <w:rPr>
          <w:rFonts w:ascii="Arial" w:hAnsi="Arial" w:cs="Arial"/>
          <w:i/>
          <w:iCs/>
          <w:sz w:val="20"/>
          <w:szCs w:val="20"/>
          <w:lang w:val="en-GB"/>
        </w:rPr>
        <w:t xml:space="preserve"> year would remain unchanged during her childbearing period </w:t>
      </w:r>
      <w:r w:rsidR="00E01696">
        <w:rPr>
          <w:rFonts w:ascii="Arial" w:hAnsi="Arial" w:cs="Arial"/>
          <w:i/>
          <w:sz w:val="20"/>
          <w:lang w:val="en-GB"/>
        </w:rPr>
        <w:t xml:space="preserve">(age 15–49 years). </w:t>
      </w:r>
    </w:p>
    <w:p w:rsidR="00FC7562" w:rsidRPr="00711E28" w:rsidRDefault="00817A96">
      <w:pPr>
        <w:tabs>
          <w:tab w:val="left" w:pos="720"/>
        </w:tabs>
        <w:spacing w:before="120"/>
        <w:ind w:right="43"/>
        <w:jc w:val="both"/>
        <w:rPr>
          <w:rFonts w:ascii="Arial" w:hAnsi="Arial" w:cs="Arial"/>
          <w:i/>
          <w:iCs/>
          <w:sz w:val="20"/>
          <w:szCs w:val="20"/>
          <w:lang w:val="en-GB"/>
        </w:rPr>
      </w:pPr>
      <w:r w:rsidRPr="006F0C40">
        <w:rPr>
          <w:rFonts w:ascii="Arial" w:hAnsi="Arial" w:cs="Arial"/>
          <w:b/>
          <w:bCs/>
          <w:i/>
          <w:iCs/>
          <w:sz w:val="20"/>
          <w:szCs w:val="20"/>
          <w:lang w:val="en-GB"/>
        </w:rPr>
        <w:tab/>
      </w:r>
      <w:r w:rsidR="00FC7562" w:rsidRPr="00856BA8">
        <w:rPr>
          <w:rFonts w:ascii="Arial" w:hAnsi="Arial" w:cs="Arial"/>
          <w:b/>
          <w:bCs/>
          <w:i/>
          <w:iCs/>
          <w:sz w:val="20"/>
          <w:szCs w:val="20"/>
          <w:lang w:val="en-GB"/>
        </w:rPr>
        <w:t>Net reproduction rate</w:t>
      </w:r>
      <w:r w:rsidR="00FC7562" w:rsidRPr="00856BA8">
        <w:rPr>
          <w:rFonts w:ascii="Arial" w:hAnsi="Arial" w:cs="Arial"/>
          <w:i/>
          <w:iCs/>
          <w:sz w:val="20"/>
          <w:szCs w:val="20"/>
          <w:lang w:val="en-GB"/>
        </w:rPr>
        <w:t xml:space="preserve">: </w:t>
      </w:r>
      <w:r w:rsidR="00620423">
        <w:rPr>
          <w:rFonts w:ascii="Arial" w:hAnsi="Arial" w:cs="Arial"/>
          <w:i/>
          <w:iCs/>
          <w:sz w:val="20"/>
          <w:szCs w:val="20"/>
          <w:lang w:val="en-GB"/>
        </w:rPr>
        <w:t xml:space="preserve">the average number of daughters that would be born alive to a woman and would survive until the age of her mother at the time of delivery </w:t>
      </w:r>
      <w:r w:rsidR="00DC5DFB">
        <w:rPr>
          <w:rFonts w:ascii="Arial" w:hAnsi="Arial" w:cs="Arial"/>
          <w:i/>
          <w:iCs/>
          <w:sz w:val="20"/>
          <w:szCs w:val="20"/>
          <w:lang w:val="en-GB"/>
        </w:rPr>
        <w:t>provided</w:t>
      </w:r>
      <w:r w:rsidR="00620423">
        <w:rPr>
          <w:rFonts w:ascii="Arial" w:hAnsi="Arial" w:cs="Arial"/>
          <w:i/>
          <w:iCs/>
          <w:sz w:val="20"/>
          <w:szCs w:val="20"/>
          <w:lang w:val="en-GB"/>
        </w:rPr>
        <w:t xml:space="preserve"> that age-specific fertility and mortality rates recorded in a reference</w:t>
      </w:r>
      <w:r w:rsidR="00DC5DFB">
        <w:rPr>
          <w:rFonts w:ascii="Arial" w:hAnsi="Arial" w:cs="Arial"/>
          <w:i/>
          <w:iCs/>
          <w:sz w:val="20"/>
          <w:szCs w:val="20"/>
          <w:lang w:val="en-GB"/>
        </w:rPr>
        <w:t xml:space="preserve"> calendar</w:t>
      </w:r>
      <w:r w:rsidR="00620423">
        <w:rPr>
          <w:rFonts w:ascii="Arial" w:hAnsi="Arial" w:cs="Arial"/>
          <w:i/>
          <w:iCs/>
          <w:sz w:val="20"/>
          <w:szCs w:val="20"/>
          <w:lang w:val="en-GB"/>
        </w:rPr>
        <w:t xml:space="preserve"> year would remain unchanged during her childbearing period </w:t>
      </w:r>
      <w:r w:rsidR="00620423">
        <w:rPr>
          <w:rFonts w:ascii="Arial" w:hAnsi="Arial" w:cs="Arial"/>
          <w:i/>
          <w:sz w:val="20"/>
          <w:lang w:val="en-GB"/>
        </w:rPr>
        <w:t xml:space="preserve">(age 15–49 years). </w:t>
      </w:r>
      <w:r w:rsidR="00FC7562" w:rsidRPr="00856BA8">
        <w:rPr>
          <w:rFonts w:ascii="Arial" w:hAnsi="Arial" w:cs="Arial"/>
          <w:i/>
          <w:iCs/>
          <w:sz w:val="20"/>
          <w:szCs w:val="20"/>
          <w:lang w:val="en-GB"/>
        </w:rPr>
        <w:t xml:space="preserve"> In order to maintain</w:t>
      </w:r>
      <w:r w:rsidR="00FC7562" w:rsidRPr="00711E28">
        <w:rPr>
          <w:rFonts w:ascii="Arial" w:hAnsi="Arial" w:cs="Arial"/>
          <w:i/>
          <w:iCs/>
          <w:sz w:val="20"/>
          <w:szCs w:val="20"/>
          <w:lang w:val="en-GB"/>
        </w:rPr>
        <w:t xml:space="preserve"> </w:t>
      </w:r>
      <w:r w:rsidR="00BC0858" w:rsidRPr="00711E28">
        <w:rPr>
          <w:rFonts w:ascii="Arial" w:hAnsi="Arial" w:cs="Arial"/>
          <w:i/>
          <w:iCs/>
          <w:sz w:val="20"/>
          <w:szCs w:val="20"/>
          <w:lang w:val="en-GB"/>
        </w:rPr>
        <w:t>the </w:t>
      </w:r>
      <w:r w:rsidR="00FC7562" w:rsidRPr="00711E28">
        <w:rPr>
          <w:rFonts w:ascii="Arial" w:hAnsi="Arial" w:cs="Arial"/>
          <w:i/>
          <w:iCs/>
          <w:sz w:val="20"/>
          <w:szCs w:val="20"/>
          <w:lang w:val="en-GB"/>
        </w:rPr>
        <w:t xml:space="preserve">stationary </w:t>
      </w:r>
      <w:r w:rsidR="00BC0858" w:rsidRPr="00711E28">
        <w:rPr>
          <w:rFonts w:ascii="Arial" w:hAnsi="Arial" w:cs="Arial"/>
          <w:i/>
          <w:iCs/>
          <w:sz w:val="20"/>
          <w:szCs w:val="20"/>
          <w:lang w:val="en-GB"/>
        </w:rPr>
        <w:t xml:space="preserve">number of </w:t>
      </w:r>
      <w:r w:rsidR="00FC7562" w:rsidRPr="00711E28">
        <w:rPr>
          <w:rFonts w:ascii="Arial" w:hAnsi="Arial" w:cs="Arial"/>
          <w:i/>
          <w:iCs/>
          <w:sz w:val="20"/>
          <w:szCs w:val="20"/>
          <w:lang w:val="en-GB"/>
        </w:rPr>
        <w:t xml:space="preserve">population in the future, the net reproduction rate must be kept at one (1). </w:t>
      </w:r>
    </w:p>
    <w:p w:rsidR="008039C6" w:rsidRPr="00711E28" w:rsidRDefault="008039C6">
      <w:pPr>
        <w:tabs>
          <w:tab w:val="left" w:pos="720"/>
        </w:tabs>
        <w:ind w:right="45"/>
        <w:jc w:val="both"/>
        <w:rPr>
          <w:rFonts w:ascii="Arial" w:hAnsi="Arial" w:cs="Arial"/>
          <w:b/>
          <w:bCs/>
          <w:i/>
          <w:iCs/>
          <w:sz w:val="20"/>
          <w:szCs w:val="20"/>
          <w:lang w:val="en-GB"/>
        </w:rPr>
      </w:pPr>
    </w:p>
    <w:p w:rsidR="00FC7562" w:rsidRPr="00711E28" w:rsidRDefault="00817A96">
      <w:pPr>
        <w:tabs>
          <w:tab w:val="left" w:pos="720"/>
        </w:tabs>
        <w:ind w:right="45"/>
        <w:jc w:val="both"/>
        <w:rPr>
          <w:rFonts w:ascii="Arial" w:hAnsi="Arial" w:cs="Arial"/>
          <w:i/>
          <w:iCs/>
          <w:sz w:val="20"/>
          <w:szCs w:val="20"/>
          <w:lang w:val="en-GB"/>
        </w:rPr>
      </w:pPr>
      <w:r>
        <w:rPr>
          <w:rFonts w:ascii="Arial" w:hAnsi="Arial" w:cs="Arial"/>
          <w:b/>
          <w:bCs/>
          <w:i/>
          <w:iCs/>
          <w:sz w:val="20"/>
          <w:szCs w:val="20"/>
          <w:lang w:val="en-GB"/>
        </w:rPr>
        <w:tab/>
      </w:r>
      <w:r w:rsidR="00A51030" w:rsidRPr="00711E28">
        <w:rPr>
          <w:rFonts w:ascii="Arial" w:hAnsi="Arial" w:cs="Arial"/>
          <w:b/>
          <w:bCs/>
          <w:i/>
          <w:iCs/>
          <w:sz w:val="20"/>
          <w:szCs w:val="20"/>
          <w:lang w:val="en-GB"/>
        </w:rPr>
        <w:t xml:space="preserve">Age-specific abortion </w:t>
      </w:r>
      <w:r w:rsidR="00FC7562" w:rsidRPr="00711E28">
        <w:rPr>
          <w:rFonts w:ascii="Arial" w:hAnsi="Arial" w:cs="Arial"/>
          <w:b/>
          <w:bCs/>
          <w:i/>
          <w:iCs/>
          <w:sz w:val="20"/>
          <w:szCs w:val="20"/>
          <w:lang w:val="en-GB"/>
        </w:rPr>
        <w:t>rate</w:t>
      </w:r>
      <w:r w:rsidR="00FC7562" w:rsidRPr="00711E28">
        <w:rPr>
          <w:rFonts w:ascii="Arial" w:hAnsi="Arial" w:cs="Arial"/>
          <w:i/>
          <w:iCs/>
          <w:sz w:val="20"/>
          <w:szCs w:val="20"/>
          <w:lang w:val="en-GB"/>
        </w:rPr>
        <w:t xml:space="preserve">: </w:t>
      </w:r>
      <w:r w:rsidR="000D63BA">
        <w:rPr>
          <w:rFonts w:ascii="Arial" w:hAnsi="Arial" w:cs="Arial"/>
          <w:i/>
          <w:iCs/>
          <w:sz w:val="20"/>
          <w:szCs w:val="20"/>
          <w:lang w:val="en-GB"/>
        </w:rPr>
        <w:t>t</w:t>
      </w:r>
      <w:r w:rsidR="001D2A66" w:rsidRPr="00711E28">
        <w:rPr>
          <w:rFonts w:ascii="Arial" w:hAnsi="Arial" w:cs="Arial"/>
          <w:i/>
          <w:iCs/>
          <w:sz w:val="20"/>
          <w:szCs w:val="20"/>
          <w:lang w:val="en-GB"/>
        </w:rPr>
        <w:t xml:space="preserve">he </w:t>
      </w:r>
      <w:r w:rsidR="00FC7562" w:rsidRPr="00711E28">
        <w:rPr>
          <w:rFonts w:ascii="Arial" w:hAnsi="Arial" w:cs="Arial"/>
          <w:i/>
          <w:iCs/>
          <w:sz w:val="20"/>
          <w:szCs w:val="20"/>
          <w:lang w:val="en-GB"/>
        </w:rPr>
        <w:t xml:space="preserve">number of abortions (all types) </w:t>
      </w:r>
      <w:r w:rsidR="00683AC7">
        <w:rPr>
          <w:rFonts w:ascii="Arial" w:hAnsi="Arial" w:cs="Arial"/>
          <w:i/>
          <w:iCs/>
          <w:sz w:val="20"/>
          <w:szCs w:val="20"/>
          <w:lang w:val="en-GB"/>
        </w:rPr>
        <w:t>in</w:t>
      </w:r>
      <w:r w:rsidR="00683AC7" w:rsidRPr="00711E28">
        <w:rPr>
          <w:rFonts w:ascii="Arial" w:hAnsi="Arial" w:cs="Arial"/>
          <w:i/>
          <w:iCs/>
          <w:sz w:val="20"/>
          <w:szCs w:val="20"/>
          <w:lang w:val="en-GB"/>
        </w:rPr>
        <w:t xml:space="preserve"> </w:t>
      </w:r>
      <w:r w:rsidR="00A51030" w:rsidRPr="00711E28">
        <w:rPr>
          <w:rFonts w:ascii="Arial" w:hAnsi="Arial" w:cs="Arial"/>
          <w:i/>
          <w:iCs/>
          <w:sz w:val="20"/>
          <w:szCs w:val="20"/>
          <w:lang w:val="en-GB"/>
        </w:rPr>
        <w:t xml:space="preserve">women of </w:t>
      </w:r>
      <w:r w:rsidR="00FC7562" w:rsidRPr="00711E28">
        <w:rPr>
          <w:rFonts w:ascii="Arial" w:hAnsi="Arial" w:cs="Arial"/>
          <w:i/>
          <w:iCs/>
          <w:sz w:val="20"/>
          <w:szCs w:val="20"/>
          <w:lang w:val="en-GB"/>
        </w:rPr>
        <w:t>the given age per 1 000 </w:t>
      </w:r>
      <w:r w:rsidR="004F4D95" w:rsidRPr="00D83B02">
        <w:rPr>
          <w:rFonts w:ascii="Arial" w:hAnsi="Arial"/>
          <w:i/>
          <w:sz w:val="20"/>
          <w:lang w:val="en-GB"/>
        </w:rPr>
        <w:t>mid-year population</w:t>
      </w:r>
      <w:r w:rsidR="004F4D95">
        <w:rPr>
          <w:rFonts w:ascii="Arial" w:hAnsi="Arial"/>
          <w:i/>
          <w:sz w:val="20"/>
          <w:lang w:val="en-GB"/>
        </w:rPr>
        <w:t xml:space="preserve"> of </w:t>
      </w:r>
      <w:r w:rsidR="00FC7562" w:rsidRPr="00711E28">
        <w:rPr>
          <w:rFonts w:ascii="Arial" w:hAnsi="Arial" w:cs="Arial"/>
          <w:i/>
          <w:iCs/>
          <w:sz w:val="20"/>
          <w:szCs w:val="20"/>
          <w:lang w:val="en-GB"/>
        </w:rPr>
        <w:t>women of the same age.</w:t>
      </w:r>
    </w:p>
    <w:p w:rsidR="00FC7562" w:rsidRPr="00711E28" w:rsidRDefault="00817A96">
      <w:pPr>
        <w:tabs>
          <w:tab w:val="left" w:pos="720"/>
        </w:tabs>
        <w:spacing w:before="120"/>
        <w:ind w:right="43"/>
        <w:jc w:val="both"/>
        <w:rPr>
          <w:rFonts w:ascii="Arial" w:hAnsi="Arial" w:cs="Arial"/>
          <w:i/>
          <w:iCs/>
          <w:sz w:val="20"/>
          <w:szCs w:val="20"/>
          <w:lang w:val="en-GB"/>
        </w:rPr>
      </w:pPr>
      <w:r w:rsidRPr="006F0C40">
        <w:rPr>
          <w:rFonts w:ascii="Arial" w:hAnsi="Arial" w:cs="Arial"/>
          <w:b/>
          <w:bCs/>
          <w:i/>
          <w:iCs/>
          <w:sz w:val="20"/>
          <w:szCs w:val="20"/>
          <w:lang w:val="en-GB"/>
        </w:rPr>
        <w:tab/>
      </w:r>
      <w:r w:rsidR="00FC7562" w:rsidRPr="00454B93">
        <w:rPr>
          <w:rFonts w:ascii="Arial" w:hAnsi="Arial" w:cs="Arial"/>
          <w:b/>
          <w:bCs/>
          <w:i/>
          <w:iCs/>
          <w:sz w:val="20"/>
          <w:szCs w:val="20"/>
          <w:lang w:val="en-GB"/>
        </w:rPr>
        <w:t>Total abortion rate</w:t>
      </w:r>
      <w:r w:rsidR="00FC7562" w:rsidRPr="00737D15">
        <w:rPr>
          <w:rFonts w:ascii="Arial" w:hAnsi="Arial" w:cs="Arial"/>
          <w:i/>
          <w:iCs/>
          <w:sz w:val="20"/>
          <w:szCs w:val="20"/>
          <w:lang w:val="en-GB"/>
        </w:rPr>
        <w:t>:</w:t>
      </w:r>
      <w:r w:rsidR="00101A12" w:rsidRPr="00737D15">
        <w:rPr>
          <w:rFonts w:ascii="Arial" w:hAnsi="Arial" w:cs="Arial"/>
          <w:i/>
          <w:iCs/>
          <w:sz w:val="20"/>
          <w:szCs w:val="20"/>
          <w:lang w:val="en-GB"/>
        </w:rPr>
        <w:t xml:space="preserve"> the average number of abortions that a woman </w:t>
      </w:r>
      <w:r w:rsidR="00737D15" w:rsidRPr="00737D15">
        <w:rPr>
          <w:rFonts w:ascii="Arial" w:hAnsi="Arial" w:cs="Arial"/>
          <w:i/>
          <w:iCs/>
          <w:sz w:val="20"/>
          <w:szCs w:val="20"/>
          <w:lang w:val="en-GB"/>
        </w:rPr>
        <w:t xml:space="preserve">in the given population </w:t>
      </w:r>
      <w:r w:rsidR="000F53FF" w:rsidRPr="00737D15">
        <w:rPr>
          <w:rFonts w:ascii="Arial" w:hAnsi="Arial" w:cs="Arial"/>
          <w:i/>
          <w:iCs/>
          <w:sz w:val="20"/>
          <w:szCs w:val="20"/>
          <w:lang w:val="en-GB"/>
        </w:rPr>
        <w:t xml:space="preserve">would have </w:t>
      </w:r>
      <w:r w:rsidR="00737D15" w:rsidRPr="00737D15">
        <w:rPr>
          <w:rFonts w:ascii="Arial" w:hAnsi="Arial" w:cs="Arial"/>
          <w:i/>
          <w:iCs/>
          <w:sz w:val="20"/>
          <w:szCs w:val="20"/>
          <w:lang w:val="en-GB"/>
        </w:rPr>
        <w:t>during her childbearing period (age 15–49 years)</w:t>
      </w:r>
      <w:r w:rsidR="00101A12" w:rsidRPr="00737D15">
        <w:rPr>
          <w:rFonts w:ascii="Arial" w:hAnsi="Arial" w:cs="Arial"/>
          <w:i/>
          <w:iCs/>
          <w:sz w:val="20"/>
          <w:szCs w:val="20"/>
          <w:lang w:val="en-GB"/>
        </w:rPr>
        <w:t xml:space="preserve"> provided that age-specific abortion rates recorded in </w:t>
      </w:r>
      <w:r w:rsidR="000D12A1">
        <w:rPr>
          <w:rFonts w:ascii="Arial" w:hAnsi="Arial" w:cs="Arial"/>
          <w:i/>
          <w:iCs/>
          <w:sz w:val="20"/>
          <w:szCs w:val="20"/>
          <w:lang w:val="en-GB"/>
        </w:rPr>
        <w:t>a</w:t>
      </w:r>
      <w:r w:rsidR="00101A12" w:rsidRPr="00737D15">
        <w:rPr>
          <w:rFonts w:ascii="Arial" w:hAnsi="Arial" w:cs="Arial"/>
          <w:i/>
          <w:iCs/>
          <w:sz w:val="20"/>
          <w:szCs w:val="20"/>
          <w:lang w:val="en-GB"/>
        </w:rPr>
        <w:t xml:space="preserve"> reference</w:t>
      </w:r>
      <w:r w:rsidR="00737D15" w:rsidRPr="00737D15">
        <w:rPr>
          <w:rFonts w:ascii="Arial" w:hAnsi="Arial" w:cs="Arial"/>
          <w:i/>
          <w:iCs/>
          <w:sz w:val="20"/>
          <w:szCs w:val="20"/>
          <w:lang w:val="en-GB"/>
        </w:rPr>
        <w:t xml:space="preserve"> calendar</w:t>
      </w:r>
      <w:r w:rsidR="00101A12" w:rsidRPr="00737D15">
        <w:rPr>
          <w:rFonts w:ascii="Arial" w:hAnsi="Arial" w:cs="Arial"/>
          <w:i/>
          <w:iCs/>
          <w:sz w:val="20"/>
          <w:szCs w:val="20"/>
          <w:lang w:val="en-GB"/>
        </w:rPr>
        <w:t xml:space="preserve"> year would remain unchanged during her childbearing period </w:t>
      </w:r>
      <w:r w:rsidR="00101A12" w:rsidRPr="00737D15">
        <w:rPr>
          <w:rFonts w:ascii="Arial" w:hAnsi="Arial" w:cs="Arial"/>
          <w:i/>
          <w:sz w:val="20"/>
          <w:lang w:val="en-GB"/>
        </w:rPr>
        <w:t xml:space="preserve">(age 15–49 years). </w:t>
      </w:r>
      <w:r w:rsidR="00FC7562" w:rsidRPr="00711E28">
        <w:rPr>
          <w:rFonts w:ascii="Arial" w:hAnsi="Arial" w:cs="Arial"/>
          <w:i/>
          <w:iCs/>
          <w:sz w:val="20"/>
          <w:szCs w:val="20"/>
          <w:lang w:val="en-GB"/>
        </w:rPr>
        <w:t xml:space="preserve"> </w:t>
      </w:r>
    </w:p>
    <w:p w:rsidR="00FC7562" w:rsidRPr="00711E28" w:rsidRDefault="00817A96">
      <w:pPr>
        <w:tabs>
          <w:tab w:val="left" w:pos="720"/>
        </w:tabs>
        <w:spacing w:before="120"/>
        <w:ind w:right="43"/>
        <w:jc w:val="both"/>
        <w:rPr>
          <w:rFonts w:ascii="Arial" w:hAnsi="Arial" w:cs="Arial"/>
          <w:i/>
          <w:iCs/>
          <w:sz w:val="20"/>
          <w:szCs w:val="20"/>
          <w:lang w:val="en-GB"/>
        </w:rPr>
      </w:pPr>
      <w:r>
        <w:rPr>
          <w:rFonts w:ascii="Arial" w:hAnsi="Arial" w:cs="Arial"/>
          <w:b/>
          <w:bCs/>
          <w:i/>
          <w:iCs/>
          <w:sz w:val="20"/>
          <w:szCs w:val="20"/>
          <w:lang w:val="en-GB"/>
        </w:rPr>
        <w:tab/>
      </w:r>
      <w:r w:rsidR="00A51030" w:rsidRPr="00711E28">
        <w:rPr>
          <w:rFonts w:ascii="Arial" w:hAnsi="Arial" w:cs="Arial"/>
          <w:b/>
          <w:bCs/>
          <w:i/>
          <w:iCs/>
          <w:sz w:val="20"/>
          <w:szCs w:val="20"/>
          <w:lang w:val="en-GB"/>
        </w:rPr>
        <w:t xml:space="preserve">Age-specific </w:t>
      </w:r>
      <w:r w:rsidR="00E132A3" w:rsidRPr="00711E28">
        <w:rPr>
          <w:rFonts w:ascii="Arial" w:hAnsi="Arial" w:cs="Arial"/>
          <w:b/>
          <w:bCs/>
          <w:i/>
          <w:iCs/>
          <w:sz w:val="20"/>
          <w:szCs w:val="20"/>
          <w:lang w:val="en-GB"/>
        </w:rPr>
        <w:t>pregnancy rate</w:t>
      </w:r>
      <w:r w:rsidR="00FC7562" w:rsidRPr="00711E28">
        <w:rPr>
          <w:rFonts w:ascii="Arial" w:hAnsi="Arial" w:cs="Arial"/>
          <w:i/>
          <w:iCs/>
          <w:sz w:val="20"/>
          <w:szCs w:val="20"/>
          <w:lang w:val="en-GB"/>
        </w:rPr>
        <w:t xml:space="preserve">: </w:t>
      </w:r>
      <w:r w:rsidR="000D63BA">
        <w:rPr>
          <w:rFonts w:ascii="Arial" w:hAnsi="Arial" w:cs="Arial"/>
          <w:i/>
          <w:iCs/>
          <w:sz w:val="20"/>
          <w:szCs w:val="20"/>
          <w:lang w:val="en-GB"/>
        </w:rPr>
        <w:t>t</w:t>
      </w:r>
      <w:r w:rsidR="001D2A66" w:rsidRPr="00711E28">
        <w:rPr>
          <w:rFonts w:ascii="Arial" w:hAnsi="Arial" w:cs="Arial"/>
          <w:i/>
          <w:iCs/>
          <w:sz w:val="20"/>
          <w:szCs w:val="20"/>
          <w:lang w:val="en-GB"/>
        </w:rPr>
        <w:t xml:space="preserve">he </w:t>
      </w:r>
      <w:r w:rsidR="00FC7562" w:rsidRPr="00711E28">
        <w:rPr>
          <w:rFonts w:ascii="Arial" w:hAnsi="Arial" w:cs="Arial"/>
          <w:i/>
          <w:iCs/>
          <w:sz w:val="20"/>
          <w:szCs w:val="20"/>
          <w:lang w:val="en-GB"/>
        </w:rPr>
        <w:t xml:space="preserve">number of all pregnancies </w:t>
      </w:r>
      <w:r w:rsidR="00CD6495">
        <w:rPr>
          <w:rFonts w:ascii="Arial" w:hAnsi="Arial" w:cs="Arial"/>
          <w:i/>
          <w:iCs/>
          <w:sz w:val="20"/>
          <w:szCs w:val="20"/>
          <w:lang w:val="en-GB"/>
        </w:rPr>
        <w:t>(</w:t>
      </w:r>
      <w:r w:rsidR="00FC7562" w:rsidRPr="00711E28">
        <w:rPr>
          <w:rFonts w:ascii="Arial" w:hAnsi="Arial" w:cs="Arial"/>
          <w:i/>
          <w:iCs/>
          <w:sz w:val="20"/>
          <w:szCs w:val="20"/>
          <w:lang w:val="en-GB"/>
        </w:rPr>
        <w:t>i.e. the sum of live births</w:t>
      </w:r>
      <w:r w:rsidR="00CD6495">
        <w:rPr>
          <w:rFonts w:ascii="Arial" w:hAnsi="Arial" w:cs="Arial"/>
          <w:i/>
          <w:iCs/>
          <w:sz w:val="20"/>
          <w:szCs w:val="20"/>
          <w:lang w:val="en-GB"/>
        </w:rPr>
        <w:t>,</w:t>
      </w:r>
      <w:r w:rsidR="00FC7562" w:rsidRPr="00711E28">
        <w:rPr>
          <w:rFonts w:ascii="Arial" w:hAnsi="Arial" w:cs="Arial"/>
          <w:i/>
          <w:iCs/>
          <w:sz w:val="20"/>
          <w:szCs w:val="20"/>
          <w:lang w:val="en-GB"/>
        </w:rPr>
        <w:t xml:space="preserve"> stillbirths</w:t>
      </w:r>
      <w:r w:rsidR="00E132A3" w:rsidRPr="00711E28">
        <w:rPr>
          <w:rFonts w:ascii="Arial" w:hAnsi="Arial" w:cs="Arial"/>
          <w:i/>
          <w:iCs/>
          <w:sz w:val="20"/>
          <w:szCs w:val="20"/>
          <w:lang w:val="en-GB"/>
        </w:rPr>
        <w:t>,</w:t>
      </w:r>
      <w:r w:rsidR="00FC7562" w:rsidRPr="00711E28">
        <w:rPr>
          <w:rFonts w:ascii="Arial" w:hAnsi="Arial" w:cs="Arial"/>
          <w:i/>
          <w:iCs/>
          <w:sz w:val="20"/>
          <w:szCs w:val="20"/>
          <w:lang w:val="en-GB"/>
        </w:rPr>
        <w:t xml:space="preserve"> and all abortions</w:t>
      </w:r>
      <w:r w:rsidR="00CD6495">
        <w:rPr>
          <w:rFonts w:ascii="Arial" w:hAnsi="Arial" w:cs="Arial"/>
          <w:i/>
          <w:iCs/>
          <w:sz w:val="20"/>
          <w:szCs w:val="20"/>
          <w:lang w:val="en-GB"/>
        </w:rPr>
        <w:t>)</w:t>
      </w:r>
      <w:r w:rsidR="00FC7562" w:rsidRPr="00711E28">
        <w:rPr>
          <w:rFonts w:ascii="Arial" w:hAnsi="Arial" w:cs="Arial"/>
          <w:i/>
          <w:iCs/>
          <w:sz w:val="20"/>
          <w:szCs w:val="20"/>
          <w:lang w:val="en-GB"/>
        </w:rPr>
        <w:t xml:space="preserve"> </w:t>
      </w:r>
      <w:r w:rsidR="00724563">
        <w:rPr>
          <w:rFonts w:ascii="Arial" w:hAnsi="Arial" w:cs="Arial"/>
          <w:i/>
          <w:iCs/>
          <w:sz w:val="20"/>
          <w:szCs w:val="20"/>
          <w:lang w:val="en-GB"/>
        </w:rPr>
        <w:t>in</w:t>
      </w:r>
      <w:r w:rsidR="00724563" w:rsidRPr="00711E28">
        <w:rPr>
          <w:rFonts w:ascii="Arial" w:hAnsi="Arial" w:cs="Arial"/>
          <w:i/>
          <w:iCs/>
          <w:sz w:val="20"/>
          <w:szCs w:val="20"/>
          <w:lang w:val="en-GB"/>
        </w:rPr>
        <w:t xml:space="preserve"> </w:t>
      </w:r>
      <w:r w:rsidR="00A86484" w:rsidRPr="00711E28">
        <w:rPr>
          <w:rFonts w:ascii="Arial" w:hAnsi="Arial" w:cs="Arial"/>
          <w:i/>
          <w:iCs/>
          <w:sz w:val="20"/>
          <w:szCs w:val="20"/>
          <w:lang w:val="en-GB"/>
        </w:rPr>
        <w:t>women</w:t>
      </w:r>
      <w:r w:rsidR="00FC7562" w:rsidRPr="00711E28">
        <w:rPr>
          <w:rFonts w:ascii="Arial" w:hAnsi="Arial" w:cs="Arial"/>
          <w:i/>
          <w:iCs/>
          <w:sz w:val="20"/>
          <w:szCs w:val="20"/>
          <w:lang w:val="en-GB"/>
        </w:rPr>
        <w:t xml:space="preserve"> in the given age per 1 000 women of the same age.</w:t>
      </w:r>
    </w:p>
    <w:p w:rsidR="00FC7562" w:rsidRPr="00711E28" w:rsidRDefault="00817A96">
      <w:pPr>
        <w:tabs>
          <w:tab w:val="left" w:pos="720"/>
        </w:tabs>
        <w:spacing w:before="120"/>
        <w:ind w:right="43"/>
        <w:jc w:val="both"/>
        <w:rPr>
          <w:rFonts w:ascii="Arial" w:hAnsi="Arial" w:cs="Arial"/>
          <w:i/>
          <w:iCs/>
          <w:sz w:val="20"/>
          <w:szCs w:val="20"/>
          <w:lang w:val="en-GB"/>
        </w:rPr>
      </w:pPr>
      <w:r w:rsidRPr="006F0C40">
        <w:rPr>
          <w:rFonts w:ascii="Arial" w:hAnsi="Arial" w:cs="Arial"/>
          <w:b/>
          <w:bCs/>
          <w:i/>
          <w:iCs/>
          <w:sz w:val="20"/>
          <w:szCs w:val="20"/>
          <w:lang w:val="en-GB"/>
        </w:rPr>
        <w:tab/>
      </w:r>
      <w:r w:rsidR="00FC7562" w:rsidRPr="006F0C40">
        <w:rPr>
          <w:rFonts w:ascii="Arial" w:hAnsi="Arial" w:cs="Arial"/>
          <w:b/>
          <w:bCs/>
          <w:i/>
          <w:iCs/>
          <w:sz w:val="20"/>
          <w:szCs w:val="20"/>
          <w:lang w:val="en-GB"/>
        </w:rPr>
        <w:t xml:space="preserve">Total pregnancy </w:t>
      </w:r>
      <w:r w:rsidR="00FC7562" w:rsidRPr="00B605FC">
        <w:rPr>
          <w:rFonts w:ascii="Arial" w:hAnsi="Arial" w:cs="Arial"/>
          <w:b/>
          <w:bCs/>
          <w:i/>
          <w:iCs/>
          <w:sz w:val="20"/>
          <w:szCs w:val="20"/>
          <w:lang w:val="en-GB"/>
        </w:rPr>
        <w:t>rate</w:t>
      </w:r>
      <w:r w:rsidR="00FC7562" w:rsidRPr="00B605FC">
        <w:rPr>
          <w:rFonts w:ascii="Arial" w:hAnsi="Arial" w:cs="Arial"/>
          <w:i/>
          <w:iCs/>
          <w:sz w:val="20"/>
          <w:szCs w:val="20"/>
          <w:lang w:val="en-GB"/>
        </w:rPr>
        <w:t xml:space="preserve">: </w:t>
      </w:r>
      <w:r w:rsidR="001B4B01" w:rsidRPr="00B605FC">
        <w:rPr>
          <w:rFonts w:ascii="Arial" w:hAnsi="Arial" w:cs="Arial"/>
          <w:i/>
          <w:iCs/>
          <w:sz w:val="20"/>
          <w:szCs w:val="20"/>
          <w:lang w:val="en-GB"/>
        </w:rPr>
        <w:t xml:space="preserve">the average number of pregnancies that </w:t>
      </w:r>
      <w:r w:rsidR="00B605FC" w:rsidRPr="00B605FC">
        <w:rPr>
          <w:rFonts w:ascii="Arial" w:hAnsi="Arial" w:cs="Arial"/>
          <w:i/>
          <w:iCs/>
          <w:sz w:val="20"/>
          <w:szCs w:val="20"/>
          <w:lang w:val="en-GB"/>
        </w:rPr>
        <w:t>a</w:t>
      </w:r>
      <w:r w:rsidR="001B4B01" w:rsidRPr="00B605FC">
        <w:rPr>
          <w:rFonts w:ascii="Arial" w:hAnsi="Arial" w:cs="Arial"/>
          <w:i/>
          <w:iCs/>
          <w:sz w:val="20"/>
          <w:szCs w:val="20"/>
          <w:lang w:val="en-GB"/>
        </w:rPr>
        <w:t xml:space="preserve"> woman would have</w:t>
      </w:r>
      <w:r w:rsidR="00B605FC" w:rsidRPr="00B605FC">
        <w:rPr>
          <w:rFonts w:ascii="Arial" w:hAnsi="Arial" w:cs="Arial"/>
          <w:i/>
          <w:iCs/>
          <w:sz w:val="20"/>
          <w:szCs w:val="20"/>
          <w:lang w:val="en-GB"/>
        </w:rPr>
        <w:t xml:space="preserve"> during her childbearing period (age 15–49 years)</w:t>
      </w:r>
      <w:r w:rsidR="001B4B01" w:rsidRPr="00B605FC">
        <w:rPr>
          <w:rFonts w:ascii="Arial" w:hAnsi="Arial" w:cs="Arial"/>
          <w:i/>
          <w:iCs/>
          <w:sz w:val="20"/>
          <w:szCs w:val="20"/>
          <w:lang w:val="en-GB"/>
        </w:rPr>
        <w:t xml:space="preserve"> provided that pregnancy rates</w:t>
      </w:r>
      <w:r w:rsidR="00B605FC" w:rsidRPr="00B605FC">
        <w:rPr>
          <w:rFonts w:ascii="Arial" w:hAnsi="Arial" w:cs="Arial"/>
          <w:i/>
          <w:iCs/>
          <w:sz w:val="20"/>
          <w:szCs w:val="20"/>
          <w:lang w:val="en-GB"/>
        </w:rPr>
        <w:t xml:space="preserve"> (in this case calculated from births, total) and age-specific abortion rates</w:t>
      </w:r>
      <w:r w:rsidR="001B4B01" w:rsidRPr="00B605FC">
        <w:rPr>
          <w:rFonts w:ascii="Arial" w:hAnsi="Arial" w:cs="Arial"/>
          <w:i/>
          <w:iCs/>
          <w:sz w:val="20"/>
          <w:szCs w:val="20"/>
          <w:lang w:val="en-GB"/>
        </w:rPr>
        <w:t xml:space="preserve"> recorded in </w:t>
      </w:r>
      <w:r w:rsidR="000D12A1">
        <w:rPr>
          <w:rFonts w:ascii="Arial" w:hAnsi="Arial" w:cs="Arial"/>
          <w:i/>
          <w:iCs/>
          <w:sz w:val="20"/>
          <w:szCs w:val="20"/>
          <w:lang w:val="en-GB"/>
        </w:rPr>
        <w:t>a</w:t>
      </w:r>
      <w:r w:rsidR="001B4B01" w:rsidRPr="00B605FC">
        <w:rPr>
          <w:rFonts w:ascii="Arial" w:hAnsi="Arial" w:cs="Arial"/>
          <w:i/>
          <w:iCs/>
          <w:sz w:val="20"/>
          <w:szCs w:val="20"/>
          <w:lang w:val="en-GB"/>
        </w:rPr>
        <w:t xml:space="preserve"> reference</w:t>
      </w:r>
      <w:r w:rsidR="00B605FC" w:rsidRPr="00B605FC">
        <w:rPr>
          <w:rFonts w:ascii="Arial" w:hAnsi="Arial" w:cs="Arial"/>
          <w:i/>
          <w:iCs/>
          <w:sz w:val="20"/>
          <w:szCs w:val="20"/>
          <w:lang w:val="en-GB"/>
        </w:rPr>
        <w:t xml:space="preserve"> calendar</w:t>
      </w:r>
      <w:r w:rsidR="001B4B01" w:rsidRPr="00B605FC">
        <w:rPr>
          <w:rFonts w:ascii="Arial" w:hAnsi="Arial" w:cs="Arial"/>
          <w:i/>
          <w:iCs/>
          <w:sz w:val="20"/>
          <w:szCs w:val="20"/>
          <w:lang w:val="en-GB"/>
        </w:rPr>
        <w:t xml:space="preserve"> year would remain unchanged during </w:t>
      </w:r>
      <w:r w:rsidR="00931A50">
        <w:rPr>
          <w:rFonts w:ascii="Arial" w:hAnsi="Arial" w:cs="Arial"/>
          <w:i/>
          <w:iCs/>
          <w:sz w:val="20"/>
          <w:szCs w:val="20"/>
          <w:lang w:val="en-GB"/>
        </w:rPr>
        <w:t>the entire</w:t>
      </w:r>
      <w:r w:rsidR="001B4B01" w:rsidRPr="00B605FC">
        <w:rPr>
          <w:rFonts w:ascii="Arial" w:hAnsi="Arial" w:cs="Arial"/>
          <w:i/>
          <w:iCs/>
          <w:sz w:val="20"/>
          <w:szCs w:val="20"/>
          <w:lang w:val="en-GB"/>
        </w:rPr>
        <w:t xml:space="preserve"> childbearing period </w:t>
      </w:r>
      <w:r w:rsidR="00931A50">
        <w:rPr>
          <w:rFonts w:ascii="Arial" w:hAnsi="Arial" w:cs="Arial"/>
          <w:i/>
          <w:iCs/>
          <w:sz w:val="20"/>
          <w:szCs w:val="20"/>
          <w:lang w:val="en-GB"/>
        </w:rPr>
        <w:t xml:space="preserve">of the </w:t>
      </w:r>
      <w:r w:rsidR="00931A50" w:rsidRPr="00597E76">
        <w:rPr>
          <w:rFonts w:ascii="Arial" w:hAnsi="Arial" w:cs="Arial"/>
          <w:i/>
          <w:iCs/>
          <w:sz w:val="18"/>
          <w:szCs w:val="20"/>
          <w:lang w:val="en-GB"/>
        </w:rPr>
        <w:t>woman</w:t>
      </w:r>
      <w:r w:rsidR="001B4B01" w:rsidRPr="00B605FC">
        <w:rPr>
          <w:rFonts w:ascii="Arial" w:hAnsi="Arial" w:cs="Arial"/>
          <w:i/>
          <w:iCs/>
          <w:sz w:val="20"/>
          <w:szCs w:val="20"/>
          <w:lang w:val="en-GB"/>
        </w:rPr>
        <w:t>.</w:t>
      </w:r>
      <w:r w:rsidR="001B4B01">
        <w:rPr>
          <w:rFonts w:ascii="Arial" w:hAnsi="Arial" w:cs="Arial"/>
          <w:i/>
          <w:iCs/>
          <w:sz w:val="20"/>
          <w:szCs w:val="20"/>
          <w:lang w:val="en-GB"/>
        </w:rPr>
        <w:t xml:space="preserve"> </w:t>
      </w:r>
      <w:r w:rsidR="00FC7562" w:rsidRPr="00711E28">
        <w:rPr>
          <w:rFonts w:ascii="Arial" w:hAnsi="Arial" w:cs="Arial"/>
          <w:i/>
          <w:iCs/>
          <w:sz w:val="20"/>
          <w:szCs w:val="20"/>
          <w:lang w:val="en-GB"/>
        </w:rPr>
        <w:t xml:space="preserve"> </w:t>
      </w:r>
    </w:p>
    <w:p w:rsidR="00FC7562" w:rsidRPr="00711E28" w:rsidRDefault="00FC7562">
      <w:pPr>
        <w:tabs>
          <w:tab w:val="left" w:pos="720"/>
        </w:tabs>
        <w:spacing w:before="120"/>
        <w:ind w:right="43"/>
        <w:jc w:val="both"/>
        <w:rPr>
          <w:rFonts w:ascii="Arial" w:hAnsi="Arial" w:cs="Arial"/>
          <w:i/>
          <w:iCs/>
          <w:sz w:val="20"/>
          <w:szCs w:val="20"/>
          <w:lang w:val="en-GB"/>
        </w:rPr>
      </w:pPr>
    </w:p>
    <w:p w:rsidR="00FC7562" w:rsidRPr="00711E28" w:rsidRDefault="001162E3" w:rsidP="00817A96">
      <w:pPr>
        <w:ind w:firstLine="708"/>
        <w:jc w:val="both"/>
        <w:rPr>
          <w:rFonts w:ascii="Arial" w:hAnsi="Arial" w:cs="Arial"/>
          <w:i/>
          <w:iCs/>
          <w:sz w:val="20"/>
          <w:lang w:val="en-GB"/>
        </w:rPr>
      </w:pPr>
      <w:r w:rsidRPr="00711E28">
        <w:rPr>
          <w:rFonts w:ascii="Arial" w:hAnsi="Arial" w:cs="Arial"/>
          <w:b/>
          <w:bCs/>
          <w:i/>
          <w:iCs/>
          <w:sz w:val="20"/>
          <w:lang w:val="en-GB"/>
        </w:rPr>
        <w:t>C</w:t>
      </w:r>
      <w:r w:rsidR="00FC7562" w:rsidRPr="00711E28">
        <w:rPr>
          <w:rFonts w:ascii="Arial" w:hAnsi="Arial" w:cs="Arial"/>
          <w:b/>
          <w:bCs/>
          <w:i/>
          <w:iCs/>
          <w:sz w:val="20"/>
          <w:lang w:val="en-GB"/>
        </w:rPr>
        <w:t>ontribution</w:t>
      </w:r>
      <w:r w:rsidR="008A1E88" w:rsidRPr="00711E28">
        <w:rPr>
          <w:rFonts w:ascii="Arial" w:hAnsi="Arial" w:cs="Arial"/>
          <w:b/>
          <w:bCs/>
          <w:i/>
          <w:iCs/>
          <w:sz w:val="20"/>
          <w:lang w:val="en-GB"/>
        </w:rPr>
        <w:t>s</w:t>
      </w:r>
      <w:r w:rsidRPr="00711E28">
        <w:rPr>
          <w:rFonts w:ascii="Arial" w:hAnsi="Arial" w:cs="Arial"/>
          <w:b/>
          <w:bCs/>
          <w:i/>
          <w:iCs/>
          <w:sz w:val="20"/>
          <w:lang w:val="en-GB"/>
        </w:rPr>
        <w:t xml:space="preserve"> of age group</w:t>
      </w:r>
      <w:r w:rsidR="008A1E88" w:rsidRPr="00711E28">
        <w:rPr>
          <w:rFonts w:ascii="Arial" w:hAnsi="Arial" w:cs="Arial"/>
          <w:b/>
          <w:bCs/>
          <w:i/>
          <w:iCs/>
          <w:sz w:val="20"/>
          <w:lang w:val="en-GB"/>
        </w:rPr>
        <w:t>s</w:t>
      </w:r>
      <w:r w:rsidR="00FC7562" w:rsidRPr="00711E28">
        <w:rPr>
          <w:rFonts w:ascii="Arial" w:hAnsi="Arial" w:cs="Arial"/>
          <w:b/>
          <w:bCs/>
          <w:i/>
          <w:iCs/>
          <w:sz w:val="20"/>
          <w:lang w:val="en-GB"/>
        </w:rPr>
        <w:t xml:space="preserve"> to</w:t>
      </w:r>
      <w:r w:rsidRPr="00711E28">
        <w:rPr>
          <w:rFonts w:ascii="Arial" w:hAnsi="Arial" w:cs="Arial"/>
          <w:b/>
          <w:bCs/>
          <w:i/>
          <w:iCs/>
          <w:sz w:val="20"/>
          <w:lang w:val="en-GB"/>
        </w:rPr>
        <w:t xml:space="preserve"> </w:t>
      </w:r>
      <w:r w:rsidR="00733B38" w:rsidRPr="00711E28">
        <w:rPr>
          <w:rFonts w:ascii="Arial" w:hAnsi="Arial" w:cs="Arial"/>
          <w:b/>
          <w:bCs/>
          <w:i/>
          <w:iCs/>
          <w:sz w:val="20"/>
          <w:lang w:val="en-GB"/>
        </w:rPr>
        <w:t xml:space="preserve">the </w:t>
      </w:r>
      <w:r w:rsidRPr="00711E28">
        <w:rPr>
          <w:rFonts w:ascii="Arial" w:hAnsi="Arial" w:cs="Arial"/>
          <w:b/>
          <w:bCs/>
          <w:i/>
          <w:iCs/>
          <w:sz w:val="20"/>
          <w:lang w:val="en-GB"/>
        </w:rPr>
        <w:t xml:space="preserve">difference in </w:t>
      </w:r>
      <w:r w:rsidR="00FC7562" w:rsidRPr="00711E28">
        <w:rPr>
          <w:rFonts w:ascii="Arial" w:hAnsi="Arial" w:cs="Arial"/>
          <w:b/>
          <w:bCs/>
          <w:i/>
          <w:iCs/>
          <w:sz w:val="20"/>
          <w:lang w:val="en-GB"/>
        </w:rPr>
        <w:t xml:space="preserve">life expectancy </w:t>
      </w:r>
      <w:r w:rsidRPr="00711E28">
        <w:rPr>
          <w:rFonts w:ascii="Arial" w:hAnsi="Arial" w:cs="Arial"/>
          <w:bCs/>
          <w:i/>
          <w:iCs/>
          <w:sz w:val="20"/>
          <w:lang w:val="en-GB"/>
        </w:rPr>
        <w:t>between</w:t>
      </w:r>
      <w:r w:rsidR="003E4365">
        <w:rPr>
          <w:rFonts w:ascii="Arial" w:hAnsi="Arial" w:cs="Arial"/>
          <w:bCs/>
          <w:i/>
          <w:iCs/>
          <w:sz w:val="20"/>
          <w:lang w:val="en-GB"/>
        </w:rPr>
        <w:t xml:space="preserve"> </w:t>
      </w:r>
      <w:r w:rsidR="00081B9D">
        <w:rPr>
          <w:rFonts w:ascii="Arial" w:hAnsi="Arial" w:cs="Arial"/>
          <w:bCs/>
          <w:i/>
          <w:iCs/>
          <w:sz w:val="20"/>
          <w:lang w:val="en-GB"/>
        </w:rPr>
        <w:t xml:space="preserve">1992 </w:t>
      </w:r>
      <w:r w:rsidR="003E4365">
        <w:rPr>
          <w:rFonts w:ascii="Arial" w:hAnsi="Arial" w:cs="Arial"/>
          <w:bCs/>
          <w:i/>
          <w:iCs/>
          <w:sz w:val="20"/>
          <w:lang w:val="en-GB"/>
        </w:rPr>
        <w:t xml:space="preserve">to </w:t>
      </w:r>
      <w:r w:rsidR="00081B9D">
        <w:rPr>
          <w:rFonts w:ascii="Arial" w:hAnsi="Arial" w:cs="Arial"/>
          <w:bCs/>
          <w:i/>
          <w:iCs/>
          <w:sz w:val="20"/>
          <w:lang w:val="en-GB"/>
        </w:rPr>
        <w:t xml:space="preserve">2012 </w:t>
      </w:r>
      <w:r w:rsidR="003E4365">
        <w:rPr>
          <w:rFonts w:ascii="Arial" w:hAnsi="Arial" w:cs="Arial"/>
          <w:bCs/>
          <w:i/>
          <w:iCs/>
          <w:sz w:val="20"/>
          <w:lang w:val="en-GB"/>
        </w:rPr>
        <w:t>for women and</w:t>
      </w:r>
      <w:r w:rsidRPr="00711E28">
        <w:rPr>
          <w:rFonts w:ascii="Arial" w:hAnsi="Arial" w:cs="Arial"/>
          <w:bCs/>
          <w:i/>
          <w:iCs/>
          <w:sz w:val="20"/>
          <w:lang w:val="en-GB"/>
        </w:rPr>
        <w:t xml:space="preserve"> men </w:t>
      </w:r>
      <w:r w:rsidR="00FC7562" w:rsidRPr="00711E28">
        <w:rPr>
          <w:rFonts w:ascii="Arial" w:hAnsi="Arial" w:cs="Arial"/>
          <w:i/>
          <w:iCs/>
          <w:sz w:val="20"/>
          <w:lang w:val="en-GB"/>
        </w:rPr>
        <w:t xml:space="preserve">are calculated on the basis of </w:t>
      </w:r>
      <w:r w:rsidR="008A1E88" w:rsidRPr="00711E28">
        <w:rPr>
          <w:rFonts w:ascii="Arial" w:hAnsi="Arial" w:cs="Arial"/>
          <w:i/>
          <w:iCs/>
          <w:sz w:val="20"/>
          <w:lang w:val="en-GB"/>
        </w:rPr>
        <w:t xml:space="preserve">mortality </w:t>
      </w:r>
      <w:r w:rsidR="00FC7562" w:rsidRPr="00711E28">
        <w:rPr>
          <w:rFonts w:ascii="Arial" w:hAnsi="Arial" w:cs="Arial"/>
          <w:i/>
          <w:iCs/>
          <w:sz w:val="20"/>
          <w:lang w:val="en-GB"/>
        </w:rPr>
        <w:t xml:space="preserve">tables </w:t>
      </w:r>
      <w:r w:rsidR="007E4BE5" w:rsidRPr="00711E28">
        <w:rPr>
          <w:rFonts w:ascii="Arial" w:hAnsi="Arial" w:cs="Arial"/>
          <w:i/>
          <w:iCs/>
          <w:sz w:val="20"/>
          <w:lang w:val="en-GB"/>
        </w:rPr>
        <w:t xml:space="preserve">using indicators of life expectancy at birth (by </w:t>
      </w:r>
      <w:r w:rsidR="009E759F" w:rsidRPr="00711E28">
        <w:rPr>
          <w:rFonts w:ascii="Arial" w:hAnsi="Arial" w:cs="Arial"/>
          <w:i/>
          <w:iCs/>
          <w:sz w:val="20"/>
          <w:lang w:val="en-GB"/>
        </w:rPr>
        <w:t>individual years of age</w:t>
      </w:r>
      <w:r w:rsidR="007E4BE5" w:rsidRPr="00711E28">
        <w:rPr>
          <w:rFonts w:ascii="Arial" w:hAnsi="Arial" w:cs="Arial"/>
          <w:i/>
          <w:iCs/>
          <w:sz w:val="20"/>
          <w:lang w:val="en-GB"/>
        </w:rPr>
        <w:t>) and tab</w:t>
      </w:r>
      <w:r w:rsidR="008A1E88" w:rsidRPr="00711E28">
        <w:rPr>
          <w:rFonts w:ascii="Arial" w:hAnsi="Arial" w:cs="Arial"/>
          <w:i/>
          <w:iCs/>
          <w:sz w:val="20"/>
          <w:lang w:val="en-GB"/>
        </w:rPr>
        <w:t>u</w:t>
      </w:r>
      <w:r w:rsidR="007E4BE5" w:rsidRPr="00711E28">
        <w:rPr>
          <w:rFonts w:ascii="Arial" w:hAnsi="Arial" w:cs="Arial"/>
          <w:i/>
          <w:iCs/>
          <w:sz w:val="20"/>
          <w:lang w:val="en-GB"/>
        </w:rPr>
        <w:t>l</w:t>
      </w:r>
      <w:r w:rsidR="008A1E88" w:rsidRPr="00711E28">
        <w:rPr>
          <w:rFonts w:ascii="Arial" w:hAnsi="Arial" w:cs="Arial"/>
          <w:i/>
          <w:iCs/>
          <w:sz w:val="20"/>
          <w:lang w:val="en-GB"/>
        </w:rPr>
        <w:t>ar</w:t>
      </w:r>
      <w:r w:rsidR="007E4BE5" w:rsidRPr="00711E28">
        <w:rPr>
          <w:rFonts w:ascii="Arial" w:hAnsi="Arial" w:cs="Arial"/>
          <w:i/>
          <w:iCs/>
          <w:sz w:val="20"/>
          <w:lang w:val="en-GB"/>
        </w:rPr>
        <w:t xml:space="preserve"> number of survivors (</w:t>
      </w:r>
      <w:r w:rsidR="008A1E88" w:rsidRPr="00711E28">
        <w:rPr>
          <w:rFonts w:ascii="Arial" w:hAnsi="Arial" w:cs="Arial"/>
          <w:i/>
          <w:iCs/>
          <w:sz w:val="20"/>
          <w:lang w:val="en-GB"/>
        </w:rPr>
        <w:t>at</w:t>
      </w:r>
      <w:r w:rsidR="007E4BE5" w:rsidRPr="00711E28">
        <w:rPr>
          <w:rFonts w:ascii="Arial" w:hAnsi="Arial" w:cs="Arial"/>
          <w:i/>
          <w:iCs/>
          <w:sz w:val="20"/>
          <w:lang w:val="en-GB"/>
        </w:rPr>
        <w:t xml:space="preserve"> exact age). </w:t>
      </w:r>
    </w:p>
    <w:p w:rsidR="00FC7562" w:rsidRPr="00711E28" w:rsidRDefault="00FC7562">
      <w:pPr>
        <w:spacing w:before="120"/>
        <w:jc w:val="both"/>
        <w:rPr>
          <w:rFonts w:ascii="Arial" w:hAnsi="Arial" w:cs="Arial"/>
          <w:i/>
          <w:iCs/>
          <w:sz w:val="20"/>
          <w:lang w:val="en-GB"/>
        </w:rPr>
      </w:pPr>
    </w:p>
    <w:p w:rsidR="00F61369" w:rsidRPr="00711E28" w:rsidRDefault="00F61369" w:rsidP="00F61369">
      <w:pPr>
        <w:pStyle w:val="Zkladntext"/>
        <w:ind w:firstLine="708"/>
        <w:jc w:val="both"/>
      </w:pPr>
      <w:r w:rsidRPr="00DC4076">
        <w:t xml:space="preserve">The sum of contributions of respective age groups gives the difference of life expectancy at birth for women and men between respective years </w:t>
      </w:r>
      <w:r>
        <w:t>or,</w:t>
      </w:r>
      <w:r w:rsidRPr="00DC4076">
        <w:t xml:space="preserve"> </w:t>
      </w:r>
      <w:r>
        <w:t>i</w:t>
      </w:r>
      <w:r w:rsidRPr="00DC4076">
        <w:t>n other words, the share</w:t>
      </w:r>
      <w:r>
        <w:t xml:space="preserve"> by</w:t>
      </w:r>
      <w:r w:rsidRPr="00DC4076">
        <w:t xml:space="preserve"> which mortality of a given age group contributed to the difference in life expectancy at birth of women and men between </w:t>
      </w:r>
      <w:r w:rsidR="00081B9D">
        <w:t>1992</w:t>
      </w:r>
      <w:r w:rsidR="00081B9D" w:rsidRPr="00DC4076">
        <w:t xml:space="preserve"> </w:t>
      </w:r>
      <w:r w:rsidRPr="00DC4076">
        <w:t xml:space="preserve">and </w:t>
      </w:r>
      <w:r w:rsidR="00081B9D" w:rsidRPr="00DC4076">
        <w:t>201</w:t>
      </w:r>
      <w:r w:rsidR="00081B9D">
        <w:t>2</w:t>
      </w:r>
      <w:r w:rsidRPr="00DC4076">
        <w:t xml:space="preserve">. </w:t>
      </w:r>
    </w:p>
    <w:p w:rsidR="004518DD" w:rsidRPr="00711E28" w:rsidRDefault="004518DD" w:rsidP="004518DD">
      <w:pPr>
        <w:spacing w:before="240"/>
        <w:jc w:val="both"/>
        <w:rPr>
          <w:rFonts w:ascii="Arial" w:hAnsi="Arial" w:cs="Arial"/>
          <w:b/>
          <w:i/>
          <w:iCs/>
          <w:sz w:val="20"/>
          <w:szCs w:val="20"/>
          <w:lang w:val="en-GB"/>
        </w:rPr>
      </w:pPr>
      <w:r w:rsidRPr="00711E28">
        <w:rPr>
          <w:rFonts w:ascii="Arial" w:hAnsi="Arial" w:cs="Arial"/>
          <w:b/>
          <w:i/>
          <w:iCs/>
          <w:sz w:val="20"/>
          <w:lang w:val="en-GB"/>
        </w:rPr>
        <w:t>Households and families</w:t>
      </w:r>
    </w:p>
    <w:p w:rsidR="00FC7562" w:rsidRPr="00711E28" w:rsidRDefault="00527281" w:rsidP="00F51CD9">
      <w:pPr>
        <w:tabs>
          <w:tab w:val="left" w:pos="720"/>
        </w:tabs>
        <w:spacing w:before="120"/>
        <w:ind w:firstLine="709"/>
        <w:jc w:val="both"/>
        <w:rPr>
          <w:rFonts w:ascii="Arial" w:hAnsi="Arial" w:cs="Arial"/>
          <w:i/>
          <w:iCs/>
          <w:sz w:val="20"/>
          <w:lang w:val="en-GB"/>
        </w:rPr>
      </w:pPr>
      <w:r w:rsidRPr="00711E28">
        <w:rPr>
          <w:rFonts w:ascii="Arial" w:hAnsi="Arial" w:cs="Arial"/>
          <w:i/>
          <w:iCs/>
          <w:sz w:val="20"/>
          <w:lang w:val="en-GB"/>
        </w:rPr>
        <w:t xml:space="preserve">The </w:t>
      </w:r>
      <w:r w:rsidR="007441B6" w:rsidRPr="00711E28">
        <w:rPr>
          <w:rFonts w:ascii="Arial" w:hAnsi="Arial" w:cs="Arial"/>
          <w:i/>
          <w:iCs/>
          <w:sz w:val="20"/>
          <w:lang w:val="en-GB"/>
        </w:rPr>
        <w:t>source</w:t>
      </w:r>
      <w:r w:rsidR="005B76C2">
        <w:rPr>
          <w:rFonts w:ascii="Arial" w:hAnsi="Arial" w:cs="Arial"/>
          <w:i/>
          <w:iCs/>
          <w:sz w:val="20"/>
          <w:lang w:val="en-GB"/>
        </w:rPr>
        <w:t xml:space="preserve"> of information </w:t>
      </w:r>
      <w:r w:rsidR="00FC7562" w:rsidRPr="00711E28">
        <w:rPr>
          <w:rFonts w:ascii="Arial" w:hAnsi="Arial" w:cs="Arial"/>
          <w:i/>
          <w:iCs/>
          <w:sz w:val="20"/>
          <w:lang w:val="en-GB"/>
        </w:rPr>
        <w:t xml:space="preserve">on households and families </w:t>
      </w:r>
      <w:r w:rsidRPr="00711E28">
        <w:rPr>
          <w:rFonts w:ascii="Arial" w:hAnsi="Arial" w:cs="Arial"/>
          <w:i/>
          <w:iCs/>
          <w:sz w:val="20"/>
          <w:lang w:val="en-GB"/>
        </w:rPr>
        <w:t>is</w:t>
      </w:r>
      <w:r w:rsidR="007441B6" w:rsidRPr="00711E28">
        <w:rPr>
          <w:rFonts w:ascii="Arial" w:hAnsi="Arial" w:cs="Arial"/>
          <w:i/>
          <w:iCs/>
          <w:sz w:val="20"/>
          <w:lang w:val="en-GB"/>
        </w:rPr>
        <w:t xml:space="preserve"> </w:t>
      </w:r>
      <w:r w:rsidR="00FC7562" w:rsidRPr="00711E28">
        <w:rPr>
          <w:rFonts w:ascii="Arial" w:hAnsi="Arial" w:cs="Arial"/>
          <w:i/>
          <w:iCs/>
          <w:sz w:val="20"/>
          <w:lang w:val="en-GB"/>
        </w:rPr>
        <w:t>result</w:t>
      </w:r>
      <w:r w:rsidR="007441B6" w:rsidRPr="00711E28">
        <w:rPr>
          <w:rFonts w:ascii="Arial" w:hAnsi="Arial" w:cs="Arial"/>
          <w:i/>
          <w:iCs/>
          <w:sz w:val="20"/>
          <w:lang w:val="en-GB"/>
        </w:rPr>
        <w:t>s</w:t>
      </w:r>
      <w:r w:rsidR="00FC7562" w:rsidRPr="00711E28">
        <w:rPr>
          <w:rFonts w:ascii="Arial" w:hAnsi="Arial" w:cs="Arial"/>
          <w:i/>
          <w:iCs/>
          <w:sz w:val="20"/>
          <w:lang w:val="en-GB"/>
        </w:rPr>
        <w:t xml:space="preserve"> </w:t>
      </w:r>
      <w:r w:rsidR="007441B6" w:rsidRPr="00711E28">
        <w:rPr>
          <w:rFonts w:ascii="Arial" w:hAnsi="Arial" w:cs="Arial"/>
          <w:i/>
          <w:iCs/>
          <w:sz w:val="20"/>
          <w:lang w:val="en-GB"/>
        </w:rPr>
        <w:t xml:space="preserve">of </w:t>
      </w:r>
      <w:r w:rsidR="005B76C2">
        <w:rPr>
          <w:rFonts w:ascii="Arial" w:hAnsi="Arial" w:cs="Arial"/>
          <w:i/>
          <w:iCs/>
          <w:sz w:val="20"/>
          <w:lang w:val="en-GB"/>
        </w:rPr>
        <w:t xml:space="preserve">the </w:t>
      </w:r>
      <w:r w:rsidR="00FC7562" w:rsidRPr="00711E28">
        <w:rPr>
          <w:rFonts w:ascii="Arial" w:hAnsi="Arial" w:cs="Arial"/>
          <w:i/>
          <w:iCs/>
          <w:sz w:val="20"/>
          <w:lang w:val="en-GB"/>
        </w:rPr>
        <w:t xml:space="preserve">Living </w:t>
      </w:r>
      <w:r w:rsidR="007441B6" w:rsidRPr="00711E28">
        <w:rPr>
          <w:rFonts w:ascii="Arial" w:hAnsi="Arial" w:cs="Arial"/>
          <w:i/>
          <w:iCs/>
          <w:sz w:val="20"/>
          <w:lang w:val="en-GB"/>
        </w:rPr>
        <w:t xml:space="preserve">Conditions </w:t>
      </w:r>
      <w:r w:rsidR="00943C65" w:rsidRPr="00711E28">
        <w:rPr>
          <w:rFonts w:ascii="Arial" w:hAnsi="Arial" w:cs="Arial"/>
          <w:i/>
          <w:iCs/>
          <w:sz w:val="20"/>
          <w:lang w:val="en-GB"/>
        </w:rPr>
        <w:t>s</w:t>
      </w:r>
      <w:r w:rsidRPr="00711E28">
        <w:rPr>
          <w:rFonts w:ascii="Arial" w:hAnsi="Arial" w:cs="Arial"/>
          <w:i/>
          <w:iCs/>
          <w:sz w:val="20"/>
          <w:lang w:val="en-GB"/>
        </w:rPr>
        <w:t xml:space="preserve">ample </w:t>
      </w:r>
      <w:r w:rsidR="00943C65" w:rsidRPr="00711E28">
        <w:rPr>
          <w:rFonts w:ascii="Arial" w:hAnsi="Arial" w:cs="Arial"/>
          <w:i/>
          <w:iCs/>
          <w:sz w:val="20"/>
          <w:lang w:val="en-GB"/>
        </w:rPr>
        <w:t>s</w:t>
      </w:r>
      <w:r w:rsidR="007441B6" w:rsidRPr="00711E28">
        <w:rPr>
          <w:rFonts w:ascii="Arial" w:hAnsi="Arial" w:cs="Arial"/>
          <w:i/>
          <w:iCs/>
          <w:sz w:val="20"/>
          <w:lang w:val="en-GB"/>
        </w:rPr>
        <w:t>urvey</w:t>
      </w:r>
      <w:r w:rsidR="00FC7562" w:rsidRPr="00711E28">
        <w:rPr>
          <w:rFonts w:ascii="Arial" w:hAnsi="Arial" w:cs="Arial"/>
          <w:i/>
          <w:iCs/>
          <w:sz w:val="20"/>
          <w:lang w:val="en-GB"/>
        </w:rPr>
        <w:t xml:space="preserve">. The aim of </w:t>
      </w:r>
      <w:r w:rsidR="00571829" w:rsidRPr="00711E28">
        <w:rPr>
          <w:rFonts w:ascii="Arial" w:hAnsi="Arial" w:cs="Arial"/>
          <w:i/>
          <w:iCs/>
          <w:sz w:val="20"/>
          <w:lang w:val="en-GB"/>
        </w:rPr>
        <w:t>th</w:t>
      </w:r>
      <w:r w:rsidR="00FB335F" w:rsidRPr="00711E28">
        <w:rPr>
          <w:rFonts w:ascii="Arial" w:hAnsi="Arial" w:cs="Arial"/>
          <w:i/>
          <w:iCs/>
          <w:sz w:val="20"/>
          <w:lang w:val="en-GB"/>
        </w:rPr>
        <w:t>e</w:t>
      </w:r>
      <w:r w:rsidR="00571829" w:rsidRPr="00711E28">
        <w:rPr>
          <w:rFonts w:ascii="Arial" w:hAnsi="Arial" w:cs="Arial"/>
          <w:i/>
          <w:iCs/>
          <w:sz w:val="20"/>
          <w:lang w:val="en-GB"/>
        </w:rPr>
        <w:t xml:space="preserve"> survey</w:t>
      </w:r>
      <w:r w:rsidR="00FC7562" w:rsidRPr="00711E28">
        <w:rPr>
          <w:rFonts w:ascii="Arial" w:hAnsi="Arial" w:cs="Arial"/>
          <w:i/>
          <w:iCs/>
          <w:sz w:val="20"/>
          <w:lang w:val="en-GB"/>
        </w:rPr>
        <w:t xml:space="preserve"> </w:t>
      </w:r>
      <w:r w:rsidR="00AF69AB" w:rsidRPr="00711E28">
        <w:rPr>
          <w:rFonts w:ascii="Arial" w:hAnsi="Arial" w:cs="Arial"/>
          <w:i/>
          <w:iCs/>
          <w:sz w:val="20"/>
          <w:lang w:val="en-GB"/>
        </w:rPr>
        <w:t xml:space="preserve">is </w:t>
      </w:r>
      <w:r w:rsidR="00FC7562" w:rsidRPr="00711E28">
        <w:rPr>
          <w:rFonts w:ascii="Arial" w:hAnsi="Arial" w:cs="Arial"/>
          <w:i/>
          <w:iCs/>
          <w:sz w:val="20"/>
          <w:lang w:val="en-GB"/>
        </w:rPr>
        <w:t xml:space="preserve">to </w:t>
      </w:r>
      <w:r w:rsidR="00764E30" w:rsidRPr="00711E28">
        <w:rPr>
          <w:rFonts w:ascii="Arial" w:hAnsi="Arial" w:cs="Arial"/>
          <w:i/>
          <w:iCs/>
          <w:sz w:val="20"/>
          <w:lang w:val="en-GB"/>
        </w:rPr>
        <w:t xml:space="preserve">acquire </w:t>
      </w:r>
      <w:r w:rsidR="00FC7562" w:rsidRPr="00711E28">
        <w:rPr>
          <w:rFonts w:ascii="Arial" w:hAnsi="Arial" w:cs="Arial"/>
          <w:i/>
          <w:iCs/>
          <w:sz w:val="20"/>
          <w:lang w:val="en-GB"/>
        </w:rPr>
        <w:t xml:space="preserve">representative data on the level and structure of income and </w:t>
      </w:r>
      <w:r w:rsidR="00576AAD" w:rsidRPr="00711E28">
        <w:rPr>
          <w:rFonts w:ascii="Arial" w:hAnsi="Arial" w:cs="Arial"/>
          <w:i/>
          <w:iCs/>
          <w:sz w:val="20"/>
          <w:lang w:val="en-GB"/>
        </w:rPr>
        <w:t xml:space="preserve">on </w:t>
      </w:r>
      <w:r w:rsidR="00FC7562" w:rsidRPr="00711E28">
        <w:rPr>
          <w:rFonts w:ascii="Arial" w:hAnsi="Arial" w:cs="Arial"/>
          <w:i/>
          <w:iCs/>
          <w:sz w:val="20"/>
          <w:lang w:val="en-GB"/>
        </w:rPr>
        <w:t>basic social and demographic characteristics of households and their members necessary for the income indicator</w:t>
      </w:r>
      <w:r w:rsidR="00576AAD" w:rsidRPr="00711E28">
        <w:rPr>
          <w:rFonts w:ascii="Arial" w:hAnsi="Arial" w:cs="Arial"/>
          <w:i/>
          <w:iCs/>
          <w:sz w:val="20"/>
          <w:lang w:val="en-GB"/>
        </w:rPr>
        <w:t>s</w:t>
      </w:r>
      <w:r w:rsidR="00FC7562" w:rsidRPr="00711E28">
        <w:rPr>
          <w:rFonts w:ascii="Arial" w:hAnsi="Arial" w:cs="Arial"/>
          <w:i/>
          <w:iCs/>
          <w:sz w:val="20"/>
          <w:lang w:val="en-GB"/>
        </w:rPr>
        <w:t xml:space="preserve"> analysis.</w:t>
      </w:r>
      <w:r w:rsidR="00983D5D" w:rsidRPr="00711E28">
        <w:rPr>
          <w:rFonts w:ascii="Arial" w:hAnsi="Arial" w:cs="Arial"/>
          <w:i/>
          <w:iCs/>
          <w:sz w:val="20"/>
          <w:lang w:val="en-GB"/>
        </w:rPr>
        <w:t xml:space="preserve"> The survey takes place every year as a national modification of the Europe-wide survey EU-SILC (</w:t>
      </w:r>
      <w:r w:rsidR="00541945" w:rsidRPr="00711E28">
        <w:rPr>
          <w:rFonts w:ascii="Arial" w:hAnsi="Arial" w:cs="Arial"/>
          <w:i/>
          <w:iCs/>
          <w:sz w:val="20"/>
          <w:lang w:val="en-GB"/>
        </w:rPr>
        <w:t>European Union – Statistics on Income and Living Conditions</w:t>
      </w:r>
      <w:r w:rsidR="00983D5D" w:rsidRPr="00711E28">
        <w:rPr>
          <w:rFonts w:ascii="Arial" w:hAnsi="Arial" w:cs="Arial"/>
          <w:i/>
          <w:sz w:val="20"/>
          <w:lang w:val="en-GB"/>
        </w:rPr>
        <w:t>)</w:t>
      </w:r>
      <w:r w:rsidR="00DF163B">
        <w:rPr>
          <w:rFonts w:ascii="Arial" w:hAnsi="Arial" w:cs="Arial"/>
          <w:i/>
          <w:sz w:val="20"/>
          <w:lang w:val="en-GB"/>
        </w:rPr>
        <w:t>.</w:t>
      </w:r>
      <w:r w:rsidR="00983D5D" w:rsidRPr="00711E28">
        <w:rPr>
          <w:rFonts w:ascii="Arial" w:hAnsi="Arial" w:cs="Arial"/>
          <w:i/>
          <w:sz w:val="20"/>
          <w:lang w:val="en-GB"/>
        </w:rPr>
        <w:t xml:space="preserve"> </w:t>
      </w:r>
      <w:r w:rsidR="00DF163B">
        <w:rPr>
          <w:rFonts w:ascii="Arial" w:hAnsi="Arial" w:cs="Arial"/>
          <w:i/>
          <w:sz w:val="20"/>
          <w:lang w:val="en-GB"/>
        </w:rPr>
        <w:t>I</w:t>
      </w:r>
      <w:r w:rsidR="00983D5D" w:rsidRPr="00711E28">
        <w:rPr>
          <w:rFonts w:ascii="Arial" w:hAnsi="Arial" w:cs="Arial"/>
          <w:i/>
          <w:sz w:val="20"/>
          <w:lang w:val="en-GB"/>
        </w:rPr>
        <w:t>t is carried out as a four-year rotation panel, in which a fou</w:t>
      </w:r>
      <w:r w:rsidR="00DA42A6">
        <w:rPr>
          <w:rFonts w:ascii="Arial" w:hAnsi="Arial" w:cs="Arial"/>
          <w:i/>
          <w:sz w:val="20"/>
          <w:lang w:val="en-GB"/>
        </w:rPr>
        <w:t xml:space="preserve">rth of households are </w:t>
      </w:r>
      <w:r w:rsidR="00983D5D" w:rsidRPr="00711E28">
        <w:rPr>
          <w:rFonts w:ascii="Arial" w:hAnsi="Arial" w:cs="Arial"/>
          <w:i/>
          <w:sz w:val="20"/>
          <w:lang w:val="en-GB"/>
        </w:rPr>
        <w:t>replaced</w:t>
      </w:r>
      <w:r w:rsidR="00DA42A6">
        <w:rPr>
          <w:rFonts w:ascii="Arial" w:hAnsi="Arial" w:cs="Arial"/>
          <w:i/>
          <w:sz w:val="20"/>
          <w:lang w:val="en-GB"/>
        </w:rPr>
        <w:t xml:space="preserve"> every year</w:t>
      </w:r>
      <w:r w:rsidR="00983D5D" w:rsidRPr="00711E28">
        <w:rPr>
          <w:rFonts w:ascii="Arial" w:hAnsi="Arial" w:cs="Arial"/>
          <w:i/>
          <w:sz w:val="20"/>
          <w:lang w:val="en-GB"/>
        </w:rPr>
        <w:t xml:space="preserve">. Published data on income are for the year </w:t>
      </w:r>
      <w:r w:rsidR="0028006C">
        <w:rPr>
          <w:rFonts w:ascii="Arial" w:hAnsi="Arial" w:cs="Arial"/>
          <w:i/>
          <w:sz w:val="20"/>
          <w:lang w:val="en-GB"/>
        </w:rPr>
        <w:t>201</w:t>
      </w:r>
      <w:r w:rsidR="00042A76">
        <w:rPr>
          <w:rFonts w:ascii="Arial" w:hAnsi="Arial" w:cs="Arial"/>
          <w:i/>
          <w:sz w:val="20"/>
          <w:lang w:val="en-GB"/>
        </w:rPr>
        <w:t>3</w:t>
      </w:r>
      <w:r w:rsidR="002A2E35" w:rsidRPr="00711E28">
        <w:rPr>
          <w:rFonts w:ascii="Arial" w:hAnsi="Arial" w:cs="Arial"/>
          <w:i/>
          <w:sz w:val="20"/>
          <w:lang w:val="en-GB"/>
        </w:rPr>
        <w:t>;</w:t>
      </w:r>
      <w:r w:rsidR="00983D5D" w:rsidRPr="00711E28">
        <w:rPr>
          <w:rFonts w:ascii="Arial" w:hAnsi="Arial" w:cs="Arial"/>
          <w:i/>
          <w:sz w:val="20"/>
          <w:lang w:val="en-GB"/>
        </w:rPr>
        <w:t xml:space="preserve"> other data capture the situation at the moment of the survey in </w:t>
      </w:r>
      <w:r w:rsidR="0028006C">
        <w:rPr>
          <w:rFonts w:ascii="Arial" w:hAnsi="Arial" w:cs="Arial"/>
          <w:i/>
          <w:sz w:val="20"/>
          <w:lang w:val="en-GB"/>
        </w:rPr>
        <w:t>201</w:t>
      </w:r>
      <w:r w:rsidR="00042A76">
        <w:rPr>
          <w:rFonts w:ascii="Arial" w:hAnsi="Arial" w:cs="Arial"/>
          <w:i/>
          <w:sz w:val="20"/>
          <w:lang w:val="en-GB"/>
        </w:rPr>
        <w:t>4</w:t>
      </w:r>
      <w:r w:rsidR="004F4205" w:rsidRPr="00711E28">
        <w:rPr>
          <w:rFonts w:ascii="Arial" w:hAnsi="Arial" w:cs="Arial"/>
          <w:i/>
          <w:sz w:val="20"/>
          <w:lang w:val="en-GB"/>
        </w:rPr>
        <w:t>.</w:t>
      </w:r>
      <w:r w:rsidR="0077164B" w:rsidRPr="00711E28">
        <w:rPr>
          <w:rFonts w:ascii="Arial" w:hAnsi="Arial" w:cs="Arial"/>
          <w:i/>
          <w:iCs/>
          <w:sz w:val="20"/>
          <w:lang w:val="en-GB"/>
        </w:rPr>
        <w:t xml:space="preserve"> </w:t>
      </w:r>
    </w:p>
    <w:p w:rsidR="00EF1026" w:rsidRPr="00711E28" w:rsidRDefault="00726D4C" w:rsidP="00726D4C">
      <w:pPr>
        <w:tabs>
          <w:tab w:val="left" w:pos="720"/>
        </w:tabs>
        <w:spacing w:before="120"/>
        <w:ind w:firstLine="709"/>
        <w:jc w:val="both"/>
        <w:rPr>
          <w:rFonts w:ascii="Arial" w:hAnsi="Arial" w:cs="Arial"/>
          <w:i/>
          <w:iCs/>
          <w:sz w:val="20"/>
          <w:lang w:val="en-GB"/>
        </w:rPr>
      </w:pPr>
      <w:r w:rsidRPr="00711E28">
        <w:rPr>
          <w:rFonts w:ascii="Arial" w:hAnsi="Arial" w:cs="Arial"/>
          <w:i/>
          <w:iCs/>
          <w:sz w:val="20"/>
          <w:lang w:val="en-GB"/>
        </w:rPr>
        <w:t>Tables 1-</w:t>
      </w:r>
      <w:r w:rsidR="002D65EB" w:rsidRPr="00711E28">
        <w:rPr>
          <w:rFonts w:ascii="Arial" w:hAnsi="Arial" w:cs="Arial"/>
          <w:i/>
          <w:iCs/>
          <w:sz w:val="20"/>
          <w:lang w:val="en-GB"/>
        </w:rPr>
        <w:t>2</w:t>
      </w:r>
      <w:r w:rsidR="002D65EB">
        <w:rPr>
          <w:rFonts w:ascii="Arial" w:hAnsi="Arial" w:cs="Arial"/>
          <w:i/>
          <w:iCs/>
          <w:sz w:val="20"/>
          <w:lang w:val="en-GB"/>
        </w:rPr>
        <w:t>4</w:t>
      </w:r>
      <w:r w:rsidR="002D65EB" w:rsidRPr="00711E28">
        <w:rPr>
          <w:rFonts w:ascii="Arial" w:hAnsi="Arial" w:cs="Arial"/>
          <w:i/>
          <w:iCs/>
          <w:sz w:val="20"/>
          <w:lang w:val="en-GB"/>
        </w:rPr>
        <w:t xml:space="preserve"> </w:t>
      </w:r>
      <w:r w:rsidR="002377E5" w:rsidRPr="00711E28">
        <w:rPr>
          <w:rFonts w:ascii="Arial" w:hAnsi="Arial" w:cs="Arial"/>
          <w:i/>
          <w:iCs/>
          <w:sz w:val="20"/>
          <w:lang w:val="en-GB"/>
        </w:rPr>
        <w:t xml:space="preserve">to </w:t>
      </w:r>
      <w:r w:rsidRPr="00711E28">
        <w:rPr>
          <w:rFonts w:ascii="Arial" w:hAnsi="Arial" w:cs="Arial"/>
          <w:i/>
          <w:iCs/>
          <w:sz w:val="20"/>
          <w:lang w:val="en-GB"/>
        </w:rPr>
        <w:t>1-</w:t>
      </w:r>
      <w:r w:rsidR="002D65EB">
        <w:rPr>
          <w:rFonts w:ascii="Arial" w:hAnsi="Arial" w:cs="Arial"/>
          <w:i/>
          <w:iCs/>
          <w:sz w:val="20"/>
          <w:lang w:val="en-GB"/>
        </w:rPr>
        <w:t>32</w:t>
      </w:r>
      <w:r w:rsidR="002D65EB" w:rsidRPr="00711E28">
        <w:rPr>
          <w:rFonts w:ascii="Arial" w:hAnsi="Arial" w:cs="Arial"/>
          <w:i/>
          <w:iCs/>
          <w:sz w:val="20"/>
          <w:lang w:val="en-GB"/>
        </w:rPr>
        <w:t xml:space="preserve"> </w:t>
      </w:r>
      <w:r w:rsidRPr="00711E28">
        <w:rPr>
          <w:rFonts w:ascii="Arial" w:hAnsi="Arial" w:cs="Arial"/>
          <w:i/>
          <w:iCs/>
          <w:sz w:val="20"/>
          <w:lang w:val="en-GB"/>
        </w:rPr>
        <w:t>give results of the “</w:t>
      </w:r>
      <w:r w:rsidRPr="00711E28">
        <w:rPr>
          <w:rFonts w:ascii="Arial" w:hAnsi="Arial" w:cs="Arial"/>
          <w:b/>
          <w:bCs/>
          <w:i/>
          <w:iCs/>
          <w:sz w:val="20"/>
          <w:lang w:val="en-GB"/>
        </w:rPr>
        <w:t xml:space="preserve">Living Conditions </w:t>
      </w:r>
      <w:r w:rsidR="0028006C">
        <w:rPr>
          <w:rFonts w:ascii="Arial" w:hAnsi="Arial" w:cs="Arial"/>
          <w:b/>
          <w:bCs/>
          <w:i/>
          <w:iCs/>
          <w:sz w:val="20"/>
          <w:lang w:val="en-GB"/>
        </w:rPr>
        <w:t>201</w:t>
      </w:r>
      <w:r w:rsidR="00042A76">
        <w:rPr>
          <w:rFonts w:ascii="Arial" w:hAnsi="Arial" w:cs="Arial"/>
          <w:b/>
          <w:bCs/>
          <w:i/>
          <w:iCs/>
          <w:sz w:val="20"/>
          <w:lang w:val="en-GB"/>
        </w:rPr>
        <w:t>4</w:t>
      </w:r>
      <w:r w:rsidRPr="00711E28">
        <w:rPr>
          <w:rFonts w:ascii="Arial" w:hAnsi="Arial" w:cs="Arial"/>
          <w:i/>
          <w:iCs/>
          <w:sz w:val="20"/>
          <w:lang w:val="en-GB"/>
        </w:rPr>
        <w:t>”</w:t>
      </w:r>
      <w:r w:rsidR="00771693" w:rsidRPr="00711E28">
        <w:rPr>
          <w:rFonts w:ascii="Arial" w:hAnsi="Arial" w:cs="Arial"/>
          <w:i/>
          <w:iCs/>
          <w:sz w:val="20"/>
          <w:lang w:val="en-GB"/>
        </w:rPr>
        <w:t xml:space="preserve"> sample survey</w:t>
      </w:r>
      <w:r w:rsidRPr="00711E28">
        <w:rPr>
          <w:rFonts w:ascii="Arial" w:hAnsi="Arial" w:cs="Arial"/>
          <w:i/>
          <w:iCs/>
          <w:sz w:val="20"/>
          <w:lang w:val="en-GB"/>
        </w:rPr>
        <w:t>.</w:t>
      </w:r>
    </w:p>
    <w:p w:rsidR="00FC7562" w:rsidRPr="00711E28" w:rsidRDefault="00FC7562" w:rsidP="005D3B46">
      <w:pPr>
        <w:tabs>
          <w:tab w:val="left" w:pos="720"/>
        </w:tabs>
        <w:spacing w:before="120"/>
        <w:ind w:firstLine="709"/>
        <w:jc w:val="both"/>
        <w:rPr>
          <w:rFonts w:ascii="Arial" w:hAnsi="Arial" w:cs="Arial"/>
          <w:i/>
          <w:iCs/>
          <w:sz w:val="20"/>
          <w:lang w:val="en-GB"/>
        </w:rPr>
      </w:pPr>
    </w:p>
    <w:p w:rsidR="00FC7562" w:rsidRPr="00711E28" w:rsidRDefault="00FC7562">
      <w:pPr>
        <w:jc w:val="both"/>
        <w:rPr>
          <w:rFonts w:ascii="Arial" w:hAnsi="Arial" w:cs="Arial"/>
          <w:b/>
          <w:bCs/>
          <w:i/>
          <w:iCs/>
          <w:sz w:val="20"/>
          <w:lang w:val="en-GB"/>
        </w:rPr>
      </w:pPr>
      <w:r w:rsidRPr="00711E28">
        <w:rPr>
          <w:rFonts w:ascii="Arial" w:hAnsi="Arial" w:cs="Arial"/>
          <w:b/>
          <w:bCs/>
          <w:i/>
          <w:iCs/>
          <w:sz w:val="20"/>
          <w:lang w:val="en-GB"/>
        </w:rPr>
        <w:t>Definition</w:t>
      </w:r>
      <w:r w:rsidR="006857BC" w:rsidRPr="00711E28">
        <w:rPr>
          <w:rFonts w:ascii="Arial" w:hAnsi="Arial" w:cs="Arial"/>
          <w:b/>
          <w:bCs/>
          <w:i/>
          <w:iCs/>
          <w:sz w:val="20"/>
          <w:lang w:val="en-GB"/>
        </w:rPr>
        <w:t>s</w:t>
      </w:r>
      <w:r w:rsidRPr="00711E28">
        <w:rPr>
          <w:rFonts w:ascii="Arial" w:hAnsi="Arial" w:cs="Arial"/>
          <w:b/>
          <w:bCs/>
          <w:i/>
          <w:iCs/>
          <w:sz w:val="20"/>
          <w:lang w:val="en-GB"/>
        </w:rPr>
        <w:t xml:space="preserve"> of indicators in tables </w:t>
      </w:r>
      <w:r w:rsidR="004E5376">
        <w:rPr>
          <w:rFonts w:ascii="Arial" w:hAnsi="Arial" w:cs="Arial"/>
          <w:b/>
          <w:bCs/>
          <w:i/>
          <w:iCs/>
          <w:sz w:val="20"/>
          <w:lang w:val="en-GB"/>
        </w:rPr>
        <w:t>from</w:t>
      </w:r>
      <w:r w:rsidR="004E5376" w:rsidRPr="00711E28">
        <w:rPr>
          <w:rFonts w:ascii="Arial" w:hAnsi="Arial" w:cs="Arial"/>
          <w:b/>
          <w:bCs/>
          <w:i/>
          <w:iCs/>
          <w:sz w:val="20"/>
          <w:lang w:val="en-GB"/>
        </w:rPr>
        <w:t xml:space="preserve"> </w:t>
      </w:r>
      <w:r w:rsidR="006857BC" w:rsidRPr="00711E28">
        <w:rPr>
          <w:rFonts w:ascii="Arial" w:hAnsi="Arial" w:cs="Arial"/>
          <w:b/>
          <w:bCs/>
          <w:i/>
          <w:iCs/>
          <w:sz w:val="20"/>
          <w:lang w:val="en-GB"/>
        </w:rPr>
        <w:t>the</w:t>
      </w:r>
      <w:r w:rsidRPr="00711E28">
        <w:rPr>
          <w:rFonts w:ascii="Arial" w:hAnsi="Arial" w:cs="Arial"/>
          <w:b/>
          <w:bCs/>
          <w:i/>
          <w:iCs/>
          <w:sz w:val="20"/>
          <w:lang w:val="en-GB"/>
        </w:rPr>
        <w:t xml:space="preserve"> Living </w:t>
      </w:r>
      <w:r w:rsidR="006857BC" w:rsidRPr="00711E28">
        <w:rPr>
          <w:rFonts w:ascii="Arial" w:hAnsi="Arial" w:cs="Arial"/>
          <w:b/>
          <w:bCs/>
          <w:i/>
          <w:iCs/>
          <w:sz w:val="20"/>
          <w:lang w:val="en-GB"/>
        </w:rPr>
        <w:t xml:space="preserve">Conditions </w:t>
      </w:r>
      <w:r w:rsidR="0020143E" w:rsidRPr="00711E28">
        <w:rPr>
          <w:rFonts w:ascii="Arial" w:hAnsi="Arial" w:cs="Arial"/>
          <w:b/>
          <w:bCs/>
          <w:i/>
          <w:iCs/>
          <w:sz w:val="20"/>
          <w:lang w:val="en-GB"/>
        </w:rPr>
        <w:t>s</w:t>
      </w:r>
      <w:r w:rsidR="006857BC" w:rsidRPr="00711E28">
        <w:rPr>
          <w:rFonts w:ascii="Arial" w:hAnsi="Arial" w:cs="Arial"/>
          <w:b/>
          <w:bCs/>
          <w:i/>
          <w:iCs/>
          <w:sz w:val="20"/>
          <w:lang w:val="en-GB"/>
        </w:rPr>
        <w:t xml:space="preserve">ample </w:t>
      </w:r>
      <w:r w:rsidR="0020143E" w:rsidRPr="00711E28">
        <w:rPr>
          <w:rFonts w:ascii="Arial" w:hAnsi="Arial" w:cs="Arial"/>
          <w:b/>
          <w:bCs/>
          <w:i/>
          <w:iCs/>
          <w:sz w:val="20"/>
          <w:lang w:val="en-GB"/>
        </w:rPr>
        <w:t>s</w:t>
      </w:r>
      <w:r w:rsidR="006857BC" w:rsidRPr="00711E28">
        <w:rPr>
          <w:rFonts w:ascii="Arial" w:hAnsi="Arial" w:cs="Arial"/>
          <w:b/>
          <w:bCs/>
          <w:i/>
          <w:iCs/>
          <w:sz w:val="20"/>
          <w:lang w:val="en-GB"/>
        </w:rPr>
        <w:t xml:space="preserve">urvey </w:t>
      </w:r>
    </w:p>
    <w:p w:rsidR="00FC7562" w:rsidRPr="00711E28" w:rsidRDefault="00FC7562">
      <w:pPr>
        <w:jc w:val="both"/>
        <w:rPr>
          <w:rFonts w:ascii="Arial" w:hAnsi="Arial" w:cs="Arial"/>
          <w:b/>
          <w:bCs/>
          <w:i/>
          <w:iCs/>
          <w:sz w:val="20"/>
          <w:u w:val="single"/>
          <w:lang w:val="en-GB"/>
        </w:rPr>
      </w:pPr>
    </w:p>
    <w:p w:rsidR="00FC7562" w:rsidRPr="00815A0C" w:rsidRDefault="00FC7562">
      <w:pPr>
        <w:jc w:val="both"/>
        <w:rPr>
          <w:rFonts w:ascii="Arial" w:hAnsi="Arial" w:cs="Arial"/>
          <w:i/>
          <w:iCs/>
          <w:sz w:val="20"/>
        </w:rPr>
      </w:pPr>
      <w:r w:rsidRPr="00711E28">
        <w:rPr>
          <w:rFonts w:ascii="Arial" w:hAnsi="Arial" w:cs="Arial"/>
          <w:b/>
          <w:bCs/>
          <w:i/>
          <w:iCs/>
          <w:sz w:val="20"/>
          <w:lang w:val="en-GB"/>
        </w:rPr>
        <w:t>Private household</w:t>
      </w:r>
      <w:r w:rsidRPr="00711E28">
        <w:rPr>
          <w:rFonts w:ascii="Arial" w:hAnsi="Arial" w:cs="Arial"/>
          <w:i/>
          <w:iCs/>
          <w:sz w:val="20"/>
          <w:lang w:val="en-GB"/>
        </w:rPr>
        <w:t xml:space="preserve"> </w:t>
      </w:r>
      <w:r w:rsidR="00560D5B">
        <w:rPr>
          <w:rFonts w:ascii="Arial" w:hAnsi="Arial" w:cs="Arial"/>
          <w:i/>
          <w:iCs/>
          <w:sz w:val="20"/>
          <w:lang w:val="en-GB"/>
        </w:rPr>
        <w:t xml:space="preserve">consists of </w:t>
      </w:r>
      <w:r w:rsidR="00FC2904">
        <w:rPr>
          <w:rFonts w:ascii="Arial" w:hAnsi="Arial" w:cs="Arial"/>
          <w:i/>
          <w:iCs/>
          <w:sz w:val="20"/>
          <w:lang w:val="en-GB"/>
        </w:rPr>
        <w:t>a</w:t>
      </w:r>
      <w:r w:rsidR="005933AB">
        <w:rPr>
          <w:rFonts w:ascii="Arial" w:hAnsi="Arial" w:cs="Arial"/>
          <w:i/>
          <w:iCs/>
          <w:sz w:val="20"/>
          <w:lang w:val="en-GB"/>
        </w:rPr>
        <w:t xml:space="preserve"> person</w:t>
      </w:r>
      <w:r w:rsidR="00FC2904">
        <w:rPr>
          <w:rFonts w:ascii="Arial" w:hAnsi="Arial" w:cs="Arial"/>
          <w:i/>
          <w:iCs/>
          <w:sz w:val="20"/>
          <w:lang w:val="en-GB"/>
        </w:rPr>
        <w:t xml:space="preserve"> or a group of pe</w:t>
      </w:r>
      <w:r w:rsidR="005933AB">
        <w:rPr>
          <w:rFonts w:ascii="Arial" w:hAnsi="Arial" w:cs="Arial"/>
          <w:i/>
          <w:iCs/>
          <w:sz w:val="20"/>
          <w:lang w:val="en-GB"/>
        </w:rPr>
        <w:t>ople</w:t>
      </w:r>
      <w:r w:rsidR="00FC2904">
        <w:rPr>
          <w:rFonts w:ascii="Arial" w:hAnsi="Arial" w:cs="Arial"/>
          <w:i/>
          <w:iCs/>
          <w:sz w:val="20"/>
          <w:lang w:val="en-GB"/>
        </w:rPr>
        <w:t xml:space="preserve"> living</w:t>
      </w:r>
      <w:r w:rsidR="00117829">
        <w:rPr>
          <w:rFonts w:ascii="Arial" w:hAnsi="Arial" w:cs="Arial"/>
          <w:i/>
          <w:iCs/>
          <w:sz w:val="20"/>
          <w:lang w:val="en-GB"/>
        </w:rPr>
        <w:t xml:space="preserve"> in a selected dwelling, who permanently </w:t>
      </w:r>
      <w:r w:rsidR="00117829" w:rsidRPr="005F6264">
        <w:rPr>
          <w:rFonts w:ascii="Arial" w:hAnsi="Arial" w:cs="Arial"/>
          <w:i/>
          <w:iCs/>
          <w:sz w:val="20"/>
          <w:lang w:val="en-GB"/>
        </w:rPr>
        <w:t xml:space="preserve">live together and </w:t>
      </w:r>
      <w:r w:rsidR="00105045">
        <w:rPr>
          <w:rFonts w:ascii="Arial" w:hAnsi="Arial" w:cs="Arial"/>
          <w:i/>
          <w:iCs/>
          <w:sz w:val="20"/>
          <w:lang w:val="en-GB"/>
        </w:rPr>
        <w:t>pay together for the</w:t>
      </w:r>
      <w:r w:rsidR="005B15E4">
        <w:rPr>
          <w:rFonts w:ascii="Arial" w:hAnsi="Arial" w:cs="Arial"/>
          <w:i/>
          <w:iCs/>
          <w:sz w:val="20"/>
          <w:lang w:val="en-GB"/>
        </w:rPr>
        <w:t xml:space="preserve"> basic and</w:t>
      </w:r>
      <w:r w:rsidR="00105045">
        <w:rPr>
          <w:rFonts w:ascii="Arial" w:hAnsi="Arial" w:cs="Arial"/>
          <w:i/>
          <w:iCs/>
          <w:sz w:val="20"/>
          <w:lang w:val="en-GB"/>
        </w:rPr>
        <w:t xml:space="preserve"> operational expenses of the household</w:t>
      </w:r>
      <w:r w:rsidR="00815A0C" w:rsidRPr="005F6264">
        <w:rPr>
          <w:rFonts w:ascii="Arial" w:hAnsi="Arial" w:cs="Arial"/>
          <w:i/>
          <w:sz w:val="20"/>
          <w:szCs w:val="20"/>
        </w:rPr>
        <w:t>.</w:t>
      </w:r>
    </w:p>
    <w:p w:rsidR="009A1913" w:rsidRPr="00815A0C" w:rsidRDefault="009A1913">
      <w:pPr>
        <w:jc w:val="both"/>
        <w:rPr>
          <w:rFonts w:ascii="Arial" w:hAnsi="Arial" w:cs="Arial"/>
          <w:i/>
          <w:iCs/>
          <w:sz w:val="20"/>
        </w:rPr>
      </w:pPr>
    </w:p>
    <w:p w:rsidR="00FC7562" w:rsidRPr="00711E28" w:rsidRDefault="002B69FC">
      <w:pPr>
        <w:jc w:val="both"/>
        <w:rPr>
          <w:rFonts w:ascii="Arial" w:hAnsi="Arial" w:cs="Arial"/>
          <w:i/>
          <w:iCs/>
          <w:sz w:val="20"/>
          <w:lang w:val="en-GB"/>
        </w:rPr>
      </w:pPr>
      <w:r w:rsidRPr="00711E28">
        <w:rPr>
          <w:rFonts w:ascii="Arial" w:hAnsi="Arial" w:cs="Arial"/>
          <w:i/>
          <w:iCs/>
          <w:sz w:val="20"/>
          <w:lang w:val="en-GB"/>
        </w:rPr>
        <w:t>H</w:t>
      </w:r>
      <w:r w:rsidR="00FC7562" w:rsidRPr="00711E28">
        <w:rPr>
          <w:rFonts w:ascii="Arial" w:hAnsi="Arial" w:cs="Arial"/>
          <w:i/>
          <w:iCs/>
          <w:sz w:val="20"/>
          <w:lang w:val="en-GB"/>
        </w:rPr>
        <w:t xml:space="preserve">ouseholds were </w:t>
      </w:r>
      <w:r w:rsidRPr="00711E28">
        <w:rPr>
          <w:rFonts w:ascii="Arial" w:hAnsi="Arial" w:cs="Arial"/>
          <w:i/>
          <w:iCs/>
          <w:sz w:val="20"/>
          <w:lang w:val="en-GB"/>
        </w:rPr>
        <w:t xml:space="preserve">divided to groups </w:t>
      </w:r>
      <w:r w:rsidR="00FC7562" w:rsidRPr="00711E28">
        <w:rPr>
          <w:rFonts w:ascii="Arial" w:hAnsi="Arial" w:cs="Arial"/>
          <w:i/>
          <w:iCs/>
          <w:sz w:val="20"/>
          <w:lang w:val="en-GB"/>
        </w:rPr>
        <w:t xml:space="preserve">by </w:t>
      </w:r>
      <w:r w:rsidR="006857BC" w:rsidRPr="00711E28">
        <w:rPr>
          <w:rFonts w:ascii="Arial" w:hAnsi="Arial" w:cs="Arial"/>
          <w:i/>
          <w:iCs/>
          <w:sz w:val="20"/>
          <w:lang w:val="en-GB"/>
        </w:rPr>
        <w:t xml:space="preserve">the </w:t>
      </w:r>
      <w:r w:rsidR="00FC7562" w:rsidRPr="00711E28">
        <w:rPr>
          <w:rFonts w:ascii="Arial" w:hAnsi="Arial" w:cs="Arial"/>
          <w:i/>
          <w:iCs/>
          <w:sz w:val="20"/>
          <w:lang w:val="en-GB"/>
        </w:rPr>
        <w:t>position of the</w:t>
      </w:r>
      <w:r w:rsidR="00B81867" w:rsidRPr="00711E28">
        <w:rPr>
          <w:rFonts w:ascii="Arial" w:hAnsi="Arial" w:cs="Arial"/>
          <w:i/>
          <w:iCs/>
          <w:sz w:val="20"/>
          <w:lang w:val="en-GB"/>
        </w:rPr>
        <w:t xml:space="preserve"> head of</w:t>
      </w:r>
      <w:r w:rsidR="00FC7562" w:rsidRPr="00711E28">
        <w:rPr>
          <w:rFonts w:ascii="Arial" w:hAnsi="Arial" w:cs="Arial"/>
          <w:i/>
          <w:iCs/>
          <w:sz w:val="20"/>
          <w:lang w:val="en-GB"/>
        </w:rPr>
        <w:t xml:space="preserve"> </w:t>
      </w:r>
      <w:r w:rsidR="006857BC" w:rsidRPr="00711E28">
        <w:rPr>
          <w:rFonts w:ascii="Arial" w:hAnsi="Arial" w:cs="Arial"/>
          <w:i/>
          <w:iCs/>
          <w:sz w:val="20"/>
          <w:lang w:val="en-GB"/>
        </w:rPr>
        <w:t>household</w:t>
      </w:r>
      <w:r w:rsidR="00FC7562" w:rsidRPr="00711E28">
        <w:rPr>
          <w:rFonts w:ascii="Arial" w:hAnsi="Arial" w:cs="Arial"/>
          <w:i/>
          <w:iCs/>
          <w:sz w:val="20"/>
          <w:lang w:val="en-GB"/>
        </w:rPr>
        <w:t>.</w:t>
      </w:r>
    </w:p>
    <w:p w:rsidR="00FC7562" w:rsidRPr="00711E28" w:rsidRDefault="00FC7562">
      <w:pPr>
        <w:jc w:val="both"/>
        <w:rPr>
          <w:rFonts w:ascii="Arial" w:hAnsi="Arial" w:cs="Arial"/>
          <w:i/>
          <w:iCs/>
          <w:sz w:val="20"/>
          <w:lang w:val="en-GB"/>
        </w:rPr>
      </w:pPr>
    </w:p>
    <w:p w:rsidR="00FC7562" w:rsidRPr="00711E28" w:rsidRDefault="00D6251A">
      <w:pPr>
        <w:jc w:val="both"/>
        <w:rPr>
          <w:rFonts w:ascii="Arial" w:hAnsi="Arial" w:cs="Arial"/>
          <w:i/>
          <w:iCs/>
          <w:sz w:val="20"/>
          <w:lang w:val="en-GB"/>
        </w:rPr>
      </w:pPr>
      <w:r w:rsidRPr="00B8145E">
        <w:rPr>
          <w:rFonts w:ascii="Arial" w:hAnsi="Arial" w:cs="Arial"/>
          <w:bCs/>
          <w:i/>
          <w:iCs/>
          <w:sz w:val="20"/>
          <w:lang w:val="en-GB"/>
        </w:rPr>
        <w:t>T</w:t>
      </w:r>
      <w:r w:rsidR="00FC7562" w:rsidRPr="00B8145E">
        <w:rPr>
          <w:rFonts w:ascii="Arial" w:hAnsi="Arial" w:cs="Arial"/>
          <w:bCs/>
          <w:i/>
          <w:iCs/>
          <w:sz w:val="20"/>
          <w:lang w:val="en-GB"/>
        </w:rPr>
        <w:t>he</w:t>
      </w:r>
      <w:r w:rsidR="00FC7562" w:rsidRPr="00711E28">
        <w:rPr>
          <w:rFonts w:ascii="Arial" w:hAnsi="Arial" w:cs="Arial"/>
          <w:b/>
          <w:bCs/>
          <w:i/>
          <w:iCs/>
          <w:sz w:val="20"/>
          <w:lang w:val="en-GB"/>
        </w:rPr>
        <w:t xml:space="preserve"> head of household </w:t>
      </w:r>
      <w:r w:rsidR="00FC7562" w:rsidRPr="00711E28">
        <w:rPr>
          <w:rFonts w:ascii="Arial" w:hAnsi="Arial" w:cs="Arial"/>
          <w:i/>
          <w:iCs/>
          <w:sz w:val="20"/>
          <w:lang w:val="en-GB"/>
        </w:rPr>
        <w:t>in two-parent families is always a man (husband</w:t>
      </w:r>
      <w:r w:rsidR="00D80BAC" w:rsidRPr="00711E28">
        <w:rPr>
          <w:rFonts w:ascii="Arial" w:hAnsi="Arial" w:cs="Arial"/>
          <w:i/>
          <w:iCs/>
          <w:sz w:val="20"/>
          <w:lang w:val="en-GB"/>
        </w:rPr>
        <w:t xml:space="preserve"> or</w:t>
      </w:r>
      <w:r w:rsidR="00FC7562" w:rsidRPr="00711E28">
        <w:rPr>
          <w:rFonts w:ascii="Arial" w:hAnsi="Arial" w:cs="Arial"/>
          <w:i/>
          <w:iCs/>
          <w:sz w:val="20"/>
          <w:lang w:val="en-GB"/>
        </w:rPr>
        <w:t xml:space="preserve"> common-law husband) irrespective of his economic activity. In determining the head of household in lone-parent families (one parent with children) the economic activity is considered first and only then the amount of financial income of individual household members. The same rules are applied to more complicated (multi-generation) types of private households. </w:t>
      </w:r>
    </w:p>
    <w:p w:rsidR="00FC7562" w:rsidRPr="00711E28" w:rsidRDefault="00FC7562">
      <w:pPr>
        <w:jc w:val="both"/>
        <w:rPr>
          <w:rFonts w:ascii="Arial" w:hAnsi="Arial" w:cs="Arial"/>
          <w:i/>
          <w:iCs/>
          <w:sz w:val="20"/>
          <w:lang w:val="en-GB"/>
        </w:rPr>
      </w:pPr>
    </w:p>
    <w:p w:rsidR="00FC7562" w:rsidRPr="00711E28" w:rsidRDefault="00FC7562">
      <w:pPr>
        <w:jc w:val="both"/>
        <w:rPr>
          <w:rFonts w:ascii="Arial" w:hAnsi="Arial" w:cs="Arial"/>
          <w:b/>
          <w:bCs/>
          <w:i/>
          <w:iCs/>
          <w:sz w:val="20"/>
          <w:lang w:val="en-GB"/>
        </w:rPr>
      </w:pPr>
      <w:r w:rsidRPr="00711E28">
        <w:rPr>
          <w:rFonts w:ascii="Arial" w:hAnsi="Arial" w:cs="Arial"/>
          <w:i/>
          <w:iCs/>
          <w:sz w:val="20"/>
          <w:lang w:val="en-GB"/>
        </w:rPr>
        <w:t xml:space="preserve">Basic classification </w:t>
      </w:r>
      <w:r w:rsidR="00D11436" w:rsidRPr="00711E28">
        <w:rPr>
          <w:rFonts w:ascii="Arial" w:hAnsi="Arial" w:cs="Arial"/>
          <w:i/>
          <w:iCs/>
          <w:sz w:val="20"/>
          <w:lang w:val="en-GB"/>
        </w:rPr>
        <w:t xml:space="preserve">of households </w:t>
      </w:r>
      <w:r w:rsidRPr="00711E28">
        <w:rPr>
          <w:rFonts w:ascii="Arial" w:hAnsi="Arial" w:cs="Arial"/>
          <w:i/>
          <w:iCs/>
          <w:sz w:val="20"/>
          <w:lang w:val="en-GB"/>
        </w:rPr>
        <w:t>by</w:t>
      </w:r>
      <w:r w:rsidR="000A6424">
        <w:rPr>
          <w:rFonts w:ascii="Arial" w:hAnsi="Arial" w:cs="Arial"/>
          <w:i/>
          <w:iCs/>
          <w:sz w:val="20"/>
          <w:lang w:val="en-GB"/>
        </w:rPr>
        <w:t xml:space="preserve"> activity status of</w:t>
      </w:r>
      <w:r w:rsidRPr="00711E28">
        <w:rPr>
          <w:rFonts w:ascii="Arial" w:hAnsi="Arial" w:cs="Arial"/>
          <w:i/>
          <w:iCs/>
          <w:sz w:val="20"/>
          <w:lang w:val="en-GB"/>
        </w:rPr>
        <w:t xml:space="preserve"> </w:t>
      </w:r>
      <w:r w:rsidR="00D11436" w:rsidRPr="00711E28">
        <w:rPr>
          <w:rFonts w:ascii="Arial" w:hAnsi="Arial" w:cs="Arial"/>
          <w:i/>
          <w:iCs/>
          <w:sz w:val="20"/>
          <w:lang w:val="en-GB"/>
        </w:rPr>
        <w:t xml:space="preserve">the </w:t>
      </w:r>
      <w:r w:rsidRPr="00711E28">
        <w:rPr>
          <w:rFonts w:ascii="Arial" w:hAnsi="Arial" w:cs="Arial"/>
          <w:b/>
          <w:bCs/>
          <w:i/>
          <w:iCs/>
          <w:sz w:val="20"/>
          <w:lang w:val="en-GB"/>
        </w:rPr>
        <w:t>head of household:</w:t>
      </w:r>
    </w:p>
    <w:p w:rsidR="00FC7562" w:rsidRPr="00711E28" w:rsidRDefault="00FC7562">
      <w:pPr>
        <w:jc w:val="both"/>
        <w:rPr>
          <w:rFonts w:ascii="Arial" w:hAnsi="Arial" w:cs="Arial"/>
          <w:i/>
          <w:iCs/>
          <w:sz w:val="20"/>
          <w:lang w:val="en-GB"/>
        </w:rPr>
      </w:pPr>
    </w:p>
    <w:p w:rsidR="00FC7562" w:rsidRPr="00711E28" w:rsidRDefault="00FC7562" w:rsidP="00BE6665">
      <w:pPr>
        <w:pStyle w:val="Zkladntext2"/>
        <w:spacing w:line="240" w:lineRule="auto"/>
        <w:ind w:firstLine="708"/>
        <w:rPr>
          <w:rFonts w:cs="Arial"/>
          <w:i/>
          <w:iCs/>
          <w:lang w:val="en-GB"/>
        </w:rPr>
      </w:pPr>
      <w:r w:rsidRPr="00711E28">
        <w:rPr>
          <w:rFonts w:cs="Arial"/>
          <w:b/>
          <w:bCs/>
          <w:i/>
          <w:iCs/>
          <w:lang w:val="en-GB"/>
        </w:rPr>
        <w:t>Households</w:t>
      </w:r>
      <w:r w:rsidR="004A6ACE" w:rsidRPr="00711E28">
        <w:rPr>
          <w:rFonts w:cs="Arial"/>
          <w:b/>
          <w:bCs/>
          <w:i/>
          <w:iCs/>
          <w:lang w:val="en-GB"/>
        </w:rPr>
        <w:t>,</w:t>
      </w:r>
      <w:r w:rsidRPr="00711E28">
        <w:rPr>
          <w:rFonts w:cs="Arial"/>
          <w:b/>
          <w:bCs/>
          <w:i/>
          <w:iCs/>
          <w:lang w:val="en-GB"/>
        </w:rPr>
        <w:t xml:space="preserve"> total</w:t>
      </w:r>
      <w:r w:rsidR="001D2A66" w:rsidRPr="00711E28">
        <w:rPr>
          <w:rFonts w:cs="Arial"/>
          <w:i/>
          <w:iCs/>
          <w:lang w:val="en-GB"/>
        </w:rPr>
        <w:t xml:space="preserve"> </w:t>
      </w:r>
      <w:r w:rsidRPr="00711E28">
        <w:rPr>
          <w:rFonts w:cs="Arial"/>
          <w:i/>
          <w:iCs/>
          <w:lang w:val="en-GB"/>
        </w:rPr>
        <w:t xml:space="preserve">represent </w:t>
      </w:r>
      <w:r w:rsidR="00427BE1">
        <w:rPr>
          <w:rFonts w:cs="Arial"/>
          <w:i/>
          <w:iCs/>
          <w:lang w:val="en-GB"/>
        </w:rPr>
        <w:t>the</w:t>
      </w:r>
      <w:r w:rsidR="00427BE1" w:rsidRPr="00711E28">
        <w:rPr>
          <w:rFonts w:cs="Arial"/>
          <w:i/>
          <w:iCs/>
          <w:lang w:val="en-GB"/>
        </w:rPr>
        <w:t xml:space="preserve"> </w:t>
      </w:r>
      <w:r w:rsidRPr="00711E28">
        <w:rPr>
          <w:rFonts w:cs="Arial"/>
          <w:i/>
          <w:iCs/>
          <w:lang w:val="en-GB"/>
        </w:rPr>
        <w:t>average household</w:t>
      </w:r>
      <w:r w:rsidR="008F4817">
        <w:rPr>
          <w:rFonts w:cs="Arial"/>
          <w:i/>
          <w:iCs/>
          <w:lang w:val="en-GB"/>
        </w:rPr>
        <w:t xml:space="preserve"> in the Czech Republic</w:t>
      </w:r>
      <w:r w:rsidRPr="00711E28">
        <w:rPr>
          <w:rFonts w:cs="Arial"/>
          <w:i/>
          <w:iCs/>
          <w:lang w:val="en-GB"/>
        </w:rPr>
        <w:t>.</w:t>
      </w:r>
    </w:p>
    <w:p w:rsidR="00FC7562" w:rsidRPr="00711E28" w:rsidRDefault="00FC7562">
      <w:pPr>
        <w:pStyle w:val="Zkladntext2"/>
        <w:spacing w:line="240" w:lineRule="auto"/>
        <w:rPr>
          <w:rFonts w:cs="Arial"/>
          <w:i/>
          <w:iCs/>
          <w:lang w:val="en-GB"/>
        </w:rPr>
      </w:pPr>
    </w:p>
    <w:p w:rsidR="00FC7562" w:rsidRPr="00711E28" w:rsidRDefault="004A6ACE" w:rsidP="00BE6665">
      <w:pPr>
        <w:pStyle w:val="Zkladntext2"/>
        <w:spacing w:line="240" w:lineRule="auto"/>
        <w:ind w:firstLine="708"/>
        <w:rPr>
          <w:rFonts w:cs="Arial"/>
          <w:i/>
          <w:iCs/>
          <w:lang w:val="en-GB"/>
        </w:rPr>
      </w:pPr>
      <w:r w:rsidRPr="00711E28">
        <w:rPr>
          <w:rFonts w:cs="Arial"/>
          <w:b/>
          <w:bCs/>
          <w:i/>
          <w:iCs/>
          <w:lang w:val="en-GB"/>
        </w:rPr>
        <w:t>Employee households</w:t>
      </w:r>
      <w:r w:rsidR="00FC7562" w:rsidRPr="00711E28">
        <w:rPr>
          <w:rFonts w:cs="Arial"/>
          <w:b/>
          <w:bCs/>
          <w:i/>
          <w:iCs/>
          <w:lang w:val="en-GB"/>
        </w:rPr>
        <w:t>:</w:t>
      </w:r>
      <w:r w:rsidR="00FC7562" w:rsidRPr="00711E28">
        <w:rPr>
          <w:rFonts w:cs="Arial"/>
          <w:i/>
          <w:iCs/>
          <w:lang w:val="en-GB"/>
        </w:rPr>
        <w:t xml:space="preserve"> </w:t>
      </w:r>
      <w:r w:rsidR="001D2A66" w:rsidRPr="00711E28">
        <w:rPr>
          <w:rFonts w:cs="Arial"/>
          <w:i/>
          <w:iCs/>
          <w:lang w:val="en-GB"/>
        </w:rPr>
        <w:t xml:space="preserve">The </w:t>
      </w:r>
      <w:r w:rsidR="00FC7562" w:rsidRPr="00711E28">
        <w:rPr>
          <w:rFonts w:cs="Arial"/>
          <w:i/>
          <w:iCs/>
          <w:lang w:val="en-GB"/>
        </w:rPr>
        <w:t>head of household is in employment</w:t>
      </w:r>
      <w:r w:rsidR="00B534A8" w:rsidRPr="00711E28">
        <w:rPr>
          <w:rFonts w:cs="Arial"/>
          <w:i/>
          <w:iCs/>
          <w:lang w:val="en-GB"/>
        </w:rPr>
        <w:t xml:space="preserve"> or service relations</w:t>
      </w:r>
      <w:r w:rsidR="00FC7562" w:rsidRPr="00711E28">
        <w:rPr>
          <w:rFonts w:cs="Arial"/>
          <w:i/>
          <w:iCs/>
          <w:lang w:val="en-GB"/>
        </w:rPr>
        <w:t xml:space="preserve"> under </w:t>
      </w:r>
      <w:r w:rsidR="00B534A8" w:rsidRPr="00711E28">
        <w:rPr>
          <w:rFonts w:cs="Arial"/>
          <w:i/>
          <w:iCs/>
          <w:lang w:val="en-GB"/>
        </w:rPr>
        <w:t xml:space="preserve">employment </w:t>
      </w:r>
      <w:r w:rsidR="00FC7562" w:rsidRPr="00711E28">
        <w:rPr>
          <w:rFonts w:cs="Arial"/>
          <w:i/>
          <w:iCs/>
          <w:lang w:val="en-GB"/>
        </w:rPr>
        <w:t>contract, contract for work</w:t>
      </w:r>
      <w:r w:rsidRPr="00711E28">
        <w:rPr>
          <w:rFonts w:cs="Arial"/>
          <w:i/>
          <w:iCs/>
          <w:lang w:val="en-GB"/>
        </w:rPr>
        <w:t>,</w:t>
      </w:r>
      <w:r w:rsidR="00FC7562" w:rsidRPr="00711E28">
        <w:rPr>
          <w:rFonts w:cs="Arial"/>
          <w:i/>
          <w:iCs/>
          <w:lang w:val="en-GB"/>
        </w:rPr>
        <w:t xml:space="preserve"> or contract for services.</w:t>
      </w:r>
    </w:p>
    <w:p w:rsidR="00FC7562" w:rsidRPr="00711E28" w:rsidRDefault="00FC7562">
      <w:pPr>
        <w:pStyle w:val="Zkladntext2"/>
        <w:spacing w:line="240" w:lineRule="auto"/>
        <w:ind w:firstLine="708"/>
        <w:rPr>
          <w:rFonts w:cs="Arial"/>
          <w:i/>
          <w:iCs/>
          <w:lang w:val="en-GB"/>
        </w:rPr>
      </w:pPr>
    </w:p>
    <w:p w:rsidR="00FC7562" w:rsidRPr="00711E28" w:rsidRDefault="004A6ACE" w:rsidP="00BE6665">
      <w:pPr>
        <w:pStyle w:val="Zkladntext2"/>
        <w:spacing w:line="240" w:lineRule="auto"/>
        <w:ind w:firstLine="708"/>
        <w:rPr>
          <w:rFonts w:cs="Arial"/>
          <w:i/>
          <w:iCs/>
          <w:lang w:val="en-GB"/>
        </w:rPr>
      </w:pPr>
      <w:r w:rsidRPr="00711E28">
        <w:rPr>
          <w:rFonts w:cs="Arial"/>
          <w:b/>
          <w:bCs/>
          <w:i/>
          <w:iCs/>
          <w:lang w:val="en-GB"/>
        </w:rPr>
        <w:t>Self-employed households</w:t>
      </w:r>
      <w:r w:rsidR="00FC7562" w:rsidRPr="00711E28">
        <w:rPr>
          <w:rFonts w:cs="Arial"/>
          <w:i/>
          <w:iCs/>
          <w:lang w:val="en-GB"/>
        </w:rPr>
        <w:t>:</w:t>
      </w:r>
      <w:r w:rsidR="00FC7562" w:rsidRPr="00711E28">
        <w:rPr>
          <w:rFonts w:cs="Arial"/>
          <w:bCs/>
          <w:i/>
          <w:iCs/>
          <w:lang w:val="en-GB"/>
        </w:rPr>
        <w:t xml:space="preserve"> </w:t>
      </w:r>
      <w:r w:rsidR="001D2A66" w:rsidRPr="00711E28">
        <w:rPr>
          <w:rFonts w:cs="Arial"/>
          <w:bCs/>
          <w:i/>
          <w:iCs/>
          <w:lang w:val="en-GB"/>
        </w:rPr>
        <w:t>The</w:t>
      </w:r>
      <w:r w:rsidR="001D2A66" w:rsidRPr="00711E28">
        <w:rPr>
          <w:rFonts w:cs="Arial"/>
          <w:b/>
          <w:bCs/>
          <w:i/>
          <w:iCs/>
          <w:lang w:val="en-GB"/>
        </w:rPr>
        <w:t xml:space="preserve"> </w:t>
      </w:r>
      <w:r w:rsidR="00FC7562" w:rsidRPr="00711E28">
        <w:rPr>
          <w:rFonts w:cs="Arial"/>
          <w:i/>
          <w:iCs/>
          <w:lang w:val="en-GB"/>
        </w:rPr>
        <w:t xml:space="preserve">head of household is a self-employed person, i.e. </w:t>
      </w:r>
      <w:r w:rsidR="00E12427">
        <w:rPr>
          <w:rFonts w:cs="Arial"/>
          <w:i/>
          <w:iCs/>
          <w:lang w:val="en-GB"/>
        </w:rPr>
        <w:t xml:space="preserve">a </w:t>
      </w:r>
      <w:r w:rsidR="00FC7562" w:rsidRPr="00711E28">
        <w:rPr>
          <w:rFonts w:cs="Arial"/>
          <w:i/>
          <w:iCs/>
          <w:lang w:val="en-GB"/>
        </w:rPr>
        <w:t xml:space="preserve">person undertaking </w:t>
      </w:r>
      <w:r w:rsidRPr="00711E28">
        <w:rPr>
          <w:rFonts w:cs="Arial"/>
          <w:i/>
          <w:iCs/>
          <w:lang w:val="en-GB"/>
        </w:rPr>
        <w:t xml:space="preserve">independent </w:t>
      </w:r>
      <w:r w:rsidR="00FC7562" w:rsidRPr="00711E28">
        <w:rPr>
          <w:rFonts w:cs="Arial"/>
          <w:i/>
          <w:iCs/>
          <w:lang w:val="en-GB"/>
        </w:rPr>
        <w:t xml:space="preserve">business in any branch. </w:t>
      </w:r>
    </w:p>
    <w:p w:rsidR="00FC7562" w:rsidRPr="00711E28" w:rsidRDefault="00FC7562">
      <w:pPr>
        <w:pStyle w:val="Zkladntext2"/>
        <w:spacing w:line="240" w:lineRule="auto"/>
        <w:rPr>
          <w:rFonts w:cs="Arial"/>
          <w:i/>
          <w:iCs/>
          <w:lang w:val="en-GB"/>
        </w:rPr>
      </w:pPr>
    </w:p>
    <w:p w:rsidR="00FC7562" w:rsidRPr="00711E28" w:rsidRDefault="00FC7562" w:rsidP="00BE6665">
      <w:pPr>
        <w:pStyle w:val="Zkladntext2"/>
        <w:spacing w:line="240" w:lineRule="auto"/>
        <w:ind w:firstLine="708"/>
        <w:rPr>
          <w:rFonts w:cs="Arial"/>
          <w:i/>
          <w:iCs/>
          <w:lang w:val="en-GB"/>
        </w:rPr>
      </w:pPr>
      <w:r w:rsidRPr="00711E28">
        <w:rPr>
          <w:rFonts w:cs="Arial"/>
          <w:b/>
          <w:bCs/>
          <w:i/>
          <w:iCs/>
          <w:lang w:val="en-GB"/>
        </w:rPr>
        <w:t>Pensioner households without economically active members:</w:t>
      </w:r>
      <w:r w:rsidRPr="00711E28">
        <w:rPr>
          <w:rFonts w:cs="Arial"/>
          <w:i/>
          <w:iCs/>
          <w:lang w:val="en-GB"/>
        </w:rPr>
        <w:t xml:space="preserve"> </w:t>
      </w:r>
      <w:r w:rsidR="001D2A66" w:rsidRPr="00711E28">
        <w:rPr>
          <w:rFonts w:cs="Arial"/>
          <w:i/>
          <w:iCs/>
          <w:lang w:val="en-GB"/>
        </w:rPr>
        <w:t xml:space="preserve">The </w:t>
      </w:r>
      <w:r w:rsidRPr="00711E28">
        <w:rPr>
          <w:rFonts w:cs="Arial"/>
          <w:i/>
          <w:iCs/>
          <w:lang w:val="en-GB"/>
        </w:rPr>
        <w:t xml:space="preserve">head of household </w:t>
      </w:r>
      <w:r w:rsidR="00E12427">
        <w:rPr>
          <w:rFonts w:cs="Arial"/>
          <w:i/>
          <w:iCs/>
          <w:lang w:val="en-GB"/>
        </w:rPr>
        <w:t>receives a</w:t>
      </w:r>
      <w:r w:rsidR="00E12427" w:rsidRPr="00711E28">
        <w:rPr>
          <w:rFonts w:cs="Arial"/>
          <w:i/>
          <w:iCs/>
          <w:lang w:val="en-GB"/>
        </w:rPr>
        <w:t xml:space="preserve"> </w:t>
      </w:r>
      <w:r w:rsidRPr="00711E28">
        <w:rPr>
          <w:rFonts w:cs="Arial"/>
          <w:i/>
          <w:iCs/>
          <w:lang w:val="en-GB"/>
        </w:rPr>
        <w:t xml:space="preserve">pension and does not work either at all or his/her economic activity is </w:t>
      </w:r>
      <w:r w:rsidR="00334129">
        <w:rPr>
          <w:rFonts w:cs="Arial"/>
          <w:i/>
          <w:iCs/>
          <w:lang w:val="en-GB"/>
        </w:rPr>
        <w:t>very limited</w:t>
      </w:r>
      <w:r w:rsidRPr="00711E28">
        <w:rPr>
          <w:rFonts w:cs="Arial"/>
          <w:i/>
          <w:iCs/>
          <w:lang w:val="en-GB"/>
        </w:rPr>
        <w:t xml:space="preserve">. The same condition applies also to other members of </w:t>
      </w:r>
      <w:r w:rsidR="004A6ACE" w:rsidRPr="00711E28">
        <w:rPr>
          <w:rFonts w:cs="Arial"/>
          <w:i/>
          <w:iCs/>
          <w:lang w:val="en-GB"/>
        </w:rPr>
        <w:t xml:space="preserve">the </w:t>
      </w:r>
      <w:r w:rsidRPr="00711E28">
        <w:rPr>
          <w:rFonts w:cs="Arial"/>
          <w:i/>
          <w:iCs/>
          <w:lang w:val="en-GB"/>
        </w:rPr>
        <w:t xml:space="preserve">household. </w:t>
      </w:r>
    </w:p>
    <w:p w:rsidR="00FC7562" w:rsidRPr="00711E28" w:rsidRDefault="00FC7562">
      <w:pPr>
        <w:pStyle w:val="Zkladntext2"/>
        <w:spacing w:line="240" w:lineRule="auto"/>
        <w:rPr>
          <w:rFonts w:cs="Arial"/>
          <w:i/>
          <w:iCs/>
          <w:lang w:val="en-GB"/>
        </w:rPr>
      </w:pPr>
    </w:p>
    <w:p w:rsidR="00FC7562" w:rsidRPr="00711E28" w:rsidRDefault="004A6ACE" w:rsidP="00BE6665">
      <w:pPr>
        <w:pStyle w:val="Zkladntext2"/>
        <w:spacing w:line="240" w:lineRule="auto"/>
        <w:ind w:firstLine="708"/>
        <w:rPr>
          <w:rFonts w:cs="Arial"/>
          <w:i/>
          <w:iCs/>
          <w:lang w:val="en-GB"/>
        </w:rPr>
      </w:pPr>
      <w:r w:rsidRPr="00711E28">
        <w:rPr>
          <w:rFonts w:cs="Arial"/>
          <w:b/>
          <w:bCs/>
          <w:i/>
          <w:iCs/>
          <w:lang w:val="en-GB"/>
        </w:rPr>
        <w:t>Unemployed households</w:t>
      </w:r>
      <w:r w:rsidR="00FC7562" w:rsidRPr="00711E28">
        <w:rPr>
          <w:rFonts w:cs="Arial"/>
          <w:b/>
          <w:bCs/>
          <w:i/>
          <w:iCs/>
          <w:lang w:val="en-GB"/>
        </w:rPr>
        <w:t xml:space="preserve">: </w:t>
      </w:r>
      <w:r w:rsidR="001D2A66" w:rsidRPr="00711E28">
        <w:rPr>
          <w:rFonts w:cs="Arial"/>
          <w:bCs/>
          <w:i/>
          <w:iCs/>
          <w:lang w:val="en-GB"/>
        </w:rPr>
        <w:t xml:space="preserve">The </w:t>
      </w:r>
      <w:r w:rsidR="00FC7562" w:rsidRPr="00711E28">
        <w:rPr>
          <w:rFonts w:cs="Arial"/>
          <w:i/>
          <w:iCs/>
          <w:lang w:val="en-GB"/>
        </w:rPr>
        <w:t xml:space="preserve">head of household is an unemployed person irrespective of whether </w:t>
      </w:r>
      <w:r w:rsidR="000F0A0C" w:rsidRPr="00711E28">
        <w:rPr>
          <w:rFonts w:cs="Arial"/>
          <w:i/>
          <w:iCs/>
          <w:lang w:val="en-GB"/>
        </w:rPr>
        <w:t xml:space="preserve">he/she </w:t>
      </w:r>
      <w:r w:rsidR="00816BB1">
        <w:rPr>
          <w:rFonts w:cs="Arial"/>
          <w:i/>
          <w:iCs/>
          <w:lang w:val="en-GB"/>
        </w:rPr>
        <w:t>is receiving</w:t>
      </w:r>
      <w:r w:rsidR="000F0A0C" w:rsidRPr="00711E28">
        <w:rPr>
          <w:rFonts w:cs="Arial"/>
          <w:i/>
          <w:iCs/>
          <w:lang w:val="en-GB"/>
        </w:rPr>
        <w:t xml:space="preserve"> </w:t>
      </w:r>
      <w:r w:rsidR="009A1513" w:rsidRPr="00711E28">
        <w:rPr>
          <w:rFonts w:cs="Arial"/>
          <w:i/>
          <w:iCs/>
          <w:lang w:val="en-GB"/>
        </w:rPr>
        <w:t>unemployment benefit</w:t>
      </w:r>
      <w:r w:rsidR="000F0A0C" w:rsidRPr="00711E28">
        <w:rPr>
          <w:rFonts w:cs="Arial"/>
          <w:i/>
          <w:iCs/>
          <w:lang w:val="en-GB"/>
        </w:rPr>
        <w:t xml:space="preserve"> </w:t>
      </w:r>
      <w:r w:rsidR="00FC7562" w:rsidRPr="00711E28">
        <w:rPr>
          <w:rFonts w:cs="Arial"/>
          <w:i/>
          <w:iCs/>
          <w:lang w:val="en-GB"/>
        </w:rPr>
        <w:t>or not.</w:t>
      </w:r>
    </w:p>
    <w:p w:rsidR="00FC7562" w:rsidRPr="00711E28" w:rsidRDefault="00FC7562">
      <w:pPr>
        <w:pStyle w:val="Zkladntext2"/>
        <w:spacing w:line="240" w:lineRule="auto"/>
        <w:rPr>
          <w:rFonts w:cs="Arial"/>
          <w:i/>
          <w:iCs/>
          <w:lang w:val="en-GB"/>
        </w:rPr>
      </w:pPr>
    </w:p>
    <w:p w:rsidR="007570CE" w:rsidRDefault="007570CE" w:rsidP="007570CE">
      <w:pPr>
        <w:pStyle w:val="Zkladntext2"/>
        <w:spacing w:line="240" w:lineRule="auto"/>
        <w:rPr>
          <w:rFonts w:cs="Arial"/>
          <w:i/>
          <w:iCs/>
          <w:lang w:val="en-GB"/>
        </w:rPr>
      </w:pPr>
      <w:r>
        <w:rPr>
          <w:rFonts w:cs="Arial"/>
          <w:bCs/>
          <w:i/>
          <w:iCs/>
          <w:szCs w:val="17"/>
          <w:lang w:val="en-GB"/>
        </w:rPr>
        <w:t>The </w:t>
      </w:r>
      <w:r>
        <w:rPr>
          <w:rFonts w:cs="Arial"/>
          <w:b/>
          <w:bCs/>
          <w:i/>
          <w:iCs/>
          <w:szCs w:val="17"/>
          <w:lang w:val="en-GB"/>
        </w:rPr>
        <w:t>dependent child</w:t>
      </w:r>
      <w:r>
        <w:rPr>
          <w:rFonts w:cs="Arial"/>
          <w:bCs/>
          <w:i/>
          <w:iCs/>
          <w:szCs w:val="17"/>
          <w:lang w:val="en-GB"/>
        </w:rPr>
        <w:t xml:space="preserve"> </w:t>
      </w:r>
      <w:r>
        <w:rPr>
          <w:rFonts w:cs="Arial"/>
          <w:i/>
          <w:iCs/>
          <w:szCs w:val="17"/>
          <w:lang w:val="en-GB"/>
        </w:rPr>
        <w:t>is a child till the finish of his/her compulsory school attendance and then a child, who is in a systematic schooling or training for his/her future occupation, however, till the age of 26 years, at the latest</w:t>
      </w:r>
      <w:r w:rsidR="003818BD">
        <w:rPr>
          <w:rFonts w:cs="Arial"/>
          <w:i/>
          <w:iCs/>
          <w:szCs w:val="17"/>
          <w:lang w:val="en-GB"/>
        </w:rPr>
        <w:t xml:space="preserve"> despite he/she has his/her own income </w:t>
      </w:r>
      <w:r w:rsidR="003818BD" w:rsidRPr="00B20073">
        <w:rPr>
          <w:rFonts w:cs="Arial"/>
          <w:i/>
          <w:iCs/>
          <w:szCs w:val="17"/>
          <w:lang w:val="en-GB"/>
        </w:rPr>
        <w:t>(</w:t>
      </w:r>
      <w:r w:rsidR="00B20073" w:rsidRPr="00E805ED">
        <w:rPr>
          <w:rFonts w:cs="Arial"/>
          <w:i/>
          <w:iCs/>
          <w:szCs w:val="17"/>
          <w:lang w:val="en-GB"/>
        </w:rPr>
        <w:t>orphan</w:t>
      </w:r>
      <w:r w:rsidR="00B20073" w:rsidRPr="00E805ED">
        <w:rPr>
          <w:rFonts w:cs="Arial" w:hint="eastAsia"/>
          <w:i/>
          <w:iCs/>
          <w:szCs w:val="17"/>
          <w:lang w:val="en-GB"/>
        </w:rPr>
        <w:t>’</w:t>
      </w:r>
      <w:r w:rsidR="00B20073" w:rsidRPr="00E805ED">
        <w:rPr>
          <w:rFonts w:cs="Arial"/>
          <w:i/>
          <w:iCs/>
          <w:szCs w:val="17"/>
          <w:lang w:val="en-GB"/>
        </w:rPr>
        <w:t>s pension</w:t>
      </w:r>
      <w:r w:rsidR="003818BD" w:rsidRPr="00E805ED">
        <w:rPr>
          <w:rFonts w:cs="Arial"/>
          <w:i/>
          <w:iCs/>
          <w:szCs w:val="17"/>
          <w:lang w:val="en-GB"/>
        </w:rPr>
        <w:t>, s</w:t>
      </w:r>
      <w:r w:rsidR="00E805ED" w:rsidRPr="00E805ED">
        <w:rPr>
          <w:rFonts w:cs="Arial"/>
          <w:i/>
          <w:iCs/>
          <w:szCs w:val="17"/>
          <w:lang w:val="en-GB"/>
        </w:rPr>
        <w:t>cholarship</w:t>
      </w:r>
      <w:r w:rsidR="003818BD" w:rsidRPr="00E805ED">
        <w:rPr>
          <w:rFonts w:cs="Arial"/>
          <w:i/>
          <w:iCs/>
          <w:szCs w:val="17"/>
          <w:lang w:val="en-GB"/>
        </w:rPr>
        <w:t xml:space="preserve">, social benefits, income </w:t>
      </w:r>
      <w:r w:rsidR="003818BD" w:rsidRPr="00334115">
        <w:rPr>
          <w:rFonts w:cs="Arial"/>
          <w:i/>
          <w:iCs/>
          <w:szCs w:val="17"/>
          <w:lang w:val="en-GB"/>
        </w:rPr>
        <w:t xml:space="preserve">from short-term </w:t>
      </w:r>
      <w:r w:rsidR="00334115" w:rsidRPr="00334115">
        <w:rPr>
          <w:rFonts w:cs="Arial"/>
          <w:i/>
          <w:iCs/>
          <w:szCs w:val="17"/>
          <w:lang w:val="en-GB"/>
        </w:rPr>
        <w:t>work activities</w:t>
      </w:r>
      <w:r w:rsidR="003818BD" w:rsidRPr="00334115">
        <w:rPr>
          <w:rFonts w:cs="Arial"/>
          <w:i/>
          <w:iCs/>
          <w:szCs w:val="17"/>
          <w:lang w:val="en-GB"/>
        </w:rPr>
        <w:t>)</w:t>
      </w:r>
      <w:r w:rsidRPr="00334115">
        <w:rPr>
          <w:rFonts w:cs="Arial"/>
          <w:i/>
          <w:iCs/>
          <w:szCs w:val="17"/>
          <w:lang w:val="en-GB"/>
        </w:rPr>
        <w:t xml:space="preserve"> or who is unable to undergo such schooling or training due to </w:t>
      </w:r>
      <w:r w:rsidR="003949AA" w:rsidRPr="00334115">
        <w:rPr>
          <w:rFonts w:cs="Arial"/>
          <w:i/>
          <w:iCs/>
          <w:szCs w:val="17"/>
          <w:lang w:val="en-GB"/>
        </w:rPr>
        <w:t>adverse mental or physical health condition</w:t>
      </w:r>
      <w:r>
        <w:rPr>
          <w:rFonts w:cs="Arial"/>
          <w:i/>
          <w:iCs/>
          <w:szCs w:val="17"/>
          <w:lang w:val="en-GB"/>
        </w:rPr>
        <w:t xml:space="preserve">, or </w:t>
      </w:r>
      <w:r w:rsidR="000E2142">
        <w:rPr>
          <w:rFonts w:cs="Arial"/>
          <w:i/>
          <w:iCs/>
          <w:szCs w:val="17"/>
          <w:lang w:val="en-GB"/>
        </w:rPr>
        <w:t>is unable</w:t>
      </w:r>
      <w:r w:rsidR="00722516">
        <w:rPr>
          <w:rFonts w:cs="Arial"/>
          <w:i/>
          <w:iCs/>
          <w:szCs w:val="17"/>
          <w:lang w:val="en-GB"/>
        </w:rPr>
        <w:t xml:space="preserve"> to earn his/her living and not receiving his/</w:t>
      </w:r>
      <w:r w:rsidR="00722516" w:rsidRPr="00E44442">
        <w:rPr>
          <w:rFonts w:cs="Arial"/>
          <w:i/>
          <w:iCs/>
          <w:szCs w:val="17"/>
          <w:lang w:val="en-GB"/>
        </w:rPr>
        <w:t xml:space="preserve">her </w:t>
      </w:r>
      <w:r w:rsidR="00E44442" w:rsidRPr="00E44442">
        <w:rPr>
          <w:rFonts w:cs="Arial"/>
          <w:i/>
          <w:iCs/>
          <w:szCs w:val="17"/>
          <w:lang w:val="en-GB"/>
        </w:rPr>
        <w:t xml:space="preserve">disability </w:t>
      </w:r>
      <w:r w:rsidR="00722516" w:rsidRPr="00E44442">
        <w:rPr>
          <w:rFonts w:cs="Arial"/>
          <w:i/>
          <w:iCs/>
          <w:szCs w:val="17"/>
          <w:lang w:val="en-GB"/>
        </w:rPr>
        <w:t>pension, yet.</w:t>
      </w:r>
      <w:r w:rsidR="00722516">
        <w:rPr>
          <w:rFonts w:cs="Arial"/>
          <w:i/>
          <w:iCs/>
          <w:szCs w:val="17"/>
          <w:lang w:val="en-GB"/>
        </w:rPr>
        <w:t xml:space="preserve"> </w:t>
      </w:r>
    </w:p>
    <w:p w:rsidR="00722516" w:rsidRPr="00334115" w:rsidRDefault="00FA1AFC" w:rsidP="00334115">
      <w:pPr>
        <w:pStyle w:val="Zkladntext2"/>
        <w:spacing w:line="240" w:lineRule="auto"/>
        <w:rPr>
          <w:rFonts w:cs="Arial"/>
          <w:i/>
          <w:iCs/>
          <w:lang w:val="en-GB"/>
        </w:rPr>
      </w:pPr>
      <w:r>
        <w:rPr>
          <w:rFonts w:cs="Arial"/>
          <w:i/>
          <w:iCs/>
          <w:lang w:val="en-GB"/>
        </w:rPr>
        <w:t xml:space="preserve"> </w:t>
      </w:r>
    </w:p>
    <w:p w:rsidR="00FC7562" w:rsidRPr="00722516" w:rsidRDefault="00FC7562">
      <w:pPr>
        <w:pStyle w:val="Zkladntext2"/>
        <w:spacing w:line="240" w:lineRule="auto"/>
        <w:rPr>
          <w:rFonts w:cs="Arial"/>
          <w:i/>
          <w:iCs/>
        </w:rPr>
      </w:pPr>
    </w:p>
    <w:p w:rsidR="00FC7562" w:rsidRPr="00711E28" w:rsidRDefault="00192185">
      <w:pPr>
        <w:pStyle w:val="Zkladntext2"/>
        <w:spacing w:line="240" w:lineRule="auto"/>
        <w:rPr>
          <w:rFonts w:cs="Arial"/>
          <w:i/>
          <w:iCs/>
          <w:lang w:val="en-GB"/>
        </w:rPr>
      </w:pPr>
      <w:r w:rsidRPr="00711E28">
        <w:rPr>
          <w:rFonts w:cs="Arial"/>
          <w:b/>
          <w:bCs/>
          <w:i/>
          <w:iCs/>
          <w:lang w:val="en-GB"/>
        </w:rPr>
        <w:t xml:space="preserve">Working persons </w:t>
      </w:r>
      <w:r w:rsidRPr="00711E28">
        <w:rPr>
          <w:rFonts w:cs="Arial"/>
          <w:bCs/>
          <w:i/>
          <w:iCs/>
          <w:lang w:val="en-GB"/>
        </w:rPr>
        <w:t xml:space="preserve">are persons, who were in paid employment (employees) or self-employment (own-account workers, family workers) all the year, or most of the year. This also includes persons </w:t>
      </w:r>
      <w:r w:rsidR="00A54330">
        <w:rPr>
          <w:rFonts w:cs="Arial"/>
          <w:bCs/>
          <w:i/>
          <w:iCs/>
          <w:lang w:val="en-GB"/>
        </w:rPr>
        <w:t>who have</w:t>
      </w:r>
      <w:r w:rsidR="00A54330" w:rsidRPr="00711E28">
        <w:rPr>
          <w:rFonts w:cs="Arial"/>
          <w:bCs/>
          <w:i/>
          <w:iCs/>
          <w:lang w:val="en-GB"/>
        </w:rPr>
        <w:t xml:space="preserve"> </w:t>
      </w:r>
      <w:r w:rsidRPr="00711E28">
        <w:rPr>
          <w:rFonts w:cs="Arial"/>
          <w:bCs/>
          <w:i/>
          <w:iCs/>
          <w:lang w:val="en-GB"/>
        </w:rPr>
        <w:t xml:space="preserve">regular </w:t>
      </w:r>
      <w:r w:rsidRPr="00C73AD2">
        <w:rPr>
          <w:rFonts w:cs="Arial"/>
          <w:bCs/>
          <w:i/>
          <w:iCs/>
          <w:lang w:val="en-GB"/>
        </w:rPr>
        <w:t xml:space="preserve">income from employment or self-employment, </w:t>
      </w:r>
      <w:r w:rsidR="00A54330">
        <w:rPr>
          <w:rFonts w:cs="Arial"/>
          <w:bCs/>
          <w:i/>
          <w:iCs/>
          <w:lang w:val="en-GB"/>
        </w:rPr>
        <w:t xml:space="preserve">are </w:t>
      </w:r>
      <w:r w:rsidRPr="00C73AD2">
        <w:rPr>
          <w:rFonts w:cs="Arial"/>
          <w:bCs/>
          <w:i/>
          <w:iCs/>
          <w:lang w:val="en-GB"/>
        </w:rPr>
        <w:t>studying, receiving pension or parental benefits</w:t>
      </w:r>
      <w:r w:rsidR="00A54330">
        <w:rPr>
          <w:rFonts w:cs="Arial"/>
          <w:bCs/>
          <w:i/>
          <w:iCs/>
          <w:lang w:val="en-GB"/>
        </w:rPr>
        <w:t xml:space="preserve"> at the same time</w:t>
      </w:r>
      <w:r w:rsidRPr="00C73AD2">
        <w:rPr>
          <w:rFonts w:cs="Arial"/>
          <w:bCs/>
          <w:i/>
          <w:iCs/>
          <w:lang w:val="en-GB"/>
        </w:rPr>
        <w:t xml:space="preserve">. </w:t>
      </w:r>
      <w:r w:rsidR="00982342" w:rsidRPr="00C73AD2">
        <w:rPr>
          <w:rFonts w:cs="Arial"/>
          <w:i/>
          <w:iCs/>
          <w:lang w:val="en-GB"/>
        </w:rPr>
        <w:t>Persons,</w:t>
      </w:r>
      <w:r w:rsidR="005414F9" w:rsidRPr="00C73AD2">
        <w:rPr>
          <w:rFonts w:cs="Arial"/>
          <w:i/>
          <w:iCs/>
          <w:lang w:val="en-GB"/>
        </w:rPr>
        <w:t xml:space="preserve"> </w:t>
      </w:r>
      <w:r w:rsidR="00FC7562" w:rsidRPr="00C73AD2">
        <w:rPr>
          <w:rFonts w:cs="Arial"/>
          <w:i/>
          <w:iCs/>
          <w:lang w:val="en-GB"/>
        </w:rPr>
        <w:t>who</w:t>
      </w:r>
      <w:r w:rsidR="00FC7562" w:rsidRPr="00711E28">
        <w:rPr>
          <w:rFonts w:cs="Arial"/>
          <w:i/>
          <w:iCs/>
          <w:lang w:val="en-GB"/>
        </w:rPr>
        <w:t xml:space="preserve"> were unemployed</w:t>
      </w:r>
      <w:r w:rsidR="003910C8" w:rsidRPr="00711E28">
        <w:rPr>
          <w:rFonts w:cs="Arial"/>
          <w:bCs/>
          <w:i/>
          <w:iCs/>
          <w:lang w:val="en-GB"/>
        </w:rPr>
        <w:t xml:space="preserve"> all the year, or most of the year, are not included. </w:t>
      </w:r>
    </w:p>
    <w:p w:rsidR="00FC7562" w:rsidRPr="00711E28" w:rsidRDefault="00FC7562">
      <w:pPr>
        <w:pStyle w:val="Zkladntext2"/>
        <w:spacing w:line="240" w:lineRule="auto"/>
        <w:rPr>
          <w:rFonts w:cs="Arial"/>
          <w:i/>
          <w:iCs/>
          <w:lang w:val="en-GB"/>
        </w:rPr>
      </w:pPr>
    </w:p>
    <w:p w:rsidR="00FC7562" w:rsidRPr="00711E28" w:rsidRDefault="00FC7562">
      <w:pPr>
        <w:pStyle w:val="Zkladntext2"/>
        <w:spacing w:line="240" w:lineRule="auto"/>
        <w:rPr>
          <w:rFonts w:cs="Arial"/>
          <w:i/>
          <w:iCs/>
          <w:lang w:val="en-GB"/>
        </w:rPr>
      </w:pPr>
      <w:r w:rsidRPr="00711E28">
        <w:rPr>
          <w:rFonts w:cs="Arial"/>
          <w:b/>
          <w:bCs/>
          <w:i/>
          <w:iCs/>
          <w:lang w:val="en-GB"/>
        </w:rPr>
        <w:t>Education</w:t>
      </w:r>
      <w:r w:rsidRPr="00711E28">
        <w:rPr>
          <w:rFonts w:cs="Arial"/>
          <w:i/>
          <w:iCs/>
          <w:lang w:val="en-GB"/>
        </w:rPr>
        <w:t xml:space="preserve"> is </w:t>
      </w:r>
      <w:r w:rsidR="00D11436" w:rsidRPr="00711E28">
        <w:rPr>
          <w:rFonts w:cs="Arial"/>
          <w:i/>
          <w:iCs/>
          <w:lang w:val="en-GB"/>
        </w:rPr>
        <w:t>sub</w:t>
      </w:r>
      <w:r w:rsidRPr="00711E28">
        <w:rPr>
          <w:rFonts w:cs="Arial"/>
          <w:i/>
          <w:iCs/>
          <w:lang w:val="en-GB"/>
        </w:rPr>
        <w:t xml:space="preserve">divided into four </w:t>
      </w:r>
      <w:r w:rsidR="005414F9" w:rsidRPr="00711E28">
        <w:rPr>
          <w:rFonts w:cs="Arial"/>
          <w:i/>
          <w:iCs/>
          <w:lang w:val="en-GB"/>
        </w:rPr>
        <w:t>levels</w:t>
      </w:r>
      <w:r w:rsidRPr="00711E28">
        <w:rPr>
          <w:rFonts w:cs="Arial"/>
          <w:i/>
          <w:iCs/>
          <w:lang w:val="en-GB"/>
        </w:rPr>
        <w:t>: basic</w:t>
      </w:r>
      <w:r w:rsidR="00042A76">
        <w:rPr>
          <w:rFonts w:cs="Arial"/>
          <w:i/>
          <w:iCs/>
          <w:lang w:val="en-GB"/>
        </w:rPr>
        <w:t xml:space="preserve"> (including incomplete)</w:t>
      </w:r>
      <w:r w:rsidRPr="00711E28">
        <w:rPr>
          <w:rFonts w:cs="Arial"/>
          <w:i/>
          <w:iCs/>
          <w:lang w:val="en-GB"/>
        </w:rPr>
        <w:t xml:space="preserve">, </w:t>
      </w:r>
      <w:r w:rsidR="00BC4E6A" w:rsidRPr="00711E28">
        <w:rPr>
          <w:rFonts w:cs="Arial"/>
          <w:i/>
          <w:iCs/>
          <w:lang w:val="en-GB"/>
        </w:rPr>
        <w:t xml:space="preserve">secondary </w:t>
      </w:r>
      <w:r w:rsidR="00982342" w:rsidRPr="00711E28">
        <w:rPr>
          <w:rFonts w:cs="Arial"/>
          <w:i/>
          <w:iCs/>
          <w:lang w:val="en-GB"/>
        </w:rPr>
        <w:t xml:space="preserve">vocational, </w:t>
      </w:r>
      <w:r w:rsidR="00E8337E" w:rsidRPr="00711E28">
        <w:rPr>
          <w:rFonts w:cs="Arial"/>
          <w:i/>
          <w:iCs/>
          <w:lang w:val="en-GB"/>
        </w:rPr>
        <w:t xml:space="preserve">full </w:t>
      </w:r>
      <w:r w:rsidRPr="00711E28">
        <w:rPr>
          <w:rFonts w:cs="Arial"/>
          <w:i/>
          <w:iCs/>
          <w:lang w:val="en-GB"/>
        </w:rPr>
        <w:t>secondary</w:t>
      </w:r>
      <w:r w:rsidR="00982342" w:rsidRPr="00711E28">
        <w:rPr>
          <w:rFonts w:cs="Arial"/>
          <w:i/>
          <w:iCs/>
          <w:lang w:val="en-GB"/>
        </w:rPr>
        <w:t xml:space="preserve">, </w:t>
      </w:r>
      <w:r w:rsidRPr="00711E28">
        <w:rPr>
          <w:rFonts w:cs="Arial"/>
          <w:i/>
          <w:iCs/>
          <w:lang w:val="en-GB"/>
        </w:rPr>
        <w:t xml:space="preserve">and </w:t>
      </w:r>
      <w:r w:rsidR="00982342" w:rsidRPr="00711E28">
        <w:rPr>
          <w:rFonts w:cs="Arial"/>
          <w:i/>
          <w:iCs/>
          <w:lang w:val="en-GB"/>
        </w:rPr>
        <w:t>higher education</w:t>
      </w:r>
      <w:r w:rsidRPr="00711E28">
        <w:rPr>
          <w:rFonts w:cs="Arial"/>
          <w:i/>
          <w:iCs/>
          <w:lang w:val="en-GB"/>
        </w:rPr>
        <w:t>.</w:t>
      </w:r>
      <w:r w:rsidR="00A94B1B" w:rsidRPr="00711E28">
        <w:rPr>
          <w:rFonts w:cs="Arial"/>
          <w:i/>
          <w:iCs/>
          <w:lang w:val="en-GB"/>
        </w:rPr>
        <w:t xml:space="preserve"> Full secondary education includes also secondary vocational with A-level examination and post-</w:t>
      </w:r>
      <w:r w:rsidR="00CA21E6" w:rsidRPr="00711E28">
        <w:rPr>
          <w:rFonts w:cs="Arial"/>
          <w:i/>
          <w:iCs/>
          <w:lang w:val="en-GB"/>
        </w:rPr>
        <w:t>A-level</w:t>
      </w:r>
      <w:r w:rsidR="00A94B1B" w:rsidRPr="00711E28">
        <w:rPr>
          <w:rFonts w:cs="Arial"/>
          <w:i/>
          <w:iCs/>
          <w:lang w:val="en-GB"/>
        </w:rPr>
        <w:t xml:space="preserve"> education.</w:t>
      </w:r>
      <w:r w:rsidR="00982342" w:rsidRPr="00711E28">
        <w:rPr>
          <w:rFonts w:cs="Arial"/>
          <w:i/>
          <w:iCs/>
          <w:lang w:val="en-GB"/>
        </w:rPr>
        <w:t xml:space="preserve"> </w:t>
      </w:r>
      <w:r w:rsidR="00042A76">
        <w:rPr>
          <w:rFonts w:cs="Arial"/>
          <w:i/>
          <w:iCs/>
          <w:lang w:val="en-GB"/>
        </w:rPr>
        <w:t>Graduating</w:t>
      </w:r>
      <w:r w:rsidRPr="00711E28">
        <w:rPr>
          <w:rFonts w:cs="Arial"/>
          <w:i/>
          <w:iCs/>
          <w:lang w:val="en-GB"/>
        </w:rPr>
        <w:t xml:space="preserve"> </w:t>
      </w:r>
      <w:r w:rsidR="00982342" w:rsidRPr="00711E28">
        <w:rPr>
          <w:rFonts w:cs="Arial"/>
          <w:i/>
          <w:iCs/>
          <w:lang w:val="en-GB"/>
        </w:rPr>
        <w:t xml:space="preserve">higher professional </w:t>
      </w:r>
      <w:r w:rsidRPr="00711E28">
        <w:rPr>
          <w:rFonts w:cs="Arial"/>
          <w:i/>
          <w:iCs/>
          <w:lang w:val="en-GB"/>
        </w:rPr>
        <w:t xml:space="preserve">schools </w:t>
      </w:r>
      <w:r w:rsidR="00982342" w:rsidRPr="00711E28">
        <w:rPr>
          <w:rFonts w:cs="Arial"/>
          <w:i/>
          <w:iCs/>
          <w:lang w:val="en-GB"/>
        </w:rPr>
        <w:t xml:space="preserve">are </w:t>
      </w:r>
      <w:r w:rsidRPr="00711E28">
        <w:rPr>
          <w:rFonts w:cs="Arial"/>
          <w:i/>
          <w:iCs/>
          <w:lang w:val="en-GB"/>
        </w:rPr>
        <w:t xml:space="preserve">included in </w:t>
      </w:r>
      <w:r w:rsidR="00982342" w:rsidRPr="00711E28">
        <w:rPr>
          <w:rFonts w:cs="Arial"/>
          <w:i/>
          <w:iCs/>
          <w:lang w:val="en-GB"/>
        </w:rPr>
        <w:t>higher education</w:t>
      </w:r>
      <w:r w:rsidRPr="00711E28">
        <w:rPr>
          <w:rFonts w:cs="Arial"/>
          <w:i/>
          <w:iCs/>
          <w:lang w:val="en-GB"/>
        </w:rPr>
        <w:t xml:space="preserve">. </w:t>
      </w:r>
      <w:r w:rsidR="00982342" w:rsidRPr="00711E28">
        <w:rPr>
          <w:rFonts w:cs="Arial"/>
          <w:i/>
          <w:iCs/>
          <w:lang w:val="en-GB"/>
        </w:rPr>
        <w:t>Higher education</w:t>
      </w:r>
      <w:r w:rsidR="00D11436" w:rsidRPr="00711E28">
        <w:rPr>
          <w:rFonts w:cs="Arial"/>
          <w:i/>
          <w:iCs/>
          <w:lang w:val="en-GB"/>
        </w:rPr>
        <w:t>,</w:t>
      </w:r>
      <w:r w:rsidR="00982342" w:rsidRPr="00711E28">
        <w:rPr>
          <w:rFonts w:cs="Arial"/>
          <w:i/>
          <w:iCs/>
          <w:lang w:val="en-GB"/>
        </w:rPr>
        <w:t xml:space="preserve"> furthermore</w:t>
      </w:r>
      <w:r w:rsidR="00D11436" w:rsidRPr="00711E28">
        <w:rPr>
          <w:rFonts w:cs="Arial"/>
          <w:i/>
          <w:iCs/>
          <w:lang w:val="en-GB"/>
        </w:rPr>
        <w:t>,</w:t>
      </w:r>
      <w:r w:rsidR="00982342" w:rsidRPr="00711E28">
        <w:rPr>
          <w:rFonts w:cs="Arial"/>
          <w:i/>
          <w:iCs/>
          <w:lang w:val="en-GB"/>
        </w:rPr>
        <w:t xml:space="preserve"> encompasses </w:t>
      </w:r>
      <w:r w:rsidRPr="00711E28">
        <w:rPr>
          <w:rFonts w:cs="Arial"/>
          <w:i/>
          <w:iCs/>
          <w:lang w:val="en-GB"/>
        </w:rPr>
        <w:t>all study programmes</w:t>
      </w:r>
      <w:r w:rsidR="00982342" w:rsidRPr="00711E28">
        <w:rPr>
          <w:rFonts w:cs="Arial"/>
          <w:i/>
          <w:iCs/>
          <w:lang w:val="en-GB"/>
        </w:rPr>
        <w:t xml:space="preserve"> of higher education</w:t>
      </w:r>
      <w:r w:rsidRPr="00711E28">
        <w:rPr>
          <w:rFonts w:cs="Arial"/>
          <w:i/>
          <w:iCs/>
          <w:lang w:val="en-GB"/>
        </w:rPr>
        <w:t xml:space="preserve">, </w:t>
      </w:r>
      <w:r w:rsidR="00982342" w:rsidRPr="00711E28">
        <w:rPr>
          <w:rFonts w:cs="Arial"/>
          <w:i/>
          <w:iCs/>
          <w:lang w:val="en-GB"/>
        </w:rPr>
        <w:t xml:space="preserve">including bachelor and doctoral </w:t>
      </w:r>
      <w:r w:rsidRPr="00711E28">
        <w:rPr>
          <w:rFonts w:cs="Arial"/>
          <w:i/>
          <w:iCs/>
          <w:lang w:val="en-GB"/>
        </w:rPr>
        <w:t>study programmes.</w:t>
      </w:r>
    </w:p>
    <w:p w:rsidR="00FC7562" w:rsidRPr="00711E28" w:rsidRDefault="00FC7562">
      <w:pPr>
        <w:pStyle w:val="Zkladntext2"/>
        <w:spacing w:line="240" w:lineRule="auto"/>
        <w:rPr>
          <w:rFonts w:cs="Arial"/>
          <w:i/>
          <w:iCs/>
          <w:lang w:val="en-GB"/>
        </w:rPr>
      </w:pPr>
    </w:p>
    <w:p w:rsidR="00FC7562" w:rsidRPr="00711E28" w:rsidRDefault="00FC7562">
      <w:pPr>
        <w:pStyle w:val="Zkladntext2"/>
        <w:spacing w:line="240" w:lineRule="auto"/>
        <w:rPr>
          <w:rFonts w:cs="Arial"/>
          <w:i/>
          <w:iCs/>
          <w:lang w:val="en-GB"/>
        </w:rPr>
      </w:pPr>
      <w:r w:rsidRPr="00711E28">
        <w:rPr>
          <w:rFonts w:cs="Arial"/>
          <w:b/>
          <w:bCs/>
          <w:i/>
          <w:iCs/>
          <w:lang w:val="en-GB"/>
        </w:rPr>
        <w:t xml:space="preserve">Gross money income </w:t>
      </w:r>
      <w:r w:rsidRPr="00711E28">
        <w:rPr>
          <w:rFonts w:cs="Arial"/>
          <w:i/>
          <w:iCs/>
          <w:lang w:val="en-GB"/>
        </w:rPr>
        <w:t xml:space="preserve">of </w:t>
      </w:r>
      <w:r w:rsidR="00F309FD" w:rsidRPr="00711E28">
        <w:rPr>
          <w:rFonts w:cs="Arial"/>
          <w:i/>
          <w:iCs/>
          <w:lang w:val="en-GB"/>
        </w:rPr>
        <w:t xml:space="preserve">the </w:t>
      </w:r>
      <w:r w:rsidRPr="00711E28">
        <w:rPr>
          <w:rFonts w:cs="Arial"/>
          <w:i/>
          <w:iCs/>
          <w:lang w:val="en-GB"/>
        </w:rPr>
        <w:t xml:space="preserve">household includes income tax and health and social insurance </w:t>
      </w:r>
      <w:r w:rsidR="0002784D">
        <w:rPr>
          <w:rFonts w:cs="Arial"/>
          <w:i/>
          <w:iCs/>
          <w:lang w:val="en-GB"/>
        </w:rPr>
        <w:t>contributions</w:t>
      </w:r>
      <w:r w:rsidR="0002784D" w:rsidRPr="00711E28">
        <w:rPr>
          <w:rFonts w:cs="Arial"/>
          <w:i/>
          <w:iCs/>
          <w:lang w:val="en-GB"/>
        </w:rPr>
        <w:t xml:space="preserve"> </w:t>
      </w:r>
      <w:r w:rsidRPr="00711E28">
        <w:rPr>
          <w:rFonts w:cs="Arial"/>
          <w:i/>
          <w:iCs/>
          <w:lang w:val="en-GB"/>
        </w:rPr>
        <w:t>and is net of drawn savings, borrowings</w:t>
      </w:r>
      <w:r w:rsidR="009F3A4D" w:rsidRPr="00711E28">
        <w:rPr>
          <w:rFonts w:cs="Arial"/>
          <w:i/>
          <w:iCs/>
          <w:lang w:val="en-GB"/>
        </w:rPr>
        <w:t>, and loans</w:t>
      </w:r>
      <w:r w:rsidRPr="00711E28">
        <w:rPr>
          <w:rFonts w:cs="Arial"/>
          <w:i/>
          <w:iCs/>
          <w:lang w:val="en-GB"/>
        </w:rPr>
        <w:t xml:space="preserve">. Gross income from business activity is </w:t>
      </w:r>
      <w:r w:rsidR="009F3A4D" w:rsidRPr="00711E28">
        <w:rPr>
          <w:rFonts w:cs="Arial"/>
          <w:i/>
          <w:iCs/>
          <w:lang w:val="en-GB"/>
        </w:rPr>
        <w:t xml:space="preserve">an </w:t>
      </w:r>
      <w:r w:rsidRPr="00711E28">
        <w:rPr>
          <w:rFonts w:cs="Arial"/>
          <w:i/>
          <w:iCs/>
          <w:lang w:val="en-GB"/>
        </w:rPr>
        <w:t xml:space="preserve">economic result (difference between income and expenditure) </w:t>
      </w:r>
      <w:r w:rsidR="009F3A4D" w:rsidRPr="00711E28">
        <w:rPr>
          <w:rFonts w:cs="Arial"/>
          <w:i/>
          <w:iCs/>
          <w:lang w:val="en-GB"/>
        </w:rPr>
        <w:t xml:space="preserve">with deduced </w:t>
      </w:r>
      <w:r w:rsidRPr="00711E28">
        <w:rPr>
          <w:rFonts w:cs="Arial"/>
          <w:i/>
          <w:iCs/>
          <w:lang w:val="en-GB"/>
        </w:rPr>
        <w:t xml:space="preserve">social </w:t>
      </w:r>
      <w:r w:rsidR="002B66CC">
        <w:rPr>
          <w:rFonts w:cs="Arial"/>
          <w:i/>
          <w:iCs/>
          <w:lang w:val="en-GB"/>
        </w:rPr>
        <w:t>security premium</w:t>
      </w:r>
      <w:r w:rsidRPr="00711E28">
        <w:rPr>
          <w:rFonts w:cs="Arial"/>
          <w:i/>
          <w:iCs/>
          <w:lang w:val="en-GB"/>
        </w:rPr>
        <w:t>, contribution</w:t>
      </w:r>
      <w:r w:rsidR="00A26C8D" w:rsidRPr="00711E28">
        <w:rPr>
          <w:rFonts w:cs="Arial"/>
          <w:i/>
          <w:iCs/>
          <w:lang w:val="en-GB"/>
        </w:rPr>
        <w:t>s</w:t>
      </w:r>
      <w:r w:rsidRPr="00711E28">
        <w:rPr>
          <w:rFonts w:cs="Arial"/>
          <w:i/>
          <w:iCs/>
          <w:lang w:val="en-GB"/>
        </w:rPr>
        <w:t xml:space="preserve"> to the state employment policy</w:t>
      </w:r>
      <w:r w:rsidR="009F3A4D" w:rsidRPr="00711E28">
        <w:rPr>
          <w:rFonts w:cs="Arial"/>
          <w:i/>
          <w:iCs/>
          <w:lang w:val="en-GB"/>
        </w:rPr>
        <w:t>,</w:t>
      </w:r>
      <w:r w:rsidRPr="00711E28">
        <w:rPr>
          <w:rFonts w:cs="Arial"/>
          <w:i/>
          <w:iCs/>
          <w:lang w:val="en-GB"/>
        </w:rPr>
        <w:t xml:space="preserve"> and </w:t>
      </w:r>
      <w:r w:rsidR="002B66CC">
        <w:rPr>
          <w:rFonts w:cs="Arial"/>
          <w:i/>
          <w:iCs/>
          <w:lang w:val="en-GB"/>
        </w:rPr>
        <w:t>to public</w:t>
      </w:r>
      <w:r w:rsidR="002B66CC" w:rsidRPr="00711E28">
        <w:rPr>
          <w:rFonts w:cs="Arial"/>
          <w:i/>
          <w:iCs/>
          <w:lang w:val="en-GB"/>
        </w:rPr>
        <w:t xml:space="preserve"> </w:t>
      </w:r>
      <w:r w:rsidRPr="00711E28">
        <w:rPr>
          <w:rFonts w:cs="Arial"/>
          <w:i/>
          <w:iCs/>
          <w:lang w:val="en-GB"/>
        </w:rPr>
        <w:t>health insurance</w:t>
      </w:r>
      <w:r w:rsidR="009F3A4D" w:rsidRPr="00711E28">
        <w:rPr>
          <w:rFonts w:cs="Arial"/>
          <w:i/>
          <w:iCs/>
          <w:lang w:val="en-GB"/>
        </w:rPr>
        <w:t>, if applicable</w:t>
      </w:r>
      <w:r w:rsidRPr="00711E28">
        <w:rPr>
          <w:rFonts w:cs="Arial"/>
          <w:i/>
          <w:iCs/>
          <w:lang w:val="en-GB"/>
        </w:rPr>
        <w:t xml:space="preserve">. </w:t>
      </w:r>
    </w:p>
    <w:p w:rsidR="00FC7562" w:rsidRPr="00711E28" w:rsidRDefault="00FC7562">
      <w:pPr>
        <w:pStyle w:val="Zkladntext2"/>
        <w:spacing w:line="240" w:lineRule="auto"/>
        <w:rPr>
          <w:rFonts w:cs="Arial"/>
          <w:i/>
          <w:iCs/>
          <w:lang w:val="en-GB"/>
        </w:rPr>
      </w:pPr>
    </w:p>
    <w:p w:rsidR="00FC7562" w:rsidRPr="00711E28" w:rsidRDefault="00FC7562">
      <w:pPr>
        <w:pStyle w:val="Zkladntext2"/>
        <w:spacing w:line="240" w:lineRule="auto"/>
        <w:rPr>
          <w:rFonts w:cs="Arial"/>
          <w:i/>
          <w:iCs/>
          <w:lang w:val="en-GB"/>
        </w:rPr>
      </w:pPr>
      <w:r w:rsidRPr="00711E28">
        <w:rPr>
          <w:rFonts w:cs="Arial"/>
          <w:b/>
          <w:bCs/>
          <w:i/>
          <w:iCs/>
          <w:lang w:val="en-GB"/>
        </w:rPr>
        <w:t xml:space="preserve">Net money income </w:t>
      </w:r>
      <w:r w:rsidRPr="00711E28">
        <w:rPr>
          <w:rFonts w:cs="Arial"/>
          <w:i/>
          <w:iCs/>
          <w:lang w:val="en-GB"/>
        </w:rPr>
        <w:t xml:space="preserve">of </w:t>
      </w:r>
      <w:r w:rsidR="00F309FD" w:rsidRPr="00711E28">
        <w:rPr>
          <w:rFonts w:cs="Arial"/>
          <w:i/>
          <w:iCs/>
          <w:lang w:val="en-GB"/>
        </w:rPr>
        <w:t xml:space="preserve">the </w:t>
      </w:r>
      <w:r w:rsidRPr="00711E28">
        <w:rPr>
          <w:rFonts w:cs="Arial"/>
          <w:i/>
          <w:iCs/>
          <w:lang w:val="en-GB"/>
        </w:rPr>
        <w:t>household</w:t>
      </w:r>
      <w:r w:rsidRPr="00711E28">
        <w:rPr>
          <w:rFonts w:cs="Arial"/>
          <w:b/>
          <w:bCs/>
          <w:i/>
          <w:iCs/>
          <w:lang w:val="en-GB"/>
        </w:rPr>
        <w:t xml:space="preserve"> </w:t>
      </w:r>
      <w:r w:rsidR="002176E4">
        <w:rPr>
          <w:rFonts w:cs="Arial"/>
          <w:i/>
          <w:iCs/>
          <w:lang w:val="en-GB"/>
        </w:rPr>
        <w:t>is</w:t>
      </w:r>
      <w:r w:rsidR="009F3A4D" w:rsidRPr="00711E28">
        <w:rPr>
          <w:rFonts w:cs="Arial"/>
          <w:i/>
          <w:iCs/>
          <w:lang w:val="en-GB"/>
        </w:rPr>
        <w:t xml:space="preserve"> </w:t>
      </w:r>
      <w:r w:rsidRPr="00711E28">
        <w:rPr>
          <w:rFonts w:cs="Arial"/>
          <w:i/>
          <w:iCs/>
          <w:lang w:val="en-GB"/>
        </w:rPr>
        <w:t xml:space="preserve">income of all household members </w:t>
      </w:r>
      <w:r w:rsidR="0057721B" w:rsidRPr="00711E28">
        <w:rPr>
          <w:rFonts w:cs="Arial"/>
          <w:i/>
          <w:iCs/>
          <w:lang w:val="en-GB"/>
        </w:rPr>
        <w:t>after deduction of</w:t>
      </w:r>
      <w:r w:rsidRPr="00711E28">
        <w:rPr>
          <w:rFonts w:cs="Arial"/>
          <w:i/>
          <w:iCs/>
          <w:lang w:val="en-GB"/>
        </w:rPr>
        <w:t xml:space="preserve"> income tax and</w:t>
      </w:r>
      <w:r w:rsidR="00524027">
        <w:rPr>
          <w:rFonts w:cs="Arial"/>
          <w:i/>
          <w:iCs/>
          <w:lang w:val="en-GB"/>
        </w:rPr>
        <w:t xml:space="preserve"> contributions to general</w:t>
      </w:r>
      <w:r w:rsidR="00F309FD" w:rsidRPr="00711E28">
        <w:rPr>
          <w:rFonts w:cs="Arial"/>
          <w:i/>
          <w:iCs/>
          <w:lang w:val="en-GB"/>
        </w:rPr>
        <w:t xml:space="preserve"> </w:t>
      </w:r>
      <w:r w:rsidRPr="00711E28">
        <w:rPr>
          <w:rFonts w:cs="Arial"/>
          <w:i/>
          <w:iCs/>
          <w:lang w:val="en-GB"/>
        </w:rPr>
        <w:t xml:space="preserve">health and social insurance </w:t>
      </w:r>
      <w:r w:rsidR="00524027">
        <w:rPr>
          <w:rFonts w:cs="Arial"/>
          <w:i/>
          <w:iCs/>
          <w:lang w:val="en-GB"/>
        </w:rPr>
        <w:t>schemes</w:t>
      </w:r>
      <w:r w:rsidRPr="00711E28">
        <w:rPr>
          <w:rFonts w:cs="Arial"/>
          <w:i/>
          <w:iCs/>
          <w:lang w:val="en-GB"/>
        </w:rPr>
        <w:t xml:space="preserve">. </w:t>
      </w:r>
    </w:p>
    <w:p w:rsidR="00FC7562" w:rsidRPr="00711E28" w:rsidRDefault="00FC7562">
      <w:pPr>
        <w:pStyle w:val="Zkladntext2"/>
        <w:spacing w:line="240" w:lineRule="auto"/>
        <w:rPr>
          <w:rFonts w:cs="Arial"/>
          <w:i/>
          <w:iCs/>
          <w:lang w:val="en-GB"/>
        </w:rPr>
      </w:pPr>
    </w:p>
    <w:p w:rsidR="00DB163B" w:rsidRDefault="00DB163B">
      <w:pPr>
        <w:pStyle w:val="Zkladntext2"/>
        <w:spacing w:line="240" w:lineRule="auto"/>
        <w:rPr>
          <w:rFonts w:cs="Arial"/>
          <w:i/>
          <w:iCs/>
          <w:szCs w:val="17"/>
          <w:lang w:val="en-GB"/>
        </w:rPr>
      </w:pPr>
      <w:r w:rsidRPr="00167C80">
        <w:rPr>
          <w:rFonts w:cs="Arial"/>
          <w:b/>
          <w:i/>
          <w:iCs/>
          <w:szCs w:val="17"/>
          <w:lang w:val="en-GB"/>
        </w:rPr>
        <w:t xml:space="preserve">Equivalent sizes </w:t>
      </w:r>
      <w:r w:rsidRPr="00167C80">
        <w:rPr>
          <w:rFonts w:cs="Arial"/>
          <w:i/>
          <w:iCs/>
          <w:szCs w:val="17"/>
          <w:lang w:val="en-GB"/>
        </w:rPr>
        <w:t xml:space="preserve">represent the composition of households calculated by weights of consumption of respective household members. The weights of equivalent sizes, as defined in the OECD equivalence scale, are as follows: first adult in the household = 1.0; any other adult (aged 13+) = 0.7; any child </w:t>
      </w:r>
      <w:r w:rsidRPr="00167C80">
        <w:rPr>
          <w:rFonts w:cs="Arial"/>
          <w:i/>
          <w:iCs/>
          <w:szCs w:val="17"/>
          <w:lang w:val="en-GB"/>
        </w:rPr>
        <w:lastRenderedPageBreak/>
        <w:t>(aged 0–13) = 0.5. The weights of equivalent sizes, as defined in the OECD-modified scale, are as follows: first adult in the household = 1.0; any other adult (aged 13+) = 0.5; any child (aged 0–13) = 0.3.</w:t>
      </w:r>
    </w:p>
    <w:p w:rsidR="00DB163B" w:rsidRDefault="00DB163B">
      <w:pPr>
        <w:pStyle w:val="Zkladntext2"/>
        <w:spacing w:line="240" w:lineRule="auto"/>
        <w:rPr>
          <w:rFonts w:cs="Arial"/>
          <w:i/>
          <w:iCs/>
          <w:szCs w:val="17"/>
          <w:lang w:val="en-GB"/>
        </w:rPr>
      </w:pPr>
    </w:p>
    <w:p w:rsidR="00FC7562" w:rsidRDefault="00FC7562">
      <w:pPr>
        <w:pStyle w:val="Zkladntext2"/>
        <w:spacing w:line="240" w:lineRule="auto"/>
        <w:rPr>
          <w:rFonts w:cs="Arial"/>
          <w:i/>
          <w:iCs/>
          <w:lang w:val="en-GB"/>
        </w:rPr>
      </w:pPr>
      <w:r w:rsidRPr="006C7311">
        <w:rPr>
          <w:rFonts w:cs="Arial"/>
          <w:b/>
          <w:bCs/>
          <w:i/>
          <w:iCs/>
          <w:lang w:val="en-GB"/>
        </w:rPr>
        <w:t xml:space="preserve">Persons at risk of income poverty </w:t>
      </w:r>
      <w:r w:rsidRPr="006C7311">
        <w:rPr>
          <w:rFonts w:cs="Arial"/>
          <w:i/>
          <w:iCs/>
          <w:lang w:val="en-GB"/>
        </w:rPr>
        <w:t>(</w:t>
      </w:r>
      <w:r w:rsidR="00600968" w:rsidRPr="006C7311">
        <w:rPr>
          <w:rFonts w:cs="Arial"/>
          <w:i/>
          <w:iCs/>
          <w:lang w:val="en-GB"/>
        </w:rPr>
        <w:t xml:space="preserve">Table </w:t>
      </w:r>
      <w:r w:rsidRPr="006C7311">
        <w:rPr>
          <w:rFonts w:cs="Arial"/>
          <w:i/>
          <w:iCs/>
          <w:lang w:val="en-GB"/>
        </w:rPr>
        <w:t>1-</w:t>
      </w:r>
      <w:r w:rsidR="000B20DF">
        <w:rPr>
          <w:rFonts w:cs="Arial"/>
          <w:i/>
          <w:iCs/>
          <w:lang w:val="en-GB"/>
        </w:rPr>
        <w:t>3</w:t>
      </w:r>
      <w:r w:rsidR="00042A76">
        <w:rPr>
          <w:rFonts w:cs="Arial"/>
          <w:i/>
          <w:iCs/>
          <w:lang w:val="en-GB"/>
        </w:rPr>
        <w:t>2</w:t>
      </w:r>
      <w:r w:rsidRPr="006C7311">
        <w:rPr>
          <w:rFonts w:cs="Arial"/>
          <w:i/>
          <w:iCs/>
          <w:lang w:val="en-GB"/>
        </w:rPr>
        <w:t xml:space="preserve">) </w:t>
      </w:r>
      <w:r w:rsidR="00C53249">
        <w:rPr>
          <w:rFonts w:cs="Arial"/>
          <w:i/>
          <w:iCs/>
          <w:lang w:val="en-GB"/>
        </w:rPr>
        <w:t>are persons living in</w:t>
      </w:r>
      <w:r w:rsidRPr="006C7311">
        <w:rPr>
          <w:rFonts w:cs="Arial"/>
          <w:i/>
          <w:iCs/>
          <w:lang w:val="en-GB"/>
        </w:rPr>
        <w:t xml:space="preserve"> households</w:t>
      </w:r>
      <w:r w:rsidR="00600968" w:rsidRPr="006C7311">
        <w:rPr>
          <w:rFonts w:cs="Arial"/>
          <w:i/>
          <w:iCs/>
          <w:lang w:val="en-GB"/>
        </w:rPr>
        <w:t>,</w:t>
      </w:r>
      <w:r w:rsidRPr="006C7311">
        <w:rPr>
          <w:rFonts w:cs="Arial"/>
          <w:i/>
          <w:iCs/>
          <w:lang w:val="en-GB"/>
        </w:rPr>
        <w:t xml:space="preserve"> </w:t>
      </w:r>
      <w:r w:rsidR="00600968" w:rsidRPr="006C7311">
        <w:rPr>
          <w:rFonts w:cs="Arial"/>
          <w:bCs/>
          <w:i/>
          <w:iCs/>
          <w:lang w:val="en-GB"/>
        </w:rPr>
        <w:t>equivalised disposable income</w:t>
      </w:r>
      <w:r w:rsidR="00E76DFD" w:rsidRPr="006C7311">
        <w:rPr>
          <w:rFonts w:cs="Arial"/>
          <w:bCs/>
          <w:i/>
          <w:iCs/>
          <w:lang w:val="en-GB"/>
        </w:rPr>
        <w:t xml:space="preserve"> of which</w:t>
      </w:r>
      <w:r w:rsidRPr="006C7311">
        <w:rPr>
          <w:rFonts w:cs="Arial"/>
          <w:i/>
          <w:iCs/>
          <w:lang w:val="en-GB"/>
        </w:rPr>
        <w:t xml:space="preserve"> is lower than 60% of the value of the </w:t>
      </w:r>
      <w:r w:rsidR="00600968" w:rsidRPr="006C7311">
        <w:rPr>
          <w:rFonts w:cs="Arial"/>
          <w:bCs/>
          <w:i/>
          <w:iCs/>
          <w:lang w:val="en-GB"/>
        </w:rPr>
        <w:t xml:space="preserve">equivalised disposable income </w:t>
      </w:r>
      <w:r w:rsidRPr="006C7311">
        <w:rPr>
          <w:rFonts w:cs="Arial"/>
          <w:i/>
          <w:iCs/>
          <w:lang w:val="en-GB"/>
        </w:rPr>
        <w:t xml:space="preserve">median </w:t>
      </w:r>
      <w:r w:rsidRPr="00293BE6">
        <w:rPr>
          <w:rFonts w:cs="Arial"/>
          <w:i/>
          <w:iCs/>
          <w:lang w:val="en-GB"/>
        </w:rPr>
        <w:t xml:space="preserve">calculated </w:t>
      </w:r>
      <w:r w:rsidR="00293BE6" w:rsidRPr="00293BE6">
        <w:rPr>
          <w:rFonts w:cs="Arial"/>
          <w:i/>
          <w:iCs/>
          <w:lang w:val="en-GB"/>
        </w:rPr>
        <w:t xml:space="preserve"> for </w:t>
      </w:r>
      <w:r w:rsidRPr="00293BE6">
        <w:rPr>
          <w:rFonts w:cs="Arial"/>
          <w:i/>
          <w:iCs/>
          <w:lang w:val="en-GB"/>
        </w:rPr>
        <w:t>household</w:t>
      </w:r>
      <w:r w:rsidR="00293BE6" w:rsidRPr="00293BE6">
        <w:rPr>
          <w:rFonts w:cs="Arial"/>
          <w:i/>
          <w:iCs/>
          <w:lang w:val="en-GB"/>
        </w:rPr>
        <w:t>s</w:t>
      </w:r>
      <w:r w:rsidR="00600968" w:rsidRPr="00293BE6">
        <w:rPr>
          <w:rFonts w:cs="Arial"/>
          <w:i/>
          <w:iCs/>
          <w:lang w:val="en-GB"/>
        </w:rPr>
        <w:t xml:space="preserve"> </w:t>
      </w:r>
      <w:r w:rsidR="00293BE6" w:rsidRPr="00293BE6">
        <w:rPr>
          <w:rFonts w:cs="Arial"/>
          <w:i/>
          <w:iCs/>
          <w:lang w:val="en-GB"/>
        </w:rPr>
        <w:t>in total</w:t>
      </w:r>
      <w:r w:rsidR="0038163E">
        <w:rPr>
          <w:rFonts w:cs="Arial"/>
          <w:i/>
          <w:iCs/>
          <w:lang w:val="en-GB"/>
        </w:rPr>
        <w:t xml:space="preserve"> (i.e. lower than the </w:t>
      </w:r>
      <w:r w:rsidR="00975E20">
        <w:rPr>
          <w:rFonts w:cs="Arial"/>
          <w:i/>
          <w:iCs/>
          <w:lang w:val="en-GB"/>
        </w:rPr>
        <w:t>at-risk-of-</w:t>
      </w:r>
      <w:r w:rsidR="0038163E">
        <w:rPr>
          <w:rFonts w:cs="Arial"/>
          <w:i/>
          <w:iCs/>
          <w:lang w:val="en-GB"/>
        </w:rPr>
        <w:t>poverty threshold)</w:t>
      </w:r>
      <w:r w:rsidRPr="00293BE6">
        <w:rPr>
          <w:rFonts w:cs="Arial"/>
          <w:i/>
          <w:iCs/>
          <w:lang w:val="en-GB"/>
        </w:rPr>
        <w:t xml:space="preserve">. </w:t>
      </w:r>
      <w:r w:rsidR="00600968" w:rsidRPr="00293BE6">
        <w:rPr>
          <w:rFonts w:cs="Arial"/>
          <w:bCs/>
          <w:i/>
          <w:iCs/>
          <w:lang w:val="en-GB"/>
        </w:rPr>
        <w:t>Equivalised disposable income</w:t>
      </w:r>
      <w:r w:rsidR="00CB135A" w:rsidRPr="00293BE6">
        <w:rPr>
          <w:rFonts w:cs="Arial"/>
          <w:bCs/>
          <w:i/>
          <w:iCs/>
          <w:lang w:val="en-GB"/>
        </w:rPr>
        <w:t xml:space="preserve"> of a</w:t>
      </w:r>
      <w:r w:rsidR="00CB135A">
        <w:rPr>
          <w:rFonts w:cs="Arial"/>
          <w:bCs/>
          <w:i/>
          <w:iCs/>
          <w:lang w:val="en-GB"/>
        </w:rPr>
        <w:t xml:space="preserve"> household</w:t>
      </w:r>
      <w:r w:rsidR="00600968" w:rsidRPr="006C7311">
        <w:rPr>
          <w:rFonts w:cs="Arial"/>
          <w:bCs/>
          <w:i/>
          <w:iCs/>
          <w:lang w:val="en-GB"/>
        </w:rPr>
        <w:t xml:space="preserve"> </w:t>
      </w:r>
      <w:r w:rsidR="00CB135A">
        <w:rPr>
          <w:rFonts w:cs="Arial"/>
          <w:i/>
          <w:iCs/>
          <w:lang w:val="en-GB"/>
        </w:rPr>
        <w:t>is</w:t>
      </w:r>
      <w:r w:rsidR="00CB135A" w:rsidRPr="006C7311">
        <w:rPr>
          <w:rFonts w:cs="Arial"/>
          <w:i/>
          <w:iCs/>
          <w:lang w:val="en-GB"/>
        </w:rPr>
        <w:t xml:space="preserve"> </w:t>
      </w:r>
      <w:r w:rsidRPr="006C7311">
        <w:rPr>
          <w:rFonts w:cs="Arial"/>
          <w:i/>
          <w:iCs/>
          <w:lang w:val="en-GB"/>
        </w:rPr>
        <w:t xml:space="preserve">calculated as </w:t>
      </w:r>
      <w:r w:rsidR="00D0120C" w:rsidRPr="006C7311">
        <w:rPr>
          <w:rFonts w:cs="Arial"/>
          <w:i/>
          <w:iCs/>
          <w:lang w:val="en-GB"/>
        </w:rPr>
        <w:t>household's total disposable income divided by its equivalent size</w:t>
      </w:r>
      <w:r w:rsidR="00A812BC">
        <w:rPr>
          <w:rFonts w:cs="Arial"/>
          <w:i/>
          <w:iCs/>
          <w:lang w:val="en-GB"/>
        </w:rPr>
        <w:t>s</w:t>
      </w:r>
      <w:r w:rsidR="00CB135A">
        <w:rPr>
          <w:rFonts w:cs="Arial"/>
          <w:i/>
          <w:iCs/>
          <w:lang w:val="en-GB"/>
        </w:rPr>
        <w:t xml:space="preserve"> (according to the OECD-modified scale)</w:t>
      </w:r>
      <w:r w:rsidRPr="006C7311">
        <w:rPr>
          <w:rFonts w:cs="Arial"/>
          <w:i/>
          <w:iCs/>
          <w:lang w:val="en-GB"/>
        </w:rPr>
        <w:t xml:space="preserve">. </w:t>
      </w:r>
      <w:r w:rsidR="00701CFF" w:rsidRPr="006C7311">
        <w:rPr>
          <w:rFonts w:cs="Arial"/>
          <w:i/>
          <w:iCs/>
          <w:lang w:val="en-GB"/>
        </w:rPr>
        <w:t>Th</w:t>
      </w:r>
      <w:r w:rsidR="00701CFF">
        <w:rPr>
          <w:rFonts w:cs="Arial"/>
          <w:i/>
          <w:iCs/>
          <w:lang w:val="en-GB"/>
        </w:rPr>
        <w:t>e</w:t>
      </w:r>
      <w:r w:rsidR="00701CFF" w:rsidRPr="006C7311">
        <w:rPr>
          <w:rFonts w:cs="Arial"/>
          <w:i/>
          <w:iCs/>
          <w:lang w:val="en-GB"/>
        </w:rPr>
        <w:t xml:space="preserve"> </w:t>
      </w:r>
      <w:r w:rsidRPr="006C7311">
        <w:rPr>
          <w:rFonts w:cs="Arial"/>
          <w:i/>
          <w:iCs/>
          <w:lang w:val="en-GB"/>
        </w:rPr>
        <w:t>income</w:t>
      </w:r>
      <w:r w:rsidR="001D60FC">
        <w:rPr>
          <w:rFonts w:cs="Arial"/>
          <w:i/>
          <w:iCs/>
          <w:lang w:val="en-GB"/>
        </w:rPr>
        <w:t xml:space="preserve"> calculated like that</w:t>
      </w:r>
      <w:r w:rsidRPr="006C7311">
        <w:rPr>
          <w:rFonts w:cs="Arial"/>
          <w:i/>
          <w:iCs/>
          <w:lang w:val="en-GB"/>
        </w:rPr>
        <w:t xml:space="preserve"> </w:t>
      </w:r>
      <w:r w:rsidR="001D60FC">
        <w:rPr>
          <w:rFonts w:cs="Arial"/>
          <w:i/>
          <w:iCs/>
          <w:lang w:val="en-GB"/>
        </w:rPr>
        <w:t>is then</w:t>
      </w:r>
      <w:r w:rsidR="001D60FC" w:rsidRPr="006C7311">
        <w:rPr>
          <w:rFonts w:cs="Arial"/>
          <w:i/>
          <w:iCs/>
          <w:lang w:val="en-GB"/>
        </w:rPr>
        <w:t xml:space="preserve"> </w:t>
      </w:r>
      <w:r w:rsidRPr="006C7311">
        <w:rPr>
          <w:rFonts w:cs="Arial"/>
          <w:i/>
          <w:iCs/>
          <w:lang w:val="en-GB"/>
        </w:rPr>
        <w:t>allocated to all persons of the relevant household.</w:t>
      </w:r>
    </w:p>
    <w:p w:rsidR="00FC7562" w:rsidRPr="002E5464" w:rsidRDefault="00FC7562">
      <w:pPr>
        <w:spacing w:after="140"/>
        <w:jc w:val="both"/>
        <w:rPr>
          <w:rFonts w:ascii="Arial" w:hAnsi="Arial" w:cs="Arial"/>
          <w:b/>
          <w:bCs/>
          <w:i/>
          <w:iCs/>
          <w:sz w:val="20"/>
        </w:rPr>
      </w:pPr>
    </w:p>
    <w:p w:rsidR="00FC7562" w:rsidRPr="00711E28" w:rsidRDefault="00A5120B" w:rsidP="001D2A66">
      <w:pPr>
        <w:spacing w:after="140"/>
        <w:jc w:val="both"/>
        <w:rPr>
          <w:rFonts w:ascii="Arial" w:hAnsi="Arial" w:cs="Arial"/>
          <w:b/>
          <w:bCs/>
          <w:i/>
          <w:iCs/>
          <w:sz w:val="20"/>
          <w:highlight w:val="cyan"/>
          <w:lang w:val="en-GB"/>
        </w:rPr>
      </w:pPr>
      <w:r w:rsidRPr="00A5120B">
        <w:rPr>
          <w:rFonts w:ascii="Arial" w:hAnsi="Arial" w:cs="Arial"/>
          <w:bCs/>
          <w:i/>
          <w:iCs/>
          <w:sz w:val="20"/>
          <w:lang w:val="en-GB"/>
        </w:rPr>
        <w:t>The</w:t>
      </w:r>
      <w:r>
        <w:rPr>
          <w:rFonts w:ascii="Arial" w:hAnsi="Arial" w:cs="Arial"/>
          <w:b/>
          <w:bCs/>
          <w:i/>
          <w:iCs/>
          <w:sz w:val="20"/>
          <w:lang w:val="en-GB"/>
        </w:rPr>
        <w:t xml:space="preserve"> e</w:t>
      </w:r>
      <w:r w:rsidR="00FC7562" w:rsidRPr="00711E28">
        <w:rPr>
          <w:rFonts w:ascii="Arial" w:hAnsi="Arial" w:cs="Arial"/>
          <w:b/>
          <w:bCs/>
          <w:i/>
          <w:iCs/>
          <w:sz w:val="20"/>
          <w:lang w:val="en-GB"/>
        </w:rPr>
        <w:t xml:space="preserve">ducation level of </w:t>
      </w:r>
      <w:r>
        <w:rPr>
          <w:rFonts w:ascii="Arial" w:hAnsi="Arial" w:cs="Arial"/>
          <w:b/>
          <w:bCs/>
          <w:i/>
          <w:iCs/>
          <w:sz w:val="20"/>
          <w:lang w:val="en-GB"/>
        </w:rPr>
        <w:t>a</w:t>
      </w:r>
      <w:r w:rsidRPr="00711E28">
        <w:rPr>
          <w:rFonts w:ascii="Arial" w:hAnsi="Arial" w:cs="Arial"/>
          <w:b/>
          <w:bCs/>
          <w:i/>
          <w:iCs/>
          <w:sz w:val="20"/>
          <w:lang w:val="en-GB"/>
        </w:rPr>
        <w:t xml:space="preserve"> </w:t>
      </w:r>
      <w:r w:rsidR="00FC7562" w:rsidRPr="00711E28">
        <w:rPr>
          <w:rFonts w:ascii="Arial" w:hAnsi="Arial" w:cs="Arial"/>
          <w:b/>
          <w:bCs/>
          <w:i/>
          <w:iCs/>
          <w:sz w:val="20"/>
          <w:lang w:val="en-GB"/>
        </w:rPr>
        <w:t xml:space="preserve">household </w:t>
      </w:r>
      <w:r w:rsidR="00FC7562" w:rsidRPr="00711E28">
        <w:rPr>
          <w:rFonts w:ascii="Arial" w:hAnsi="Arial" w:cs="Arial"/>
          <w:i/>
          <w:iCs/>
          <w:sz w:val="20"/>
          <w:lang w:val="en-GB"/>
        </w:rPr>
        <w:t>is determined by the highest educational attain</w:t>
      </w:r>
      <w:r w:rsidR="00D0120C" w:rsidRPr="00711E28">
        <w:rPr>
          <w:rFonts w:ascii="Arial" w:hAnsi="Arial" w:cs="Arial"/>
          <w:i/>
          <w:iCs/>
          <w:sz w:val="20"/>
          <w:lang w:val="en-GB"/>
        </w:rPr>
        <w:t xml:space="preserve">ment of </w:t>
      </w:r>
      <w:r w:rsidR="00FC7562" w:rsidRPr="00711E28">
        <w:rPr>
          <w:rFonts w:ascii="Arial" w:hAnsi="Arial" w:cs="Arial"/>
          <w:i/>
          <w:iCs/>
          <w:sz w:val="20"/>
          <w:lang w:val="en-GB"/>
        </w:rPr>
        <w:t xml:space="preserve">the </w:t>
      </w:r>
      <w:r w:rsidR="00F84609">
        <w:rPr>
          <w:rFonts w:ascii="Arial" w:hAnsi="Arial" w:cs="Arial"/>
          <w:i/>
          <w:iCs/>
          <w:sz w:val="20"/>
          <w:lang w:val="en-GB"/>
        </w:rPr>
        <w:t xml:space="preserve">head of </w:t>
      </w:r>
      <w:r w:rsidR="00D0120C" w:rsidRPr="00711E28">
        <w:rPr>
          <w:rFonts w:ascii="Arial" w:hAnsi="Arial" w:cs="Arial"/>
          <w:i/>
          <w:iCs/>
          <w:sz w:val="20"/>
          <w:lang w:val="en-GB"/>
        </w:rPr>
        <w:t>household</w:t>
      </w:r>
      <w:r w:rsidR="00F309FD" w:rsidRPr="00711E28">
        <w:rPr>
          <w:rFonts w:ascii="Arial" w:hAnsi="Arial" w:cs="Arial"/>
          <w:i/>
          <w:iCs/>
          <w:sz w:val="20"/>
          <w:lang w:val="en-GB"/>
        </w:rPr>
        <w:t>;</w:t>
      </w:r>
      <w:r w:rsidR="00FC7562" w:rsidRPr="00711E28">
        <w:rPr>
          <w:rFonts w:ascii="Arial" w:hAnsi="Arial" w:cs="Arial"/>
          <w:i/>
          <w:iCs/>
          <w:sz w:val="20"/>
          <w:lang w:val="en-GB"/>
        </w:rPr>
        <w:t xml:space="preserve"> in two-parent families </w:t>
      </w:r>
      <w:r w:rsidR="00F309FD" w:rsidRPr="00711E28">
        <w:rPr>
          <w:rFonts w:ascii="Arial" w:hAnsi="Arial" w:cs="Arial"/>
          <w:i/>
          <w:iCs/>
          <w:sz w:val="20"/>
          <w:lang w:val="en-GB"/>
        </w:rPr>
        <w:t xml:space="preserve">the </w:t>
      </w:r>
      <w:r w:rsidR="00FC7562" w:rsidRPr="00711E28">
        <w:rPr>
          <w:rFonts w:ascii="Arial" w:hAnsi="Arial" w:cs="Arial"/>
          <w:i/>
          <w:iCs/>
          <w:sz w:val="20"/>
          <w:lang w:val="en-GB"/>
        </w:rPr>
        <w:t>education</w:t>
      </w:r>
      <w:r w:rsidR="00D0120C" w:rsidRPr="00711E28">
        <w:rPr>
          <w:rFonts w:ascii="Arial" w:hAnsi="Arial" w:cs="Arial"/>
          <w:i/>
          <w:iCs/>
          <w:sz w:val="20"/>
          <w:lang w:val="en-GB"/>
        </w:rPr>
        <w:t>al attainment</w:t>
      </w:r>
      <w:r w:rsidR="00FC7562" w:rsidRPr="00711E28">
        <w:rPr>
          <w:rFonts w:ascii="Arial" w:hAnsi="Arial" w:cs="Arial"/>
          <w:i/>
          <w:iCs/>
          <w:sz w:val="20"/>
          <w:lang w:val="en-GB"/>
        </w:rPr>
        <w:t xml:space="preserve"> of the partner is </w:t>
      </w:r>
      <w:r w:rsidR="00D0120C" w:rsidRPr="00711E28">
        <w:rPr>
          <w:rFonts w:ascii="Arial" w:hAnsi="Arial" w:cs="Arial"/>
          <w:i/>
          <w:iCs/>
          <w:sz w:val="20"/>
          <w:lang w:val="en-GB"/>
        </w:rPr>
        <w:t xml:space="preserve">also </w:t>
      </w:r>
      <w:r w:rsidR="00FC7562" w:rsidRPr="00711E28">
        <w:rPr>
          <w:rFonts w:ascii="Arial" w:hAnsi="Arial" w:cs="Arial"/>
          <w:i/>
          <w:iCs/>
          <w:sz w:val="20"/>
          <w:lang w:val="en-GB"/>
        </w:rPr>
        <w:t xml:space="preserve">taken into account. </w:t>
      </w:r>
    </w:p>
    <w:p w:rsidR="00FC7562" w:rsidRPr="00711E28" w:rsidRDefault="00FC7562" w:rsidP="00FC7562">
      <w:pPr>
        <w:numPr>
          <w:ilvl w:val="0"/>
          <w:numId w:val="1"/>
        </w:numPr>
        <w:spacing w:after="140"/>
        <w:jc w:val="both"/>
        <w:rPr>
          <w:rFonts w:ascii="Arial" w:hAnsi="Arial" w:cs="Arial"/>
          <w:i/>
          <w:iCs/>
          <w:sz w:val="20"/>
          <w:lang w:val="en-GB"/>
        </w:rPr>
      </w:pPr>
      <w:r w:rsidRPr="00711E28">
        <w:rPr>
          <w:rFonts w:ascii="Arial" w:hAnsi="Arial" w:cs="Arial"/>
          <w:i/>
          <w:iCs/>
          <w:sz w:val="20"/>
          <w:lang w:val="en-GB"/>
        </w:rPr>
        <w:t>Low level –</w:t>
      </w:r>
      <w:r w:rsidR="0090389F">
        <w:rPr>
          <w:rFonts w:ascii="Arial" w:hAnsi="Arial" w:cs="Arial"/>
          <w:i/>
          <w:iCs/>
          <w:sz w:val="20"/>
          <w:lang w:val="en-GB"/>
        </w:rPr>
        <w:t xml:space="preserve"> </w:t>
      </w:r>
      <w:r w:rsidRPr="00711E28">
        <w:rPr>
          <w:rFonts w:ascii="Arial" w:hAnsi="Arial" w:cs="Arial"/>
          <w:i/>
          <w:iCs/>
          <w:sz w:val="20"/>
          <w:lang w:val="en-GB"/>
        </w:rPr>
        <w:t>head</w:t>
      </w:r>
      <w:r w:rsidR="007D1C91">
        <w:rPr>
          <w:rFonts w:ascii="Arial" w:hAnsi="Arial" w:cs="Arial"/>
          <w:i/>
          <w:iCs/>
          <w:sz w:val="20"/>
          <w:lang w:val="en-GB"/>
        </w:rPr>
        <w:t xml:space="preserve"> of household</w:t>
      </w:r>
      <w:r w:rsidRPr="00711E28">
        <w:rPr>
          <w:rFonts w:ascii="Arial" w:hAnsi="Arial" w:cs="Arial"/>
          <w:i/>
          <w:iCs/>
          <w:sz w:val="20"/>
          <w:lang w:val="en-GB"/>
        </w:rPr>
        <w:t xml:space="preserve"> has basic education or </w:t>
      </w:r>
      <w:r w:rsidR="00D0120C" w:rsidRPr="00711E28">
        <w:rPr>
          <w:rFonts w:ascii="Arial" w:hAnsi="Arial" w:cs="Arial"/>
          <w:i/>
          <w:iCs/>
          <w:sz w:val="20"/>
          <w:lang w:val="en-GB"/>
        </w:rPr>
        <w:t>ha</w:t>
      </w:r>
      <w:r w:rsidRPr="00711E28">
        <w:rPr>
          <w:rFonts w:ascii="Arial" w:hAnsi="Arial" w:cs="Arial"/>
          <w:i/>
          <w:iCs/>
          <w:sz w:val="20"/>
          <w:lang w:val="en-GB"/>
        </w:rPr>
        <w:t xml:space="preserve">s </w:t>
      </w:r>
      <w:r w:rsidR="00D0120C" w:rsidRPr="00711E28">
        <w:rPr>
          <w:rFonts w:ascii="Arial" w:hAnsi="Arial" w:cs="Arial"/>
          <w:i/>
          <w:iCs/>
          <w:sz w:val="20"/>
          <w:lang w:val="en-GB"/>
        </w:rPr>
        <w:t xml:space="preserve">no </w:t>
      </w:r>
      <w:r w:rsidRPr="00711E28">
        <w:rPr>
          <w:rFonts w:ascii="Arial" w:hAnsi="Arial" w:cs="Arial"/>
          <w:i/>
          <w:iCs/>
          <w:sz w:val="20"/>
          <w:lang w:val="en-GB"/>
        </w:rPr>
        <w:t>education</w:t>
      </w:r>
      <w:r w:rsidR="00F309FD" w:rsidRPr="00711E28">
        <w:rPr>
          <w:rFonts w:ascii="Arial" w:hAnsi="Arial" w:cs="Arial"/>
          <w:i/>
          <w:iCs/>
          <w:sz w:val="20"/>
          <w:lang w:val="en-GB"/>
        </w:rPr>
        <w:t xml:space="preserve"> at all</w:t>
      </w:r>
      <w:r w:rsidRPr="00711E28">
        <w:rPr>
          <w:rFonts w:ascii="Arial" w:hAnsi="Arial" w:cs="Arial"/>
          <w:i/>
          <w:iCs/>
          <w:sz w:val="20"/>
          <w:lang w:val="en-GB"/>
        </w:rPr>
        <w:t>; in two-parent families both the partners have the relevant education</w:t>
      </w:r>
      <w:r w:rsidR="00D0120C" w:rsidRPr="00711E28">
        <w:rPr>
          <w:rFonts w:ascii="Arial" w:hAnsi="Arial" w:cs="Arial"/>
          <w:i/>
          <w:iCs/>
          <w:sz w:val="20"/>
          <w:lang w:val="en-GB"/>
        </w:rPr>
        <w:t>al attainment</w:t>
      </w:r>
      <w:r w:rsidRPr="00711E28">
        <w:rPr>
          <w:rFonts w:ascii="Arial" w:hAnsi="Arial" w:cs="Arial"/>
          <w:i/>
          <w:iCs/>
          <w:sz w:val="20"/>
          <w:lang w:val="en-GB"/>
        </w:rPr>
        <w:t>;</w:t>
      </w:r>
    </w:p>
    <w:p w:rsidR="00FC7562" w:rsidRPr="00711E28" w:rsidRDefault="00FC7562" w:rsidP="00FC7562">
      <w:pPr>
        <w:numPr>
          <w:ilvl w:val="0"/>
          <w:numId w:val="1"/>
        </w:numPr>
        <w:spacing w:after="140"/>
        <w:jc w:val="both"/>
        <w:rPr>
          <w:rFonts w:ascii="Arial" w:hAnsi="Arial" w:cs="Arial"/>
          <w:i/>
          <w:iCs/>
          <w:sz w:val="20"/>
          <w:lang w:val="en-GB"/>
        </w:rPr>
      </w:pPr>
      <w:r w:rsidRPr="00711E28">
        <w:rPr>
          <w:rFonts w:ascii="Arial" w:hAnsi="Arial" w:cs="Arial"/>
          <w:i/>
          <w:iCs/>
          <w:sz w:val="20"/>
          <w:lang w:val="en-GB"/>
        </w:rPr>
        <w:t>Medium level –</w:t>
      </w:r>
      <w:r w:rsidR="0090389F">
        <w:rPr>
          <w:rFonts w:ascii="Arial" w:hAnsi="Arial" w:cs="Arial"/>
          <w:i/>
          <w:iCs/>
          <w:sz w:val="20"/>
          <w:lang w:val="en-GB"/>
        </w:rPr>
        <w:t xml:space="preserve"> </w:t>
      </w:r>
      <w:r w:rsidRPr="00711E28">
        <w:rPr>
          <w:rFonts w:ascii="Arial" w:hAnsi="Arial" w:cs="Arial"/>
          <w:i/>
          <w:iCs/>
          <w:sz w:val="20"/>
          <w:lang w:val="en-GB"/>
        </w:rPr>
        <w:t>head</w:t>
      </w:r>
      <w:r w:rsidR="007D1C91">
        <w:rPr>
          <w:rFonts w:ascii="Arial" w:hAnsi="Arial" w:cs="Arial"/>
          <w:i/>
          <w:iCs/>
          <w:sz w:val="20"/>
          <w:lang w:val="en-GB"/>
        </w:rPr>
        <w:t xml:space="preserve"> of household</w:t>
      </w:r>
      <w:r w:rsidRPr="00711E28">
        <w:rPr>
          <w:rFonts w:ascii="Arial" w:hAnsi="Arial" w:cs="Arial"/>
          <w:i/>
          <w:iCs/>
          <w:sz w:val="20"/>
          <w:lang w:val="en-GB"/>
        </w:rPr>
        <w:t xml:space="preserve"> or</w:t>
      </w:r>
      <w:r w:rsidR="00D0120C" w:rsidRPr="00711E28">
        <w:rPr>
          <w:rFonts w:ascii="Arial" w:hAnsi="Arial" w:cs="Arial"/>
          <w:i/>
          <w:iCs/>
          <w:sz w:val="20"/>
          <w:lang w:val="en-GB"/>
        </w:rPr>
        <w:t>,</w:t>
      </w:r>
      <w:r w:rsidRPr="00711E28">
        <w:rPr>
          <w:rFonts w:ascii="Arial" w:hAnsi="Arial" w:cs="Arial"/>
          <w:i/>
          <w:iCs/>
          <w:sz w:val="20"/>
          <w:lang w:val="en-GB"/>
        </w:rPr>
        <w:t xml:space="preserve"> at least</w:t>
      </w:r>
      <w:r w:rsidR="00D0120C" w:rsidRPr="00711E28">
        <w:rPr>
          <w:rFonts w:ascii="Arial" w:hAnsi="Arial" w:cs="Arial"/>
          <w:i/>
          <w:iCs/>
          <w:sz w:val="20"/>
          <w:lang w:val="en-GB"/>
        </w:rPr>
        <w:t>,</w:t>
      </w:r>
      <w:r w:rsidRPr="00711E28">
        <w:rPr>
          <w:rFonts w:ascii="Arial" w:hAnsi="Arial" w:cs="Arial"/>
          <w:i/>
          <w:iCs/>
          <w:sz w:val="20"/>
          <w:lang w:val="en-GB"/>
        </w:rPr>
        <w:t xml:space="preserve"> one of the partners has secondary education;</w:t>
      </w:r>
      <w:r w:rsidR="00215E4B" w:rsidRPr="00711E28">
        <w:rPr>
          <w:rFonts w:ascii="Arial" w:hAnsi="Arial" w:cs="Arial"/>
          <w:i/>
          <w:iCs/>
          <w:sz w:val="20"/>
          <w:lang w:val="en-GB"/>
        </w:rPr>
        <w:t xml:space="preserve"> </w:t>
      </w:r>
      <w:r w:rsidR="00C13C77" w:rsidRPr="00711E28">
        <w:rPr>
          <w:rFonts w:ascii="Arial" w:hAnsi="Arial" w:cs="Arial"/>
          <w:i/>
          <w:iCs/>
          <w:sz w:val="20"/>
          <w:lang w:val="en-GB"/>
        </w:rPr>
        <w:t>none of th</w:t>
      </w:r>
      <w:r w:rsidR="001A52D3" w:rsidRPr="00711E28">
        <w:rPr>
          <w:rFonts w:ascii="Arial" w:hAnsi="Arial" w:cs="Arial"/>
          <w:i/>
          <w:iCs/>
          <w:sz w:val="20"/>
          <w:lang w:val="en-GB"/>
        </w:rPr>
        <w:t>e partners</w:t>
      </w:r>
      <w:r w:rsidR="00C13C77" w:rsidRPr="00711E28">
        <w:rPr>
          <w:rFonts w:ascii="Arial" w:hAnsi="Arial" w:cs="Arial"/>
          <w:i/>
          <w:iCs/>
          <w:sz w:val="20"/>
          <w:lang w:val="en-GB"/>
        </w:rPr>
        <w:t xml:space="preserve"> has higher education;</w:t>
      </w:r>
    </w:p>
    <w:p w:rsidR="00FC7562" w:rsidRPr="00711E28" w:rsidRDefault="00FC7562" w:rsidP="00FC7562">
      <w:pPr>
        <w:numPr>
          <w:ilvl w:val="0"/>
          <w:numId w:val="1"/>
        </w:numPr>
        <w:spacing w:after="140"/>
        <w:jc w:val="both"/>
        <w:rPr>
          <w:rFonts w:ascii="Arial" w:hAnsi="Arial" w:cs="Arial"/>
          <w:i/>
          <w:iCs/>
          <w:sz w:val="20"/>
          <w:lang w:val="en-GB"/>
        </w:rPr>
      </w:pPr>
      <w:r w:rsidRPr="00711E28">
        <w:rPr>
          <w:rFonts w:ascii="Arial" w:hAnsi="Arial" w:cs="Arial"/>
          <w:i/>
          <w:iCs/>
          <w:sz w:val="20"/>
          <w:lang w:val="en-GB"/>
        </w:rPr>
        <w:t>High level –</w:t>
      </w:r>
      <w:r w:rsidR="0090389F">
        <w:rPr>
          <w:rFonts w:ascii="Arial" w:hAnsi="Arial" w:cs="Arial"/>
          <w:i/>
          <w:iCs/>
          <w:sz w:val="20"/>
          <w:lang w:val="en-GB"/>
        </w:rPr>
        <w:t xml:space="preserve"> </w:t>
      </w:r>
      <w:r w:rsidRPr="00711E28">
        <w:rPr>
          <w:rFonts w:ascii="Arial" w:hAnsi="Arial" w:cs="Arial"/>
          <w:i/>
          <w:iCs/>
          <w:sz w:val="20"/>
          <w:lang w:val="en-GB"/>
        </w:rPr>
        <w:t>head</w:t>
      </w:r>
      <w:r w:rsidR="007D1C91">
        <w:rPr>
          <w:rFonts w:ascii="Arial" w:hAnsi="Arial" w:cs="Arial"/>
          <w:i/>
          <w:iCs/>
          <w:sz w:val="20"/>
          <w:lang w:val="en-GB"/>
        </w:rPr>
        <w:t xml:space="preserve"> of household</w:t>
      </w:r>
      <w:r w:rsidRPr="00711E28">
        <w:rPr>
          <w:rFonts w:ascii="Arial" w:hAnsi="Arial" w:cs="Arial"/>
          <w:i/>
          <w:iCs/>
          <w:sz w:val="20"/>
          <w:lang w:val="en-GB"/>
        </w:rPr>
        <w:t xml:space="preserve"> or</w:t>
      </w:r>
      <w:r w:rsidR="00D0120C" w:rsidRPr="00711E28">
        <w:rPr>
          <w:rFonts w:ascii="Arial" w:hAnsi="Arial" w:cs="Arial"/>
          <w:i/>
          <w:iCs/>
          <w:sz w:val="20"/>
          <w:lang w:val="en-GB"/>
        </w:rPr>
        <w:t>,</w:t>
      </w:r>
      <w:r w:rsidRPr="00711E28">
        <w:rPr>
          <w:rFonts w:ascii="Arial" w:hAnsi="Arial" w:cs="Arial"/>
          <w:i/>
          <w:iCs/>
          <w:sz w:val="20"/>
          <w:lang w:val="en-GB"/>
        </w:rPr>
        <w:t xml:space="preserve"> at least</w:t>
      </w:r>
      <w:r w:rsidR="00D0120C" w:rsidRPr="00711E28">
        <w:rPr>
          <w:rFonts w:ascii="Arial" w:hAnsi="Arial" w:cs="Arial"/>
          <w:i/>
          <w:iCs/>
          <w:sz w:val="20"/>
          <w:lang w:val="en-GB"/>
        </w:rPr>
        <w:t>,</w:t>
      </w:r>
      <w:r w:rsidRPr="00711E28">
        <w:rPr>
          <w:rFonts w:ascii="Arial" w:hAnsi="Arial" w:cs="Arial"/>
          <w:i/>
          <w:iCs/>
          <w:sz w:val="20"/>
          <w:lang w:val="en-GB"/>
        </w:rPr>
        <w:t xml:space="preserve"> one of the partners has </w:t>
      </w:r>
      <w:r w:rsidR="00D0120C" w:rsidRPr="00711E28">
        <w:rPr>
          <w:rFonts w:ascii="Arial" w:hAnsi="Arial" w:cs="Arial"/>
          <w:i/>
          <w:iCs/>
          <w:sz w:val="20"/>
          <w:lang w:val="en-GB"/>
        </w:rPr>
        <w:t>higher</w:t>
      </w:r>
      <w:r w:rsidRPr="00711E28">
        <w:rPr>
          <w:rFonts w:ascii="Arial" w:hAnsi="Arial" w:cs="Arial"/>
          <w:i/>
          <w:iCs/>
          <w:sz w:val="20"/>
          <w:lang w:val="en-GB"/>
        </w:rPr>
        <w:t xml:space="preserve"> education. </w:t>
      </w:r>
    </w:p>
    <w:p w:rsidR="00FC7562" w:rsidRPr="00711E28" w:rsidRDefault="0073390C">
      <w:pPr>
        <w:spacing w:after="140"/>
        <w:ind w:firstLine="720"/>
        <w:jc w:val="both"/>
        <w:rPr>
          <w:rFonts w:ascii="Arial" w:hAnsi="Arial" w:cs="Arial"/>
          <w:i/>
          <w:iCs/>
          <w:sz w:val="20"/>
          <w:lang w:val="en-GB"/>
        </w:rPr>
      </w:pPr>
      <w:r>
        <w:rPr>
          <w:rFonts w:ascii="Arial" w:hAnsi="Arial" w:cs="Arial"/>
          <w:i/>
          <w:iCs/>
          <w:sz w:val="20"/>
          <w:lang w:val="en-GB"/>
        </w:rPr>
        <w:t>P</w:t>
      </w:r>
      <w:r w:rsidRPr="00711E28">
        <w:rPr>
          <w:rFonts w:ascii="Arial" w:hAnsi="Arial" w:cs="Arial"/>
          <w:i/>
          <w:iCs/>
          <w:sz w:val="20"/>
          <w:lang w:val="en-GB"/>
        </w:rPr>
        <w:t xml:space="preserve">ublished </w:t>
      </w:r>
      <w:r>
        <w:rPr>
          <w:rFonts w:ascii="Arial" w:hAnsi="Arial" w:cs="Arial"/>
          <w:i/>
          <w:iCs/>
          <w:sz w:val="20"/>
          <w:lang w:val="en-GB"/>
        </w:rPr>
        <w:t>p</w:t>
      </w:r>
      <w:r w:rsidR="00FC7562" w:rsidRPr="00711E28">
        <w:rPr>
          <w:rFonts w:ascii="Arial" w:hAnsi="Arial" w:cs="Arial"/>
          <w:i/>
          <w:iCs/>
          <w:sz w:val="20"/>
          <w:lang w:val="en-GB"/>
        </w:rPr>
        <w:t xml:space="preserve">overty indicators </w:t>
      </w:r>
      <w:r w:rsidR="00390D37" w:rsidRPr="00711E28">
        <w:rPr>
          <w:rFonts w:ascii="Arial" w:hAnsi="Arial" w:cs="Arial"/>
          <w:i/>
          <w:iCs/>
          <w:sz w:val="20"/>
          <w:lang w:val="en-GB"/>
        </w:rPr>
        <w:t>belong to</w:t>
      </w:r>
      <w:r w:rsidR="00FC7562" w:rsidRPr="00711E28">
        <w:rPr>
          <w:rFonts w:ascii="Arial" w:hAnsi="Arial" w:cs="Arial"/>
          <w:i/>
          <w:iCs/>
          <w:sz w:val="20"/>
          <w:lang w:val="en-GB"/>
        </w:rPr>
        <w:t xml:space="preserve"> the set of indicators used for evaluation of the </w:t>
      </w:r>
      <w:r w:rsidR="00D0120C" w:rsidRPr="00711E28">
        <w:rPr>
          <w:rFonts w:ascii="Arial" w:hAnsi="Arial" w:cs="Arial"/>
          <w:i/>
          <w:iCs/>
          <w:sz w:val="20"/>
          <w:lang w:val="en-GB"/>
        </w:rPr>
        <w:t>at-risk-of-poverty rate</w:t>
      </w:r>
      <w:r w:rsidR="00FC7562" w:rsidRPr="00711E28">
        <w:rPr>
          <w:rFonts w:ascii="Arial" w:hAnsi="Arial" w:cs="Arial"/>
          <w:i/>
          <w:iCs/>
          <w:sz w:val="20"/>
          <w:lang w:val="en-GB"/>
        </w:rPr>
        <w:t>.</w:t>
      </w:r>
    </w:p>
    <w:p w:rsidR="00FC7562" w:rsidRDefault="00F13080" w:rsidP="00F13080">
      <w:pPr>
        <w:pStyle w:val="Nadpis2"/>
        <w:rPr>
          <w:lang w:val="en-GB"/>
        </w:rPr>
      </w:pPr>
      <w:r w:rsidRPr="00711E28">
        <w:rPr>
          <w:rFonts w:cs="Arial"/>
          <w:b/>
          <w:bCs/>
          <w:iCs/>
          <w:szCs w:val="24"/>
          <w:lang w:val="en-GB"/>
        </w:rPr>
        <w:t>Inequality of income distribution</w:t>
      </w:r>
      <w:r w:rsidRPr="00711E28">
        <w:rPr>
          <w:lang w:val="en-GB"/>
        </w:rPr>
        <w:t xml:space="preserve"> (</w:t>
      </w:r>
      <w:r w:rsidR="0051724A">
        <w:rPr>
          <w:lang w:val="en-GB"/>
        </w:rPr>
        <w:t xml:space="preserve">the </w:t>
      </w:r>
      <w:r w:rsidR="00EE18B7" w:rsidRPr="00711E28">
        <w:rPr>
          <w:b/>
          <w:lang w:val="en-GB"/>
        </w:rPr>
        <w:t>income quintile share ratio</w:t>
      </w:r>
      <w:r w:rsidR="00A40211" w:rsidRPr="00711E28">
        <w:rPr>
          <w:b/>
          <w:lang w:val="en-GB"/>
        </w:rPr>
        <w:t xml:space="preserve"> </w:t>
      </w:r>
      <w:r w:rsidR="0051724A" w:rsidRPr="0051724A">
        <w:rPr>
          <w:lang w:val="en-GB"/>
        </w:rPr>
        <w:t>or the</w:t>
      </w:r>
      <w:r w:rsidR="0051724A">
        <w:rPr>
          <w:b/>
          <w:lang w:val="en-GB"/>
        </w:rPr>
        <w:t xml:space="preserve"> </w:t>
      </w:r>
      <w:r w:rsidR="00A40211" w:rsidRPr="00711E28">
        <w:rPr>
          <w:b/>
          <w:lang w:val="en-GB"/>
        </w:rPr>
        <w:t>S80/S20</w:t>
      </w:r>
      <w:r w:rsidR="0051724A">
        <w:rPr>
          <w:b/>
          <w:lang w:val="en-GB"/>
        </w:rPr>
        <w:t xml:space="preserve"> ratio</w:t>
      </w:r>
      <w:r w:rsidR="00FC7562" w:rsidRPr="00711E28">
        <w:rPr>
          <w:lang w:val="en-GB"/>
        </w:rPr>
        <w:t>) –</w:t>
      </w:r>
      <w:r w:rsidR="0051724A">
        <w:rPr>
          <w:lang w:val="en-GB"/>
        </w:rPr>
        <w:t xml:space="preserve"> </w:t>
      </w:r>
      <w:r w:rsidR="00E56AF0" w:rsidRPr="00711E28">
        <w:rPr>
          <w:lang w:val="en-GB"/>
        </w:rPr>
        <w:t>t</w:t>
      </w:r>
      <w:r w:rsidR="00EE18B7" w:rsidRPr="00711E28">
        <w:rPr>
          <w:lang w:val="en-GB"/>
        </w:rPr>
        <w:t>he ratio of total income received by the 20% of the population with the highest income (top quintile) to that received by the 20% of the population with the lowest income (</w:t>
      </w:r>
      <w:r w:rsidR="0092257B">
        <w:rPr>
          <w:lang w:val="en-GB"/>
        </w:rPr>
        <w:t>lowest</w:t>
      </w:r>
      <w:r w:rsidR="0051724A" w:rsidRPr="00711E28">
        <w:rPr>
          <w:lang w:val="en-GB"/>
        </w:rPr>
        <w:t xml:space="preserve"> </w:t>
      </w:r>
      <w:r w:rsidR="00EE18B7" w:rsidRPr="00711E28">
        <w:rPr>
          <w:lang w:val="en-GB"/>
        </w:rPr>
        <w:t xml:space="preserve">quintile). </w:t>
      </w:r>
      <w:r w:rsidR="0095699B">
        <w:rPr>
          <w:lang w:val="en-GB"/>
        </w:rPr>
        <w:t>All incomes are compiled</w:t>
      </w:r>
      <w:r w:rsidR="00EE18B7" w:rsidRPr="00711E28">
        <w:rPr>
          <w:lang w:val="en-GB"/>
        </w:rPr>
        <w:t xml:space="preserve"> as equivalised disposable income</w:t>
      </w:r>
      <w:r w:rsidR="0095699B">
        <w:rPr>
          <w:lang w:val="en-GB"/>
        </w:rPr>
        <w:t>s according to the OECD-modified scale</w:t>
      </w:r>
      <w:r w:rsidR="00EE18B7" w:rsidRPr="00711E28">
        <w:rPr>
          <w:lang w:val="en-GB"/>
        </w:rPr>
        <w:t>.</w:t>
      </w:r>
      <w:r w:rsidR="00FC7562" w:rsidRPr="00711E28">
        <w:rPr>
          <w:lang w:val="en-GB"/>
        </w:rPr>
        <w:t xml:space="preserve"> The higher</w:t>
      </w:r>
      <w:r w:rsidR="000B4AF5">
        <w:rPr>
          <w:lang w:val="en-GB"/>
        </w:rPr>
        <w:t xml:space="preserve"> is</w:t>
      </w:r>
      <w:r w:rsidR="00FC7562" w:rsidRPr="00711E28">
        <w:rPr>
          <w:lang w:val="en-GB"/>
        </w:rPr>
        <w:t xml:space="preserve"> the </w:t>
      </w:r>
      <w:r w:rsidR="00EE18B7" w:rsidRPr="00711E28">
        <w:rPr>
          <w:lang w:val="en-GB"/>
        </w:rPr>
        <w:t xml:space="preserve">coefficient </w:t>
      </w:r>
      <w:r w:rsidR="00FC7562" w:rsidRPr="00711E28">
        <w:rPr>
          <w:lang w:val="en-GB"/>
        </w:rPr>
        <w:t xml:space="preserve">value the </w:t>
      </w:r>
      <w:r w:rsidR="00EE18B7" w:rsidRPr="00711E28">
        <w:rPr>
          <w:lang w:val="en-GB"/>
        </w:rPr>
        <w:t xml:space="preserve">more </w:t>
      </w:r>
      <w:r w:rsidR="00FC7562" w:rsidRPr="00711E28">
        <w:rPr>
          <w:lang w:val="en-GB"/>
        </w:rPr>
        <w:t>differentiat</w:t>
      </w:r>
      <w:r w:rsidR="00EE18B7" w:rsidRPr="00711E28">
        <w:rPr>
          <w:lang w:val="en-GB"/>
        </w:rPr>
        <w:t>ed</w:t>
      </w:r>
      <w:r w:rsidR="00224D7B" w:rsidRPr="00711E28">
        <w:rPr>
          <w:lang w:val="en-GB"/>
        </w:rPr>
        <w:t xml:space="preserve"> income</w:t>
      </w:r>
      <w:r w:rsidR="00FC7562" w:rsidRPr="00711E28">
        <w:rPr>
          <w:lang w:val="en-GB"/>
        </w:rPr>
        <w:t xml:space="preserve">. </w:t>
      </w:r>
    </w:p>
    <w:p w:rsidR="00FC7562" w:rsidRPr="00181A8A" w:rsidRDefault="00FC7562">
      <w:pPr>
        <w:jc w:val="both"/>
        <w:rPr>
          <w:rFonts w:ascii="Arial" w:hAnsi="Arial" w:cs="Arial"/>
          <w:i/>
          <w:iCs/>
          <w:sz w:val="20"/>
          <w:lang w:val="en-US"/>
        </w:rPr>
      </w:pPr>
    </w:p>
    <w:p w:rsidR="00FC7562" w:rsidRPr="00711E28" w:rsidRDefault="00FC7562" w:rsidP="001D2A66">
      <w:pPr>
        <w:jc w:val="both"/>
        <w:rPr>
          <w:rFonts w:ascii="Arial" w:hAnsi="Arial" w:cs="Arial"/>
          <w:i/>
          <w:iCs/>
          <w:sz w:val="20"/>
          <w:lang w:val="en-GB"/>
        </w:rPr>
      </w:pPr>
      <w:r w:rsidRPr="006C61B4">
        <w:rPr>
          <w:rFonts w:ascii="Arial" w:hAnsi="Arial" w:cs="Arial"/>
          <w:b/>
          <w:bCs/>
          <w:i/>
          <w:iCs/>
          <w:sz w:val="20"/>
          <w:lang w:val="en-GB"/>
        </w:rPr>
        <w:t xml:space="preserve">Relative </w:t>
      </w:r>
      <w:r w:rsidR="004A0C38" w:rsidRPr="006C61B4">
        <w:rPr>
          <w:rFonts w:ascii="Arial" w:hAnsi="Arial" w:cs="Arial"/>
          <w:b/>
          <w:bCs/>
          <w:i/>
          <w:iCs/>
          <w:sz w:val="20"/>
          <w:lang w:val="en-GB"/>
        </w:rPr>
        <w:t>median</w:t>
      </w:r>
      <w:r w:rsidR="00F309FD" w:rsidRPr="006C61B4">
        <w:rPr>
          <w:rFonts w:ascii="Arial" w:hAnsi="Arial" w:cs="Arial"/>
          <w:b/>
          <w:bCs/>
          <w:i/>
          <w:iCs/>
          <w:sz w:val="20"/>
          <w:lang w:val="en-GB"/>
        </w:rPr>
        <w:t xml:space="preserve"> </w:t>
      </w:r>
      <w:r w:rsidRPr="006C61B4">
        <w:rPr>
          <w:rFonts w:ascii="Arial" w:hAnsi="Arial" w:cs="Arial"/>
          <w:b/>
          <w:bCs/>
          <w:i/>
          <w:iCs/>
          <w:sz w:val="20"/>
          <w:lang w:val="en-GB"/>
        </w:rPr>
        <w:t>at-risk-of-poverty gap</w:t>
      </w:r>
      <w:r w:rsidRPr="006C61B4">
        <w:rPr>
          <w:rFonts w:ascii="Arial" w:hAnsi="Arial" w:cs="Arial"/>
          <w:i/>
          <w:iCs/>
          <w:sz w:val="20"/>
          <w:lang w:val="en-GB"/>
        </w:rPr>
        <w:t xml:space="preserve"> </w:t>
      </w:r>
      <w:r w:rsidR="00BD0327" w:rsidRPr="006C61B4">
        <w:rPr>
          <w:rFonts w:ascii="Arial" w:hAnsi="Arial"/>
          <w:i/>
          <w:sz w:val="20"/>
          <w:szCs w:val="20"/>
          <w:lang w:val="en-GB"/>
        </w:rPr>
        <w:t>is calculated as the</w:t>
      </w:r>
      <w:r w:rsidR="00BD0327" w:rsidRPr="00711E28">
        <w:rPr>
          <w:rFonts w:ascii="Arial" w:hAnsi="Arial"/>
          <w:i/>
          <w:sz w:val="20"/>
          <w:szCs w:val="20"/>
          <w:lang w:val="en-GB"/>
        </w:rPr>
        <w:t xml:space="preserve"> difference between the median equivalised disposable income of people below the at-risk-of-poverty threshold and the at-risk-of-poverty threshold, expressed as a percentage of the at-risk-of-poverty threshold (cut-off point: 60% of national median equivali</w:t>
      </w:r>
      <w:r w:rsidR="00DB784D" w:rsidRPr="00711E28">
        <w:rPr>
          <w:rFonts w:ascii="Arial" w:hAnsi="Arial"/>
          <w:i/>
          <w:sz w:val="20"/>
          <w:szCs w:val="20"/>
          <w:lang w:val="en-GB"/>
        </w:rPr>
        <w:t>s</w:t>
      </w:r>
      <w:r w:rsidR="00BD0327" w:rsidRPr="00711E28">
        <w:rPr>
          <w:rFonts w:ascii="Arial" w:hAnsi="Arial"/>
          <w:i/>
          <w:sz w:val="20"/>
          <w:szCs w:val="20"/>
          <w:lang w:val="en-GB"/>
        </w:rPr>
        <w:t>ed disposable income).</w:t>
      </w:r>
      <w:r w:rsidRPr="00711E28">
        <w:rPr>
          <w:rFonts w:ascii="Arial" w:hAnsi="Arial" w:cs="Arial"/>
          <w:i/>
          <w:iCs/>
          <w:sz w:val="20"/>
          <w:lang w:val="en-GB"/>
        </w:rPr>
        <w:t xml:space="preserve"> The higher the coefficient the deeper </w:t>
      </w:r>
      <w:r w:rsidR="00BD0327" w:rsidRPr="00711E28">
        <w:rPr>
          <w:rFonts w:ascii="Arial" w:hAnsi="Arial" w:cs="Arial"/>
          <w:i/>
          <w:iCs/>
          <w:sz w:val="20"/>
          <w:lang w:val="en-GB"/>
        </w:rPr>
        <w:t xml:space="preserve">persons </w:t>
      </w:r>
      <w:r w:rsidRPr="00711E28">
        <w:rPr>
          <w:rFonts w:ascii="Arial" w:hAnsi="Arial" w:cs="Arial"/>
          <w:i/>
          <w:iCs/>
          <w:sz w:val="20"/>
          <w:lang w:val="en-GB"/>
        </w:rPr>
        <w:t xml:space="preserve">fall </w:t>
      </w:r>
      <w:r w:rsidR="00BD0327" w:rsidRPr="00711E28">
        <w:rPr>
          <w:rFonts w:ascii="Arial" w:hAnsi="Arial" w:cs="Arial"/>
          <w:i/>
          <w:iCs/>
          <w:sz w:val="20"/>
          <w:lang w:val="en-GB"/>
        </w:rPr>
        <w:t>below</w:t>
      </w:r>
      <w:r w:rsidRPr="00711E28">
        <w:rPr>
          <w:rFonts w:ascii="Arial" w:hAnsi="Arial" w:cs="Arial"/>
          <w:i/>
          <w:iCs/>
          <w:sz w:val="20"/>
          <w:lang w:val="en-GB"/>
        </w:rPr>
        <w:t xml:space="preserve"> the poverty</w:t>
      </w:r>
      <w:r w:rsidR="00BD0327" w:rsidRPr="00711E28">
        <w:rPr>
          <w:rFonts w:ascii="Arial" w:hAnsi="Arial" w:cs="Arial"/>
          <w:i/>
          <w:iCs/>
          <w:sz w:val="20"/>
          <w:lang w:val="en-GB"/>
        </w:rPr>
        <w:t xml:space="preserve"> threshold</w:t>
      </w:r>
      <w:r w:rsidRPr="00711E28">
        <w:rPr>
          <w:rFonts w:ascii="Arial" w:hAnsi="Arial" w:cs="Arial"/>
          <w:i/>
          <w:iCs/>
          <w:sz w:val="20"/>
          <w:lang w:val="en-GB"/>
        </w:rPr>
        <w:t>.</w:t>
      </w:r>
    </w:p>
    <w:p w:rsidR="00FC7562" w:rsidRPr="00711E28" w:rsidRDefault="00FC7562">
      <w:pPr>
        <w:ind w:firstLine="708"/>
        <w:jc w:val="both"/>
        <w:rPr>
          <w:rFonts w:ascii="Arial" w:hAnsi="Arial" w:cs="Arial"/>
          <w:i/>
          <w:iCs/>
          <w:sz w:val="20"/>
          <w:lang w:val="en-GB"/>
        </w:rPr>
      </w:pPr>
    </w:p>
    <w:p w:rsidR="00FC7562" w:rsidRDefault="00BD0327" w:rsidP="001D2A66">
      <w:pPr>
        <w:jc w:val="both"/>
        <w:rPr>
          <w:rFonts w:ascii="Arial" w:hAnsi="Arial" w:cs="Arial"/>
          <w:i/>
          <w:iCs/>
          <w:sz w:val="20"/>
          <w:lang w:val="en-GB"/>
        </w:rPr>
      </w:pPr>
      <w:r w:rsidRPr="00711E28">
        <w:rPr>
          <w:rFonts w:ascii="Arial" w:hAnsi="Arial"/>
          <w:i/>
          <w:sz w:val="20"/>
          <w:szCs w:val="20"/>
          <w:lang w:val="en-GB"/>
        </w:rPr>
        <w:t xml:space="preserve">The </w:t>
      </w:r>
      <w:proofErr w:type="spellStart"/>
      <w:r w:rsidRPr="00711E28">
        <w:rPr>
          <w:rFonts w:ascii="Arial" w:hAnsi="Arial"/>
          <w:b/>
          <w:i/>
          <w:sz w:val="20"/>
          <w:szCs w:val="20"/>
          <w:lang w:val="en-GB"/>
        </w:rPr>
        <w:t>Gini</w:t>
      </w:r>
      <w:proofErr w:type="spellEnd"/>
      <w:r w:rsidRPr="00711E28">
        <w:rPr>
          <w:rFonts w:ascii="Arial" w:hAnsi="Arial"/>
          <w:b/>
          <w:i/>
          <w:sz w:val="20"/>
          <w:szCs w:val="20"/>
          <w:lang w:val="en-GB"/>
        </w:rPr>
        <w:t xml:space="preserve"> coefficient</w:t>
      </w:r>
      <w:r w:rsidRPr="00711E28">
        <w:rPr>
          <w:rFonts w:ascii="Arial" w:hAnsi="Arial"/>
          <w:i/>
          <w:sz w:val="20"/>
          <w:szCs w:val="20"/>
          <w:lang w:val="en-GB"/>
        </w:rPr>
        <w:t xml:space="preserve"> is defined as the relationship of cumulative shares of the population arranged according to the level of equivalised disposable income</w:t>
      </w:r>
      <w:r w:rsidR="001A1E6C">
        <w:rPr>
          <w:rFonts w:ascii="Arial" w:hAnsi="Arial"/>
          <w:i/>
          <w:sz w:val="20"/>
          <w:szCs w:val="20"/>
          <w:lang w:val="en-GB"/>
        </w:rPr>
        <w:t xml:space="preserve"> (according to the</w:t>
      </w:r>
      <w:r w:rsidR="00601BB2">
        <w:rPr>
          <w:rFonts w:ascii="Arial" w:hAnsi="Arial"/>
          <w:i/>
          <w:sz w:val="20"/>
          <w:szCs w:val="20"/>
          <w:lang w:val="en-GB"/>
        </w:rPr>
        <w:t xml:space="preserve"> OECD-</w:t>
      </w:r>
      <w:r w:rsidR="001A1E6C">
        <w:rPr>
          <w:rFonts w:ascii="Arial" w:hAnsi="Arial"/>
          <w:i/>
          <w:sz w:val="20"/>
          <w:szCs w:val="20"/>
          <w:lang w:val="en-GB"/>
        </w:rPr>
        <w:t>modified scale)</w:t>
      </w:r>
      <w:r w:rsidRPr="00711E28">
        <w:rPr>
          <w:rFonts w:ascii="Arial" w:hAnsi="Arial"/>
          <w:i/>
          <w:sz w:val="20"/>
          <w:szCs w:val="20"/>
          <w:lang w:val="en-GB"/>
        </w:rPr>
        <w:t>, to the cumulative share of the equivalised total disposable income received by them.</w:t>
      </w:r>
      <w:r w:rsidRPr="00711E28">
        <w:rPr>
          <w:lang w:val="en-GB"/>
        </w:rPr>
        <w:t xml:space="preserve"> </w:t>
      </w:r>
      <w:r w:rsidR="00FC7562" w:rsidRPr="00711E28">
        <w:rPr>
          <w:rFonts w:ascii="Arial" w:hAnsi="Arial" w:cs="Arial"/>
          <w:i/>
          <w:iCs/>
          <w:sz w:val="20"/>
          <w:lang w:val="en-GB"/>
        </w:rPr>
        <w:t xml:space="preserve">The higher </w:t>
      </w:r>
      <w:r w:rsidR="00C73B29">
        <w:rPr>
          <w:rFonts w:ascii="Arial" w:hAnsi="Arial" w:cs="Arial"/>
          <w:i/>
          <w:iCs/>
          <w:sz w:val="20"/>
          <w:lang w:val="en-GB"/>
        </w:rPr>
        <w:t xml:space="preserve">is </w:t>
      </w:r>
      <w:r w:rsidR="00041CD9">
        <w:rPr>
          <w:rFonts w:ascii="Arial" w:hAnsi="Arial" w:cs="Arial"/>
          <w:i/>
          <w:iCs/>
          <w:sz w:val="20"/>
          <w:lang w:val="en-GB"/>
        </w:rPr>
        <w:t>the coefficient</w:t>
      </w:r>
      <w:r w:rsidR="00041CD9" w:rsidRPr="00711E28">
        <w:rPr>
          <w:rFonts w:ascii="Arial" w:hAnsi="Arial" w:cs="Arial"/>
          <w:i/>
          <w:iCs/>
          <w:sz w:val="20"/>
          <w:lang w:val="en-GB"/>
        </w:rPr>
        <w:t xml:space="preserve"> </w:t>
      </w:r>
      <w:r w:rsidR="00215E4B" w:rsidRPr="00711E28">
        <w:rPr>
          <w:rFonts w:ascii="Arial" w:hAnsi="Arial" w:cs="Arial"/>
          <w:i/>
          <w:iCs/>
          <w:sz w:val="20"/>
          <w:lang w:val="en-GB"/>
        </w:rPr>
        <w:t>val</w:t>
      </w:r>
      <w:r w:rsidR="00FC7562" w:rsidRPr="00711E28">
        <w:rPr>
          <w:rFonts w:ascii="Arial" w:hAnsi="Arial" w:cs="Arial"/>
          <w:i/>
          <w:iCs/>
          <w:sz w:val="20"/>
          <w:lang w:val="en-GB"/>
        </w:rPr>
        <w:t>ue the higher</w:t>
      </w:r>
      <w:r w:rsidR="00C73B29">
        <w:rPr>
          <w:rFonts w:ascii="Arial" w:hAnsi="Arial" w:cs="Arial"/>
          <w:i/>
          <w:iCs/>
          <w:sz w:val="20"/>
          <w:lang w:val="en-GB"/>
        </w:rPr>
        <w:t xml:space="preserve"> income</w:t>
      </w:r>
      <w:r w:rsidR="00FC7562" w:rsidRPr="00711E28">
        <w:rPr>
          <w:rFonts w:ascii="Arial" w:hAnsi="Arial" w:cs="Arial"/>
          <w:i/>
          <w:iCs/>
          <w:sz w:val="20"/>
          <w:lang w:val="en-GB"/>
        </w:rPr>
        <w:t xml:space="preserve"> </w:t>
      </w:r>
      <w:r w:rsidR="006131D4" w:rsidRPr="00711E28">
        <w:rPr>
          <w:rFonts w:ascii="Arial" w:hAnsi="Arial" w:cs="Arial"/>
          <w:i/>
          <w:iCs/>
          <w:sz w:val="20"/>
          <w:lang w:val="en-GB"/>
        </w:rPr>
        <w:t>inequality</w:t>
      </w:r>
      <w:r w:rsidR="00FC7562" w:rsidRPr="00711E28">
        <w:rPr>
          <w:rFonts w:ascii="Arial" w:hAnsi="Arial" w:cs="Arial"/>
          <w:i/>
          <w:iCs/>
          <w:sz w:val="20"/>
          <w:lang w:val="en-GB"/>
        </w:rPr>
        <w:t>.</w:t>
      </w:r>
    </w:p>
    <w:p w:rsidR="00C82DB2" w:rsidRPr="00711E28" w:rsidRDefault="00C82DB2" w:rsidP="001D2A66">
      <w:pPr>
        <w:jc w:val="both"/>
        <w:rPr>
          <w:rFonts w:ascii="Arial" w:hAnsi="Arial" w:cs="Arial"/>
          <w:i/>
          <w:iCs/>
          <w:sz w:val="20"/>
          <w:lang w:val="en-GB"/>
        </w:rPr>
      </w:pPr>
    </w:p>
    <w:sectPr w:rsidR="00C82DB2" w:rsidRPr="00711E28" w:rsidSect="00E21718">
      <w:footerReference w:type="even" r:id="rId8"/>
      <w:pgSz w:w="11906" w:h="16838"/>
      <w:pgMar w:top="1417" w:right="1417" w:bottom="1417" w:left="1417"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EB" w:rsidRDefault="00173EEB">
      <w:r>
        <w:separator/>
      </w:r>
    </w:p>
  </w:endnote>
  <w:endnote w:type="continuationSeparator" w:id="0">
    <w:p w:rsidR="00173EEB" w:rsidRDefault="00173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C6" w:rsidRDefault="008039C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039C6" w:rsidRDefault="008039C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EB" w:rsidRDefault="00173EEB">
      <w:r>
        <w:separator/>
      </w:r>
    </w:p>
  </w:footnote>
  <w:footnote w:type="continuationSeparator" w:id="0">
    <w:p w:rsidR="00173EEB" w:rsidRDefault="00173E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91ADB"/>
    <w:multiLevelType w:val="hybridMultilevel"/>
    <w:tmpl w:val="015A5654"/>
    <w:lvl w:ilvl="0" w:tplc="F5789874">
      <w:start w:val="3"/>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
    <w:nsid w:val="3337733E"/>
    <w:multiLevelType w:val="hybridMultilevel"/>
    <w:tmpl w:val="B8064D2A"/>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7334E09"/>
    <w:multiLevelType w:val="hybridMultilevel"/>
    <w:tmpl w:val="EFD09A7E"/>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A2736E8"/>
    <w:multiLevelType w:val="hybridMultilevel"/>
    <w:tmpl w:val="92788EE8"/>
    <w:lvl w:ilvl="0" w:tplc="7C9871EA">
      <w:start w:val="1"/>
      <w:numFmt w:val="bullet"/>
      <w:lvlText w:val="-"/>
      <w:lvlJc w:val="left"/>
      <w:pPr>
        <w:tabs>
          <w:tab w:val="num" w:pos="1410"/>
        </w:tabs>
        <w:ind w:left="1410" w:hanging="705"/>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2E3"/>
    <w:rsid w:val="00006DD9"/>
    <w:rsid w:val="000107E0"/>
    <w:rsid w:val="00010F44"/>
    <w:rsid w:val="00011B6F"/>
    <w:rsid w:val="00022C02"/>
    <w:rsid w:val="00023488"/>
    <w:rsid w:val="0002784D"/>
    <w:rsid w:val="000401EC"/>
    <w:rsid w:val="00040F30"/>
    <w:rsid w:val="00041CD9"/>
    <w:rsid w:val="00042A76"/>
    <w:rsid w:val="000472FC"/>
    <w:rsid w:val="000504EE"/>
    <w:rsid w:val="00051B4D"/>
    <w:rsid w:val="00051DB8"/>
    <w:rsid w:val="00054F16"/>
    <w:rsid w:val="00056E44"/>
    <w:rsid w:val="00081B9D"/>
    <w:rsid w:val="000868AE"/>
    <w:rsid w:val="00091E62"/>
    <w:rsid w:val="00097E40"/>
    <w:rsid w:val="000A6424"/>
    <w:rsid w:val="000B20DF"/>
    <w:rsid w:val="000B4AF5"/>
    <w:rsid w:val="000D12A1"/>
    <w:rsid w:val="000D3B51"/>
    <w:rsid w:val="000D63BA"/>
    <w:rsid w:val="000E12B2"/>
    <w:rsid w:val="000E2142"/>
    <w:rsid w:val="000E3919"/>
    <w:rsid w:val="000E3EF6"/>
    <w:rsid w:val="000E441F"/>
    <w:rsid w:val="000F0A0C"/>
    <w:rsid w:val="000F1B8A"/>
    <w:rsid w:val="000F2189"/>
    <w:rsid w:val="000F53FF"/>
    <w:rsid w:val="00101A12"/>
    <w:rsid w:val="00105045"/>
    <w:rsid w:val="00105ECF"/>
    <w:rsid w:val="00107394"/>
    <w:rsid w:val="001162E3"/>
    <w:rsid w:val="00117623"/>
    <w:rsid w:val="00117829"/>
    <w:rsid w:val="00120326"/>
    <w:rsid w:val="001205E7"/>
    <w:rsid w:val="001231C2"/>
    <w:rsid w:val="00127514"/>
    <w:rsid w:val="00140E60"/>
    <w:rsid w:val="00141459"/>
    <w:rsid w:val="0014302D"/>
    <w:rsid w:val="00147E22"/>
    <w:rsid w:val="0015386C"/>
    <w:rsid w:val="0015428B"/>
    <w:rsid w:val="001554C3"/>
    <w:rsid w:val="0015783E"/>
    <w:rsid w:val="0016230E"/>
    <w:rsid w:val="00163B8B"/>
    <w:rsid w:val="00164259"/>
    <w:rsid w:val="00164E71"/>
    <w:rsid w:val="00167C80"/>
    <w:rsid w:val="00173EEB"/>
    <w:rsid w:val="00181A8A"/>
    <w:rsid w:val="00192185"/>
    <w:rsid w:val="001A095B"/>
    <w:rsid w:val="001A1E6C"/>
    <w:rsid w:val="001A52D3"/>
    <w:rsid w:val="001A582B"/>
    <w:rsid w:val="001B1785"/>
    <w:rsid w:val="001B4B01"/>
    <w:rsid w:val="001C3A3C"/>
    <w:rsid w:val="001D2854"/>
    <w:rsid w:val="001D2A66"/>
    <w:rsid w:val="001D2F8A"/>
    <w:rsid w:val="001D60FC"/>
    <w:rsid w:val="001E0089"/>
    <w:rsid w:val="001E1189"/>
    <w:rsid w:val="001E4FF4"/>
    <w:rsid w:val="001F3390"/>
    <w:rsid w:val="001F350A"/>
    <w:rsid w:val="001F6DF1"/>
    <w:rsid w:val="002004FC"/>
    <w:rsid w:val="0020143E"/>
    <w:rsid w:val="002022AF"/>
    <w:rsid w:val="00204CE0"/>
    <w:rsid w:val="0021527D"/>
    <w:rsid w:val="00215E4B"/>
    <w:rsid w:val="002166C9"/>
    <w:rsid w:val="002176E4"/>
    <w:rsid w:val="00224D7B"/>
    <w:rsid w:val="0023200C"/>
    <w:rsid w:val="002373F1"/>
    <w:rsid w:val="002377E5"/>
    <w:rsid w:val="0025128E"/>
    <w:rsid w:val="00256AD9"/>
    <w:rsid w:val="00256F19"/>
    <w:rsid w:val="002655A1"/>
    <w:rsid w:val="00274B59"/>
    <w:rsid w:val="0028006C"/>
    <w:rsid w:val="00293BE6"/>
    <w:rsid w:val="00293C23"/>
    <w:rsid w:val="002A0ECD"/>
    <w:rsid w:val="002A2E35"/>
    <w:rsid w:val="002B1612"/>
    <w:rsid w:val="002B5213"/>
    <w:rsid w:val="002B6259"/>
    <w:rsid w:val="002B66CC"/>
    <w:rsid w:val="002B69FC"/>
    <w:rsid w:val="002B7454"/>
    <w:rsid w:val="002C37C9"/>
    <w:rsid w:val="002D322F"/>
    <w:rsid w:val="002D5BA1"/>
    <w:rsid w:val="002D5E07"/>
    <w:rsid w:val="002D65EB"/>
    <w:rsid w:val="002D6870"/>
    <w:rsid w:val="002E00F0"/>
    <w:rsid w:val="002E3790"/>
    <w:rsid w:val="002E411A"/>
    <w:rsid w:val="002E5464"/>
    <w:rsid w:val="002E6507"/>
    <w:rsid w:val="002F4ADA"/>
    <w:rsid w:val="002F535E"/>
    <w:rsid w:val="002F74FB"/>
    <w:rsid w:val="00305131"/>
    <w:rsid w:val="00311466"/>
    <w:rsid w:val="003243F8"/>
    <w:rsid w:val="003272D5"/>
    <w:rsid w:val="00332CC3"/>
    <w:rsid w:val="00334115"/>
    <w:rsid w:val="00334129"/>
    <w:rsid w:val="00342D5C"/>
    <w:rsid w:val="00352745"/>
    <w:rsid w:val="00357957"/>
    <w:rsid w:val="0038163E"/>
    <w:rsid w:val="003818BD"/>
    <w:rsid w:val="00383D47"/>
    <w:rsid w:val="00385AC1"/>
    <w:rsid w:val="00386080"/>
    <w:rsid w:val="00386AD3"/>
    <w:rsid w:val="0038783D"/>
    <w:rsid w:val="0039004F"/>
    <w:rsid w:val="00390D37"/>
    <w:rsid w:val="003910C8"/>
    <w:rsid w:val="003949AA"/>
    <w:rsid w:val="003A1E51"/>
    <w:rsid w:val="003A2D51"/>
    <w:rsid w:val="003C4C2A"/>
    <w:rsid w:val="003C5865"/>
    <w:rsid w:val="003D4438"/>
    <w:rsid w:val="003E4365"/>
    <w:rsid w:val="003F0392"/>
    <w:rsid w:val="003F2BBA"/>
    <w:rsid w:val="003F7651"/>
    <w:rsid w:val="004004C9"/>
    <w:rsid w:val="00403690"/>
    <w:rsid w:val="00403DBB"/>
    <w:rsid w:val="004103DD"/>
    <w:rsid w:val="00412840"/>
    <w:rsid w:val="004204BF"/>
    <w:rsid w:val="0042165A"/>
    <w:rsid w:val="00426623"/>
    <w:rsid w:val="00427122"/>
    <w:rsid w:val="00427BE1"/>
    <w:rsid w:val="004320A9"/>
    <w:rsid w:val="004374CC"/>
    <w:rsid w:val="004437A7"/>
    <w:rsid w:val="004518DD"/>
    <w:rsid w:val="00454B93"/>
    <w:rsid w:val="00462E74"/>
    <w:rsid w:val="004648CA"/>
    <w:rsid w:val="00464981"/>
    <w:rsid w:val="00466030"/>
    <w:rsid w:val="004744F2"/>
    <w:rsid w:val="0047668E"/>
    <w:rsid w:val="00477CF7"/>
    <w:rsid w:val="00494804"/>
    <w:rsid w:val="004954DB"/>
    <w:rsid w:val="00495B4E"/>
    <w:rsid w:val="00497CAC"/>
    <w:rsid w:val="004A009B"/>
    <w:rsid w:val="004A0C38"/>
    <w:rsid w:val="004A47E0"/>
    <w:rsid w:val="004A610E"/>
    <w:rsid w:val="004A6ACE"/>
    <w:rsid w:val="004B6B50"/>
    <w:rsid w:val="004C385E"/>
    <w:rsid w:val="004C56D5"/>
    <w:rsid w:val="004D4F64"/>
    <w:rsid w:val="004D5AD1"/>
    <w:rsid w:val="004E0AD2"/>
    <w:rsid w:val="004E5376"/>
    <w:rsid w:val="004E7984"/>
    <w:rsid w:val="004F29B6"/>
    <w:rsid w:val="004F4205"/>
    <w:rsid w:val="004F4D95"/>
    <w:rsid w:val="004F535A"/>
    <w:rsid w:val="00502072"/>
    <w:rsid w:val="0051084F"/>
    <w:rsid w:val="00510C19"/>
    <w:rsid w:val="0051139C"/>
    <w:rsid w:val="00516CB2"/>
    <w:rsid w:val="0051724A"/>
    <w:rsid w:val="00524027"/>
    <w:rsid w:val="0052712B"/>
    <w:rsid w:val="00527281"/>
    <w:rsid w:val="00536948"/>
    <w:rsid w:val="005414F9"/>
    <w:rsid w:val="00541945"/>
    <w:rsid w:val="00556404"/>
    <w:rsid w:val="00560D5B"/>
    <w:rsid w:val="00562A79"/>
    <w:rsid w:val="005708AE"/>
    <w:rsid w:val="00571829"/>
    <w:rsid w:val="00576AAD"/>
    <w:rsid w:val="0057721B"/>
    <w:rsid w:val="00585C4B"/>
    <w:rsid w:val="005933AB"/>
    <w:rsid w:val="00593AB8"/>
    <w:rsid w:val="005956CD"/>
    <w:rsid w:val="00597E76"/>
    <w:rsid w:val="005B086A"/>
    <w:rsid w:val="005B15E4"/>
    <w:rsid w:val="005B1E35"/>
    <w:rsid w:val="005B4383"/>
    <w:rsid w:val="005B76C2"/>
    <w:rsid w:val="005C033B"/>
    <w:rsid w:val="005D24C8"/>
    <w:rsid w:val="005D29E6"/>
    <w:rsid w:val="005D3B46"/>
    <w:rsid w:val="005E09A2"/>
    <w:rsid w:val="005E597B"/>
    <w:rsid w:val="005F392C"/>
    <w:rsid w:val="005F3A1D"/>
    <w:rsid w:val="005F516A"/>
    <w:rsid w:val="005F6264"/>
    <w:rsid w:val="00600968"/>
    <w:rsid w:val="00601BB2"/>
    <w:rsid w:val="00605384"/>
    <w:rsid w:val="00611C51"/>
    <w:rsid w:val="006131D4"/>
    <w:rsid w:val="006150AC"/>
    <w:rsid w:val="006153B0"/>
    <w:rsid w:val="00616E98"/>
    <w:rsid w:val="00620423"/>
    <w:rsid w:val="006300AE"/>
    <w:rsid w:val="006340DB"/>
    <w:rsid w:val="00635E01"/>
    <w:rsid w:val="00646D08"/>
    <w:rsid w:val="00655FF4"/>
    <w:rsid w:val="00671031"/>
    <w:rsid w:val="00681087"/>
    <w:rsid w:val="00683AC7"/>
    <w:rsid w:val="006857BC"/>
    <w:rsid w:val="0068660E"/>
    <w:rsid w:val="006961EC"/>
    <w:rsid w:val="006A0CCD"/>
    <w:rsid w:val="006A2AEA"/>
    <w:rsid w:val="006A414D"/>
    <w:rsid w:val="006A5FF3"/>
    <w:rsid w:val="006B66BD"/>
    <w:rsid w:val="006C61B4"/>
    <w:rsid w:val="006C6909"/>
    <w:rsid w:val="006C7311"/>
    <w:rsid w:val="006D4931"/>
    <w:rsid w:val="006D717B"/>
    <w:rsid w:val="006E2DB9"/>
    <w:rsid w:val="006E5A72"/>
    <w:rsid w:val="006F0C40"/>
    <w:rsid w:val="00701CFF"/>
    <w:rsid w:val="0070544B"/>
    <w:rsid w:val="00711E28"/>
    <w:rsid w:val="0071380B"/>
    <w:rsid w:val="00714A0B"/>
    <w:rsid w:val="00722516"/>
    <w:rsid w:val="00724563"/>
    <w:rsid w:val="00726047"/>
    <w:rsid w:val="00726D4C"/>
    <w:rsid w:val="00732D3D"/>
    <w:rsid w:val="0073390C"/>
    <w:rsid w:val="00733B38"/>
    <w:rsid w:val="00735823"/>
    <w:rsid w:val="00737D15"/>
    <w:rsid w:val="007441B6"/>
    <w:rsid w:val="0075034F"/>
    <w:rsid w:val="007515C2"/>
    <w:rsid w:val="00756A75"/>
    <w:rsid w:val="00756E70"/>
    <w:rsid w:val="007570CE"/>
    <w:rsid w:val="00760D31"/>
    <w:rsid w:val="007627B3"/>
    <w:rsid w:val="00764E30"/>
    <w:rsid w:val="007660DB"/>
    <w:rsid w:val="0077164B"/>
    <w:rsid w:val="00771693"/>
    <w:rsid w:val="00792082"/>
    <w:rsid w:val="00792B9F"/>
    <w:rsid w:val="00794208"/>
    <w:rsid w:val="00795A46"/>
    <w:rsid w:val="007B05C4"/>
    <w:rsid w:val="007C357A"/>
    <w:rsid w:val="007C69A8"/>
    <w:rsid w:val="007D1C91"/>
    <w:rsid w:val="007D42D8"/>
    <w:rsid w:val="007E3500"/>
    <w:rsid w:val="007E4BE5"/>
    <w:rsid w:val="007F48A8"/>
    <w:rsid w:val="007F516B"/>
    <w:rsid w:val="00801759"/>
    <w:rsid w:val="00801B30"/>
    <w:rsid w:val="008039C6"/>
    <w:rsid w:val="008121FF"/>
    <w:rsid w:val="00814E4B"/>
    <w:rsid w:val="00815A0C"/>
    <w:rsid w:val="00815F99"/>
    <w:rsid w:val="00816BB1"/>
    <w:rsid w:val="00817A96"/>
    <w:rsid w:val="008326EF"/>
    <w:rsid w:val="00834F46"/>
    <w:rsid w:val="0083555F"/>
    <w:rsid w:val="00841FF0"/>
    <w:rsid w:val="008426EE"/>
    <w:rsid w:val="00842845"/>
    <w:rsid w:val="00845B43"/>
    <w:rsid w:val="0085142A"/>
    <w:rsid w:val="00856BA8"/>
    <w:rsid w:val="00862E68"/>
    <w:rsid w:val="00864E00"/>
    <w:rsid w:val="00870977"/>
    <w:rsid w:val="00872117"/>
    <w:rsid w:val="00872D1B"/>
    <w:rsid w:val="008730BE"/>
    <w:rsid w:val="00877151"/>
    <w:rsid w:val="00890984"/>
    <w:rsid w:val="00893AB8"/>
    <w:rsid w:val="00895446"/>
    <w:rsid w:val="00896651"/>
    <w:rsid w:val="00897871"/>
    <w:rsid w:val="008A1E88"/>
    <w:rsid w:val="008B28A1"/>
    <w:rsid w:val="008B33DE"/>
    <w:rsid w:val="008B3791"/>
    <w:rsid w:val="008B48ED"/>
    <w:rsid w:val="008B5666"/>
    <w:rsid w:val="008B7CBB"/>
    <w:rsid w:val="008C47EC"/>
    <w:rsid w:val="008D4D39"/>
    <w:rsid w:val="008F17FA"/>
    <w:rsid w:val="008F4817"/>
    <w:rsid w:val="0090389F"/>
    <w:rsid w:val="0090646D"/>
    <w:rsid w:val="0092257B"/>
    <w:rsid w:val="009263DD"/>
    <w:rsid w:val="0092770F"/>
    <w:rsid w:val="00931A50"/>
    <w:rsid w:val="009345CA"/>
    <w:rsid w:val="0093774C"/>
    <w:rsid w:val="00941A40"/>
    <w:rsid w:val="00943474"/>
    <w:rsid w:val="00943C65"/>
    <w:rsid w:val="00945714"/>
    <w:rsid w:val="00947411"/>
    <w:rsid w:val="0095064D"/>
    <w:rsid w:val="00954E3F"/>
    <w:rsid w:val="009553A8"/>
    <w:rsid w:val="00955D07"/>
    <w:rsid w:val="0095699B"/>
    <w:rsid w:val="00961092"/>
    <w:rsid w:val="00961723"/>
    <w:rsid w:val="00967D3E"/>
    <w:rsid w:val="0097510A"/>
    <w:rsid w:val="00975E20"/>
    <w:rsid w:val="00981C4E"/>
    <w:rsid w:val="00982342"/>
    <w:rsid w:val="00983D5D"/>
    <w:rsid w:val="0098439C"/>
    <w:rsid w:val="0099040C"/>
    <w:rsid w:val="00995897"/>
    <w:rsid w:val="009962E8"/>
    <w:rsid w:val="009A143D"/>
    <w:rsid w:val="009A1513"/>
    <w:rsid w:val="009A1913"/>
    <w:rsid w:val="009C56C8"/>
    <w:rsid w:val="009C5990"/>
    <w:rsid w:val="009D23CF"/>
    <w:rsid w:val="009D5D1B"/>
    <w:rsid w:val="009D6EB5"/>
    <w:rsid w:val="009E037F"/>
    <w:rsid w:val="009E0D9D"/>
    <w:rsid w:val="009E34BF"/>
    <w:rsid w:val="009E56F9"/>
    <w:rsid w:val="009E759F"/>
    <w:rsid w:val="009F3A4D"/>
    <w:rsid w:val="00A02F16"/>
    <w:rsid w:val="00A05BC8"/>
    <w:rsid w:val="00A07009"/>
    <w:rsid w:val="00A11B3D"/>
    <w:rsid w:val="00A13654"/>
    <w:rsid w:val="00A15F8F"/>
    <w:rsid w:val="00A20A37"/>
    <w:rsid w:val="00A26C8D"/>
    <w:rsid w:val="00A2778C"/>
    <w:rsid w:val="00A3469E"/>
    <w:rsid w:val="00A35FA5"/>
    <w:rsid w:val="00A40211"/>
    <w:rsid w:val="00A51030"/>
    <w:rsid w:val="00A5120B"/>
    <w:rsid w:val="00A53A2B"/>
    <w:rsid w:val="00A54330"/>
    <w:rsid w:val="00A812BC"/>
    <w:rsid w:val="00A86484"/>
    <w:rsid w:val="00A87C5C"/>
    <w:rsid w:val="00A94B1B"/>
    <w:rsid w:val="00AA0CCC"/>
    <w:rsid w:val="00AA7BE3"/>
    <w:rsid w:val="00AB379F"/>
    <w:rsid w:val="00AC0A89"/>
    <w:rsid w:val="00AC2C84"/>
    <w:rsid w:val="00AD4AAB"/>
    <w:rsid w:val="00AD5028"/>
    <w:rsid w:val="00AE503F"/>
    <w:rsid w:val="00AF6711"/>
    <w:rsid w:val="00AF69AB"/>
    <w:rsid w:val="00B030E1"/>
    <w:rsid w:val="00B060CF"/>
    <w:rsid w:val="00B13FFC"/>
    <w:rsid w:val="00B20073"/>
    <w:rsid w:val="00B20203"/>
    <w:rsid w:val="00B23D8C"/>
    <w:rsid w:val="00B32C56"/>
    <w:rsid w:val="00B411A8"/>
    <w:rsid w:val="00B43521"/>
    <w:rsid w:val="00B440D4"/>
    <w:rsid w:val="00B46BF3"/>
    <w:rsid w:val="00B524BC"/>
    <w:rsid w:val="00B52B3C"/>
    <w:rsid w:val="00B53281"/>
    <w:rsid w:val="00B534A8"/>
    <w:rsid w:val="00B604AC"/>
    <w:rsid w:val="00B605FC"/>
    <w:rsid w:val="00B70F88"/>
    <w:rsid w:val="00B71A59"/>
    <w:rsid w:val="00B75A55"/>
    <w:rsid w:val="00B75D99"/>
    <w:rsid w:val="00B76C53"/>
    <w:rsid w:val="00B8145E"/>
    <w:rsid w:val="00B81867"/>
    <w:rsid w:val="00B839E2"/>
    <w:rsid w:val="00B8402A"/>
    <w:rsid w:val="00B84CFC"/>
    <w:rsid w:val="00B87AA5"/>
    <w:rsid w:val="00B9618E"/>
    <w:rsid w:val="00B96A82"/>
    <w:rsid w:val="00BA57F1"/>
    <w:rsid w:val="00BC0858"/>
    <w:rsid w:val="00BC4E6A"/>
    <w:rsid w:val="00BC5E96"/>
    <w:rsid w:val="00BC733C"/>
    <w:rsid w:val="00BD0327"/>
    <w:rsid w:val="00BD6CC0"/>
    <w:rsid w:val="00BE6665"/>
    <w:rsid w:val="00BE6CE1"/>
    <w:rsid w:val="00BF41E2"/>
    <w:rsid w:val="00BF7729"/>
    <w:rsid w:val="00C00EDB"/>
    <w:rsid w:val="00C01931"/>
    <w:rsid w:val="00C020CA"/>
    <w:rsid w:val="00C0356D"/>
    <w:rsid w:val="00C07173"/>
    <w:rsid w:val="00C07E31"/>
    <w:rsid w:val="00C13AA3"/>
    <w:rsid w:val="00C13C77"/>
    <w:rsid w:val="00C26CD2"/>
    <w:rsid w:val="00C307DB"/>
    <w:rsid w:val="00C31078"/>
    <w:rsid w:val="00C31CA6"/>
    <w:rsid w:val="00C35D6E"/>
    <w:rsid w:val="00C46A8E"/>
    <w:rsid w:val="00C47B69"/>
    <w:rsid w:val="00C50C24"/>
    <w:rsid w:val="00C53249"/>
    <w:rsid w:val="00C5696A"/>
    <w:rsid w:val="00C73AD2"/>
    <w:rsid w:val="00C73B29"/>
    <w:rsid w:val="00C73B80"/>
    <w:rsid w:val="00C82DB2"/>
    <w:rsid w:val="00C84629"/>
    <w:rsid w:val="00C924BA"/>
    <w:rsid w:val="00C93AD3"/>
    <w:rsid w:val="00C9421D"/>
    <w:rsid w:val="00C968B6"/>
    <w:rsid w:val="00CA21E6"/>
    <w:rsid w:val="00CA4D44"/>
    <w:rsid w:val="00CB135A"/>
    <w:rsid w:val="00CD161E"/>
    <w:rsid w:val="00CD192A"/>
    <w:rsid w:val="00CD6495"/>
    <w:rsid w:val="00CE1C64"/>
    <w:rsid w:val="00CE40F0"/>
    <w:rsid w:val="00CF0F96"/>
    <w:rsid w:val="00CF2ECE"/>
    <w:rsid w:val="00CF70A3"/>
    <w:rsid w:val="00CF7962"/>
    <w:rsid w:val="00D002FF"/>
    <w:rsid w:val="00D00F20"/>
    <w:rsid w:val="00D0120C"/>
    <w:rsid w:val="00D11436"/>
    <w:rsid w:val="00D16EAD"/>
    <w:rsid w:val="00D2556F"/>
    <w:rsid w:val="00D35AAA"/>
    <w:rsid w:val="00D51C5D"/>
    <w:rsid w:val="00D52572"/>
    <w:rsid w:val="00D54FCC"/>
    <w:rsid w:val="00D5513C"/>
    <w:rsid w:val="00D56877"/>
    <w:rsid w:val="00D56D35"/>
    <w:rsid w:val="00D6251A"/>
    <w:rsid w:val="00D7317F"/>
    <w:rsid w:val="00D80BAC"/>
    <w:rsid w:val="00D83B02"/>
    <w:rsid w:val="00D84B40"/>
    <w:rsid w:val="00D933DF"/>
    <w:rsid w:val="00D96BBC"/>
    <w:rsid w:val="00DA3DBB"/>
    <w:rsid w:val="00DA42A6"/>
    <w:rsid w:val="00DB163B"/>
    <w:rsid w:val="00DB784D"/>
    <w:rsid w:val="00DC4076"/>
    <w:rsid w:val="00DC4737"/>
    <w:rsid w:val="00DC5DFB"/>
    <w:rsid w:val="00DD3DDB"/>
    <w:rsid w:val="00DD5532"/>
    <w:rsid w:val="00DE70AC"/>
    <w:rsid w:val="00DF163B"/>
    <w:rsid w:val="00DF248D"/>
    <w:rsid w:val="00E00EC5"/>
    <w:rsid w:val="00E013BA"/>
    <w:rsid w:val="00E01696"/>
    <w:rsid w:val="00E02688"/>
    <w:rsid w:val="00E10D8D"/>
    <w:rsid w:val="00E12427"/>
    <w:rsid w:val="00E1286C"/>
    <w:rsid w:val="00E12D8D"/>
    <w:rsid w:val="00E132A3"/>
    <w:rsid w:val="00E21718"/>
    <w:rsid w:val="00E22913"/>
    <w:rsid w:val="00E23BE7"/>
    <w:rsid w:val="00E2650F"/>
    <w:rsid w:val="00E3168D"/>
    <w:rsid w:val="00E34C35"/>
    <w:rsid w:val="00E35720"/>
    <w:rsid w:val="00E35C1B"/>
    <w:rsid w:val="00E3777A"/>
    <w:rsid w:val="00E409F2"/>
    <w:rsid w:val="00E44442"/>
    <w:rsid w:val="00E45CB7"/>
    <w:rsid w:val="00E46609"/>
    <w:rsid w:val="00E56AF0"/>
    <w:rsid w:val="00E65B1D"/>
    <w:rsid w:val="00E7140E"/>
    <w:rsid w:val="00E75988"/>
    <w:rsid w:val="00E76DFD"/>
    <w:rsid w:val="00E805ED"/>
    <w:rsid w:val="00E8337E"/>
    <w:rsid w:val="00E84FD4"/>
    <w:rsid w:val="00EA0D65"/>
    <w:rsid w:val="00EA3B03"/>
    <w:rsid w:val="00EB59EE"/>
    <w:rsid w:val="00EC08ED"/>
    <w:rsid w:val="00EC1F45"/>
    <w:rsid w:val="00EC26CE"/>
    <w:rsid w:val="00EC5370"/>
    <w:rsid w:val="00ED2310"/>
    <w:rsid w:val="00ED383B"/>
    <w:rsid w:val="00ED4FB5"/>
    <w:rsid w:val="00ED7A87"/>
    <w:rsid w:val="00EE13B1"/>
    <w:rsid w:val="00EE18B7"/>
    <w:rsid w:val="00EE356A"/>
    <w:rsid w:val="00EF1026"/>
    <w:rsid w:val="00EF5197"/>
    <w:rsid w:val="00F07261"/>
    <w:rsid w:val="00F079B0"/>
    <w:rsid w:val="00F13080"/>
    <w:rsid w:val="00F2185D"/>
    <w:rsid w:val="00F309FD"/>
    <w:rsid w:val="00F3342F"/>
    <w:rsid w:val="00F35D04"/>
    <w:rsid w:val="00F40464"/>
    <w:rsid w:val="00F443EF"/>
    <w:rsid w:val="00F44545"/>
    <w:rsid w:val="00F44D7F"/>
    <w:rsid w:val="00F51CD9"/>
    <w:rsid w:val="00F61369"/>
    <w:rsid w:val="00F64B5F"/>
    <w:rsid w:val="00F65A3E"/>
    <w:rsid w:val="00F67BC9"/>
    <w:rsid w:val="00F70816"/>
    <w:rsid w:val="00F729C7"/>
    <w:rsid w:val="00F768AF"/>
    <w:rsid w:val="00F84609"/>
    <w:rsid w:val="00F9057B"/>
    <w:rsid w:val="00F91E15"/>
    <w:rsid w:val="00F954DA"/>
    <w:rsid w:val="00F97B3C"/>
    <w:rsid w:val="00FA1AFC"/>
    <w:rsid w:val="00FA70BC"/>
    <w:rsid w:val="00FA7643"/>
    <w:rsid w:val="00FB159A"/>
    <w:rsid w:val="00FB335F"/>
    <w:rsid w:val="00FB67CA"/>
    <w:rsid w:val="00FC2904"/>
    <w:rsid w:val="00FC7562"/>
    <w:rsid w:val="00FE56A9"/>
    <w:rsid w:val="00FE5B2B"/>
    <w:rsid w:val="00FF73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paragraph" w:styleId="Nadpis2">
    <w:name w:val="heading 2"/>
    <w:basedOn w:val="Normln"/>
    <w:next w:val="Normln"/>
    <w:qFormat/>
    <w:pPr>
      <w:keepNext/>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overflowPunct w:val="0"/>
      <w:autoSpaceDE w:val="0"/>
      <w:autoSpaceDN w:val="0"/>
      <w:adjustRightInd w:val="0"/>
      <w:jc w:val="both"/>
      <w:textAlignment w:val="baseline"/>
      <w:outlineLvl w:val="1"/>
    </w:pPr>
    <w:rPr>
      <w:rFonts w:ascii="Arial" w:hAnsi="Arial"/>
      <w:i/>
      <w:sz w:val="20"/>
      <w:szCs w:val="20"/>
    </w:rPr>
  </w:style>
  <w:style w:type="paragraph" w:styleId="Nadpis3">
    <w:name w:val="heading 3"/>
    <w:basedOn w:val="Normln"/>
    <w:next w:val="Normln"/>
    <w:qFormat/>
    <w:pPr>
      <w:keepNext/>
      <w:jc w:val="both"/>
      <w:outlineLvl w:val="2"/>
    </w:pPr>
    <w:rPr>
      <w:rFonts w:ascii="Arial" w:hAnsi="Arial"/>
      <w:b/>
      <w:bCs/>
      <w:sz w:val="20"/>
    </w:rPr>
  </w:style>
  <w:style w:type="paragraph" w:styleId="Nadpis4">
    <w:name w:val="heading 4"/>
    <w:basedOn w:val="Normln"/>
    <w:next w:val="Normln"/>
    <w:qFormat/>
    <w:pPr>
      <w:keepNext/>
      <w:tabs>
        <w:tab w:val="left" w:pos="283"/>
      </w:tabs>
      <w:jc w:val="both"/>
      <w:outlineLvl w:val="3"/>
    </w:pPr>
    <w:rPr>
      <w:rFonts w:ascii="Arial" w:hAnsi="Arial" w:cs="Arial"/>
      <w:b/>
      <w:bCs/>
      <w:i/>
      <w:iCs/>
      <w:sz w:val="20"/>
      <w:szCs w:val="20"/>
      <w:lang w:val="en-GB"/>
    </w:rPr>
  </w:style>
  <w:style w:type="paragraph" w:styleId="Nadpis5">
    <w:name w:val="heading 5"/>
    <w:basedOn w:val="Normln"/>
    <w:next w:val="Normln"/>
    <w:qFormat/>
    <w:pPr>
      <w:keepNext/>
      <w:tabs>
        <w:tab w:val="left" w:pos="720"/>
      </w:tabs>
      <w:spacing w:before="240"/>
      <w:ind w:right="45"/>
      <w:jc w:val="both"/>
      <w:outlineLvl w:val="4"/>
    </w:pPr>
    <w:rPr>
      <w:rFonts w:ascii="Arial" w:hAnsi="Arial" w:cs="Arial"/>
      <w:b/>
      <w:bCs/>
      <w:i/>
      <w:iCs/>
      <w:sz w:val="20"/>
      <w:lang w:val="en-G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pPr>
      <w:spacing w:line="360" w:lineRule="auto"/>
      <w:jc w:val="both"/>
    </w:pPr>
    <w:rPr>
      <w:rFonts w:ascii="Arial" w:hAnsi="Arial"/>
      <w:sz w:val="20"/>
    </w:rPr>
  </w:style>
  <w:style w:type="paragraph" w:styleId="Zkladntext">
    <w:name w:val="Body Text"/>
    <w:basedOn w:val="Normln"/>
    <w:link w:val="ZkladntextChar"/>
    <w:semiHidden/>
    <w:rPr>
      <w:rFonts w:ascii="Arial" w:hAnsi="Arial" w:cs="Arial"/>
      <w:i/>
      <w:iCs/>
      <w:sz w:val="20"/>
      <w:lang w:val="en-GB"/>
    </w:rPr>
  </w:style>
  <w:style w:type="paragraph" w:styleId="Obsah1">
    <w:name w:val="toc 1"/>
    <w:basedOn w:val="Normln"/>
    <w:next w:val="Normln"/>
    <w:autoRedefine/>
    <w:semiHidden/>
    <w:pPr>
      <w:spacing w:after="60"/>
    </w:pPr>
    <w:rPr>
      <w:rFonts w:ascii="Arial" w:hAnsi="Arial" w:cs="Arial"/>
      <w:sz w:val="20"/>
    </w:rPr>
  </w:style>
  <w:style w:type="paragraph" w:styleId="Zkladntext3">
    <w:name w:val="Body Text 3"/>
    <w:basedOn w:val="Normln"/>
    <w:semiHidden/>
    <w:pPr>
      <w:tabs>
        <w:tab w:val="left" w:pos="720"/>
      </w:tabs>
      <w:jc w:val="both"/>
    </w:pPr>
    <w:rPr>
      <w:rFonts w:ascii="Arial" w:hAnsi="Arial" w:cs="Arial"/>
      <w:i/>
      <w:iCs/>
      <w:sz w:val="20"/>
      <w:szCs w:val="20"/>
      <w:lang w:val="en-GB"/>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ind w:firstLine="720"/>
      <w:jc w:val="both"/>
    </w:pPr>
    <w:rPr>
      <w:rFonts w:ascii="Arial" w:hAnsi="Arial" w:cs="Arial"/>
      <w:color w:val="FF0000"/>
      <w:sz w:val="20"/>
    </w:rPr>
  </w:style>
  <w:style w:type="paragraph" w:styleId="Zkladntextodsazen2">
    <w:name w:val="Body Text Indent 2"/>
    <w:basedOn w:val="Normln"/>
    <w:semiHidden/>
    <w:pPr>
      <w:ind w:firstLine="720"/>
    </w:pPr>
    <w:rPr>
      <w:rFonts w:ascii="Arial" w:hAnsi="Arial" w:cs="Arial"/>
      <w:sz w:val="20"/>
    </w:rPr>
  </w:style>
  <w:style w:type="paragraph" w:styleId="Zkladntextodsazen3">
    <w:name w:val="Body Text Indent 3"/>
    <w:basedOn w:val="Normln"/>
    <w:semiHidden/>
    <w:pPr>
      <w:ind w:firstLine="720"/>
      <w:jc w:val="both"/>
    </w:pPr>
    <w:rPr>
      <w:rFonts w:ascii="Arial" w:hAnsi="Arial" w:cs="Arial"/>
      <w:sz w:val="20"/>
    </w:rPr>
  </w:style>
  <w:style w:type="paragraph" w:styleId="Zhlav">
    <w:name w:val="header"/>
    <w:basedOn w:val="Normln"/>
    <w:semiHidden/>
    <w:pPr>
      <w:tabs>
        <w:tab w:val="center" w:pos="4536"/>
        <w:tab w:val="right" w:pos="9072"/>
      </w:tabs>
    </w:pPr>
  </w:style>
  <w:style w:type="paragraph" w:styleId="Textbubliny">
    <w:name w:val="Balloon Text"/>
    <w:basedOn w:val="Normln"/>
    <w:link w:val="TextbublinyChar"/>
    <w:uiPriority w:val="99"/>
    <w:semiHidden/>
    <w:unhideWhenUsed/>
    <w:rsid w:val="004E0AD2"/>
    <w:rPr>
      <w:rFonts w:ascii="Tahoma" w:hAnsi="Tahoma" w:cs="Tahoma"/>
      <w:sz w:val="16"/>
      <w:szCs w:val="16"/>
    </w:rPr>
  </w:style>
  <w:style w:type="character" w:customStyle="1" w:styleId="TextbublinyChar">
    <w:name w:val="Text bubliny Char"/>
    <w:basedOn w:val="Standardnpsmoodstavce"/>
    <w:link w:val="Textbubliny"/>
    <w:uiPriority w:val="99"/>
    <w:semiHidden/>
    <w:rsid w:val="004E0AD2"/>
    <w:rPr>
      <w:rFonts w:ascii="Tahoma" w:hAnsi="Tahoma" w:cs="Tahoma"/>
      <w:sz w:val="16"/>
      <w:szCs w:val="16"/>
    </w:rPr>
  </w:style>
  <w:style w:type="character" w:customStyle="1" w:styleId="ZkladntextChar">
    <w:name w:val="Základní text Char"/>
    <w:basedOn w:val="Standardnpsmoodstavce"/>
    <w:link w:val="Zkladntext"/>
    <w:semiHidden/>
    <w:rsid w:val="00F61369"/>
    <w:rPr>
      <w:rFonts w:ascii="Arial" w:hAnsi="Arial" w:cs="Arial"/>
      <w:i/>
      <w:iCs/>
      <w:szCs w:val="24"/>
      <w:lang w:val="en-GB"/>
    </w:rPr>
  </w:style>
  <w:style w:type="character" w:styleId="Zvraznn">
    <w:name w:val="Emphasis"/>
    <w:basedOn w:val="Standardnpsmoodstavce"/>
    <w:qFormat/>
    <w:rsid w:val="00DA3DBB"/>
    <w:rPr>
      <w:i/>
      <w:iCs/>
    </w:rPr>
  </w:style>
  <w:style w:type="paragraph" w:styleId="Normlnweb">
    <w:name w:val="Normal (Web)"/>
    <w:basedOn w:val="Normln"/>
    <w:semiHidden/>
    <w:rsid w:val="00181A8A"/>
    <w:pPr>
      <w:spacing w:before="100" w:beforeAutospacing="1" w:after="100" w:afterAutospacing="1"/>
    </w:pPr>
    <w:rPr>
      <w:rFonts w:ascii="Arial Unicode MS" w:eastAsia="Arial Unicode MS" w:hAnsi="Arial Unicode MS" w:cs="Arial Unicode MS"/>
    </w:rPr>
  </w:style>
  <w:style w:type="character" w:styleId="Siln">
    <w:name w:val="Strong"/>
    <w:basedOn w:val="Standardnpsmoodstavce"/>
    <w:qFormat/>
    <w:rsid w:val="00181A8A"/>
    <w:rPr>
      <w:b/>
      <w:bCs/>
    </w:rPr>
  </w:style>
</w:styles>
</file>

<file path=word/webSettings.xml><?xml version="1.0" encoding="utf-8"?>
<w:webSettings xmlns:r="http://schemas.openxmlformats.org/officeDocument/2006/relationships" xmlns:w="http://schemas.openxmlformats.org/wordprocessingml/2006/main">
  <w:divs>
    <w:div w:id="5676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D563-2B8D-4EF9-9D2A-7D24C08C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2393</Words>
  <Characters>12810</Characters>
  <Application>Microsoft Office Word</Application>
  <DocSecurity>0</DocSecurity>
  <Lines>106</Lines>
  <Paragraphs>30</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jileckova</dc:creator>
  <cp:lastModifiedBy>Petr Tuček</cp:lastModifiedBy>
  <cp:revision>2</cp:revision>
  <cp:lastPrinted>2013-12-10T10:24:00Z</cp:lastPrinted>
  <dcterms:created xsi:type="dcterms:W3CDTF">2016-12-27T09:55:00Z</dcterms:created>
  <dcterms:modified xsi:type="dcterms:W3CDTF">2016-12-27T09:55:00Z</dcterms:modified>
</cp:coreProperties>
</file>