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A662C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902FE5" w:rsidRPr="00A662C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662C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902FE5" w:rsidRPr="00A662C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A662C0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Od roku 2002 je </w:t>
      </w:r>
      <w:r w:rsidRPr="00A662C0">
        <w:rPr>
          <w:rFonts w:ascii="Arial" w:hAnsi="Arial" w:cs="Arial"/>
          <w:b/>
          <w:bCs/>
          <w:sz w:val="20"/>
          <w:szCs w:val="32"/>
        </w:rPr>
        <w:t>dotazník VŠPS</w:t>
      </w:r>
      <w:r w:rsidRPr="00A662C0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a odpovídá tak obsahu rozhodnutí Rady (ES) 577/98. Obsah a struktura standardu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</w:t>
      </w:r>
      <w:r w:rsidR="007F06C0" w:rsidRPr="00A662C0">
        <w:rPr>
          <w:rFonts w:ascii="Arial" w:hAnsi="Arial" w:cs="Arial"/>
          <w:sz w:val="20"/>
          <w:szCs w:val="32"/>
        </w:rPr>
        <w:t xml:space="preserve"> a roční</w:t>
      </w:r>
      <w:r w:rsidRPr="00A662C0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A662C0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A662C0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A662C0">
        <w:rPr>
          <w:rFonts w:ascii="Arial" w:hAnsi="Arial" w:cs="Arial"/>
          <w:b/>
          <w:bCs/>
          <w:sz w:val="20"/>
        </w:rPr>
        <w:t>14 krajů</w:t>
      </w:r>
      <w:r w:rsidRPr="00A662C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A662C0">
        <w:rPr>
          <w:rFonts w:ascii="Arial" w:hAnsi="Arial" w:cs="Arial"/>
          <w:b/>
          <w:bCs/>
          <w:sz w:val="20"/>
        </w:rPr>
        <w:t>regionů soudržnosti</w:t>
      </w:r>
      <w:r w:rsidRPr="00A662C0">
        <w:rPr>
          <w:rFonts w:ascii="Arial" w:hAnsi="Arial" w:cs="Arial"/>
          <w:sz w:val="20"/>
        </w:rPr>
        <w:t>) na území ČR. Územní uspořádání České republiky respektuje systém vymezení NUTS (</w:t>
      </w:r>
      <w:smartTag w:uri="urn:schemas-microsoft-com:office:smarttags" w:element="PersonName">
        <w:smartTagPr>
          <w:attr w:name="ProductID" w:val="La Nomenclature"/>
        </w:smartTagPr>
        <w:r w:rsidRPr="00A662C0">
          <w:rPr>
            <w:rFonts w:ascii="Arial" w:hAnsi="Arial" w:cs="Arial"/>
            <w:sz w:val="20"/>
          </w:rPr>
          <w:t xml:space="preserve">La </w:t>
        </w:r>
        <w:proofErr w:type="spellStart"/>
        <w:r w:rsidRPr="00A662C0">
          <w:rPr>
            <w:rFonts w:ascii="Arial" w:hAnsi="Arial" w:cs="Arial"/>
            <w:sz w:val="20"/>
          </w:rPr>
          <w:t>Nomenclature</w:t>
        </w:r>
      </w:smartTag>
      <w:proofErr w:type="spellEnd"/>
      <w:r w:rsidRPr="00A662C0">
        <w:rPr>
          <w:rFonts w:ascii="Arial" w:hAnsi="Arial" w:cs="Arial"/>
          <w:sz w:val="20"/>
        </w:rPr>
        <w:t xml:space="preserve"> des </w:t>
      </w:r>
      <w:proofErr w:type="spellStart"/>
      <w:r w:rsidRPr="00A662C0">
        <w:rPr>
          <w:rFonts w:ascii="Arial" w:hAnsi="Arial" w:cs="Arial"/>
          <w:sz w:val="20"/>
        </w:rPr>
        <w:t>Unités</w:t>
      </w:r>
      <w:proofErr w:type="spellEnd"/>
      <w:r w:rsidRPr="00A662C0">
        <w:rPr>
          <w:rFonts w:ascii="Arial" w:hAnsi="Arial" w:cs="Arial"/>
          <w:sz w:val="20"/>
        </w:rPr>
        <w:t xml:space="preserve"> </w:t>
      </w:r>
      <w:proofErr w:type="spellStart"/>
      <w:r w:rsidRPr="00A662C0">
        <w:rPr>
          <w:rFonts w:ascii="Arial" w:hAnsi="Arial" w:cs="Arial"/>
          <w:sz w:val="20"/>
        </w:rPr>
        <w:t>Territoriales</w:t>
      </w:r>
      <w:proofErr w:type="spellEnd"/>
      <w:r w:rsidRPr="00A662C0">
        <w:rPr>
          <w:rFonts w:ascii="Arial" w:hAnsi="Arial" w:cs="Arial"/>
          <w:sz w:val="20"/>
        </w:rPr>
        <w:t xml:space="preserve"> </w:t>
      </w:r>
      <w:proofErr w:type="spellStart"/>
      <w:r w:rsidRPr="00A662C0">
        <w:rPr>
          <w:rFonts w:ascii="Arial" w:hAnsi="Arial" w:cs="Arial"/>
          <w:sz w:val="20"/>
        </w:rPr>
        <w:t>Statistiques</w:t>
      </w:r>
      <w:proofErr w:type="spellEnd"/>
      <w:r w:rsidRPr="00A662C0">
        <w:rPr>
          <w:rFonts w:ascii="Arial" w:hAnsi="Arial" w:cs="Arial"/>
          <w:sz w:val="20"/>
        </w:rPr>
        <w:t xml:space="preserve">) v zemích EU. S ohledem na uvedenou změnu byla </w:t>
      </w:r>
      <w:r w:rsidRPr="00A662C0">
        <w:rPr>
          <w:rFonts w:ascii="Arial" w:hAnsi="Arial"/>
          <w:sz w:val="20"/>
        </w:rPr>
        <w:t>z výsledků VŠPS vytvořena i tato publikace</w:t>
      </w:r>
      <w:r w:rsidRPr="00A662C0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A662C0">
        <w:rPr>
          <w:rFonts w:ascii="Arial" w:hAnsi="Arial" w:cs="Arial"/>
          <w:sz w:val="20"/>
        </w:rPr>
        <w:t>regiony soudržnosti</w:t>
      </w:r>
      <w:r w:rsidRPr="00A662C0">
        <w:rPr>
          <w:rFonts w:ascii="Arial" w:hAnsi="Arial" w:cs="Arial"/>
          <w:sz w:val="20"/>
        </w:rPr>
        <w:t xml:space="preserve"> a NUTS 3 - kraje (VÚSC).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Předmětem šetření</w:t>
      </w:r>
      <w:r w:rsidRPr="00A662C0">
        <w:rPr>
          <w:rFonts w:ascii="Arial" w:hAnsi="Arial" w:cs="Arial"/>
          <w:sz w:val="20"/>
          <w:szCs w:val="32"/>
        </w:rPr>
        <w:t xml:space="preserve"> ve VŠPS jsou </w:t>
      </w:r>
      <w:r w:rsidRPr="00A662C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662C0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A662C0">
        <w:rPr>
          <w:rFonts w:ascii="Arial" w:hAnsi="Arial" w:cs="Arial"/>
          <w:sz w:val="20"/>
          <w:szCs w:val="32"/>
        </w:rPr>
        <w:t>Eurostatu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A662C0">
        <w:rPr>
          <w:rFonts w:ascii="Arial" w:hAnsi="Arial" w:cs="Arial"/>
          <w:sz w:val="20"/>
          <w:szCs w:val="32"/>
        </w:rPr>
        <w:t>zdrojů nebo</w:t>
      </w:r>
      <w:proofErr w:type="gramEnd"/>
      <w:r w:rsidRPr="00A662C0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A662C0">
        <w:rPr>
          <w:rFonts w:ascii="Arial" w:hAnsi="Arial" w:cs="Arial"/>
          <w:sz w:val="20"/>
          <w:szCs w:val="32"/>
        </w:rPr>
        <w:t>1</w:t>
      </w:r>
      <w:r w:rsidR="00FF283D">
        <w:rPr>
          <w:rFonts w:ascii="Arial" w:hAnsi="Arial" w:cs="Arial"/>
          <w:sz w:val="20"/>
          <w:szCs w:val="32"/>
        </w:rPr>
        <w:t>5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5310D5" w:rsidRPr="00A662C0">
        <w:rPr>
          <w:rFonts w:ascii="Arial" w:hAnsi="Arial" w:cs="Arial"/>
          <w:sz w:val="20"/>
          <w:szCs w:val="32"/>
        </w:rPr>
        <w:t xml:space="preserve">průměrně </w:t>
      </w:r>
      <w:r w:rsidR="00C500A5">
        <w:rPr>
          <w:rFonts w:ascii="Arial" w:hAnsi="Arial" w:cs="Arial"/>
          <w:sz w:val="20"/>
          <w:szCs w:val="32"/>
        </w:rPr>
        <w:t xml:space="preserve">více než </w:t>
      </w:r>
      <w:r w:rsidR="00E574C5" w:rsidRPr="00A662C0">
        <w:rPr>
          <w:rFonts w:ascii="Arial" w:hAnsi="Arial" w:cs="Arial"/>
          <w:b/>
          <w:sz w:val="20"/>
          <w:szCs w:val="32"/>
        </w:rPr>
        <w:t>2</w:t>
      </w:r>
      <w:r w:rsidR="00C500A5">
        <w:rPr>
          <w:rFonts w:ascii="Arial" w:hAnsi="Arial" w:cs="Arial"/>
          <w:b/>
          <w:sz w:val="20"/>
          <w:szCs w:val="32"/>
        </w:rPr>
        <w:t>4</w:t>
      </w:r>
      <w:r w:rsidR="005310D5" w:rsidRPr="00A662C0">
        <w:rPr>
          <w:rFonts w:ascii="Arial" w:hAnsi="Arial" w:cs="Arial"/>
          <w:b/>
          <w:sz w:val="20"/>
          <w:szCs w:val="32"/>
        </w:rPr>
        <w:t xml:space="preserve"> tis. bytů</w:t>
      </w:r>
      <w:r w:rsidRPr="00A662C0">
        <w:rPr>
          <w:rFonts w:ascii="Arial" w:hAnsi="Arial" w:cs="Arial"/>
          <w:b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A662C0">
        <w:rPr>
          <w:rFonts w:ascii="Arial" w:hAnsi="Arial" w:cs="Arial"/>
          <w:sz w:val="20"/>
          <w:szCs w:val="32"/>
        </w:rPr>
        <w:t xml:space="preserve"> </w:t>
      </w:r>
      <w:r w:rsidR="00C500A5">
        <w:rPr>
          <w:rFonts w:ascii="Arial" w:hAnsi="Arial" w:cs="Arial"/>
          <w:sz w:val="20"/>
          <w:szCs w:val="32"/>
        </w:rPr>
        <w:t>téměř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="003A7AC0" w:rsidRPr="00A662C0">
        <w:rPr>
          <w:rFonts w:ascii="Arial" w:hAnsi="Arial" w:cs="Arial"/>
          <w:b/>
          <w:sz w:val="20"/>
          <w:szCs w:val="32"/>
        </w:rPr>
        <w:t>5</w:t>
      </w:r>
      <w:r w:rsidR="00FF283D">
        <w:rPr>
          <w:rFonts w:ascii="Arial" w:hAnsi="Arial" w:cs="Arial"/>
          <w:b/>
          <w:sz w:val="20"/>
          <w:szCs w:val="32"/>
        </w:rPr>
        <w:t>4</w:t>
      </w:r>
      <w:r w:rsidRPr="00A662C0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A662C0">
        <w:rPr>
          <w:rFonts w:ascii="Arial" w:hAnsi="Arial" w:cs="Arial"/>
          <w:sz w:val="20"/>
          <w:szCs w:val="32"/>
        </w:rPr>
        <w:t xml:space="preserve">. Z nich je </w:t>
      </w:r>
      <w:r w:rsidR="00FF283D">
        <w:rPr>
          <w:rFonts w:ascii="Arial" w:hAnsi="Arial" w:cs="Arial"/>
          <w:sz w:val="20"/>
          <w:szCs w:val="32"/>
        </w:rPr>
        <w:t>přes</w:t>
      </w:r>
      <w:r w:rsidR="00FF283D" w:rsidRPr="00A662C0">
        <w:rPr>
          <w:rFonts w:ascii="Arial" w:hAnsi="Arial" w:cs="Arial"/>
          <w:sz w:val="20"/>
          <w:szCs w:val="32"/>
        </w:rPr>
        <w:t xml:space="preserve"> </w:t>
      </w:r>
      <w:r w:rsidR="00910F4F" w:rsidRPr="00A662C0">
        <w:rPr>
          <w:rFonts w:ascii="Arial" w:hAnsi="Arial" w:cs="Arial"/>
          <w:b/>
          <w:bCs/>
          <w:sz w:val="20"/>
          <w:szCs w:val="32"/>
        </w:rPr>
        <w:t>4</w:t>
      </w:r>
      <w:r w:rsidR="00FF283D">
        <w:rPr>
          <w:rFonts w:ascii="Arial" w:hAnsi="Arial" w:cs="Arial"/>
          <w:b/>
          <w:bCs/>
          <w:sz w:val="20"/>
          <w:szCs w:val="32"/>
        </w:rPr>
        <w:t>6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662C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62C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62C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A662C0">
        <w:rPr>
          <w:rFonts w:ascii="Arial" w:hAnsi="Arial" w:cs="Arial"/>
          <w:sz w:val="20"/>
          <w:szCs w:val="32"/>
        </w:rPr>
        <w:t>hodnot</w:t>
      </w:r>
      <w:r w:rsidR="00C0158D" w:rsidRPr="00A662C0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A662C0">
        <w:rPr>
          <w:rFonts w:ascii="Arial" w:hAnsi="Arial" w:cs="Arial"/>
          <w:sz w:val="20"/>
          <w:szCs w:val="32"/>
        </w:rPr>
        <w:t>na úrovni NUTS 2 a NUTS 3</w:t>
      </w:r>
      <w:r w:rsidRPr="00A662C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662C0">
        <w:rPr>
          <w:rFonts w:ascii="Arial" w:hAnsi="Arial" w:cs="Arial"/>
          <w:sz w:val="20"/>
          <w:szCs w:val="32"/>
        </w:rPr>
        <w:t>Eurostatem</w:t>
      </w:r>
      <w:proofErr w:type="spellEnd"/>
      <w:r w:rsidRPr="00A662C0">
        <w:rPr>
          <w:rFonts w:ascii="Arial" w:hAnsi="Arial" w:cs="Arial"/>
          <w:sz w:val="20"/>
          <w:szCs w:val="32"/>
        </w:rPr>
        <w:t xml:space="preserve">. </w:t>
      </w:r>
    </w:p>
    <w:p w:rsidR="001A78C2" w:rsidRPr="00A662C0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A662C0">
        <w:rPr>
          <w:rFonts w:ascii="Arial" w:hAnsi="Arial"/>
          <w:b/>
          <w:bCs/>
          <w:sz w:val="20"/>
          <w:szCs w:val="17"/>
        </w:rPr>
        <w:t>Všechny údaje</w:t>
      </w:r>
      <w:r w:rsidRPr="00A662C0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A662C0">
        <w:rPr>
          <w:rFonts w:ascii="Arial" w:hAnsi="Arial"/>
          <w:sz w:val="20"/>
          <w:szCs w:val="17"/>
        </w:rPr>
        <w:t> </w:t>
      </w:r>
      <w:r w:rsidRPr="00A662C0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A662C0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A662C0">
        <w:rPr>
          <w:rFonts w:ascii="Arial" w:hAnsi="Arial"/>
          <w:sz w:val="20"/>
          <w:szCs w:val="28"/>
        </w:rPr>
        <w:t>.</w:t>
      </w:r>
    </w:p>
    <w:p w:rsidR="00035C52" w:rsidRPr="00A662C0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</w:t>
      </w:r>
      <w:r w:rsidRPr="00A662C0">
        <w:rPr>
          <w:rFonts w:ascii="Arial" w:hAnsi="Arial"/>
          <w:b/>
          <w:sz w:val="20"/>
          <w:szCs w:val="28"/>
        </w:rPr>
        <w:t>nejsou</w:t>
      </w:r>
      <w:r w:rsidRPr="00A662C0">
        <w:rPr>
          <w:rFonts w:ascii="Arial" w:hAnsi="Arial"/>
          <w:sz w:val="20"/>
          <w:szCs w:val="28"/>
        </w:rPr>
        <w:t xml:space="preserve"> samostatně publikovány </w:t>
      </w:r>
      <w:r w:rsidRPr="00A662C0">
        <w:rPr>
          <w:rFonts w:ascii="Arial" w:hAnsi="Arial"/>
          <w:b/>
          <w:sz w:val="20"/>
          <w:szCs w:val="28"/>
        </w:rPr>
        <w:t>údaje za civilní sektor</w:t>
      </w:r>
      <w:r w:rsidRPr="00A662C0">
        <w:rPr>
          <w:rFonts w:ascii="Arial" w:hAnsi="Arial"/>
          <w:sz w:val="20"/>
          <w:szCs w:val="28"/>
        </w:rPr>
        <w:t xml:space="preserve">. Veškeré tabulky dříve publikované za civilní sektor (tabulky typu </w:t>
      </w:r>
      <w:proofErr w:type="gramStart"/>
      <w:r w:rsidRPr="00A662C0">
        <w:rPr>
          <w:rFonts w:ascii="Arial" w:hAnsi="Arial"/>
          <w:sz w:val="20"/>
          <w:szCs w:val="28"/>
        </w:rPr>
        <w:t>300)  jsou</w:t>
      </w:r>
      <w:proofErr w:type="gramEnd"/>
      <w:r w:rsidRPr="00A662C0">
        <w:rPr>
          <w:rFonts w:ascii="Arial" w:hAnsi="Arial"/>
          <w:sz w:val="20"/>
          <w:szCs w:val="28"/>
        </w:rPr>
        <w:t xml:space="preserve"> publikovány za celé národní hospodářství, a to ve stejném formátu, při zachování hlaviček i sloupců.</w:t>
      </w:r>
    </w:p>
    <w:p w:rsidR="00B25EC4" w:rsidRPr="00A662C0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b/>
          <w:sz w:val="20"/>
          <w:szCs w:val="28"/>
        </w:rPr>
        <w:t>Od roku 2011</w:t>
      </w:r>
      <w:r w:rsidRPr="00A662C0">
        <w:rPr>
          <w:rFonts w:ascii="Arial" w:hAnsi="Arial"/>
          <w:sz w:val="20"/>
          <w:szCs w:val="28"/>
        </w:rPr>
        <w:t xml:space="preserve"> jsou zjišťovány </w:t>
      </w:r>
      <w:r w:rsidRPr="00A662C0">
        <w:rPr>
          <w:rFonts w:ascii="Arial" w:hAnsi="Arial"/>
          <w:b/>
          <w:sz w:val="20"/>
          <w:szCs w:val="28"/>
        </w:rPr>
        <w:t>některé ukazatele v omezeném rozsahu</w:t>
      </w:r>
      <w:r w:rsidRPr="00A662C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662C0">
        <w:rPr>
          <w:rFonts w:ascii="Arial" w:hAnsi="Arial"/>
          <w:b/>
          <w:sz w:val="20"/>
          <w:szCs w:val="28"/>
        </w:rPr>
        <w:t>jen jako roční údaje</w:t>
      </w:r>
      <w:r w:rsidR="00FF283D">
        <w:rPr>
          <w:rFonts w:ascii="Arial" w:hAnsi="Arial"/>
          <w:sz w:val="20"/>
          <w:szCs w:val="28"/>
        </w:rPr>
        <w:t xml:space="preserve"> </w:t>
      </w:r>
      <w:r w:rsidRPr="00A662C0">
        <w:rPr>
          <w:rFonts w:ascii="Arial" w:hAnsi="Arial"/>
          <w:sz w:val="20"/>
          <w:szCs w:val="28"/>
        </w:rPr>
        <w:t>a</w:t>
      </w:r>
      <w:r w:rsidR="00FF283D">
        <w:rPr>
          <w:rFonts w:ascii="Arial" w:hAnsi="Arial"/>
          <w:sz w:val="20"/>
          <w:szCs w:val="28"/>
        </w:rPr>
        <w:t> </w:t>
      </w:r>
      <w:r w:rsidRPr="00A662C0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A662C0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důvody ekonomické neaktivity</w:t>
      </w:r>
      <w:r w:rsidR="00056316" w:rsidRPr="00A662C0">
        <w:rPr>
          <w:rFonts w:ascii="Arial" w:hAnsi="Arial"/>
          <w:sz w:val="20"/>
          <w:szCs w:val="28"/>
        </w:rPr>
        <w:t xml:space="preserve"> (107)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osoby se zdravotním postižením (108)</w:t>
      </w:r>
    </w:p>
    <w:p w:rsidR="00056316" w:rsidRPr="00A662C0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>- situace respondenta před rokem (109)</w:t>
      </w:r>
    </w:p>
    <w:p w:rsidR="005065C2" w:rsidRPr="00A662C0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lastRenderedPageBreak/>
        <w:t>-</w:t>
      </w:r>
      <w:r w:rsidR="00E16DDE" w:rsidRPr="00A662C0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A662C0">
        <w:rPr>
          <w:rFonts w:ascii="Arial" w:hAnsi="Arial"/>
          <w:sz w:val="20"/>
          <w:szCs w:val="28"/>
        </w:rPr>
        <w:t xml:space="preserve">- </w:t>
      </w:r>
      <w:r w:rsidR="00B71F2D" w:rsidRPr="00A662C0">
        <w:rPr>
          <w:rFonts w:ascii="Arial" w:hAnsi="Arial"/>
          <w:sz w:val="20"/>
          <w:szCs w:val="28"/>
        </w:rPr>
        <w:t xml:space="preserve">práce v atypickou dobu – </w:t>
      </w:r>
      <w:r w:rsidR="00B8726B" w:rsidRPr="00A662C0">
        <w:rPr>
          <w:rFonts w:ascii="Arial" w:hAnsi="Arial"/>
          <w:sz w:val="20"/>
          <w:szCs w:val="28"/>
        </w:rPr>
        <w:t xml:space="preserve">na </w:t>
      </w:r>
      <w:r w:rsidR="00B71F2D" w:rsidRPr="00A662C0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387CA5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ab/>
      </w:r>
      <w:r w:rsidR="00193F70">
        <w:rPr>
          <w:rFonts w:ascii="Arial" w:hAnsi="Arial"/>
          <w:b/>
          <w:sz w:val="20"/>
          <w:szCs w:val="28"/>
        </w:rPr>
        <w:tab/>
      </w:r>
      <w:r w:rsidR="00193F70" w:rsidRPr="00387CA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193F70" w:rsidRPr="00387CA5" w:rsidRDefault="00193F70" w:rsidP="00193F70">
      <w:pPr>
        <w:ind w:left="1134"/>
        <w:jc w:val="both"/>
        <w:rPr>
          <w:rFonts w:ascii="Arial" w:hAnsi="Arial"/>
          <w:sz w:val="20"/>
          <w:szCs w:val="28"/>
        </w:rPr>
      </w:pPr>
      <w:r w:rsidRPr="00387CA5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>
        <w:rPr>
          <w:rFonts w:ascii="Arial" w:hAnsi="Arial"/>
          <w:sz w:val="20"/>
          <w:szCs w:val="28"/>
        </w:rPr>
        <w:t xml:space="preserve"> roční i</w:t>
      </w:r>
      <w:r w:rsidRPr="00387CA5">
        <w:rPr>
          <w:rFonts w:ascii="Arial" w:hAnsi="Arial"/>
          <w:sz w:val="20"/>
          <w:szCs w:val="28"/>
        </w:rPr>
        <w:t xml:space="preserve"> čtvrtletní údaje</w:t>
      </w:r>
    </w:p>
    <w:p w:rsidR="006F7D05" w:rsidRPr="00387CA5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</w:p>
    <w:p w:rsidR="006F7D05" w:rsidRPr="00A662C0" w:rsidRDefault="006F7D05" w:rsidP="006E3E78">
      <w:pPr>
        <w:ind w:left="1134"/>
        <w:jc w:val="both"/>
        <w:rPr>
          <w:rFonts w:ascii="Arial" w:hAnsi="Arial"/>
          <w:sz w:val="20"/>
          <w:szCs w:val="28"/>
        </w:rPr>
      </w:pPr>
    </w:p>
    <w:sectPr w:rsidR="006F7D05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AA" w:rsidRDefault="006A3EAA">
      <w:r>
        <w:separator/>
      </w:r>
    </w:p>
  </w:endnote>
  <w:endnote w:type="continuationSeparator" w:id="0">
    <w:p w:rsidR="006A3EAA" w:rsidRDefault="006A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902FE5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902FE5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FF283D">
      <w:rPr>
        <w:rFonts w:ascii="Arial" w:hAnsi="Arial" w:cs="Arial"/>
        <w:sz w:val="18"/>
      </w:rPr>
      <w:t>5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AA" w:rsidRDefault="006A3EAA">
      <w:r>
        <w:separator/>
      </w:r>
    </w:p>
  </w:footnote>
  <w:footnote w:type="continuationSeparator" w:id="0">
    <w:p w:rsidR="006A3EAA" w:rsidRDefault="006A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C2476"/>
    <w:rsid w:val="000E3720"/>
    <w:rsid w:val="000E664E"/>
    <w:rsid w:val="000F24D6"/>
    <w:rsid w:val="000F64ED"/>
    <w:rsid w:val="00110553"/>
    <w:rsid w:val="00112210"/>
    <w:rsid w:val="00130696"/>
    <w:rsid w:val="00135A4D"/>
    <w:rsid w:val="00147DE2"/>
    <w:rsid w:val="0015298A"/>
    <w:rsid w:val="00164893"/>
    <w:rsid w:val="00193F70"/>
    <w:rsid w:val="0019573B"/>
    <w:rsid w:val="00196AE7"/>
    <w:rsid w:val="001A78C2"/>
    <w:rsid w:val="001B21F4"/>
    <w:rsid w:val="001C5254"/>
    <w:rsid w:val="001C5CC9"/>
    <w:rsid w:val="001C66FE"/>
    <w:rsid w:val="001D3036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75090"/>
    <w:rsid w:val="00290B66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401390"/>
    <w:rsid w:val="00405E0A"/>
    <w:rsid w:val="004072F7"/>
    <w:rsid w:val="00411E29"/>
    <w:rsid w:val="00415B82"/>
    <w:rsid w:val="004313F3"/>
    <w:rsid w:val="0045464C"/>
    <w:rsid w:val="004557A8"/>
    <w:rsid w:val="00471FB5"/>
    <w:rsid w:val="004753C0"/>
    <w:rsid w:val="004A0FB5"/>
    <w:rsid w:val="004A192E"/>
    <w:rsid w:val="004C716D"/>
    <w:rsid w:val="004D5EDC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91CDF"/>
    <w:rsid w:val="005B1B85"/>
    <w:rsid w:val="005D5AA8"/>
    <w:rsid w:val="006363B3"/>
    <w:rsid w:val="00645835"/>
    <w:rsid w:val="006511AE"/>
    <w:rsid w:val="0065397F"/>
    <w:rsid w:val="0066239C"/>
    <w:rsid w:val="00695F93"/>
    <w:rsid w:val="006A3EAA"/>
    <w:rsid w:val="006B0AD9"/>
    <w:rsid w:val="006C2856"/>
    <w:rsid w:val="006E0C8B"/>
    <w:rsid w:val="006E1E64"/>
    <w:rsid w:val="006E3E78"/>
    <w:rsid w:val="006F7D05"/>
    <w:rsid w:val="00715D76"/>
    <w:rsid w:val="00716028"/>
    <w:rsid w:val="00746DDF"/>
    <w:rsid w:val="007630E2"/>
    <w:rsid w:val="007768C5"/>
    <w:rsid w:val="007851CB"/>
    <w:rsid w:val="007970A2"/>
    <w:rsid w:val="007F06C0"/>
    <w:rsid w:val="008371AD"/>
    <w:rsid w:val="008502B0"/>
    <w:rsid w:val="0089098D"/>
    <w:rsid w:val="00890ED0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02FE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40A9"/>
    <w:rsid w:val="00B34942"/>
    <w:rsid w:val="00B34C4F"/>
    <w:rsid w:val="00B52736"/>
    <w:rsid w:val="00B71F2D"/>
    <w:rsid w:val="00B724F5"/>
    <w:rsid w:val="00B72687"/>
    <w:rsid w:val="00B827F0"/>
    <w:rsid w:val="00B8726B"/>
    <w:rsid w:val="00BA2D5E"/>
    <w:rsid w:val="00BA4A39"/>
    <w:rsid w:val="00BC2E75"/>
    <w:rsid w:val="00BD3CDD"/>
    <w:rsid w:val="00BE0FBB"/>
    <w:rsid w:val="00BE4FF6"/>
    <w:rsid w:val="00BE7385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64CFC"/>
    <w:rsid w:val="00FA65E9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5E9"/>
    <w:rPr>
      <w:sz w:val="24"/>
      <w:szCs w:val="24"/>
    </w:rPr>
  </w:style>
  <w:style w:type="paragraph" w:styleId="Nadpis1">
    <w:name w:val="heading 1"/>
    <w:basedOn w:val="Normln"/>
    <w:next w:val="Normln"/>
    <w:qFormat/>
    <w:rsid w:val="00FA65E9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65E9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FA65E9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FA65E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FA65E9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FA65E9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FA65E9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FA65E9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FA65E9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FA65E9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FA65E9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FA6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5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A65E9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FA65E9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FA65E9"/>
  </w:style>
  <w:style w:type="paragraph" w:styleId="Zkladntextodsazen3">
    <w:name w:val="Body Text Indent 3"/>
    <w:basedOn w:val="Normln"/>
    <w:rsid w:val="00FA65E9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FA65E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FA65E9"/>
    <w:rPr>
      <w:color w:val="0000FF"/>
      <w:u w:val="single"/>
    </w:rPr>
  </w:style>
  <w:style w:type="character" w:styleId="Sledovanodkaz">
    <w:name w:val="FollowedHyperlink"/>
    <w:basedOn w:val="Standardnpsmoodstavce"/>
    <w:rsid w:val="00FA65E9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FA65E9"/>
    <w:rPr>
      <w:sz w:val="16"/>
      <w:szCs w:val="16"/>
    </w:rPr>
  </w:style>
  <w:style w:type="paragraph" w:styleId="Textkomente">
    <w:name w:val="annotation text"/>
    <w:basedOn w:val="Normln"/>
    <w:semiHidden/>
    <w:rsid w:val="00FA65E9"/>
    <w:rPr>
      <w:sz w:val="20"/>
      <w:szCs w:val="20"/>
    </w:rPr>
  </w:style>
  <w:style w:type="paragraph" w:customStyle="1" w:styleId="xl24">
    <w:name w:val="xl24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FA65E9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FA65E9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FA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20A5-1B3D-4B1F-9033-3136AEF1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4380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2015-04-23T09:13:00Z</cp:lastPrinted>
  <dcterms:created xsi:type="dcterms:W3CDTF">2016-04-20T12:43:00Z</dcterms:created>
  <dcterms:modified xsi:type="dcterms:W3CDTF">2016-04-20T12:44:00Z</dcterms:modified>
</cp:coreProperties>
</file>