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B7" w:rsidRDefault="00F63FB7" w:rsidP="0060487F">
      <w:pPr>
        <w:pStyle w:val="Styl1"/>
        <w:rPr>
          <w:rFonts w:cs="Arial"/>
          <w:sz w:val="20"/>
        </w:rPr>
      </w:pPr>
    </w:p>
    <w:p w:rsidR="00F63FB7" w:rsidRDefault="00A631FA">
      <w:pPr>
        <w:spacing w:line="240" w:lineRule="auto"/>
        <w:rPr>
          <w:rFonts w:cs="Arial"/>
          <w:lang w:eastAsia="ar-SA"/>
        </w:rPr>
      </w:pPr>
      <w:r>
        <w:rPr>
          <w:rFonts w:cs="Arial"/>
          <w:noProof/>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75315D" w:rsidRPr="005251DD" w:rsidRDefault="0075315D" w:rsidP="004F191F">
                  <w:r w:rsidRPr="005251DD">
                    <w:t xml:space="preserve">Český statistický úřad, </w:t>
                  </w:r>
                  <w:r>
                    <w:t>Praha, 2015</w:t>
                  </w:r>
                </w:p>
              </w:txbxContent>
            </v:textbox>
            <w10:wrap anchorx="page" anchory="page"/>
            <w10:anchorlock/>
          </v:shape>
        </w:pict>
      </w:r>
      <w:r>
        <w:rPr>
          <w:rFonts w:cs="Arial"/>
          <w:noProof/>
        </w:rPr>
        <w:pict>
          <v:shape id="_x0000_s1027" type="#_x0000_t202" style="position:absolute;margin-left:134.65pt;margin-top:612.45pt;width:394.65pt;height:112.45pt;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75315D" w:rsidRPr="006C5577" w:rsidRDefault="0075315D" w:rsidP="004F2A73">
                  <w:pPr>
                    <w:pStyle w:val="TL-Identifikace-dole"/>
                  </w:pPr>
                  <w:r>
                    <w:t>Z</w:t>
                  </w:r>
                  <w:r w:rsidRPr="006C5577">
                    <w:t>pracoval: Odbor</w:t>
                  </w:r>
                  <w:r>
                    <w:t xml:space="preserve"> Kancelář předsedkyně</w:t>
                  </w:r>
                  <w:r w:rsidRPr="006C5577">
                    <w:t xml:space="preserve"> </w:t>
                  </w:r>
                </w:p>
                <w:p w:rsidR="0075315D" w:rsidRPr="006C5577" w:rsidRDefault="0075315D" w:rsidP="004F191F">
                  <w:pPr>
                    <w:pStyle w:val="TL-Identifikace-dole"/>
                  </w:pPr>
                  <w:r w:rsidRPr="006C5577">
                    <w:t xml:space="preserve">Ředitel odboru: </w:t>
                  </w:r>
                  <w:proofErr w:type="spellStart"/>
                  <w:r>
                    <w:t>Egor</w:t>
                  </w:r>
                  <w:proofErr w:type="spellEnd"/>
                  <w:r>
                    <w:t xml:space="preserve"> </w:t>
                  </w:r>
                  <w:proofErr w:type="spellStart"/>
                  <w:r>
                    <w:t>Sidorov</w:t>
                  </w:r>
                  <w:proofErr w:type="spellEnd"/>
                  <w:r>
                    <w:t xml:space="preserve">, </w:t>
                  </w:r>
                  <w:proofErr w:type="spellStart"/>
                  <w:r>
                    <w:t>Ph.D</w:t>
                  </w:r>
                  <w:proofErr w:type="spellEnd"/>
                  <w:r>
                    <w:t>.</w:t>
                  </w:r>
                </w:p>
                <w:p w:rsidR="0075315D" w:rsidRDefault="0075315D" w:rsidP="004F191F">
                  <w:pPr>
                    <w:pStyle w:val="TL-Identifikace-dole"/>
                  </w:pPr>
                  <w:r>
                    <w:t>Autorský tým: Ing. Drahomíra Dubská, CSc., Ing. Emilie Jašová, Bc. Jiří Kamenický, Ing. Lukáš Kučera</w:t>
                  </w:r>
                </w:p>
                <w:p w:rsidR="0075315D" w:rsidRDefault="0075315D" w:rsidP="004F191F">
                  <w:pPr>
                    <w:pStyle w:val="TL-Identifikace-dole"/>
                  </w:pPr>
                  <w:r w:rsidRPr="006C5577">
                    <w:t xml:space="preserve">Kontaktní osoba: </w:t>
                  </w:r>
                  <w:r>
                    <w:t>Ing. Emilie Jašová, email</w:t>
                  </w:r>
                  <w:r w:rsidRPr="006C5577">
                    <w:t xml:space="preserve">: </w:t>
                  </w:r>
                  <w:hyperlink r:id="rId8" w:history="1">
                    <w:r w:rsidRPr="00760141">
                      <w:rPr>
                        <w:rStyle w:val="Hypertextovodkaz"/>
                      </w:rPr>
                      <w:t>emilie.jasova@czso.cz</w:t>
                    </w:r>
                  </w:hyperlink>
                  <w:r>
                    <w:t>, tel: 2 7405 4240</w:t>
                  </w:r>
                </w:p>
              </w:txbxContent>
            </v:textbox>
            <w10:wrap anchorx="page" anchory="page"/>
            <w10:anchorlock/>
          </v:shape>
        </w:pict>
      </w:r>
      <w:r>
        <w:rPr>
          <w:rFonts w:cs="Arial"/>
          <w:noProof/>
        </w:rPr>
        <w:pict>
          <v:shape id="Text Box 25" o:spid="_x0000_s1028" type="#_x0000_t202" style="position:absolute;margin-left:134.65pt;margin-top:358.2pt;width:394.6pt;height:155.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75315D" w:rsidRPr="00D31445" w:rsidRDefault="0075315D" w:rsidP="004F191F">
                  <w:pPr>
                    <w:pStyle w:val="TL-identifikace-sted"/>
                  </w:pPr>
                  <w:proofErr w:type="spellStart"/>
                  <w:r>
                    <w:t>Vícetématické</w:t>
                  </w:r>
                  <w:proofErr w:type="spellEnd"/>
                  <w:r>
                    <w:t xml:space="preserve"> informace</w:t>
                  </w:r>
                </w:p>
                <w:p w:rsidR="0075315D" w:rsidRPr="00162853" w:rsidRDefault="0075315D" w:rsidP="004F191F">
                  <w:pPr>
                    <w:pStyle w:val="TL-identifikace-sted"/>
                    <w:rPr>
                      <w:color w:val="000000" w:themeColor="text1"/>
                    </w:rPr>
                  </w:pPr>
                  <w:bookmarkStart w:id="0" w:name="_GoBack"/>
                  <w:r w:rsidRPr="00162853">
                    <w:rPr>
                      <w:color w:val="000000" w:themeColor="text1"/>
                    </w:rPr>
                    <w:t>Praha, 23. 3. 2015</w:t>
                  </w:r>
                </w:p>
                <w:bookmarkEnd w:id="0"/>
                <w:p w:rsidR="0075315D" w:rsidRPr="00D31445" w:rsidRDefault="0075315D" w:rsidP="004F191F">
                  <w:pPr>
                    <w:pStyle w:val="TL-identifikace-sted"/>
                  </w:pPr>
                  <w:r w:rsidRPr="00D31445">
                    <w:t xml:space="preserve">Kód publikace: </w:t>
                  </w:r>
                  <w:r w:rsidRPr="00136561">
                    <w:t>320193-14</w:t>
                  </w:r>
                </w:p>
                <w:p w:rsidR="0075315D" w:rsidRPr="00D31445" w:rsidRDefault="0075315D" w:rsidP="004F191F">
                  <w:pPr>
                    <w:spacing w:after="200"/>
                    <w:rPr>
                      <w:sz w:val="24"/>
                    </w:rPr>
                  </w:pPr>
                  <w:r w:rsidRPr="00D31445">
                    <w:rPr>
                      <w:sz w:val="24"/>
                    </w:rPr>
                    <w:t xml:space="preserve">Č. </w:t>
                  </w:r>
                  <w:proofErr w:type="spellStart"/>
                  <w:r w:rsidRPr="00D31445">
                    <w:rPr>
                      <w:sz w:val="24"/>
                    </w:rPr>
                    <w:t>j</w:t>
                  </w:r>
                  <w:proofErr w:type="spellEnd"/>
                  <w:r w:rsidRPr="00D31445">
                    <w:rPr>
                      <w:sz w:val="24"/>
                    </w:rPr>
                    <w:t xml:space="preserve">.: </w:t>
                  </w:r>
                  <w:r>
                    <w:rPr>
                      <w:sz w:val="24"/>
                    </w:rPr>
                    <w:t>570 / 2015 - 01</w:t>
                  </w:r>
                </w:p>
                <w:p w:rsidR="0075315D" w:rsidRPr="00D31445" w:rsidRDefault="0075315D" w:rsidP="004F191F">
                  <w:pPr>
                    <w:spacing w:after="200"/>
                    <w:rPr>
                      <w:sz w:val="24"/>
                    </w:rPr>
                  </w:pPr>
                  <w:r>
                    <w:rPr>
                      <w:sz w:val="24"/>
                    </w:rPr>
                    <w:t>Pořadové číslo v roce: 4</w:t>
                  </w:r>
                </w:p>
              </w:txbxContent>
            </v:textbox>
            <w10:wrap anchorx="page" anchory="page"/>
            <w10:anchorlock/>
          </v:shape>
        </w:pict>
      </w:r>
      <w:r>
        <w:rPr>
          <w:rFonts w:cs="Arial"/>
          <w:noProof/>
        </w:rPr>
        <w:pict>
          <v:shape id="_x0000_s1029" type="#_x0000_t202" style="position:absolute;margin-left:134.65pt;margin-top:116.25pt;width:371.15pt;height:13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75315D" w:rsidRPr="001C357A" w:rsidRDefault="0075315D" w:rsidP="001C357A">
                  <w:pPr>
                    <w:pStyle w:val="Podtitul"/>
                    <w:rPr>
                      <w:sz w:val="56"/>
                      <w:szCs w:val="56"/>
                    </w:rPr>
                  </w:pPr>
                  <w:r>
                    <w:rPr>
                      <w:sz w:val="56"/>
                      <w:szCs w:val="56"/>
                    </w:rPr>
                    <w:t>VÝVOJ EKONOMIKY Č</w:t>
                  </w:r>
                  <w:r w:rsidRPr="001C357A">
                    <w:rPr>
                      <w:sz w:val="56"/>
                      <w:szCs w:val="56"/>
                    </w:rPr>
                    <w:t>E</w:t>
                  </w:r>
                  <w:r>
                    <w:rPr>
                      <w:sz w:val="56"/>
                      <w:szCs w:val="56"/>
                    </w:rPr>
                    <w:t>SKÉ REPUBLIKY V ROCE 2014</w:t>
                  </w:r>
                </w:p>
                <w:p w:rsidR="0075315D" w:rsidRPr="009B04D0" w:rsidRDefault="0075315D" w:rsidP="004F191F">
                  <w:pPr>
                    <w:pStyle w:val="Podtitul"/>
                  </w:pPr>
                </w:p>
              </w:txbxContent>
            </v:textbox>
            <w10:wrap anchorx="page" anchory="page"/>
            <w10:anchorlock/>
          </v:shape>
        </w:pict>
      </w:r>
      <w:r>
        <w:rPr>
          <w:rFonts w:cs="Arial"/>
          <w:noProof/>
        </w:rPr>
        <w:pict>
          <v:group id="Group 24" o:spid="_x0000_s1037"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40" style="position:absolute;left:1215;top:901;width:676;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9" style="position:absolute;left:567;top:1131;width:132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8" style="position:absolute;left:1288;top:1361;width:60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0"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3F313C" w:rsidRDefault="003F313C" w:rsidP="0060487F">
      <w:pPr>
        <w:pStyle w:val="Styl1"/>
        <w:rPr>
          <w:rFonts w:cs="Arial"/>
          <w:sz w:val="20"/>
        </w:rPr>
      </w:pPr>
    </w:p>
    <w:p w:rsidR="003F313C" w:rsidRDefault="003F313C" w:rsidP="0060487F">
      <w:pPr>
        <w:pStyle w:val="Styl1"/>
        <w:rPr>
          <w:rFonts w:cs="Arial"/>
          <w:sz w:val="20"/>
        </w:rPr>
      </w:pPr>
    </w:p>
    <w:p w:rsidR="00F63FB7" w:rsidRDefault="00F63FB7" w:rsidP="0060487F">
      <w:pPr>
        <w:pStyle w:val="Styl1"/>
        <w:rPr>
          <w:rFonts w:cs="Arial"/>
          <w:sz w:val="20"/>
        </w:rPr>
      </w:pPr>
    </w:p>
    <w:p w:rsidR="001F3E68" w:rsidRDefault="001F3E68" w:rsidP="00D31932">
      <w:pPr>
        <w:autoSpaceDE w:val="0"/>
        <w:autoSpaceDN w:val="0"/>
        <w:adjustRightInd w:val="0"/>
        <w:spacing w:line="240" w:lineRule="auto"/>
        <w:jc w:val="both"/>
        <w:rPr>
          <w:rFonts w:cs="Arial"/>
        </w:rPr>
      </w:pPr>
    </w:p>
    <w:p w:rsidR="00F63FB7" w:rsidRDefault="00A631FA" w:rsidP="00D31932">
      <w:pPr>
        <w:autoSpaceDE w:val="0"/>
        <w:autoSpaceDN w:val="0"/>
        <w:adjustRightInd w:val="0"/>
        <w:spacing w:line="240" w:lineRule="auto"/>
        <w:jc w:val="both"/>
        <w:rPr>
          <w:rFonts w:cs="Arial"/>
          <w:lang w:eastAsia="ar-SA"/>
        </w:rPr>
      </w:pPr>
      <w:r w:rsidRPr="00A631FA">
        <w:rPr>
          <w:noProof/>
        </w:rPr>
        <w:pict>
          <v:line id="Přímá spojnice 33" o:spid="_x0000_s1036" style="position:absolute;left:0;text-align:left;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rPr>
          <w:rFonts w:cs="Arial"/>
        </w:rPr>
        <w:br w:type="page"/>
      </w:r>
    </w:p>
    <w:p w:rsidR="00F63FB7" w:rsidRDefault="00F63FB7" w:rsidP="0060487F">
      <w:pPr>
        <w:pStyle w:val="Styl1"/>
        <w:rPr>
          <w:rFonts w:cs="Arial"/>
          <w:sz w:val="20"/>
        </w:rPr>
      </w:pPr>
    </w:p>
    <w:p w:rsidR="003F313C" w:rsidRDefault="003F313C" w:rsidP="0060487F">
      <w:pPr>
        <w:pStyle w:val="Styl1"/>
        <w:rPr>
          <w:rFonts w:cs="Arial"/>
          <w:sz w:val="20"/>
        </w:rPr>
      </w:pPr>
    </w:p>
    <w:p w:rsidR="003F313C" w:rsidRDefault="003F313C">
      <w:pPr>
        <w:spacing w:line="240" w:lineRule="auto"/>
        <w:rPr>
          <w:rFonts w:cs="Arial"/>
          <w:lang w:eastAsia="ar-SA"/>
        </w:rPr>
      </w:pPr>
    </w:p>
    <w:p w:rsidR="0060487F" w:rsidRDefault="0060487F" w:rsidP="0060487F">
      <w:pPr>
        <w:pStyle w:val="Styl1"/>
        <w:rPr>
          <w:rFonts w:cs="Arial"/>
          <w:sz w:val="20"/>
        </w:rPr>
      </w:pPr>
    </w:p>
    <w:p w:rsidR="0060487F" w:rsidRPr="006404A7" w:rsidRDefault="00A631FA" w:rsidP="0060487F">
      <w:pPr>
        <w:pStyle w:val="Styl1"/>
        <w:rPr>
          <w:rFonts w:cs="Arial"/>
          <w:color w:val="7DB41E"/>
          <w:sz w:val="20"/>
          <w:szCs w:val="20"/>
        </w:rPr>
      </w:pPr>
      <w:r w:rsidRPr="00A631FA">
        <w:rPr>
          <w:noProof/>
          <w:lang w:eastAsia="cs-CZ"/>
        </w:rPr>
        <w:pict>
          <v:shape id="_x0000_s1035" type="#_x0000_t202" style="position:absolute;margin-left:56.7pt;margin-top:116.25pt;width:481.9pt;height:59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75315D" w:rsidRPr="00437C76" w:rsidRDefault="0075315D" w:rsidP="00437C76">
                  <w:pPr>
                    <w:pStyle w:val="TL-Kontakty"/>
                  </w:pPr>
                  <w:r w:rsidRPr="005513D5">
                    <w:rPr>
                      <w:rStyle w:val="TL-KontaktyChar"/>
                      <w:b/>
                    </w:rPr>
                    <w:t>KONTAKTY V</w:t>
                  </w:r>
                  <w:r w:rsidRPr="00437C76">
                    <w:t> ÚSTŘEDÍ</w:t>
                  </w:r>
                </w:p>
                <w:p w:rsidR="0075315D" w:rsidRPr="00EA4153" w:rsidRDefault="0075315D"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75315D" w:rsidRPr="00B27293" w:rsidRDefault="0075315D"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75315D" w:rsidRPr="00EA4153" w:rsidRDefault="0075315D" w:rsidP="00BD366B">
                  <w:pPr>
                    <w:spacing w:after="80" w:line="240" w:lineRule="auto"/>
                    <w:rPr>
                      <w:b/>
                    </w:rPr>
                  </w:pPr>
                  <w:r w:rsidRPr="00100014">
                    <w:rPr>
                      <w:b/>
                    </w:rPr>
                    <w:t>Prodejna publikací ČSÚ</w:t>
                  </w:r>
                  <w:r>
                    <w:t xml:space="preserve"> | tel.: 274 052 361 | e-mail: prodejna@czso.cz</w:t>
                  </w:r>
                </w:p>
                <w:p w:rsidR="0075315D" w:rsidRPr="00EA4153" w:rsidRDefault="0075315D"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75315D" w:rsidRPr="00EA4153" w:rsidRDefault="0075315D" w:rsidP="00BD366B">
                  <w:pPr>
                    <w:spacing w:after="80" w:line="240" w:lineRule="auto"/>
                    <w:rPr>
                      <w:b/>
                    </w:rPr>
                  </w:pPr>
                  <w:r w:rsidRPr="00100014">
                    <w:rPr>
                      <w:b/>
                    </w:rPr>
                    <w:t>Ústřední statistická knihovna</w:t>
                  </w:r>
                  <w:r>
                    <w:t xml:space="preserve"> | tel.: 274 052 361 | e-mail: knihovna@czso.cz</w:t>
                  </w:r>
                </w:p>
                <w:p w:rsidR="0075315D" w:rsidRDefault="0075315D" w:rsidP="00BD366B">
                  <w:pPr>
                    <w:spacing w:line="240" w:lineRule="auto"/>
                  </w:pPr>
                </w:p>
                <w:p w:rsidR="0075315D" w:rsidRPr="0071229A" w:rsidRDefault="0075315D" w:rsidP="004F06F5">
                  <w:pPr>
                    <w:pStyle w:val="TL-Kontakty"/>
                  </w:pPr>
                  <w:r w:rsidRPr="0071229A">
                    <w:t>INFORMAČNÍ SLUŽBY V REGIONECH</w:t>
                  </w:r>
                </w:p>
                <w:p w:rsidR="0075315D" w:rsidRDefault="0075315D" w:rsidP="00BD366B">
                  <w:pPr>
                    <w:spacing w:line="240" w:lineRule="auto"/>
                  </w:pPr>
                  <w:r w:rsidRPr="00100014">
                    <w:rPr>
                      <w:b/>
                      <w:color w:val="0071BC"/>
                    </w:rPr>
                    <w:t>Hl. m. Praha</w:t>
                  </w:r>
                  <w:r>
                    <w:t xml:space="preserve"> | Na padesátém 81, 100 82 Praha 10 | tel.: 274 052 673, 274 054 223</w:t>
                  </w:r>
                </w:p>
                <w:p w:rsidR="0075315D" w:rsidRPr="00100014" w:rsidRDefault="0075315D" w:rsidP="00BD366B">
                  <w:pPr>
                    <w:spacing w:line="240" w:lineRule="auto"/>
                    <w:rPr>
                      <w:b/>
                    </w:rPr>
                  </w:pPr>
                  <w:r>
                    <w:t xml:space="preserve">e-mail: infoservispraha@czso.cz | </w:t>
                  </w:r>
                  <w:r w:rsidRPr="00100014">
                    <w:rPr>
                      <w:b/>
                    </w:rPr>
                    <w:t>www.praha.czso.cz</w:t>
                  </w:r>
                </w:p>
                <w:p w:rsidR="0075315D" w:rsidRDefault="0075315D" w:rsidP="00BD366B">
                  <w:pPr>
                    <w:spacing w:line="240" w:lineRule="auto"/>
                  </w:pPr>
                </w:p>
                <w:p w:rsidR="0075315D" w:rsidRPr="00B27293" w:rsidRDefault="0075315D"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75315D" w:rsidRPr="00B27293" w:rsidRDefault="0075315D" w:rsidP="00BD366B">
                  <w:pPr>
                    <w:spacing w:line="240" w:lineRule="auto"/>
                  </w:pPr>
                  <w:r>
                    <w:t xml:space="preserve">e-mail: infoservisstc@czso.cz | </w:t>
                  </w:r>
                  <w:r w:rsidRPr="00100014">
                    <w:rPr>
                      <w:b/>
                    </w:rPr>
                    <w:t>www.stredocesky.czso.cz</w:t>
                  </w:r>
                </w:p>
                <w:p w:rsidR="0075315D" w:rsidRDefault="0075315D" w:rsidP="00BD366B">
                  <w:pPr>
                    <w:spacing w:line="240" w:lineRule="auto"/>
                  </w:pPr>
                </w:p>
                <w:p w:rsidR="0075315D" w:rsidRPr="00B27293" w:rsidRDefault="0075315D" w:rsidP="00BD366B">
                  <w:pPr>
                    <w:spacing w:line="240" w:lineRule="auto"/>
                    <w:rPr>
                      <w:b/>
                      <w:color w:val="0071BC"/>
                    </w:rPr>
                  </w:pPr>
                  <w:r w:rsidRPr="00100014">
                    <w:rPr>
                      <w:b/>
                      <w:color w:val="0071BC"/>
                    </w:rPr>
                    <w:t>České Budějovice</w:t>
                  </w:r>
                  <w:r>
                    <w:t xml:space="preserve"> | Žižkova 1, 370 77 České Budějovice | tel.: 386 718 440</w:t>
                  </w:r>
                </w:p>
                <w:p w:rsidR="0075315D" w:rsidRPr="00B27293" w:rsidRDefault="0075315D" w:rsidP="00BD366B">
                  <w:pPr>
                    <w:spacing w:line="240" w:lineRule="auto"/>
                  </w:pPr>
                  <w:r>
                    <w:t xml:space="preserve">e-mail: infoserviscb@czso.cz | </w:t>
                  </w:r>
                  <w:r w:rsidRPr="00100014">
                    <w:rPr>
                      <w:b/>
                    </w:rPr>
                    <w:t>www.cbudejovice.czso.cz</w:t>
                  </w:r>
                </w:p>
                <w:p w:rsidR="0075315D" w:rsidRDefault="0075315D" w:rsidP="00BD366B">
                  <w:pPr>
                    <w:spacing w:line="240" w:lineRule="auto"/>
                  </w:pPr>
                </w:p>
                <w:p w:rsidR="0075315D" w:rsidRPr="00B27293" w:rsidRDefault="0075315D" w:rsidP="00BD366B">
                  <w:pPr>
                    <w:spacing w:line="240" w:lineRule="auto"/>
                    <w:rPr>
                      <w:b/>
                      <w:color w:val="0071BC"/>
                    </w:rPr>
                  </w:pPr>
                  <w:r w:rsidRPr="0071229A">
                    <w:rPr>
                      <w:b/>
                      <w:color w:val="0071BC"/>
                    </w:rPr>
                    <w:t>Plzeň</w:t>
                  </w:r>
                  <w:r>
                    <w:t xml:space="preserve"> | Slovanská alej 36, 326 64 Plzeň | tel.: 377 612 108, 377 612 249</w:t>
                  </w:r>
                </w:p>
                <w:p w:rsidR="0075315D" w:rsidRPr="00B27293" w:rsidRDefault="0075315D" w:rsidP="00BD366B">
                  <w:pPr>
                    <w:spacing w:line="240" w:lineRule="auto"/>
                  </w:pPr>
                  <w:r>
                    <w:t xml:space="preserve">e-mail: infoservisplzen@czso.cz | </w:t>
                  </w:r>
                  <w:r w:rsidRPr="0071229A">
                    <w:rPr>
                      <w:b/>
                    </w:rPr>
                    <w:t>www.plzen.czso.cz</w:t>
                  </w:r>
                </w:p>
                <w:p w:rsidR="0075315D" w:rsidRDefault="0075315D" w:rsidP="00BD366B">
                  <w:pPr>
                    <w:spacing w:line="240" w:lineRule="auto"/>
                  </w:pPr>
                </w:p>
                <w:p w:rsidR="0075315D" w:rsidRPr="00B27293" w:rsidRDefault="0075315D" w:rsidP="00BD366B">
                  <w:pPr>
                    <w:spacing w:line="240" w:lineRule="auto"/>
                    <w:rPr>
                      <w:b/>
                      <w:color w:val="0071BC"/>
                    </w:rPr>
                  </w:pPr>
                  <w:r w:rsidRPr="0071229A">
                    <w:rPr>
                      <w:b/>
                      <w:color w:val="0071BC"/>
                    </w:rPr>
                    <w:t>Karlovy Vary</w:t>
                  </w:r>
                  <w:r>
                    <w:t xml:space="preserve"> | Sportovní 28, 360 01 Karlovy Vary | tel.: 353 114 529, 353 114 525</w:t>
                  </w:r>
                </w:p>
                <w:p w:rsidR="0075315D" w:rsidRDefault="0075315D" w:rsidP="00BD366B">
                  <w:pPr>
                    <w:spacing w:line="240" w:lineRule="auto"/>
                    <w:rPr>
                      <w:b/>
                    </w:rPr>
                  </w:pPr>
                  <w:r>
                    <w:t xml:space="preserve">e-mail: infoserviskv@czso.cz | </w:t>
                  </w:r>
                  <w:r>
                    <w:rPr>
                      <w:b/>
                    </w:rPr>
                    <w:t>www.kvary.czso.cz</w:t>
                  </w:r>
                </w:p>
                <w:p w:rsidR="0075315D" w:rsidRDefault="0075315D" w:rsidP="00BD366B">
                  <w:pPr>
                    <w:spacing w:line="240" w:lineRule="auto"/>
                  </w:pPr>
                </w:p>
                <w:p w:rsidR="0075315D" w:rsidRPr="00B27293" w:rsidRDefault="0075315D" w:rsidP="00BD366B">
                  <w:pPr>
                    <w:spacing w:line="240" w:lineRule="auto"/>
                    <w:rPr>
                      <w:b/>
                      <w:bCs/>
                      <w:color w:val="0071BC"/>
                    </w:rPr>
                  </w:pPr>
                  <w:r w:rsidRPr="0071229A">
                    <w:rPr>
                      <w:b/>
                      <w:bCs/>
                      <w:color w:val="0071BC"/>
                    </w:rPr>
                    <w:t>Ústí nad Labem</w:t>
                  </w:r>
                  <w:r>
                    <w:t xml:space="preserve"> | </w:t>
                  </w:r>
                  <w:proofErr w:type="spellStart"/>
                  <w:r w:rsidRPr="0071229A">
                    <w:rPr>
                      <w:bCs/>
                    </w:rPr>
                    <w:t>Špálova</w:t>
                  </w:r>
                  <w:proofErr w:type="spellEnd"/>
                  <w:r w:rsidRPr="0071229A">
                    <w:rPr>
                      <w:bCs/>
                    </w:rPr>
                    <w:t xml:space="preserve"> 2684, 400 11 Ústí nad Labem</w:t>
                  </w:r>
                  <w:r>
                    <w:t xml:space="preserve"> | </w:t>
                  </w:r>
                  <w:r w:rsidRPr="0071229A">
                    <w:rPr>
                      <w:bCs/>
                    </w:rPr>
                    <w:t>tel.: 472 706 176, 472 706 121</w:t>
                  </w:r>
                </w:p>
                <w:p w:rsidR="0075315D" w:rsidRPr="00B27293" w:rsidRDefault="0075315D" w:rsidP="00BD366B">
                  <w:pPr>
                    <w:spacing w:line="240" w:lineRule="auto"/>
                    <w:rPr>
                      <w:bCs/>
                    </w:rPr>
                  </w:pPr>
                  <w:r w:rsidRPr="0071229A">
                    <w:rPr>
                      <w:bCs/>
                    </w:rPr>
                    <w:t>e-mail: infoservisul@czso.cz</w:t>
                  </w:r>
                  <w:r>
                    <w:t xml:space="preserve"> | </w:t>
                  </w:r>
                  <w:r w:rsidRPr="0071229A">
                    <w:rPr>
                      <w:b/>
                      <w:bCs/>
                    </w:rPr>
                    <w:t>www.ustinadlabem.czso.cz</w:t>
                  </w:r>
                </w:p>
                <w:p w:rsidR="0075315D" w:rsidRPr="0071229A" w:rsidRDefault="0075315D" w:rsidP="00BD366B">
                  <w:pPr>
                    <w:spacing w:line="240" w:lineRule="auto"/>
                    <w:rPr>
                      <w:bCs/>
                    </w:rPr>
                  </w:pPr>
                </w:p>
                <w:p w:rsidR="0075315D" w:rsidRPr="00B27293" w:rsidRDefault="0075315D"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75315D" w:rsidRPr="00B27293" w:rsidRDefault="0075315D" w:rsidP="00BD366B">
                  <w:pPr>
                    <w:spacing w:line="240" w:lineRule="auto"/>
                    <w:rPr>
                      <w:bCs/>
                    </w:rPr>
                  </w:pPr>
                  <w:r w:rsidRPr="0071229A">
                    <w:rPr>
                      <w:bCs/>
                    </w:rPr>
                    <w:t>e-mail: infoservislbc@czso.cz</w:t>
                  </w:r>
                  <w:r>
                    <w:t xml:space="preserve"> | </w:t>
                  </w:r>
                  <w:r w:rsidRPr="0071229A">
                    <w:rPr>
                      <w:b/>
                      <w:bCs/>
                    </w:rPr>
                    <w:t>www.liberec.czso.cz</w:t>
                  </w:r>
                </w:p>
                <w:p w:rsidR="0075315D" w:rsidRPr="0071229A" w:rsidRDefault="0075315D" w:rsidP="00BD366B">
                  <w:pPr>
                    <w:spacing w:line="240" w:lineRule="auto"/>
                    <w:rPr>
                      <w:bCs/>
                    </w:rPr>
                  </w:pPr>
                </w:p>
                <w:p w:rsidR="0075315D" w:rsidRPr="00B27293" w:rsidRDefault="0075315D"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75315D" w:rsidRPr="00B27293" w:rsidRDefault="0075315D" w:rsidP="00BD366B">
                  <w:pPr>
                    <w:spacing w:line="240" w:lineRule="auto"/>
                    <w:rPr>
                      <w:bCs/>
                    </w:rPr>
                  </w:pPr>
                  <w:r w:rsidRPr="0071229A">
                    <w:rPr>
                      <w:bCs/>
                    </w:rPr>
                    <w:t>e-mail: infoservishk@czso.cz</w:t>
                  </w:r>
                  <w:r>
                    <w:t xml:space="preserve"> | </w:t>
                  </w:r>
                  <w:r w:rsidRPr="0071229A">
                    <w:rPr>
                      <w:b/>
                      <w:bCs/>
                    </w:rPr>
                    <w:t>www.hradeckralove.czso.cz</w:t>
                  </w:r>
                </w:p>
                <w:p w:rsidR="0075315D" w:rsidRPr="0071229A" w:rsidRDefault="0075315D" w:rsidP="00BD366B">
                  <w:pPr>
                    <w:spacing w:line="240" w:lineRule="auto"/>
                    <w:rPr>
                      <w:bCs/>
                    </w:rPr>
                  </w:pPr>
                </w:p>
                <w:p w:rsidR="0075315D" w:rsidRPr="00B27293" w:rsidRDefault="0075315D"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75315D" w:rsidRPr="00B27293" w:rsidRDefault="0075315D" w:rsidP="00BD366B">
                  <w:pPr>
                    <w:spacing w:line="240" w:lineRule="auto"/>
                    <w:rPr>
                      <w:bCs/>
                    </w:rPr>
                  </w:pPr>
                  <w:r w:rsidRPr="0071229A">
                    <w:rPr>
                      <w:bCs/>
                    </w:rPr>
                    <w:t>e-mail: infoservispa@czso.cz</w:t>
                  </w:r>
                  <w:r>
                    <w:t xml:space="preserve"> | </w:t>
                  </w:r>
                  <w:r w:rsidRPr="0071229A">
                    <w:rPr>
                      <w:b/>
                      <w:bCs/>
                    </w:rPr>
                    <w:t>www.pardubice.czso.cz</w:t>
                  </w:r>
                </w:p>
                <w:p w:rsidR="0075315D" w:rsidRPr="0071229A" w:rsidRDefault="0075315D" w:rsidP="00BD366B">
                  <w:pPr>
                    <w:spacing w:line="240" w:lineRule="auto"/>
                    <w:rPr>
                      <w:bCs/>
                    </w:rPr>
                  </w:pPr>
                </w:p>
                <w:p w:rsidR="0075315D" w:rsidRPr="00B27293" w:rsidRDefault="0075315D"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75315D" w:rsidRPr="00B27293" w:rsidRDefault="0075315D" w:rsidP="00BD366B">
                  <w:pPr>
                    <w:spacing w:line="240" w:lineRule="auto"/>
                    <w:rPr>
                      <w:bCs/>
                    </w:rPr>
                  </w:pPr>
                  <w:r w:rsidRPr="0071229A">
                    <w:rPr>
                      <w:bCs/>
                    </w:rPr>
                    <w:t>e-mail: infoservisvys@czso.cz</w:t>
                  </w:r>
                  <w:r>
                    <w:t xml:space="preserve"> | </w:t>
                  </w:r>
                  <w:r w:rsidRPr="0071229A">
                    <w:rPr>
                      <w:b/>
                      <w:bCs/>
                    </w:rPr>
                    <w:t>www.jihlava.czso.cz</w:t>
                  </w:r>
                </w:p>
                <w:p w:rsidR="0075315D" w:rsidRPr="0071229A" w:rsidRDefault="0075315D" w:rsidP="00BD366B">
                  <w:pPr>
                    <w:spacing w:line="240" w:lineRule="auto"/>
                    <w:rPr>
                      <w:bCs/>
                    </w:rPr>
                  </w:pPr>
                </w:p>
                <w:p w:rsidR="0075315D" w:rsidRPr="00B27293" w:rsidRDefault="0075315D"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75315D" w:rsidRPr="00B27293" w:rsidRDefault="0075315D" w:rsidP="00BD366B">
                  <w:pPr>
                    <w:spacing w:line="240" w:lineRule="auto"/>
                    <w:rPr>
                      <w:bCs/>
                    </w:rPr>
                  </w:pPr>
                  <w:r w:rsidRPr="0071229A">
                    <w:rPr>
                      <w:bCs/>
                    </w:rPr>
                    <w:t>e-mail: infoservisbrno@czso.cz</w:t>
                  </w:r>
                  <w:r>
                    <w:t xml:space="preserve"> | </w:t>
                  </w:r>
                  <w:r w:rsidRPr="0071229A">
                    <w:rPr>
                      <w:b/>
                      <w:bCs/>
                    </w:rPr>
                    <w:t>www.brno.czso.cz</w:t>
                  </w:r>
                </w:p>
                <w:p w:rsidR="0075315D" w:rsidRPr="0071229A" w:rsidRDefault="0075315D" w:rsidP="00BD366B">
                  <w:pPr>
                    <w:spacing w:line="240" w:lineRule="auto"/>
                    <w:rPr>
                      <w:bCs/>
                    </w:rPr>
                  </w:pPr>
                </w:p>
                <w:p w:rsidR="0075315D" w:rsidRPr="00B27293" w:rsidRDefault="0075315D" w:rsidP="00BD366B">
                  <w:pPr>
                    <w:spacing w:line="240" w:lineRule="auto"/>
                    <w:rPr>
                      <w:b/>
                      <w:bCs/>
                    </w:rPr>
                  </w:pPr>
                  <w:r w:rsidRPr="0071229A">
                    <w:rPr>
                      <w:b/>
                      <w:bCs/>
                      <w:color w:val="0071BC"/>
                    </w:rPr>
                    <w:t>Olomouc</w:t>
                  </w:r>
                  <w:r>
                    <w:t xml:space="preserve"> | </w:t>
                  </w:r>
                  <w:proofErr w:type="spellStart"/>
                  <w:r w:rsidRPr="0071229A">
                    <w:rPr>
                      <w:bCs/>
                    </w:rPr>
                    <w:t>Jeremenkova</w:t>
                  </w:r>
                  <w:proofErr w:type="spellEnd"/>
                  <w:r w:rsidRPr="0071229A">
                    <w:rPr>
                      <w:bCs/>
                    </w:rPr>
                    <w:t xml:space="preserve"> 1142/42, 772 11 Olomouc</w:t>
                  </w:r>
                  <w:r>
                    <w:t xml:space="preserve"> | </w:t>
                  </w:r>
                  <w:r w:rsidRPr="0071229A">
                    <w:rPr>
                      <w:bCs/>
                    </w:rPr>
                    <w:t>tel.: 585 731 516, 585 731 509</w:t>
                  </w:r>
                </w:p>
                <w:p w:rsidR="0075315D" w:rsidRPr="00B27293" w:rsidRDefault="0075315D" w:rsidP="00BD366B">
                  <w:pPr>
                    <w:spacing w:line="240" w:lineRule="auto"/>
                    <w:rPr>
                      <w:bCs/>
                    </w:rPr>
                  </w:pPr>
                  <w:r w:rsidRPr="0071229A">
                    <w:rPr>
                      <w:bCs/>
                    </w:rPr>
                    <w:t>e-mail: infoservisolom@czso.cz</w:t>
                  </w:r>
                  <w:r>
                    <w:t xml:space="preserve"> | </w:t>
                  </w:r>
                  <w:r w:rsidRPr="0071229A">
                    <w:rPr>
                      <w:b/>
                      <w:bCs/>
                    </w:rPr>
                    <w:t>www.olomouc.czso.cz</w:t>
                  </w:r>
                </w:p>
                <w:p w:rsidR="0075315D" w:rsidRPr="0071229A" w:rsidRDefault="0075315D" w:rsidP="00BD366B">
                  <w:pPr>
                    <w:spacing w:line="240" w:lineRule="auto"/>
                    <w:rPr>
                      <w:bCs/>
                    </w:rPr>
                  </w:pPr>
                </w:p>
                <w:p w:rsidR="0075315D" w:rsidRPr="00B27293" w:rsidRDefault="0075315D" w:rsidP="00BD366B">
                  <w:pPr>
                    <w:spacing w:line="240" w:lineRule="auto"/>
                    <w:rPr>
                      <w:b/>
                      <w:bCs/>
                    </w:rPr>
                  </w:pPr>
                  <w:r w:rsidRPr="0071229A">
                    <w:rPr>
                      <w:b/>
                      <w:bCs/>
                      <w:color w:val="0071BC"/>
                    </w:rPr>
                    <w:t>Ostrava</w:t>
                  </w:r>
                  <w:r>
                    <w:t xml:space="preserve"> | </w:t>
                  </w:r>
                  <w:proofErr w:type="spellStart"/>
                  <w:r w:rsidRPr="0071229A">
                    <w:rPr>
                      <w:bCs/>
                    </w:rPr>
                    <w:t>Repinova</w:t>
                  </w:r>
                  <w:proofErr w:type="spellEnd"/>
                  <w:r w:rsidRPr="0071229A">
                    <w:rPr>
                      <w:bCs/>
                    </w:rPr>
                    <w:t xml:space="preserve"> 17, 702 03 Ostrava</w:t>
                  </w:r>
                  <w:r>
                    <w:t xml:space="preserve"> | </w:t>
                  </w:r>
                  <w:r w:rsidRPr="0071229A">
                    <w:rPr>
                      <w:bCs/>
                    </w:rPr>
                    <w:t>tel.: 595 131 230, 595 131 232</w:t>
                  </w:r>
                </w:p>
                <w:p w:rsidR="0075315D" w:rsidRPr="00B27293" w:rsidRDefault="0075315D" w:rsidP="00BD366B">
                  <w:pPr>
                    <w:spacing w:line="240" w:lineRule="auto"/>
                    <w:rPr>
                      <w:bCs/>
                    </w:rPr>
                  </w:pPr>
                  <w:r w:rsidRPr="0071229A">
                    <w:rPr>
                      <w:bCs/>
                    </w:rPr>
                    <w:t>e-mail: infoservis_ov@czso.cz</w:t>
                  </w:r>
                  <w:r>
                    <w:t xml:space="preserve"> | </w:t>
                  </w:r>
                  <w:r w:rsidRPr="0071229A">
                    <w:rPr>
                      <w:b/>
                      <w:bCs/>
                    </w:rPr>
                    <w:t>www.ostrava.czso.cz</w:t>
                  </w:r>
                </w:p>
                <w:p w:rsidR="0075315D" w:rsidRPr="0071229A" w:rsidRDefault="0075315D" w:rsidP="00BD366B">
                  <w:pPr>
                    <w:spacing w:line="240" w:lineRule="auto"/>
                    <w:rPr>
                      <w:bCs/>
                    </w:rPr>
                  </w:pPr>
                </w:p>
                <w:p w:rsidR="0075315D" w:rsidRPr="0071229A" w:rsidRDefault="0075315D"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75315D" w:rsidRPr="00B27293" w:rsidRDefault="0075315D" w:rsidP="00BD366B">
                  <w:pPr>
                    <w:spacing w:line="240" w:lineRule="auto"/>
                    <w:rPr>
                      <w:bCs/>
                    </w:rPr>
                  </w:pPr>
                  <w:r w:rsidRPr="0071229A">
                    <w:rPr>
                      <w:bCs/>
                    </w:rPr>
                    <w:t>e-mail: infoservis-zl@czso.cz</w:t>
                  </w:r>
                  <w:r>
                    <w:t xml:space="preserve"> | </w:t>
                  </w:r>
                  <w:r w:rsidRPr="0071229A">
                    <w:rPr>
                      <w:b/>
                      <w:bCs/>
                    </w:rPr>
                    <w:t>www.zlin.czso.cz</w:t>
                  </w:r>
                </w:p>
                <w:p w:rsidR="0075315D" w:rsidRPr="00B27293" w:rsidRDefault="0075315D" w:rsidP="00BD366B">
                  <w:pPr>
                    <w:spacing w:line="240" w:lineRule="auto"/>
                  </w:pPr>
                </w:p>
              </w:txbxContent>
            </v:textbox>
            <w10:wrap anchorx="page" anchory="page"/>
            <w10:anchorlock/>
          </v:shape>
        </w:pict>
      </w:r>
      <w:r w:rsidRPr="00A631FA">
        <w:rPr>
          <w:noProof/>
          <w:lang w:eastAsia="cs-CZ"/>
        </w:rPr>
        <w:pict>
          <v:shape id="_x0000_s1034" type="#_x0000_t202" style="position:absolute;margin-left:56.7pt;margin-top:56.7pt;width:481.85pt;height:33.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75315D" w:rsidRPr="00B95F50" w:rsidRDefault="0075315D" w:rsidP="0060487F">
                  <w:pPr>
                    <w:rPr>
                      <w:b/>
                      <w:bCs/>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sidRPr="00B95F50">
                    <w:rPr>
                      <w:b/>
                      <w:bCs/>
                      <w:sz w:val="24"/>
                    </w:rPr>
                    <w:t>www.czso.cz</w:t>
                  </w:r>
                </w:p>
              </w:txbxContent>
            </v:textbox>
            <w10:wrap anchorx="page" anchory="page"/>
            <w10:anchorlock/>
          </v:shape>
        </w:pict>
      </w:r>
      <w:r w:rsidRPr="00A631FA">
        <w:rPr>
          <w:noProof/>
          <w:lang w:eastAsia="cs-CZ"/>
        </w:rPr>
        <w:pict>
          <v:shape id="_x0000_s1033" type="#_x0000_t202" style="position:absolute;margin-left:56.35pt;margin-top:747pt;width:481.9pt;height:2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75315D" w:rsidRPr="00841D9F" w:rsidRDefault="0075315D" w:rsidP="004F06F5"/>
                <w:p w:rsidR="0075315D" w:rsidRPr="00AF2852" w:rsidRDefault="0075315D" w:rsidP="004F06F5">
                  <w:r w:rsidRPr="00841D9F">
                    <w:t>© Český sta</w:t>
                  </w:r>
                  <w:r>
                    <w:t>tistický úřad, Praha, 2015</w:t>
                  </w:r>
                </w:p>
              </w:txbxContent>
            </v:textbox>
            <w10:wrap anchorx="page" anchory="page"/>
            <w10:anchorlock/>
          </v:shape>
        </w:pict>
      </w:r>
    </w:p>
    <w:p w:rsidR="00A75E40" w:rsidRDefault="00A75E40" w:rsidP="00F04811">
      <w:pPr>
        <w:pStyle w:val="Zkladnodstavec"/>
        <w:spacing w:after="240"/>
        <w:rPr>
          <w:rFonts w:ascii="Arial" w:hAnsi="Arial" w:cs="Arial"/>
          <w:b/>
          <w:color w:val="A5007B"/>
          <w:sz w:val="32"/>
          <w:szCs w:val="32"/>
        </w:rPr>
      </w:pPr>
    </w:p>
    <w:p w:rsidR="00A75E40" w:rsidRPr="0060487F" w:rsidRDefault="00A75E40">
      <w:pPr>
        <w:rPr>
          <w:rFonts w:cs="Arial"/>
          <w:b/>
          <w:color w:val="A5007B"/>
          <w:sz w:val="32"/>
          <w:szCs w:val="32"/>
        </w:rPr>
        <w:sectPr w:rsidR="00A75E40" w:rsidRPr="0060487F" w:rsidSect="00D5626D">
          <w:pgSz w:w="11906" w:h="16838" w:code="9"/>
          <w:pgMar w:top="1134" w:right="1134" w:bottom="1418" w:left="1134" w:header="709" w:footer="709" w:gutter="0"/>
          <w:cols w:space="708"/>
          <w:titlePg/>
          <w:docGrid w:linePitch="360"/>
        </w:sectPr>
      </w:pPr>
    </w:p>
    <w:p w:rsidR="00D31932" w:rsidRPr="001C357A" w:rsidRDefault="00455ECA" w:rsidP="008C6CB8">
      <w:pPr>
        <w:pStyle w:val="Nadpis1"/>
        <w:rPr>
          <w:rFonts w:cs="Arial"/>
          <w:color w:val="808080" w:themeColor="background1" w:themeShade="80"/>
        </w:rPr>
      </w:pPr>
      <w:bookmarkStart w:id="1" w:name="_Toc412459447"/>
      <w:bookmarkStart w:id="2" w:name="_Toc414264319"/>
      <w:r w:rsidRPr="001C357A">
        <w:lastRenderedPageBreak/>
        <w:t>Obsah</w:t>
      </w:r>
      <w:bookmarkEnd w:id="1"/>
      <w:bookmarkEnd w:id="2"/>
    </w:p>
    <w:p w:rsidR="00630F66" w:rsidRDefault="00A631FA">
      <w:pPr>
        <w:pStyle w:val="Obsah1"/>
        <w:rPr>
          <w:rFonts w:asciiTheme="minorHAnsi" w:eastAsiaTheme="minorEastAsia" w:hAnsiTheme="minorHAnsi" w:cstheme="minorBidi"/>
          <w:b w:val="0"/>
          <w:sz w:val="22"/>
          <w:szCs w:val="22"/>
          <w:lang w:eastAsia="cs-CZ"/>
        </w:rPr>
      </w:pPr>
      <w:r w:rsidRPr="00A631FA">
        <w:rPr>
          <w:rFonts w:eastAsia="Times New Roman"/>
        </w:rPr>
        <w:fldChar w:fldCharType="begin"/>
      </w:r>
      <w:r w:rsidR="005545E0" w:rsidRPr="00E921C7">
        <w:rPr>
          <w:rFonts w:eastAsia="Times New Roman"/>
        </w:rPr>
        <w:instrText xml:space="preserve"> TOC \o "1-3" \h \z \u </w:instrText>
      </w:r>
      <w:r w:rsidRPr="00A631FA">
        <w:rPr>
          <w:rFonts w:eastAsia="Times New Roman"/>
        </w:rPr>
        <w:fldChar w:fldCharType="separate"/>
      </w:r>
      <w:hyperlink w:anchor="_Toc414264319" w:history="1">
        <w:r w:rsidR="00630F66" w:rsidRPr="005E6B78">
          <w:rPr>
            <w:rStyle w:val="Hypertextovodkaz"/>
          </w:rPr>
          <w:t>Obsah</w:t>
        </w:r>
        <w:r w:rsidR="00630F66">
          <w:rPr>
            <w:webHidden/>
          </w:rPr>
          <w:tab/>
        </w:r>
        <w:r w:rsidR="000F401E">
          <w:rPr>
            <w:webHidden/>
          </w:rPr>
          <w:tab/>
        </w:r>
        <w:r>
          <w:rPr>
            <w:webHidden/>
          </w:rPr>
          <w:fldChar w:fldCharType="begin"/>
        </w:r>
        <w:r w:rsidR="00630F66">
          <w:rPr>
            <w:webHidden/>
          </w:rPr>
          <w:instrText xml:space="preserve"> PAGEREF _Toc414264319 \h </w:instrText>
        </w:r>
        <w:r>
          <w:rPr>
            <w:webHidden/>
          </w:rPr>
        </w:r>
        <w:r>
          <w:rPr>
            <w:webHidden/>
          </w:rPr>
          <w:fldChar w:fldCharType="separate"/>
        </w:r>
        <w:r w:rsidR="00162853">
          <w:rPr>
            <w:webHidden/>
          </w:rPr>
          <w:t>3</w:t>
        </w:r>
        <w:r>
          <w:rPr>
            <w:webHidden/>
          </w:rPr>
          <w:fldChar w:fldCharType="end"/>
        </w:r>
      </w:hyperlink>
    </w:p>
    <w:p w:rsidR="00630F66" w:rsidRDefault="00A631FA">
      <w:pPr>
        <w:pStyle w:val="Obsah1"/>
        <w:rPr>
          <w:rFonts w:asciiTheme="minorHAnsi" w:eastAsiaTheme="minorEastAsia" w:hAnsiTheme="minorHAnsi" w:cstheme="minorBidi"/>
          <w:b w:val="0"/>
          <w:sz w:val="22"/>
          <w:szCs w:val="22"/>
          <w:lang w:eastAsia="cs-CZ"/>
        </w:rPr>
      </w:pPr>
      <w:hyperlink w:anchor="_Toc414264320" w:history="1">
        <w:r w:rsidR="00630F66" w:rsidRPr="005E6B78">
          <w:rPr>
            <w:rStyle w:val="Hypertextovodkaz"/>
          </w:rPr>
          <w:t>1.</w:t>
        </w:r>
        <w:r w:rsidR="00630F66">
          <w:rPr>
            <w:rFonts w:asciiTheme="minorHAnsi" w:eastAsiaTheme="minorEastAsia" w:hAnsiTheme="minorHAnsi" w:cstheme="minorBidi"/>
            <w:b w:val="0"/>
            <w:sz w:val="22"/>
            <w:szCs w:val="22"/>
            <w:lang w:eastAsia="cs-CZ"/>
          </w:rPr>
          <w:tab/>
        </w:r>
        <w:r w:rsidR="00630F66" w:rsidRPr="005E6B78">
          <w:rPr>
            <w:rStyle w:val="Hypertextovodkaz"/>
          </w:rPr>
          <w:t>Shrnutí</w:t>
        </w:r>
        <w:r w:rsidR="00630F66">
          <w:rPr>
            <w:webHidden/>
          </w:rPr>
          <w:tab/>
        </w:r>
        <w:r>
          <w:rPr>
            <w:webHidden/>
          </w:rPr>
          <w:fldChar w:fldCharType="begin"/>
        </w:r>
        <w:r w:rsidR="00630F66">
          <w:rPr>
            <w:webHidden/>
          </w:rPr>
          <w:instrText xml:space="preserve"> PAGEREF _Toc414264320 \h </w:instrText>
        </w:r>
        <w:r>
          <w:rPr>
            <w:webHidden/>
          </w:rPr>
        </w:r>
        <w:r>
          <w:rPr>
            <w:webHidden/>
          </w:rPr>
          <w:fldChar w:fldCharType="separate"/>
        </w:r>
        <w:r w:rsidR="00162853">
          <w:rPr>
            <w:webHidden/>
          </w:rPr>
          <w:t>4</w:t>
        </w:r>
        <w:r>
          <w:rPr>
            <w:webHidden/>
          </w:rPr>
          <w:fldChar w:fldCharType="end"/>
        </w:r>
      </w:hyperlink>
    </w:p>
    <w:p w:rsidR="00630F66" w:rsidRDefault="00A631FA">
      <w:pPr>
        <w:pStyle w:val="Obsah1"/>
        <w:rPr>
          <w:rFonts w:asciiTheme="minorHAnsi" w:eastAsiaTheme="minorEastAsia" w:hAnsiTheme="minorHAnsi" w:cstheme="minorBidi"/>
          <w:b w:val="0"/>
          <w:sz w:val="22"/>
          <w:szCs w:val="22"/>
          <w:lang w:eastAsia="cs-CZ"/>
        </w:rPr>
      </w:pPr>
      <w:hyperlink w:anchor="_Toc414264321" w:history="1">
        <w:r w:rsidR="00630F66" w:rsidRPr="005E6B78">
          <w:rPr>
            <w:rStyle w:val="Hypertextovodkaz"/>
          </w:rPr>
          <w:t>2.</w:t>
        </w:r>
        <w:r w:rsidR="00630F66">
          <w:rPr>
            <w:rFonts w:asciiTheme="minorHAnsi" w:eastAsiaTheme="minorEastAsia" w:hAnsiTheme="minorHAnsi" w:cstheme="minorBidi"/>
            <w:b w:val="0"/>
            <w:sz w:val="22"/>
            <w:szCs w:val="22"/>
            <w:lang w:eastAsia="cs-CZ"/>
          </w:rPr>
          <w:tab/>
        </w:r>
        <w:r w:rsidR="00630F66" w:rsidRPr="005E6B78">
          <w:rPr>
            <w:rStyle w:val="Hypertextovodkaz"/>
          </w:rPr>
          <w:t>Souhrnná výkonnost</w:t>
        </w:r>
        <w:r w:rsidR="00630F66">
          <w:rPr>
            <w:webHidden/>
          </w:rPr>
          <w:tab/>
        </w:r>
        <w:r>
          <w:rPr>
            <w:webHidden/>
          </w:rPr>
          <w:fldChar w:fldCharType="begin"/>
        </w:r>
        <w:r w:rsidR="00630F66">
          <w:rPr>
            <w:webHidden/>
          </w:rPr>
          <w:instrText xml:space="preserve"> PAGEREF _Toc414264321 \h </w:instrText>
        </w:r>
        <w:r>
          <w:rPr>
            <w:webHidden/>
          </w:rPr>
        </w:r>
        <w:r>
          <w:rPr>
            <w:webHidden/>
          </w:rPr>
          <w:fldChar w:fldCharType="separate"/>
        </w:r>
        <w:r w:rsidR="00162853">
          <w:rPr>
            <w:webHidden/>
          </w:rPr>
          <w:t>5</w:t>
        </w:r>
        <w:r>
          <w:rPr>
            <w:webHidden/>
          </w:rPr>
          <w:fldChar w:fldCharType="end"/>
        </w:r>
      </w:hyperlink>
    </w:p>
    <w:p w:rsidR="00630F66" w:rsidRDefault="00A631FA">
      <w:pPr>
        <w:pStyle w:val="Obsah1"/>
        <w:rPr>
          <w:rFonts w:asciiTheme="minorHAnsi" w:eastAsiaTheme="minorEastAsia" w:hAnsiTheme="minorHAnsi" w:cstheme="minorBidi"/>
          <w:b w:val="0"/>
          <w:sz w:val="22"/>
          <w:szCs w:val="22"/>
          <w:lang w:eastAsia="cs-CZ"/>
        </w:rPr>
      </w:pPr>
      <w:hyperlink w:anchor="_Toc414264322" w:history="1">
        <w:r w:rsidR="00630F66" w:rsidRPr="005E6B78">
          <w:rPr>
            <w:rStyle w:val="Hypertextovodkaz"/>
          </w:rPr>
          <w:t>3.</w:t>
        </w:r>
        <w:r w:rsidR="00630F66">
          <w:rPr>
            <w:rFonts w:asciiTheme="minorHAnsi" w:eastAsiaTheme="minorEastAsia" w:hAnsiTheme="minorHAnsi" w:cstheme="minorBidi"/>
            <w:b w:val="0"/>
            <w:sz w:val="22"/>
            <w:szCs w:val="22"/>
            <w:lang w:eastAsia="cs-CZ"/>
          </w:rPr>
          <w:tab/>
        </w:r>
        <w:r w:rsidR="00630F66" w:rsidRPr="005E6B78">
          <w:rPr>
            <w:rStyle w:val="Hypertextovodkaz"/>
          </w:rPr>
          <w:t>Výkonnost odvětví</w:t>
        </w:r>
        <w:r w:rsidR="00630F66">
          <w:rPr>
            <w:webHidden/>
          </w:rPr>
          <w:tab/>
        </w:r>
        <w:r>
          <w:rPr>
            <w:webHidden/>
          </w:rPr>
          <w:fldChar w:fldCharType="begin"/>
        </w:r>
        <w:r w:rsidR="00630F66">
          <w:rPr>
            <w:webHidden/>
          </w:rPr>
          <w:instrText xml:space="preserve"> PAGEREF _Toc414264322 \h </w:instrText>
        </w:r>
        <w:r>
          <w:rPr>
            <w:webHidden/>
          </w:rPr>
        </w:r>
        <w:r>
          <w:rPr>
            <w:webHidden/>
          </w:rPr>
          <w:fldChar w:fldCharType="separate"/>
        </w:r>
        <w:r w:rsidR="00162853">
          <w:rPr>
            <w:webHidden/>
          </w:rPr>
          <w:t>8</w:t>
        </w:r>
        <w:r>
          <w:rPr>
            <w:webHidden/>
          </w:rPr>
          <w:fldChar w:fldCharType="end"/>
        </w:r>
      </w:hyperlink>
    </w:p>
    <w:p w:rsidR="00630F66" w:rsidRDefault="00A631FA">
      <w:pPr>
        <w:pStyle w:val="Obsah1"/>
        <w:rPr>
          <w:rFonts w:asciiTheme="minorHAnsi" w:eastAsiaTheme="minorEastAsia" w:hAnsiTheme="minorHAnsi" w:cstheme="minorBidi"/>
          <w:b w:val="0"/>
          <w:sz w:val="22"/>
          <w:szCs w:val="22"/>
          <w:lang w:eastAsia="cs-CZ"/>
        </w:rPr>
      </w:pPr>
      <w:hyperlink w:anchor="_Toc414264323" w:history="1">
        <w:r w:rsidR="00630F66" w:rsidRPr="005E6B78">
          <w:rPr>
            <w:rStyle w:val="Hypertextovodkaz"/>
          </w:rPr>
          <w:t>4.</w:t>
        </w:r>
        <w:r w:rsidR="00630F66">
          <w:rPr>
            <w:rFonts w:asciiTheme="minorHAnsi" w:eastAsiaTheme="minorEastAsia" w:hAnsiTheme="minorHAnsi" w:cstheme="minorBidi"/>
            <w:b w:val="0"/>
            <w:sz w:val="22"/>
            <w:szCs w:val="22"/>
            <w:lang w:eastAsia="cs-CZ"/>
          </w:rPr>
          <w:tab/>
        </w:r>
        <w:r w:rsidR="00630F66" w:rsidRPr="005E6B78">
          <w:rPr>
            <w:rStyle w:val="Hypertextovodkaz"/>
          </w:rPr>
          <w:t>Vnější ekonomické vztahy</w:t>
        </w:r>
        <w:r w:rsidR="00630F66">
          <w:rPr>
            <w:webHidden/>
          </w:rPr>
          <w:tab/>
        </w:r>
        <w:r>
          <w:rPr>
            <w:webHidden/>
          </w:rPr>
          <w:fldChar w:fldCharType="begin"/>
        </w:r>
        <w:r w:rsidR="00630F66">
          <w:rPr>
            <w:webHidden/>
          </w:rPr>
          <w:instrText xml:space="preserve"> PAGEREF _Toc414264323 \h </w:instrText>
        </w:r>
        <w:r>
          <w:rPr>
            <w:webHidden/>
          </w:rPr>
        </w:r>
        <w:r>
          <w:rPr>
            <w:webHidden/>
          </w:rPr>
          <w:fldChar w:fldCharType="separate"/>
        </w:r>
        <w:r w:rsidR="00162853">
          <w:rPr>
            <w:webHidden/>
          </w:rPr>
          <w:t>12</w:t>
        </w:r>
        <w:r>
          <w:rPr>
            <w:webHidden/>
          </w:rPr>
          <w:fldChar w:fldCharType="end"/>
        </w:r>
      </w:hyperlink>
    </w:p>
    <w:p w:rsidR="00630F66" w:rsidRDefault="00A631FA">
      <w:pPr>
        <w:pStyle w:val="Obsah1"/>
        <w:rPr>
          <w:rFonts w:asciiTheme="minorHAnsi" w:eastAsiaTheme="minorEastAsia" w:hAnsiTheme="minorHAnsi" w:cstheme="minorBidi"/>
          <w:b w:val="0"/>
          <w:sz w:val="22"/>
          <w:szCs w:val="22"/>
          <w:lang w:eastAsia="cs-CZ"/>
        </w:rPr>
      </w:pPr>
      <w:hyperlink w:anchor="_Toc414264324" w:history="1">
        <w:r w:rsidR="00630F66" w:rsidRPr="005E6B78">
          <w:rPr>
            <w:rStyle w:val="Hypertextovodkaz"/>
          </w:rPr>
          <w:t>5.</w:t>
        </w:r>
        <w:r w:rsidR="00630F66">
          <w:rPr>
            <w:rFonts w:asciiTheme="minorHAnsi" w:eastAsiaTheme="minorEastAsia" w:hAnsiTheme="minorHAnsi" w:cstheme="minorBidi"/>
            <w:b w:val="0"/>
            <w:sz w:val="22"/>
            <w:szCs w:val="22"/>
            <w:lang w:eastAsia="cs-CZ"/>
          </w:rPr>
          <w:tab/>
        </w:r>
        <w:r w:rsidR="00630F66" w:rsidRPr="005E6B78">
          <w:rPr>
            <w:rStyle w:val="Hypertextovodkaz"/>
          </w:rPr>
          <w:t>Ceny</w:t>
        </w:r>
        <w:r w:rsidR="00630F66">
          <w:rPr>
            <w:webHidden/>
          </w:rPr>
          <w:tab/>
        </w:r>
        <w:r>
          <w:rPr>
            <w:webHidden/>
          </w:rPr>
          <w:fldChar w:fldCharType="begin"/>
        </w:r>
        <w:r w:rsidR="00630F66">
          <w:rPr>
            <w:webHidden/>
          </w:rPr>
          <w:instrText xml:space="preserve"> PAGEREF _Toc414264324 \h </w:instrText>
        </w:r>
        <w:r>
          <w:rPr>
            <w:webHidden/>
          </w:rPr>
        </w:r>
        <w:r>
          <w:rPr>
            <w:webHidden/>
          </w:rPr>
          <w:fldChar w:fldCharType="separate"/>
        </w:r>
        <w:r w:rsidR="00162853">
          <w:rPr>
            <w:webHidden/>
          </w:rPr>
          <w:t>14</w:t>
        </w:r>
        <w:r>
          <w:rPr>
            <w:webHidden/>
          </w:rPr>
          <w:fldChar w:fldCharType="end"/>
        </w:r>
      </w:hyperlink>
    </w:p>
    <w:p w:rsidR="00630F66" w:rsidRDefault="00A631FA">
      <w:pPr>
        <w:pStyle w:val="Obsah1"/>
        <w:rPr>
          <w:rFonts w:asciiTheme="minorHAnsi" w:eastAsiaTheme="minorEastAsia" w:hAnsiTheme="minorHAnsi" w:cstheme="minorBidi"/>
          <w:b w:val="0"/>
          <w:sz w:val="22"/>
          <w:szCs w:val="22"/>
          <w:lang w:eastAsia="cs-CZ"/>
        </w:rPr>
      </w:pPr>
      <w:hyperlink w:anchor="_Toc414264325" w:history="1">
        <w:r w:rsidR="00630F66" w:rsidRPr="005E6B78">
          <w:rPr>
            <w:rStyle w:val="Hypertextovodkaz"/>
          </w:rPr>
          <w:t>6.</w:t>
        </w:r>
        <w:r w:rsidR="00630F66">
          <w:rPr>
            <w:rFonts w:asciiTheme="minorHAnsi" w:eastAsiaTheme="minorEastAsia" w:hAnsiTheme="minorHAnsi" w:cstheme="minorBidi"/>
            <w:b w:val="0"/>
            <w:sz w:val="22"/>
            <w:szCs w:val="22"/>
            <w:lang w:eastAsia="cs-CZ"/>
          </w:rPr>
          <w:tab/>
        </w:r>
        <w:r w:rsidR="00630F66" w:rsidRPr="005E6B78">
          <w:rPr>
            <w:rStyle w:val="Hypertextovodkaz"/>
          </w:rPr>
          <w:t>Trh práce</w:t>
        </w:r>
        <w:r w:rsidR="00630F66">
          <w:rPr>
            <w:webHidden/>
          </w:rPr>
          <w:tab/>
        </w:r>
        <w:r>
          <w:rPr>
            <w:webHidden/>
          </w:rPr>
          <w:fldChar w:fldCharType="begin"/>
        </w:r>
        <w:r w:rsidR="00630F66">
          <w:rPr>
            <w:webHidden/>
          </w:rPr>
          <w:instrText xml:space="preserve"> PAGEREF _Toc414264325 \h </w:instrText>
        </w:r>
        <w:r>
          <w:rPr>
            <w:webHidden/>
          </w:rPr>
        </w:r>
        <w:r>
          <w:rPr>
            <w:webHidden/>
          </w:rPr>
          <w:fldChar w:fldCharType="separate"/>
        </w:r>
        <w:r w:rsidR="00162853">
          <w:rPr>
            <w:webHidden/>
          </w:rPr>
          <w:t>16</w:t>
        </w:r>
        <w:r>
          <w:rPr>
            <w:webHidden/>
          </w:rPr>
          <w:fldChar w:fldCharType="end"/>
        </w:r>
      </w:hyperlink>
    </w:p>
    <w:p w:rsidR="00630F66" w:rsidRDefault="00A631FA">
      <w:pPr>
        <w:pStyle w:val="Obsah1"/>
        <w:rPr>
          <w:rFonts w:asciiTheme="minorHAnsi" w:eastAsiaTheme="minorEastAsia" w:hAnsiTheme="minorHAnsi" w:cstheme="minorBidi"/>
          <w:b w:val="0"/>
          <w:sz w:val="22"/>
          <w:szCs w:val="22"/>
          <w:lang w:eastAsia="cs-CZ"/>
        </w:rPr>
      </w:pPr>
      <w:hyperlink w:anchor="_Toc414264326" w:history="1">
        <w:r w:rsidR="00630F66" w:rsidRPr="005E6B78">
          <w:rPr>
            <w:rStyle w:val="Hypertextovodkaz"/>
          </w:rPr>
          <w:t>7.</w:t>
        </w:r>
        <w:r w:rsidR="00630F66">
          <w:rPr>
            <w:rFonts w:asciiTheme="minorHAnsi" w:eastAsiaTheme="minorEastAsia" w:hAnsiTheme="minorHAnsi" w:cstheme="minorBidi"/>
            <w:b w:val="0"/>
            <w:sz w:val="22"/>
            <w:szCs w:val="22"/>
            <w:lang w:eastAsia="cs-CZ"/>
          </w:rPr>
          <w:tab/>
        </w:r>
        <w:r w:rsidR="00630F66" w:rsidRPr="005E6B78">
          <w:rPr>
            <w:rStyle w:val="Hypertextovodkaz"/>
          </w:rPr>
          <w:t>Měnové podmínky</w:t>
        </w:r>
        <w:r w:rsidR="00630F66">
          <w:rPr>
            <w:webHidden/>
          </w:rPr>
          <w:tab/>
        </w:r>
        <w:r>
          <w:rPr>
            <w:webHidden/>
          </w:rPr>
          <w:fldChar w:fldCharType="begin"/>
        </w:r>
        <w:r w:rsidR="00630F66">
          <w:rPr>
            <w:webHidden/>
          </w:rPr>
          <w:instrText xml:space="preserve"> PAGEREF _Toc414264326 \h </w:instrText>
        </w:r>
        <w:r>
          <w:rPr>
            <w:webHidden/>
          </w:rPr>
        </w:r>
        <w:r>
          <w:rPr>
            <w:webHidden/>
          </w:rPr>
          <w:fldChar w:fldCharType="separate"/>
        </w:r>
        <w:r w:rsidR="00162853">
          <w:rPr>
            <w:webHidden/>
          </w:rPr>
          <w:t>18</w:t>
        </w:r>
        <w:r>
          <w:rPr>
            <w:webHidden/>
          </w:rPr>
          <w:fldChar w:fldCharType="end"/>
        </w:r>
      </w:hyperlink>
    </w:p>
    <w:p w:rsidR="00630F66" w:rsidRDefault="00A631FA">
      <w:pPr>
        <w:pStyle w:val="Obsah1"/>
        <w:rPr>
          <w:rFonts w:asciiTheme="minorHAnsi" w:eastAsiaTheme="minorEastAsia" w:hAnsiTheme="minorHAnsi" w:cstheme="minorBidi"/>
          <w:b w:val="0"/>
          <w:sz w:val="22"/>
          <w:szCs w:val="22"/>
          <w:lang w:eastAsia="cs-CZ"/>
        </w:rPr>
      </w:pPr>
      <w:hyperlink w:anchor="_Toc414264327" w:history="1">
        <w:r w:rsidR="00630F66" w:rsidRPr="005E6B78">
          <w:rPr>
            <w:rStyle w:val="Hypertextovodkaz"/>
          </w:rPr>
          <w:t>8.</w:t>
        </w:r>
        <w:r w:rsidR="00630F66">
          <w:rPr>
            <w:rFonts w:asciiTheme="minorHAnsi" w:eastAsiaTheme="minorEastAsia" w:hAnsiTheme="minorHAnsi" w:cstheme="minorBidi"/>
            <w:b w:val="0"/>
            <w:sz w:val="22"/>
            <w:szCs w:val="22"/>
            <w:lang w:eastAsia="cs-CZ"/>
          </w:rPr>
          <w:tab/>
        </w:r>
        <w:r w:rsidR="00630F66" w:rsidRPr="005E6B78">
          <w:rPr>
            <w:rStyle w:val="Hypertextovodkaz"/>
          </w:rPr>
          <w:t>Státní rozpočet</w:t>
        </w:r>
        <w:r w:rsidR="00630F66">
          <w:rPr>
            <w:webHidden/>
          </w:rPr>
          <w:tab/>
        </w:r>
        <w:r>
          <w:rPr>
            <w:webHidden/>
          </w:rPr>
          <w:fldChar w:fldCharType="begin"/>
        </w:r>
        <w:r w:rsidR="00630F66">
          <w:rPr>
            <w:webHidden/>
          </w:rPr>
          <w:instrText xml:space="preserve"> PAGEREF _Toc414264327 \h </w:instrText>
        </w:r>
        <w:r>
          <w:rPr>
            <w:webHidden/>
          </w:rPr>
        </w:r>
        <w:r>
          <w:rPr>
            <w:webHidden/>
          </w:rPr>
          <w:fldChar w:fldCharType="separate"/>
        </w:r>
        <w:r w:rsidR="00162853">
          <w:rPr>
            <w:webHidden/>
          </w:rPr>
          <w:t>20</w:t>
        </w:r>
        <w:r>
          <w:rPr>
            <w:webHidden/>
          </w:rPr>
          <w:fldChar w:fldCharType="end"/>
        </w:r>
      </w:hyperlink>
    </w:p>
    <w:p w:rsidR="001E3DA4" w:rsidRDefault="00A631FA" w:rsidP="00E921C7">
      <w:pPr>
        <w:pStyle w:val="Nadpis1"/>
        <w:spacing w:before="200"/>
        <w:rPr>
          <w:rFonts w:cs="Arial"/>
          <w:sz w:val="20"/>
          <w:szCs w:val="20"/>
        </w:rPr>
      </w:pPr>
      <w:r w:rsidRPr="00E921C7">
        <w:rPr>
          <w:rFonts w:eastAsia="Times New Roman" w:cs="Arial"/>
          <w:color w:val="808080" w:themeColor="background1" w:themeShade="80"/>
          <w:sz w:val="20"/>
          <w:szCs w:val="20"/>
          <w:lang w:eastAsia="en-US"/>
        </w:rPr>
        <w:fldChar w:fldCharType="end"/>
      </w:r>
    </w:p>
    <w:p w:rsidR="003406BD" w:rsidRPr="008E6113" w:rsidRDefault="003406BD" w:rsidP="003406BD">
      <w:pPr>
        <w:rPr>
          <w:rFonts w:cs="Arial"/>
          <w:b/>
        </w:rPr>
      </w:pPr>
      <w:r w:rsidRPr="008E6113">
        <w:rPr>
          <w:rFonts w:cs="Arial"/>
          <w:b/>
        </w:rPr>
        <w:t>Kapitoly zpracovali:</w:t>
      </w:r>
    </w:p>
    <w:p w:rsidR="003406BD" w:rsidRDefault="003406BD" w:rsidP="003406BD">
      <w:pPr>
        <w:rPr>
          <w:rFonts w:cs="Arial"/>
        </w:rPr>
      </w:pPr>
    </w:p>
    <w:p w:rsidR="003406BD" w:rsidRDefault="003406BD" w:rsidP="003406BD">
      <w:pPr>
        <w:spacing w:after="120" w:line="276" w:lineRule="auto"/>
        <w:rPr>
          <w:rFonts w:cs="Arial"/>
        </w:rPr>
      </w:pPr>
      <w:r>
        <w:rPr>
          <w:rFonts w:cs="Arial"/>
        </w:rPr>
        <w:t xml:space="preserve">Drahomíra Dubská </w:t>
      </w:r>
      <w:r>
        <w:rPr>
          <w:rFonts w:cs="Arial"/>
        </w:rPr>
        <w:tab/>
        <w:t xml:space="preserve">Shrnutí (kap. 1), </w:t>
      </w:r>
      <w:r w:rsidRPr="000F401E">
        <w:rPr>
          <w:rFonts w:cs="Arial"/>
        </w:rPr>
        <w:t>kap. 4</w:t>
      </w:r>
      <w:r w:rsidRPr="009551E2">
        <w:rPr>
          <w:rFonts w:cs="Arial"/>
        </w:rPr>
        <w:t>, kap. 7</w:t>
      </w:r>
    </w:p>
    <w:p w:rsidR="003406BD" w:rsidRDefault="003406BD" w:rsidP="003406BD">
      <w:pPr>
        <w:spacing w:after="120" w:line="276" w:lineRule="auto"/>
        <w:rPr>
          <w:rFonts w:cs="Arial"/>
        </w:rPr>
      </w:pPr>
      <w:r>
        <w:rPr>
          <w:rFonts w:cs="Arial"/>
        </w:rPr>
        <w:t xml:space="preserve">Emilie Jašová           </w:t>
      </w:r>
      <w:r>
        <w:rPr>
          <w:rFonts w:cs="Arial"/>
        </w:rPr>
        <w:tab/>
        <w:t>Shrnutí (kap. 1), kap. 6</w:t>
      </w:r>
    </w:p>
    <w:p w:rsidR="003406BD" w:rsidRDefault="003406BD" w:rsidP="003406BD">
      <w:pPr>
        <w:spacing w:after="120" w:line="276" w:lineRule="auto"/>
        <w:rPr>
          <w:rFonts w:cs="Arial"/>
        </w:rPr>
      </w:pPr>
      <w:r>
        <w:rPr>
          <w:rFonts w:cs="Arial"/>
        </w:rPr>
        <w:t>Jiří Kamenický</w:t>
      </w:r>
      <w:r>
        <w:rPr>
          <w:rFonts w:cs="Arial"/>
        </w:rPr>
        <w:tab/>
      </w:r>
      <w:r>
        <w:rPr>
          <w:rFonts w:cs="Arial"/>
        </w:rPr>
        <w:tab/>
        <w:t xml:space="preserve">Shrnutí (kap. 1), </w:t>
      </w:r>
      <w:r w:rsidRPr="00606B93">
        <w:rPr>
          <w:rFonts w:cs="Arial"/>
          <w:color w:val="000000" w:themeColor="text1"/>
        </w:rPr>
        <w:t>kap. 3,</w:t>
      </w:r>
      <w:r>
        <w:rPr>
          <w:rFonts w:cs="Arial"/>
        </w:rPr>
        <w:t xml:space="preserve"> kap. 8</w:t>
      </w:r>
    </w:p>
    <w:p w:rsidR="003406BD" w:rsidRDefault="003406BD" w:rsidP="003406BD">
      <w:pPr>
        <w:spacing w:after="120" w:line="276" w:lineRule="auto"/>
        <w:rPr>
          <w:rFonts w:cs="Arial"/>
        </w:rPr>
      </w:pPr>
      <w:r>
        <w:rPr>
          <w:rFonts w:cs="Arial"/>
        </w:rPr>
        <w:t>Lukáš Kučera</w:t>
      </w:r>
      <w:r>
        <w:rPr>
          <w:rFonts w:cs="Arial"/>
        </w:rPr>
        <w:tab/>
      </w:r>
      <w:r>
        <w:rPr>
          <w:rFonts w:cs="Arial"/>
        </w:rPr>
        <w:tab/>
        <w:t xml:space="preserve">Shrnutí (kap. 1), kap. 2, kap. 5  </w:t>
      </w:r>
    </w:p>
    <w:p w:rsidR="005513D5" w:rsidRDefault="005513D5" w:rsidP="001E3DA4"/>
    <w:p w:rsidR="00D43998" w:rsidRDefault="00D43998" w:rsidP="001E3DA4">
      <w:pPr>
        <w:sectPr w:rsidR="00D43998" w:rsidSect="00357449">
          <w:headerReference w:type="even" r:id="rId9"/>
          <w:headerReference w:type="default" r:id="rId10"/>
          <w:footerReference w:type="default" r:id="rId11"/>
          <w:pgSz w:w="11906" w:h="16838" w:code="9"/>
          <w:pgMar w:top="1134" w:right="1134" w:bottom="1418" w:left="1134" w:header="680" w:footer="680" w:gutter="0"/>
          <w:cols w:space="708"/>
          <w:docGrid w:linePitch="360"/>
        </w:sectPr>
      </w:pPr>
    </w:p>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5513D5" w:rsidRDefault="005513D5" w:rsidP="001E3DA4"/>
    <w:p w:rsidR="005513D5" w:rsidRDefault="005513D5" w:rsidP="001E3DA4"/>
    <w:p w:rsidR="005513D5" w:rsidRDefault="005513D5" w:rsidP="001E3DA4"/>
    <w:p w:rsidR="00D43998" w:rsidRDefault="00D43998" w:rsidP="001E3DA4"/>
    <w:p w:rsidR="00D43998" w:rsidRDefault="00D43998" w:rsidP="001E3DA4"/>
    <w:p w:rsidR="0046039A" w:rsidRDefault="00CF42BD" w:rsidP="00240A5B">
      <w:pPr>
        <w:pStyle w:val="Nadpis1"/>
        <w:numPr>
          <w:ilvl w:val="0"/>
          <w:numId w:val="30"/>
        </w:numPr>
      </w:pPr>
      <w:bookmarkStart w:id="3" w:name="_Toc414264320"/>
      <w:r>
        <w:lastRenderedPageBreak/>
        <w:t>Shrnutí</w:t>
      </w:r>
      <w:bookmarkEnd w:id="3"/>
    </w:p>
    <w:p w:rsidR="001C3A37" w:rsidRDefault="001C3A37" w:rsidP="00032C12">
      <w:pPr>
        <w:pStyle w:val="Textpoznpodarou"/>
        <w:numPr>
          <w:ilvl w:val="0"/>
          <w:numId w:val="48"/>
        </w:numPr>
        <w:ind w:left="425" w:hanging="357"/>
        <w:jc w:val="both"/>
        <w:rPr>
          <w:lang w:eastAsia="ar-SA"/>
        </w:rPr>
      </w:pPr>
      <w:r>
        <w:rPr>
          <w:lang w:eastAsia="ar-SA"/>
        </w:rPr>
        <w:t xml:space="preserve">Oživení ekonomiky České republiky - které započalo </w:t>
      </w:r>
      <w:r w:rsidR="00A23545">
        <w:rPr>
          <w:lang w:eastAsia="ar-SA"/>
        </w:rPr>
        <w:t>podle meziroční dynamiky</w:t>
      </w:r>
      <w:r>
        <w:rPr>
          <w:lang w:eastAsia="ar-SA"/>
        </w:rPr>
        <w:t xml:space="preserve"> v posledním čtvrtletí 2013 a v </w:t>
      </w:r>
      <w:proofErr w:type="spellStart"/>
      <w:r>
        <w:rPr>
          <w:lang w:eastAsia="ar-SA"/>
        </w:rPr>
        <w:t>mezikvartálním</w:t>
      </w:r>
      <w:proofErr w:type="spellEnd"/>
      <w:r>
        <w:rPr>
          <w:lang w:eastAsia="ar-SA"/>
        </w:rPr>
        <w:t xml:space="preserve"> srovnání již ve 2. čtvrtletí 2013 – pokračovalo i v roce 2014 s tím, že meziročně již tempo růstu HDP</w:t>
      </w:r>
      <w:r w:rsidRPr="007821DB">
        <w:rPr>
          <w:rStyle w:val="Znakapoznpodarou"/>
          <w:lang w:eastAsia="ar-SA"/>
        </w:rPr>
        <w:footnoteReference w:id="1"/>
      </w:r>
      <w:r w:rsidRPr="007821DB">
        <w:rPr>
          <w:lang w:eastAsia="ar-SA"/>
        </w:rPr>
        <w:t xml:space="preserve"> </w:t>
      </w:r>
      <w:r>
        <w:rPr>
          <w:lang w:eastAsia="ar-SA"/>
        </w:rPr>
        <w:t>v trendu sláblo. Ve srovnání s dynamikou ekonomiky EU rostl český HDP v průběhu roku 2014 rychleji v</w:t>
      </w:r>
      <w:r w:rsidR="00C23D22">
        <w:rPr>
          <w:lang w:eastAsia="ar-SA"/>
        </w:rPr>
        <w:t> </w:t>
      </w:r>
      <w:r>
        <w:rPr>
          <w:lang w:eastAsia="ar-SA"/>
        </w:rPr>
        <w:t>meziroční</w:t>
      </w:r>
      <w:r w:rsidR="00754253">
        <w:rPr>
          <w:lang w:eastAsia="ar-SA"/>
        </w:rPr>
        <w:t>m</w:t>
      </w:r>
      <w:r w:rsidR="00C23D22">
        <w:rPr>
          <w:lang w:eastAsia="ar-SA"/>
        </w:rPr>
        <w:t xml:space="preserve"> srovnání, </w:t>
      </w:r>
      <w:proofErr w:type="spellStart"/>
      <w:r w:rsidR="00754253">
        <w:rPr>
          <w:lang w:eastAsia="ar-SA"/>
        </w:rPr>
        <w:t>mezičtvrtletn</w:t>
      </w:r>
      <w:r w:rsidR="00C23D22">
        <w:rPr>
          <w:lang w:eastAsia="ar-SA"/>
        </w:rPr>
        <w:t>ě</w:t>
      </w:r>
      <w:proofErr w:type="spellEnd"/>
      <w:r w:rsidR="00C23D22">
        <w:rPr>
          <w:lang w:eastAsia="ar-SA"/>
        </w:rPr>
        <w:t xml:space="preserve"> jen ve 2. a 3. čtvrtletí. </w:t>
      </w:r>
    </w:p>
    <w:p w:rsidR="00754253" w:rsidRPr="00301D04" w:rsidRDefault="00754253" w:rsidP="00754253">
      <w:pPr>
        <w:pStyle w:val="Textpoznpodarou"/>
        <w:ind w:left="425"/>
        <w:jc w:val="both"/>
        <w:rPr>
          <w:sz w:val="10"/>
          <w:szCs w:val="10"/>
          <w:lang w:eastAsia="ar-SA"/>
        </w:rPr>
      </w:pPr>
    </w:p>
    <w:p w:rsidR="00476D29" w:rsidRPr="00281416" w:rsidRDefault="001C3A37" w:rsidP="00476D29">
      <w:pPr>
        <w:pStyle w:val="Textpoznpodarou"/>
        <w:numPr>
          <w:ilvl w:val="0"/>
          <w:numId w:val="48"/>
        </w:numPr>
        <w:ind w:left="425" w:hanging="357"/>
        <w:jc w:val="both"/>
        <w:rPr>
          <w:spacing w:val="-2"/>
          <w:lang w:eastAsia="ar-SA"/>
        </w:rPr>
      </w:pPr>
      <w:r w:rsidRPr="00281416">
        <w:rPr>
          <w:spacing w:val="-2"/>
          <w:lang w:eastAsia="ar-SA"/>
        </w:rPr>
        <w:t>P</w:t>
      </w:r>
      <w:r w:rsidR="00754253" w:rsidRPr="00281416">
        <w:rPr>
          <w:spacing w:val="-2"/>
          <w:lang w:eastAsia="ar-SA"/>
        </w:rPr>
        <w:t>odle dynamiky hrubé přidané hodnoty výkonnost české ekonomiky rostla ještě rychleji než HDP prakticky v každém čtvrtletí 2014. Příčinou bylo předzásobení tabákovými výrobky koncem roku 2013, které ovlivnilo výsledné saldo daní z produktů a dotací na produkty za celý rok 2014.</w:t>
      </w:r>
      <w:r w:rsidR="00476D29" w:rsidRPr="00281416">
        <w:rPr>
          <w:spacing w:val="-2"/>
          <w:lang w:eastAsia="ar-SA"/>
        </w:rPr>
        <w:t xml:space="preserve"> K růstu ekonomiky docházelo v relativně stabilizovaném prostředí – vnější i vn</w:t>
      </w:r>
      <w:r w:rsidR="00301D04" w:rsidRPr="00281416">
        <w:rPr>
          <w:spacing w:val="-2"/>
          <w:lang w:eastAsia="ar-SA"/>
        </w:rPr>
        <w:t>itřní nerovnováha se z</w:t>
      </w:r>
      <w:r w:rsidR="00281416" w:rsidRPr="00281416">
        <w:rPr>
          <w:spacing w:val="-2"/>
          <w:lang w:eastAsia="ar-SA"/>
        </w:rPr>
        <w:t>lepšovala</w:t>
      </w:r>
      <w:r w:rsidR="00301D04" w:rsidRPr="00281416">
        <w:rPr>
          <w:spacing w:val="-2"/>
          <w:lang w:eastAsia="ar-SA"/>
        </w:rPr>
        <w:t xml:space="preserve">. </w:t>
      </w:r>
      <w:r w:rsidR="00FC0D8A" w:rsidRPr="00281416">
        <w:rPr>
          <w:spacing w:val="-2"/>
          <w:lang w:eastAsia="ar-SA"/>
        </w:rPr>
        <w:t>K</w:t>
      </w:r>
      <w:r w:rsidR="00ED2CA5" w:rsidRPr="00281416">
        <w:rPr>
          <w:spacing w:val="-2"/>
          <w:lang w:eastAsia="ar-SA"/>
        </w:rPr>
        <w:t> </w:t>
      </w:r>
      <w:r w:rsidR="00FC0D8A" w:rsidRPr="00281416">
        <w:rPr>
          <w:spacing w:val="-2"/>
          <w:lang w:eastAsia="ar-SA"/>
        </w:rPr>
        <w:t>pozitivnímu vý</w:t>
      </w:r>
      <w:r w:rsidR="00301D04" w:rsidRPr="00281416">
        <w:rPr>
          <w:spacing w:val="-2"/>
          <w:lang w:eastAsia="ar-SA"/>
        </w:rPr>
        <w:t>voji docházelo i na trhu práce.</w:t>
      </w:r>
      <w:r w:rsidR="00476D29" w:rsidRPr="00281416">
        <w:rPr>
          <w:spacing w:val="-2"/>
          <w:lang w:eastAsia="ar-SA"/>
        </w:rPr>
        <w:t xml:space="preserve"> </w:t>
      </w:r>
      <w:r w:rsidR="00281416" w:rsidRPr="00281416">
        <w:rPr>
          <w:spacing w:val="-2"/>
          <w:lang w:eastAsia="ar-SA"/>
        </w:rPr>
        <w:t>Růst podporovaly i uvolněnější měnové a fiskální podmínky</w:t>
      </w:r>
      <w:r w:rsidR="00C24E77">
        <w:rPr>
          <w:spacing w:val="-2"/>
          <w:lang w:eastAsia="ar-SA"/>
        </w:rPr>
        <w:t>.</w:t>
      </w:r>
    </w:p>
    <w:p w:rsidR="00476D29" w:rsidRPr="00301D04" w:rsidRDefault="00476D29" w:rsidP="00476D29">
      <w:pPr>
        <w:pStyle w:val="Textpoznpodarou"/>
        <w:ind w:left="425"/>
        <w:jc w:val="both"/>
        <w:rPr>
          <w:sz w:val="10"/>
          <w:szCs w:val="10"/>
          <w:lang w:eastAsia="ar-SA"/>
        </w:rPr>
      </w:pPr>
    </w:p>
    <w:p w:rsidR="00301D04" w:rsidRDefault="00083803" w:rsidP="00301D04">
      <w:pPr>
        <w:pStyle w:val="Textpoznpodarou"/>
        <w:numPr>
          <w:ilvl w:val="0"/>
          <w:numId w:val="48"/>
        </w:numPr>
        <w:ind w:left="425" w:hanging="357"/>
        <w:jc w:val="both"/>
        <w:rPr>
          <w:spacing w:val="-2"/>
          <w:lang w:eastAsia="ar-SA"/>
        </w:rPr>
      </w:pPr>
      <w:r w:rsidRPr="00A23545">
        <w:rPr>
          <w:spacing w:val="-2"/>
          <w:lang w:eastAsia="ar-SA"/>
        </w:rPr>
        <w:t>V úhrnu za celý rok 2014 se HDP ČR zvýšil o 2 %, hrubá přidaná hodnota v</w:t>
      </w:r>
      <w:r w:rsidR="00C23D22">
        <w:rPr>
          <w:spacing w:val="-2"/>
          <w:lang w:eastAsia="ar-SA"/>
        </w:rPr>
        <w:t>z</w:t>
      </w:r>
      <w:r w:rsidRPr="00A23545">
        <w:rPr>
          <w:spacing w:val="-2"/>
          <w:lang w:eastAsia="ar-SA"/>
        </w:rPr>
        <w:t xml:space="preserve">rostla o 2,6 %. Největším dílem k tomu přispěl zpracovatelský průmysl orientovaný silně na zahraniční poptávku (+1,5 </w:t>
      </w:r>
      <w:proofErr w:type="spellStart"/>
      <w:r w:rsidRPr="00A23545">
        <w:rPr>
          <w:spacing w:val="-2"/>
          <w:lang w:eastAsia="ar-SA"/>
        </w:rPr>
        <w:t>pb</w:t>
      </w:r>
      <w:proofErr w:type="spellEnd"/>
      <w:r w:rsidRPr="00A23545">
        <w:rPr>
          <w:spacing w:val="-2"/>
          <w:lang w:eastAsia="ar-SA"/>
        </w:rPr>
        <w:t xml:space="preserve">.). Zbývající průmyslová odvětví v úhrnu růst ekonomiky brzdila (-0,1 </w:t>
      </w:r>
      <w:proofErr w:type="spellStart"/>
      <w:r w:rsidRPr="00A23545">
        <w:rPr>
          <w:spacing w:val="-2"/>
          <w:lang w:eastAsia="ar-SA"/>
        </w:rPr>
        <w:t>pb</w:t>
      </w:r>
      <w:proofErr w:type="spellEnd"/>
      <w:r w:rsidRPr="00A23545">
        <w:rPr>
          <w:spacing w:val="-2"/>
          <w:lang w:eastAsia="ar-SA"/>
        </w:rPr>
        <w:t xml:space="preserve">.). V porovnání s rokem předchozím se na růstu hrubé přidané hodnoty podílela skupina odvětví zemědělství, lesnictví a rybářství (+0,2 </w:t>
      </w:r>
      <w:proofErr w:type="spellStart"/>
      <w:r w:rsidRPr="00A23545">
        <w:rPr>
          <w:spacing w:val="-2"/>
          <w:lang w:eastAsia="ar-SA"/>
        </w:rPr>
        <w:t>pb</w:t>
      </w:r>
      <w:proofErr w:type="spellEnd"/>
      <w:r w:rsidRPr="00A23545">
        <w:rPr>
          <w:spacing w:val="-2"/>
          <w:lang w:eastAsia="ar-SA"/>
        </w:rPr>
        <w:t xml:space="preserve">.) a poprvé od roku 2010 i stavebnictví (+0,1 </w:t>
      </w:r>
      <w:proofErr w:type="spellStart"/>
      <w:r w:rsidRPr="00A23545">
        <w:rPr>
          <w:spacing w:val="-2"/>
          <w:lang w:eastAsia="ar-SA"/>
        </w:rPr>
        <w:t>pb</w:t>
      </w:r>
      <w:proofErr w:type="spellEnd"/>
      <w:r w:rsidRPr="00A23545">
        <w:rPr>
          <w:spacing w:val="-2"/>
          <w:lang w:eastAsia="ar-SA"/>
        </w:rPr>
        <w:t>.). Služby jako celek k růstu přispěly již podruhé, jejich pozitivní vliv navíc zesílil z +0,6 </w:t>
      </w:r>
      <w:proofErr w:type="spellStart"/>
      <w:r w:rsidRPr="00A23545">
        <w:rPr>
          <w:spacing w:val="-2"/>
          <w:lang w:eastAsia="ar-SA"/>
        </w:rPr>
        <w:t>pb</w:t>
      </w:r>
      <w:proofErr w:type="spellEnd"/>
      <w:r w:rsidRPr="00A23545">
        <w:rPr>
          <w:spacing w:val="-2"/>
          <w:lang w:eastAsia="ar-SA"/>
        </w:rPr>
        <w:t xml:space="preserve">. v roce 2013 na +0,9 </w:t>
      </w:r>
      <w:proofErr w:type="spellStart"/>
      <w:r w:rsidRPr="00A23545">
        <w:rPr>
          <w:spacing w:val="-2"/>
          <w:lang w:eastAsia="ar-SA"/>
        </w:rPr>
        <w:t>pb</w:t>
      </w:r>
      <w:proofErr w:type="spellEnd"/>
      <w:r w:rsidRPr="00A23545">
        <w:rPr>
          <w:spacing w:val="-2"/>
          <w:lang w:eastAsia="ar-SA"/>
        </w:rPr>
        <w:t>. v roce 2014. Zatímco hrubá přidaná hodnota již svoji úroveň z roku 2008 překonala (+0,5 %), HDP setrvával mír</w:t>
      </w:r>
      <w:r w:rsidR="00301D04">
        <w:rPr>
          <w:spacing w:val="-2"/>
          <w:lang w:eastAsia="ar-SA"/>
        </w:rPr>
        <w:t>ně nižší i nadále (-0,2 %).</w:t>
      </w:r>
    </w:p>
    <w:p w:rsidR="00301D04" w:rsidRPr="00301D04" w:rsidRDefault="00301D04" w:rsidP="00301D04">
      <w:pPr>
        <w:rPr>
          <w:rFonts w:cs="Arial"/>
          <w:spacing w:val="-2"/>
          <w:sz w:val="10"/>
          <w:szCs w:val="10"/>
        </w:rPr>
      </w:pPr>
    </w:p>
    <w:p w:rsidR="00083803" w:rsidRPr="00C24E77" w:rsidRDefault="00301D04" w:rsidP="00301D04">
      <w:pPr>
        <w:pStyle w:val="Textpoznpodarou"/>
        <w:numPr>
          <w:ilvl w:val="0"/>
          <w:numId w:val="48"/>
        </w:numPr>
        <w:ind w:left="425" w:hanging="357"/>
        <w:jc w:val="both"/>
        <w:rPr>
          <w:spacing w:val="-4"/>
          <w:lang w:eastAsia="ar-SA"/>
        </w:rPr>
      </w:pPr>
      <w:r w:rsidRPr="00C24E77">
        <w:rPr>
          <w:rFonts w:cs="Arial"/>
          <w:spacing w:val="-4"/>
        </w:rPr>
        <w:t xml:space="preserve">Objem průmyslové produkce a maloobchodních tržeb poprvé překonal vrchol konjunktury z roku 2008. Vyšší byla proti roku 2008 i důvěra spotřebitelů. Po pěti letech stoupla stavební výroba. I přes růst </w:t>
      </w:r>
      <w:r w:rsidR="00C24E77" w:rsidRPr="00C24E77">
        <w:rPr>
          <w:rFonts w:cs="Arial"/>
          <w:spacing w:val="-4"/>
        </w:rPr>
        <w:t xml:space="preserve">počtu </w:t>
      </w:r>
      <w:r w:rsidRPr="00C24E77">
        <w:rPr>
          <w:rFonts w:cs="Arial"/>
          <w:spacing w:val="-4"/>
        </w:rPr>
        <w:t>nově zahájených bytů, který se objevil poprvé po sedmi letech, dosahoval však jejich počet jen zhruba poloviny toho</w:t>
      </w:r>
      <w:r w:rsidR="002205F2" w:rsidRPr="00C24E77">
        <w:rPr>
          <w:rFonts w:cs="Arial"/>
          <w:spacing w:val="-4"/>
        </w:rPr>
        <w:t>,</w:t>
      </w:r>
      <w:r w:rsidRPr="00C24E77">
        <w:rPr>
          <w:rFonts w:cs="Arial"/>
          <w:spacing w:val="-4"/>
        </w:rPr>
        <w:t xml:space="preserve"> co v roce 2007. Po pěti letech stoupla i zásoba práce stavebních firem na veřejných zakázkách.</w:t>
      </w:r>
    </w:p>
    <w:p w:rsidR="00301D04" w:rsidRPr="00301D04" w:rsidRDefault="00301D04" w:rsidP="00301D04">
      <w:pPr>
        <w:pStyle w:val="Textpoznpodarou"/>
        <w:jc w:val="both"/>
        <w:rPr>
          <w:spacing w:val="-2"/>
          <w:sz w:val="10"/>
          <w:szCs w:val="10"/>
          <w:lang w:eastAsia="ar-SA"/>
        </w:rPr>
      </w:pPr>
    </w:p>
    <w:p w:rsidR="00083803" w:rsidRDefault="00083803" w:rsidP="00083803">
      <w:pPr>
        <w:pStyle w:val="Textpoznpodarou"/>
        <w:numPr>
          <w:ilvl w:val="0"/>
          <w:numId w:val="48"/>
        </w:numPr>
        <w:ind w:left="426"/>
        <w:jc w:val="both"/>
        <w:rPr>
          <w:lang w:eastAsia="ar-SA"/>
        </w:rPr>
      </w:pPr>
      <w:r w:rsidRPr="007821DB">
        <w:rPr>
          <w:lang w:eastAsia="ar-SA"/>
        </w:rPr>
        <w:t xml:space="preserve">Pozitivním aspektem ekonomického vývoje v roce 2014 byl fakt, že k růstu HDP přispěly všechny hlavní složky domácí poptávky, výjimkou byla jen změna zásob. Investice – které v posledním čtvrtletí 2014 </w:t>
      </w:r>
      <w:r w:rsidR="001B6545">
        <w:rPr>
          <w:lang w:eastAsia="ar-SA"/>
        </w:rPr>
        <w:t>stouply</w:t>
      </w:r>
      <w:r w:rsidRPr="007821DB">
        <w:rPr>
          <w:lang w:eastAsia="ar-SA"/>
        </w:rPr>
        <w:t xml:space="preserve"> v </w:t>
      </w:r>
      <w:proofErr w:type="spellStart"/>
      <w:r w:rsidRPr="007821DB">
        <w:rPr>
          <w:lang w:eastAsia="ar-SA"/>
        </w:rPr>
        <w:t>mezikvartálním</w:t>
      </w:r>
      <w:proofErr w:type="spellEnd"/>
      <w:r w:rsidRPr="007821DB">
        <w:rPr>
          <w:lang w:eastAsia="ar-SA"/>
        </w:rPr>
        <w:t xml:space="preserve"> srovnání již pošesté – přispěly 1,2 </w:t>
      </w:r>
      <w:proofErr w:type="spellStart"/>
      <w:r w:rsidRPr="007821DB">
        <w:rPr>
          <w:lang w:eastAsia="ar-SA"/>
        </w:rPr>
        <w:t>pb</w:t>
      </w:r>
      <w:proofErr w:type="spellEnd"/>
      <w:r w:rsidRPr="007821DB">
        <w:rPr>
          <w:lang w:eastAsia="ar-SA"/>
        </w:rPr>
        <w:t>.</w:t>
      </w:r>
      <w:r w:rsidR="00C24E77">
        <w:rPr>
          <w:lang w:eastAsia="ar-SA"/>
        </w:rPr>
        <w:t xml:space="preserve"> (podle klasického rozkladu)</w:t>
      </w:r>
      <w:r w:rsidRPr="007821DB">
        <w:rPr>
          <w:lang w:eastAsia="ar-SA"/>
        </w:rPr>
        <w:t xml:space="preserve">, stejnou silou se na růstu ekonomiky podílely i </w:t>
      </w:r>
      <w:r>
        <w:rPr>
          <w:lang w:eastAsia="ar-SA"/>
        </w:rPr>
        <w:t xml:space="preserve">celkové </w:t>
      </w:r>
      <w:r w:rsidRPr="007821DB">
        <w:rPr>
          <w:lang w:eastAsia="ar-SA"/>
        </w:rPr>
        <w:t>vý</w:t>
      </w:r>
      <w:r>
        <w:rPr>
          <w:lang w:eastAsia="ar-SA"/>
        </w:rPr>
        <w:t>daje na konečnou spotřebu</w:t>
      </w:r>
      <w:r w:rsidRPr="007821DB">
        <w:rPr>
          <w:lang w:eastAsia="ar-SA"/>
        </w:rPr>
        <w:t xml:space="preserve">. Zatímco samotná spotřeba domácností, pozitivně ovlivněná obratem na trhu práce, přidala k růstu HDP výrazně více než v roce předchozím (+0,2 </w:t>
      </w:r>
      <w:proofErr w:type="spellStart"/>
      <w:r w:rsidRPr="007821DB">
        <w:rPr>
          <w:lang w:eastAsia="ar-SA"/>
        </w:rPr>
        <w:t>pb</w:t>
      </w:r>
      <w:proofErr w:type="spellEnd"/>
      <w:r w:rsidRPr="007821DB">
        <w:rPr>
          <w:lang w:eastAsia="ar-SA"/>
        </w:rPr>
        <w:t xml:space="preserve">. v roce 2013, +0,8 </w:t>
      </w:r>
      <w:proofErr w:type="spellStart"/>
      <w:r w:rsidRPr="007821DB">
        <w:rPr>
          <w:lang w:eastAsia="ar-SA"/>
        </w:rPr>
        <w:t>pb</w:t>
      </w:r>
      <w:proofErr w:type="spellEnd"/>
      <w:r w:rsidRPr="007821DB">
        <w:rPr>
          <w:lang w:eastAsia="ar-SA"/>
        </w:rPr>
        <w:t xml:space="preserve">. v roce 2014), příspěvek spotřeby vládních institucí mírně oslabil (+0,4 </w:t>
      </w:r>
      <w:proofErr w:type="spellStart"/>
      <w:r w:rsidRPr="007821DB">
        <w:rPr>
          <w:lang w:eastAsia="ar-SA"/>
        </w:rPr>
        <w:t>pb</w:t>
      </w:r>
      <w:proofErr w:type="spellEnd"/>
      <w:r w:rsidRPr="007821DB">
        <w:rPr>
          <w:lang w:eastAsia="ar-SA"/>
        </w:rPr>
        <w:t xml:space="preserve">. v roce 2013, +0,3 </w:t>
      </w:r>
      <w:proofErr w:type="spellStart"/>
      <w:r w:rsidRPr="007821DB">
        <w:rPr>
          <w:lang w:eastAsia="ar-SA"/>
        </w:rPr>
        <w:t>pb</w:t>
      </w:r>
      <w:proofErr w:type="spellEnd"/>
      <w:r w:rsidRPr="007821DB">
        <w:rPr>
          <w:lang w:eastAsia="ar-SA"/>
        </w:rPr>
        <w:t xml:space="preserve">. v roce 2014). Změna zásob (-0,2 </w:t>
      </w:r>
      <w:proofErr w:type="spellStart"/>
      <w:r w:rsidRPr="007821DB">
        <w:rPr>
          <w:lang w:eastAsia="ar-SA"/>
        </w:rPr>
        <w:t>pb</w:t>
      </w:r>
      <w:proofErr w:type="spellEnd"/>
      <w:r w:rsidRPr="007821DB">
        <w:rPr>
          <w:lang w:eastAsia="ar-SA"/>
        </w:rPr>
        <w:t>.) růst české ekonomiky stejně jako ve dvou letech předchozích brzdil</w:t>
      </w:r>
      <w:r w:rsidR="00C23D22">
        <w:rPr>
          <w:lang w:eastAsia="ar-SA"/>
        </w:rPr>
        <w:t>a</w:t>
      </w:r>
      <w:r w:rsidR="001B6545">
        <w:rPr>
          <w:lang w:eastAsia="ar-SA"/>
        </w:rPr>
        <w:t>. V</w:t>
      </w:r>
      <w:r w:rsidRPr="007821DB">
        <w:rPr>
          <w:lang w:eastAsia="ar-SA"/>
        </w:rPr>
        <w:t xml:space="preserve">ýsledek zahraničního obchodu – který byl </w:t>
      </w:r>
      <w:r w:rsidR="00A23545">
        <w:rPr>
          <w:lang w:eastAsia="ar-SA"/>
        </w:rPr>
        <w:t xml:space="preserve">v reálném vyjádření </w:t>
      </w:r>
      <w:r w:rsidRPr="007821DB">
        <w:rPr>
          <w:lang w:eastAsia="ar-SA"/>
        </w:rPr>
        <w:t>nepříznivě ovlivněn silou domácí poptávky promítající se do vyššího tempa růstu dovozu (+9,6 %) oproti vývozu (+8,8 %) – přispěl k růstu HDP</w:t>
      </w:r>
      <w:r w:rsidR="00C23D22">
        <w:rPr>
          <w:lang w:eastAsia="ar-SA"/>
        </w:rPr>
        <w:t xml:space="preserve"> taktéž</w:t>
      </w:r>
      <w:r w:rsidRPr="007821DB">
        <w:rPr>
          <w:lang w:eastAsia="ar-SA"/>
        </w:rPr>
        <w:t xml:space="preserve"> negativně (-0,1 </w:t>
      </w:r>
      <w:proofErr w:type="spellStart"/>
      <w:r w:rsidRPr="007821DB">
        <w:rPr>
          <w:lang w:eastAsia="ar-SA"/>
        </w:rPr>
        <w:t>pb</w:t>
      </w:r>
      <w:proofErr w:type="spellEnd"/>
      <w:r w:rsidRPr="007821DB">
        <w:rPr>
          <w:lang w:eastAsia="ar-SA"/>
        </w:rPr>
        <w:t>.)</w:t>
      </w:r>
      <w:r w:rsidR="00A23545">
        <w:rPr>
          <w:lang w:eastAsia="ar-SA"/>
        </w:rPr>
        <w:t>, a to</w:t>
      </w:r>
      <w:r w:rsidRPr="007821DB">
        <w:rPr>
          <w:lang w:eastAsia="ar-SA"/>
        </w:rPr>
        <w:t xml:space="preserve"> poprvé od roku 2007.</w:t>
      </w:r>
    </w:p>
    <w:p w:rsidR="00281416" w:rsidRPr="009560B0" w:rsidRDefault="00281416" w:rsidP="009560B0">
      <w:pPr>
        <w:rPr>
          <w:sz w:val="10"/>
          <w:szCs w:val="10"/>
          <w:lang w:eastAsia="ar-SA"/>
        </w:rPr>
      </w:pPr>
    </w:p>
    <w:p w:rsidR="00281416" w:rsidRDefault="00281416" w:rsidP="00083803">
      <w:pPr>
        <w:pStyle w:val="Textpoznpodarou"/>
        <w:numPr>
          <w:ilvl w:val="0"/>
          <w:numId w:val="48"/>
        </w:numPr>
        <w:ind w:left="426"/>
        <w:jc w:val="both"/>
        <w:rPr>
          <w:lang w:eastAsia="ar-SA"/>
        </w:rPr>
      </w:pPr>
      <w:r>
        <w:rPr>
          <w:lang w:eastAsia="ar-SA"/>
        </w:rPr>
        <w:t>Ve vnějších vztazích zaznamenala ČR několik historických zlepšení – přebytek na běžném účtu (teprve druhý od roku 1993), rekordní obchodní bilanc</w:t>
      </w:r>
      <w:r w:rsidR="009560B0">
        <w:rPr>
          <w:lang w:eastAsia="ar-SA"/>
        </w:rPr>
        <w:t>i</w:t>
      </w:r>
      <w:r>
        <w:rPr>
          <w:lang w:eastAsia="ar-SA"/>
        </w:rPr>
        <w:t xml:space="preserve"> či „mzdové saldo“ se zahraničím</w:t>
      </w:r>
      <w:r w:rsidR="009560B0">
        <w:rPr>
          <w:lang w:eastAsia="ar-SA"/>
        </w:rPr>
        <w:t>. H</w:t>
      </w:r>
      <w:r>
        <w:rPr>
          <w:lang w:eastAsia="ar-SA"/>
        </w:rPr>
        <w:t xml:space="preserve">istoricky nejvyšší byl </w:t>
      </w:r>
      <w:r w:rsidR="00C24E77">
        <w:rPr>
          <w:lang w:eastAsia="ar-SA"/>
        </w:rPr>
        <w:t xml:space="preserve">podle údajů platební bilance </w:t>
      </w:r>
      <w:r>
        <w:rPr>
          <w:lang w:eastAsia="ar-SA"/>
        </w:rPr>
        <w:t>i odliv dividend z přímých investic</w:t>
      </w:r>
      <w:r w:rsidR="009560B0">
        <w:rPr>
          <w:lang w:eastAsia="ar-SA"/>
        </w:rPr>
        <w:t>, výše reinvestovaných zisků byla druhá nejvyšší</w:t>
      </w:r>
      <w:r>
        <w:rPr>
          <w:lang w:eastAsia="ar-SA"/>
        </w:rPr>
        <w:t>.</w:t>
      </w:r>
      <w:r w:rsidR="009560B0">
        <w:rPr>
          <w:lang w:eastAsia="ar-SA"/>
        </w:rPr>
        <w:t xml:space="preserve"> Tento vývoj umožnila silná dynamika tržeb, především z exportu a zisky, k nimž přispěla i oslabená koruna.</w:t>
      </w:r>
      <w:r>
        <w:rPr>
          <w:lang w:eastAsia="ar-SA"/>
        </w:rPr>
        <w:t xml:space="preserve"> </w:t>
      </w:r>
      <w:r w:rsidR="00A8574B">
        <w:rPr>
          <w:lang w:eastAsia="ar-SA"/>
        </w:rPr>
        <w:t>Příliv přímých investic ze zahraničí byl pod průměrem předchozích tří i deseti let.</w:t>
      </w:r>
    </w:p>
    <w:p w:rsidR="00083803" w:rsidRPr="00301D04" w:rsidRDefault="00083803" w:rsidP="00083803">
      <w:pPr>
        <w:pStyle w:val="Textpoznpodarou"/>
        <w:jc w:val="both"/>
        <w:rPr>
          <w:sz w:val="10"/>
          <w:szCs w:val="10"/>
          <w:lang w:eastAsia="ar-SA"/>
        </w:rPr>
      </w:pPr>
    </w:p>
    <w:p w:rsidR="00A23545" w:rsidRDefault="00A23545" w:rsidP="00A23545">
      <w:pPr>
        <w:pStyle w:val="Textpoznpodarou"/>
        <w:numPr>
          <w:ilvl w:val="0"/>
          <w:numId w:val="48"/>
        </w:numPr>
        <w:ind w:left="426"/>
        <w:jc w:val="both"/>
        <w:rPr>
          <w:lang w:eastAsia="ar-SA"/>
        </w:rPr>
      </w:pPr>
      <w:r w:rsidRPr="007821DB">
        <w:rPr>
          <w:lang w:eastAsia="ar-SA"/>
        </w:rPr>
        <w:t>Celková cenová hladina v ekonomice vzrostla v roce 2014 podle implicitního deflátoru HDP</w:t>
      </w:r>
      <w:r w:rsidRPr="00A23545">
        <w:rPr>
          <w:lang w:eastAsia="ar-SA"/>
        </w:rPr>
        <w:t xml:space="preserve"> </w:t>
      </w:r>
      <w:r w:rsidR="00C23D22">
        <w:rPr>
          <w:lang w:eastAsia="ar-SA"/>
        </w:rPr>
        <w:t>o 2,3 %</w:t>
      </w:r>
      <w:r w:rsidRPr="007821DB">
        <w:rPr>
          <w:lang w:eastAsia="ar-SA"/>
        </w:rPr>
        <w:t>, především díky příznivému vývoji cen v zahraničním obchodě se zbožím</w:t>
      </w:r>
      <w:r>
        <w:rPr>
          <w:lang w:eastAsia="ar-SA"/>
        </w:rPr>
        <w:t>.</w:t>
      </w:r>
      <w:r w:rsidRPr="007821DB">
        <w:rPr>
          <w:lang w:eastAsia="ar-SA"/>
        </w:rPr>
        <w:t xml:space="preserve"> Ceny v průmyslu přešly do deflace (-0,8 %), index spotřebitelských cen se zvýšil jen o 0,4 %.</w:t>
      </w:r>
    </w:p>
    <w:p w:rsidR="00A23545" w:rsidRPr="00301D04" w:rsidRDefault="00A23545" w:rsidP="00A23545">
      <w:pPr>
        <w:pStyle w:val="Textpoznpodarou"/>
        <w:jc w:val="both"/>
        <w:rPr>
          <w:sz w:val="10"/>
          <w:szCs w:val="10"/>
          <w:lang w:eastAsia="ar-SA"/>
        </w:rPr>
      </w:pPr>
    </w:p>
    <w:p w:rsidR="00A23545" w:rsidRPr="00D478E2" w:rsidRDefault="00A23545" w:rsidP="00A23545">
      <w:pPr>
        <w:pStyle w:val="Textpoznpodarou"/>
        <w:numPr>
          <w:ilvl w:val="0"/>
          <w:numId w:val="48"/>
        </w:numPr>
        <w:ind w:left="426"/>
        <w:jc w:val="both"/>
        <w:rPr>
          <w:lang w:eastAsia="ar-SA"/>
        </w:rPr>
      </w:pPr>
      <w:r>
        <w:rPr>
          <w:color w:val="000000" w:themeColor="text1"/>
        </w:rPr>
        <w:t xml:space="preserve">Změny na trhu práce měly komplexní charakter. </w:t>
      </w:r>
      <w:r w:rsidR="00D478E2">
        <w:rPr>
          <w:color w:val="000000" w:themeColor="text1"/>
        </w:rPr>
        <w:t>Významně kles</w:t>
      </w:r>
      <w:r>
        <w:rPr>
          <w:color w:val="000000" w:themeColor="text1"/>
        </w:rPr>
        <w:t xml:space="preserve">la míra </w:t>
      </w:r>
      <w:r w:rsidRPr="00D868CE">
        <w:rPr>
          <w:color w:val="000000" w:themeColor="text1"/>
        </w:rPr>
        <w:t xml:space="preserve">nezaměstnanosti </w:t>
      </w:r>
      <w:r>
        <w:rPr>
          <w:color w:val="000000" w:themeColor="text1"/>
        </w:rPr>
        <w:t>(na 6,2 %)</w:t>
      </w:r>
      <w:r w:rsidR="000F3332">
        <w:rPr>
          <w:color w:val="000000" w:themeColor="text1"/>
        </w:rPr>
        <w:t xml:space="preserve">, </w:t>
      </w:r>
      <w:r>
        <w:rPr>
          <w:color w:val="000000" w:themeColor="text1"/>
        </w:rPr>
        <w:t>celková zaměstnanost v pojetí národních účtů stoupla o 0,4 %</w:t>
      </w:r>
      <w:r w:rsidR="000F3332">
        <w:rPr>
          <w:color w:val="000000" w:themeColor="text1"/>
        </w:rPr>
        <w:t xml:space="preserve"> při zvýšení počtu volných pracovních míst.  P</w:t>
      </w:r>
      <w:r>
        <w:rPr>
          <w:color w:val="000000" w:themeColor="text1"/>
        </w:rPr>
        <w:t xml:space="preserve">odíl </w:t>
      </w:r>
      <w:r w:rsidR="000F3332">
        <w:rPr>
          <w:color w:val="000000" w:themeColor="text1"/>
        </w:rPr>
        <w:t>částečných</w:t>
      </w:r>
      <w:r>
        <w:rPr>
          <w:color w:val="000000" w:themeColor="text1"/>
        </w:rPr>
        <w:t xml:space="preserve"> pracovních úvazků</w:t>
      </w:r>
      <w:r w:rsidR="000F3332">
        <w:rPr>
          <w:color w:val="000000" w:themeColor="text1"/>
        </w:rPr>
        <w:t xml:space="preserve"> však</w:t>
      </w:r>
      <w:r>
        <w:rPr>
          <w:color w:val="000000" w:themeColor="text1"/>
        </w:rPr>
        <w:t xml:space="preserve"> již </w:t>
      </w:r>
      <w:r w:rsidR="000F3332">
        <w:rPr>
          <w:color w:val="000000" w:themeColor="text1"/>
        </w:rPr>
        <w:t>klesl</w:t>
      </w:r>
      <w:r>
        <w:rPr>
          <w:color w:val="000000" w:themeColor="text1"/>
        </w:rPr>
        <w:t>.</w:t>
      </w:r>
      <w:r w:rsidR="000F3332">
        <w:rPr>
          <w:color w:val="000000" w:themeColor="text1"/>
        </w:rPr>
        <w:t xml:space="preserve"> Průměrná nominální mzda po stagnaci v roce 201</w:t>
      </w:r>
      <w:r w:rsidR="00D478E2">
        <w:rPr>
          <w:color w:val="000000" w:themeColor="text1"/>
        </w:rPr>
        <w:t>3</w:t>
      </w:r>
      <w:r w:rsidR="000F3332">
        <w:rPr>
          <w:color w:val="000000" w:themeColor="text1"/>
        </w:rPr>
        <w:t xml:space="preserve"> stoupla o 2,4 %, reálná byla </w:t>
      </w:r>
      <w:r w:rsidR="00C23D22">
        <w:rPr>
          <w:color w:val="000000" w:themeColor="text1"/>
        </w:rPr>
        <w:t>po dvou letech poklesů vyšší o 2,0</w:t>
      </w:r>
      <w:r w:rsidR="000F3332">
        <w:rPr>
          <w:color w:val="000000" w:themeColor="text1"/>
        </w:rPr>
        <w:t xml:space="preserve"> %.</w:t>
      </w:r>
    </w:p>
    <w:p w:rsidR="00D478E2" w:rsidRPr="00301D04" w:rsidRDefault="00D478E2" w:rsidP="00301D04">
      <w:pPr>
        <w:rPr>
          <w:sz w:val="10"/>
          <w:szCs w:val="10"/>
          <w:lang w:eastAsia="ar-SA"/>
        </w:rPr>
      </w:pPr>
    </w:p>
    <w:p w:rsidR="00724666" w:rsidRPr="00A8574B" w:rsidRDefault="009560B0" w:rsidP="00724666">
      <w:pPr>
        <w:pStyle w:val="Textpoznpodarou"/>
        <w:numPr>
          <w:ilvl w:val="0"/>
          <w:numId w:val="48"/>
        </w:numPr>
        <w:ind w:left="426"/>
        <w:jc w:val="both"/>
        <w:rPr>
          <w:spacing w:val="-4"/>
          <w:lang w:eastAsia="ar-SA"/>
        </w:rPr>
      </w:pPr>
      <w:r w:rsidRPr="00A8574B">
        <w:rPr>
          <w:spacing w:val="-4"/>
          <w:lang w:eastAsia="ar-SA"/>
        </w:rPr>
        <w:t>K růstu ekonomiky docházelo bez úvěrové expanze</w:t>
      </w:r>
      <w:r w:rsidR="00A8574B">
        <w:rPr>
          <w:spacing w:val="-4"/>
          <w:lang w:eastAsia="ar-SA"/>
        </w:rPr>
        <w:t>, firmy zřejmě využívaly k financování tvorby hrubého fixního kapitálu peněz nakumulovaných z příznivého vývoje jejich zisků</w:t>
      </w:r>
      <w:r w:rsidRPr="00A8574B">
        <w:rPr>
          <w:spacing w:val="-4"/>
          <w:lang w:eastAsia="ar-SA"/>
        </w:rPr>
        <w:t>.</w:t>
      </w:r>
      <w:r w:rsidR="00C615F1" w:rsidRPr="00A8574B">
        <w:rPr>
          <w:spacing w:val="-4"/>
          <w:lang w:eastAsia="ar-SA"/>
        </w:rPr>
        <w:t xml:space="preserve"> Pokračoval úbytek peněz na termínovaných vkladech</w:t>
      </w:r>
      <w:r w:rsidR="003B3A9D" w:rsidRPr="00A8574B">
        <w:rPr>
          <w:spacing w:val="-4"/>
          <w:lang w:eastAsia="ar-SA"/>
        </w:rPr>
        <w:t xml:space="preserve">, protože depozitní úrokové sazby pro klienty </w:t>
      </w:r>
      <w:r w:rsidR="00A8574B" w:rsidRPr="00A8574B">
        <w:rPr>
          <w:spacing w:val="-4"/>
          <w:lang w:eastAsia="ar-SA"/>
        </w:rPr>
        <w:t xml:space="preserve">vč. sazeb na netermínovaných vkladech </w:t>
      </w:r>
      <w:r w:rsidR="003B3A9D" w:rsidRPr="00A8574B">
        <w:rPr>
          <w:spacing w:val="-4"/>
          <w:lang w:eastAsia="ar-SA"/>
        </w:rPr>
        <w:t xml:space="preserve">dále klesaly. </w:t>
      </w:r>
    </w:p>
    <w:p w:rsidR="00724666" w:rsidRPr="00301D04" w:rsidRDefault="00724666" w:rsidP="00301D04">
      <w:pPr>
        <w:rPr>
          <w:color w:val="000000" w:themeColor="text1"/>
          <w:sz w:val="10"/>
          <w:szCs w:val="10"/>
        </w:rPr>
      </w:pPr>
    </w:p>
    <w:p w:rsidR="00A23545" w:rsidRPr="00460164" w:rsidRDefault="00724666" w:rsidP="00301D04">
      <w:pPr>
        <w:pStyle w:val="Textpoznpodarou"/>
        <w:numPr>
          <w:ilvl w:val="0"/>
          <w:numId w:val="48"/>
        </w:numPr>
        <w:ind w:left="426"/>
        <w:jc w:val="both"/>
        <w:rPr>
          <w:lang w:eastAsia="ar-SA"/>
        </w:rPr>
      </w:pPr>
      <w:r w:rsidRPr="00724666">
        <w:rPr>
          <w:color w:val="000000" w:themeColor="text1"/>
        </w:rPr>
        <w:t xml:space="preserve">Deficit státního rozpočtu ve výši 1,8 % nominálního HDP byl nejpříznivější od roku 2008. K jeho redukci došlo již popáté v řadě. Ekonomické oživení pomohlo </w:t>
      </w:r>
      <w:r w:rsidR="00C24E77">
        <w:rPr>
          <w:color w:val="000000" w:themeColor="text1"/>
        </w:rPr>
        <w:t>vysokému</w:t>
      </w:r>
      <w:r w:rsidRPr="00724666">
        <w:rPr>
          <w:color w:val="000000" w:themeColor="text1"/>
        </w:rPr>
        <w:t xml:space="preserve"> růstu inkasa DPH i </w:t>
      </w:r>
      <w:proofErr w:type="spellStart"/>
      <w:r w:rsidRPr="00724666">
        <w:rPr>
          <w:color w:val="000000" w:themeColor="text1"/>
        </w:rPr>
        <w:t>korporátní</w:t>
      </w:r>
      <w:proofErr w:type="spellEnd"/>
      <w:r w:rsidRPr="00724666">
        <w:rPr>
          <w:color w:val="000000" w:themeColor="text1"/>
        </w:rPr>
        <w:t xml:space="preserve"> daně, snížilo i deficit důchodového účtu. Jeho saldo zaznamenalo meziročně největší pozitivní posun od roku 2007. Zastavil se také tři roky trvající pokle</w:t>
      </w:r>
      <w:r w:rsidR="007F7B54">
        <w:rPr>
          <w:color w:val="000000" w:themeColor="text1"/>
        </w:rPr>
        <w:t>s výdajů státu na investice (+9</w:t>
      </w:r>
      <w:r w:rsidRPr="00724666">
        <w:rPr>
          <w:color w:val="000000" w:themeColor="text1"/>
        </w:rPr>
        <w:t>,8 % meziročně) vlivem intenzivního čerpání peněz z evropských fondů.</w:t>
      </w:r>
    </w:p>
    <w:p w:rsidR="00BF3DF1" w:rsidRPr="00AE7968" w:rsidRDefault="00CB7452" w:rsidP="0046039A">
      <w:pPr>
        <w:pStyle w:val="Nadpis1"/>
        <w:numPr>
          <w:ilvl w:val="0"/>
          <w:numId w:val="30"/>
        </w:numPr>
      </w:pPr>
      <w:bookmarkStart w:id="4" w:name="_Toc414264321"/>
      <w:r>
        <w:lastRenderedPageBreak/>
        <w:t>Souhrnná výkon</w:t>
      </w:r>
      <w:r w:rsidR="003F6D19">
        <w:t>n</w:t>
      </w:r>
      <w:r>
        <w:t>ost</w:t>
      </w:r>
      <w:bookmarkEnd w:id="4"/>
    </w:p>
    <w:tbl>
      <w:tblPr>
        <w:tblW w:w="5000" w:type="pct"/>
        <w:tblLayout w:type="fixed"/>
        <w:tblLook w:val="00A0"/>
      </w:tblPr>
      <w:tblGrid>
        <w:gridCol w:w="2077"/>
        <w:gridCol w:w="282"/>
        <w:gridCol w:w="7495"/>
      </w:tblGrid>
      <w:tr w:rsidR="000779AC" w:rsidRPr="007D44C3" w:rsidTr="008F7D28">
        <w:tc>
          <w:tcPr>
            <w:tcW w:w="1054" w:type="pct"/>
          </w:tcPr>
          <w:p w:rsidR="000779AC" w:rsidRPr="00813FE6" w:rsidRDefault="000779AC" w:rsidP="00A727BA">
            <w:pPr>
              <w:spacing w:line="240" w:lineRule="auto"/>
              <w:rPr>
                <w:sz w:val="16"/>
                <w:szCs w:val="16"/>
              </w:rPr>
            </w:pPr>
            <w:r>
              <w:rPr>
                <w:sz w:val="16"/>
                <w:szCs w:val="16"/>
              </w:rPr>
              <w:t>Česká ekonomika v průběhu roku 2014 dále ožívala, …</w:t>
            </w:r>
          </w:p>
        </w:tc>
        <w:tc>
          <w:tcPr>
            <w:tcW w:w="143" w:type="pct"/>
          </w:tcPr>
          <w:p w:rsidR="000779AC" w:rsidRPr="00813FE6" w:rsidRDefault="000779AC" w:rsidP="008B7306">
            <w:pPr>
              <w:pStyle w:val="Textpoznpodarou"/>
              <w:jc w:val="both"/>
            </w:pPr>
          </w:p>
        </w:tc>
        <w:tc>
          <w:tcPr>
            <w:tcW w:w="3803" w:type="pct"/>
          </w:tcPr>
          <w:p w:rsidR="000779AC" w:rsidRPr="002E0982" w:rsidRDefault="000779AC" w:rsidP="008B7306">
            <w:pPr>
              <w:pStyle w:val="Textpoznpodarou"/>
              <w:jc w:val="both"/>
              <w:rPr>
                <w:spacing w:val="-2"/>
              </w:rPr>
            </w:pPr>
            <w:r w:rsidRPr="002E0982">
              <w:rPr>
                <w:spacing w:val="-2"/>
              </w:rPr>
              <w:t>Ekonomika ČR, která se ve 2. čtvrtletí 2013 vymanila z recese, v průběhu roku 2014 dále ožívala</w:t>
            </w:r>
            <w:r w:rsidR="00460164">
              <w:rPr>
                <w:rStyle w:val="Znakapoznpodarou"/>
                <w:spacing w:val="-2"/>
              </w:rPr>
              <w:footnoteReference w:id="2"/>
            </w:r>
            <w:r w:rsidRPr="002E0982">
              <w:rPr>
                <w:spacing w:val="-2"/>
              </w:rPr>
              <w:t xml:space="preserve">. Její výkonnost se zvyšovala – měřeno </w:t>
            </w:r>
            <w:proofErr w:type="spellStart"/>
            <w:r w:rsidRPr="002E0982">
              <w:rPr>
                <w:spacing w:val="-2"/>
              </w:rPr>
              <w:t>mezičtvrtletní</w:t>
            </w:r>
            <w:proofErr w:type="spellEnd"/>
            <w:r w:rsidRPr="002E0982">
              <w:rPr>
                <w:spacing w:val="-2"/>
              </w:rPr>
              <w:t xml:space="preserve"> změnou hrubého domácího produktu (HDP) – po celý rok bez výjimky. Jestliže v 1. čtvrtletí se HDP zvýšil o</w:t>
            </w:r>
            <w:r>
              <w:rPr>
                <w:spacing w:val="-2"/>
              </w:rPr>
              <w:t xml:space="preserve"> 0,3</w:t>
            </w:r>
            <w:r w:rsidRPr="002E0982">
              <w:rPr>
                <w:spacing w:val="-2"/>
              </w:rPr>
              <w:t xml:space="preserve"> % a stejně tak ve 2. kvartále, ve zbývajících dvou čtvrtletích shodně o </w:t>
            </w:r>
            <w:r>
              <w:rPr>
                <w:spacing w:val="-2"/>
              </w:rPr>
              <w:t>0,4</w:t>
            </w:r>
            <w:r w:rsidRPr="002E0982">
              <w:rPr>
                <w:spacing w:val="-2"/>
              </w:rPr>
              <w:t> %. T</w:t>
            </w:r>
            <w:r>
              <w:rPr>
                <w:spacing w:val="-2"/>
              </w:rPr>
              <w:t>akto zachycený</w:t>
            </w:r>
            <w:r w:rsidRPr="002E0982">
              <w:rPr>
                <w:spacing w:val="-2"/>
              </w:rPr>
              <w:t xml:space="preserve"> vývoj</w:t>
            </w:r>
            <w:r>
              <w:rPr>
                <w:spacing w:val="-2"/>
              </w:rPr>
              <w:t xml:space="preserve"> ekonomiky</w:t>
            </w:r>
            <w:r w:rsidRPr="002E0982">
              <w:rPr>
                <w:spacing w:val="-2"/>
              </w:rPr>
              <w:t>, už tak příznivý, byl ale podhodnocen. Předzásobení tabákovými výrobky na konci roku 2013 a s ním související nárůst vybraných spotřebních daní totiž vedl</w:t>
            </w:r>
            <w:r>
              <w:rPr>
                <w:spacing w:val="-2"/>
              </w:rPr>
              <w:t>o</w:t>
            </w:r>
            <w:r w:rsidRPr="002E0982">
              <w:rPr>
                <w:spacing w:val="-2"/>
              </w:rPr>
              <w:t xml:space="preserve"> k</w:t>
            </w:r>
            <w:r>
              <w:rPr>
                <w:spacing w:val="-2"/>
              </w:rPr>
              <w:t> tomu, že saldo daní z produktů –</w:t>
            </w:r>
            <w:r w:rsidRPr="002E0982">
              <w:rPr>
                <w:spacing w:val="-2"/>
              </w:rPr>
              <w:t xml:space="preserve"> které je do HDP </w:t>
            </w:r>
            <w:r>
              <w:rPr>
                <w:spacing w:val="-2"/>
              </w:rPr>
              <w:t>započítáváno –</w:t>
            </w:r>
            <w:r w:rsidRPr="002E0982">
              <w:rPr>
                <w:spacing w:val="-2"/>
              </w:rPr>
              <w:t xml:space="preserve"> v posledním čtvrtletí 2013 značně n</w:t>
            </w:r>
            <w:r>
              <w:rPr>
                <w:spacing w:val="-2"/>
              </w:rPr>
              <w:t>arostlo a růst HDP dynamizovalo,</w:t>
            </w:r>
            <w:r w:rsidRPr="002E0982">
              <w:rPr>
                <w:spacing w:val="-2"/>
              </w:rPr>
              <w:t xml:space="preserve"> avšak</w:t>
            </w:r>
            <w:r>
              <w:rPr>
                <w:spacing w:val="-2"/>
              </w:rPr>
              <w:t xml:space="preserve"> v</w:t>
            </w:r>
            <w:r w:rsidRPr="002E0982">
              <w:rPr>
                <w:spacing w:val="-2"/>
              </w:rPr>
              <w:t> průběhu roku 2014 setrvale klesalo a</w:t>
            </w:r>
            <w:r>
              <w:rPr>
                <w:spacing w:val="-2"/>
              </w:rPr>
              <w:t> </w:t>
            </w:r>
            <w:r w:rsidRPr="002E0982">
              <w:rPr>
                <w:spacing w:val="-2"/>
              </w:rPr>
              <w:t>dynamiku HDP naopak snižovalo. Pokud vyjdeme z </w:t>
            </w:r>
            <w:proofErr w:type="spellStart"/>
            <w:r w:rsidRPr="002E0982">
              <w:rPr>
                <w:spacing w:val="-2"/>
              </w:rPr>
              <w:t>mezičtvrtletních</w:t>
            </w:r>
            <w:proofErr w:type="spellEnd"/>
            <w:r w:rsidRPr="002E0982">
              <w:rPr>
                <w:spacing w:val="-2"/>
              </w:rPr>
              <w:t xml:space="preserve"> změn hrubé přidané hodnoty (HPH), která </w:t>
            </w:r>
            <w:r>
              <w:rPr>
                <w:spacing w:val="-2"/>
              </w:rPr>
              <w:t xml:space="preserve">toto saldo </w:t>
            </w:r>
            <w:r w:rsidRPr="002E0982">
              <w:rPr>
                <w:spacing w:val="-2"/>
              </w:rPr>
              <w:t>neobsahuje a je tak k zachycení skutečného vývoje vhodnější, pak se obrázek o vývoji tuzemské ekonomiky mění k lepšímu. Jestliže v 1. čtvrtletí 2014 se HPH zvýšila v </w:t>
            </w:r>
            <w:proofErr w:type="spellStart"/>
            <w:r w:rsidRPr="002E0982">
              <w:rPr>
                <w:spacing w:val="-2"/>
              </w:rPr>
              <w:t>mezikvartálním</w:t>
            </w:r>
            <w:proofErr w:type="spellEnd"/>
            <w:r w:rsidRPr="002E0982">
              <w:rPr>
                <w:spacing w:val="-2"/>
              </w:rPr>
              <w:t xml:space="preserve"> srovnání o 0,7 % a ve 2. a 3. shodně o 0,5 %, v posledních třech měsících roku o vysokých 1,1 %. Pokud z</w:t>
            </w:r>
            <w:r>
              <w:rPr>
                <w:spacing w:val="-2"/>
              </w:rPr>
              <w:t> údajů o </w:t>
            </w:r>
            <w:r w:rsidRPr="002E0982">
              <w:rPr>
                <w:spacing w:val="-2"/>
              </w:rPr>
              <w:t>HDP bylo patrné, že česká ekonomika v roce 2014 dále ožívala, pak z ukazatele HPH plynulo, že její růst v závěru roku akceleroval.</w:t>
            </w:r>
          </w:p>
          <w:p w:rsidR="000779AC" w:rsidRPr="008F7D28" w:rsidRDefault="000779AC" w:rsidP="008B7306">
            <w:pPr>
              <w:pStyle w:val="Textpoznpodarou"/>
              <w:jc w:val="both"/>
              <w:rPr>
                <w:sz w:val="14"/>
                <w:szCs w:val="14"/>
              </w:rPr>
            </w:pPr>
          </w:p>
        </w:tc>
      </w:tr>
      <w:tr w:rsidR="000779AC" w:rsidRPr="007D44C3" w:rsidTr="008F7D28">
        <w:tc>
          <w:tcPr>
            <w:tcW w:w="1054" w:type="pct"/>
          </w:tcPr>
          <w:p w:rsidR="000779AC" w:rsidRPr="00813FE6" w:rsidRDefault="000779AC" w:rsidP="00A727BA">
            <w:pPr>
              <w:spacing w:line="240" w:lineRule="auto"/>
              <w:rPr>
                <w:sz w:val="16"/>
                <w:szCs w:val="16"/>
              </w:rPr>
            </w:pPr>
            <w:r>
              <w:rPr>
                <w:sz w:val="16"/>
                <w:szCs w:val="16"/>
              </w:rPr>
              <w:t>… HDP vytvořený v roce 2014 už téměř vyrovnal svoji úroveň z roku 2008</w:t>
            </w:r>
          </w:p>
        </w:tc>
        <w:tc>
          <w:tcPr>
            <w:tcW w:w="143" w:type="pct"/>
          </w:tcPr>
          <w:p w:rsidR="000779AC" w:rsidRPr="00813FE6" w:rsidRDefault="000779AC" w:rsidP="008B7306">
            <w:pPr>
              <w:pStyle w:val="Textpoznpodarou"/>
              <w:jc w:val="both"/>
            </w:pPr>
          </w:p>
        </w:tc>
        <w:tc>
          <w:tcPr>
            <w:tcW w:w="3803" w:type="pct"/>
          </w:tcPr>
          <w:p w:rsidR="000779AC" w:rsidRPr="00787507" w:rsidRDefault="000779AC" w:rsidP="008B7306">
            <w:pPr>
              <w:pStyle w:val="Textpoznpodarou"/>
              <w:jc w:val="both"/>
              <w:rPr>
                <w:spacing w:val="-6"/>
              </w:rPr>
            </w:pPr>
            <w:r w:rsidRPr="00787507">
              <w:rPr>
                <w:spacing w:val="-6"/>
              </w:rPr>
              <w:t>Údaje za rok 2014 potvrdily, že česká ekonomika již překonala dva roky recese. Jestliže za roky 2012 a 2013 HDP v ČR klesl v úhrnu o 1,4 %, nárůst z roku 2014 o rovná 2,0 % tento pokles více než kompenzoval. HDP vytvořený v roce 2014 už téměř vyrovnal svoji úroveň z v</w:t>
            </w:r>
            <w:r w:rsidR="00136561">
              <w:rPr>
                <w:spacing w:val="-6"/>
              </w:rPr>
              <w:t>rcholu konjunktury v roce 2008 (</w:t>
            </w:r>
            <w:r w:rsidRPr="00787507">
              <w:rPr>
                <w:spacing w:val="-6"/>
              </w:rPr>
              <w:t>byl nižší jen o 0,2 %</w:t>
            </w:r>
            <w:r w:rsidR="00136561">
              <w:rPr>
                <w:spacing w:val="-6"/>
              </w:rPr>
              <w:t>)</w:t>
            </w:r>
            <w:r w:rsidRPr="00787507">
              <w:rPr>
                <w:spacing w:val="-6"/>
              </w:rPr>
              <w:t>.</w:t>
            </w:r>
          </w:p>
          <w:p w:rsidR="000779AC" w:rsidRPr="008F7D28" w:rsidRDefault="000779AC" w:rsidP="008B7306">
            <w:pPr>
              <w:pStyle w:val="Textpoznpodarou"/>
              <w:jc w:val="both"/>
              <w:rPr>
                <w:sz w:val="14"/>
                <w:szCs w:val="14"/>
              </w:rPr>
            </w:pPr>
          </w:p>
        </w:tc>
      </w:tr>
      <w:tr w:rsidR="000779AC" w:rsidRPr="00B924CA" w:rsidTr="008F7D28">
        <w:tc>
          <w:tcPr>
            <w:tcW w:w="1054" w:type="pct"/>
          </w:tcPr>
          <w:p w:rsidR="000779AC" w:rsidRPr="00CB1910" w:rsidRDefault="000779AC" w:rsidP="00A727BA">
            <w:pPr>
              <w:spacing w:line="240" w:lineRule="auto"/>
              <w:rPr>
                <w:sz w:val="16"/>
                <w:szCs w:val="16"/>
              </w:rPr>
            </w:pPr>
            <w:r>
              <w:rPr>
                <w:sz w:val="16"/>
                <w:szCs w:val="16"/>
              </w:rPr>
              <w:t>K růstu HDP v roce 2014 přispěly všechny hlavní složky domácí poptávky s výjimkou změny zásob. „Tahounem“ byly investice, …</w:t>
            </w:r>
          </w:p>
        </w:tc>
        <w:tc>
          <w:tcPr>
            <w:tcW w:w="143" w:type="pct"/>
          </w:tcPr>
          <w:p w:rsidR="000779AC" w:rsidRPr="00CB1910" w:rsidRDefault="000779AC" w:rsidP="008B7306">
            <w:pPr>
              <w:pStyle w:val="Textpoznpodarou"/>
              <w:jc w:val="both"/>
            </w:pPr>
          </w:p>
        </w:tc>
        <w:tc>
          <w:tcPr>
            <w:tcW w:w="3803" w:type="pct"/>
          </w:tcPr>
          <w:p w:rsidR="000779AC" w:rsidRPr="00E97FA2" w:rsidRDefault="000779AC" w:rsidP="008B7306">
            <w:pPr>
              <w:pStyle w:val="Textpoznpodarou"/>
              <w:jc w:val="both"/>
              <w:rPr>
                <w:spacing w:val="-2"/>
              </w:rPr>
            </w:pPr>
            <w:r w:rsidRPr="00E97FA2">
              <w:rPr>
                <w:spacing w:val="-2"/>
              </w:rPr>
              <w:t>K nárůstu HDP v roce 2014 nejvíce přispěl obnovený růst tvorby hrubého fixního kapitálu, tedy investic</w:t>
            </w:r>
            <w:r w:rsidR="00460164">
              <w:rPr>
                <w:rStyle w:val="Znakapoznpodarou"/>
                <w:spacing w:val="-2"/>
              </w:rPr>
              <w:footnoteReference w:id="3"/>
            </w:r>
            <w:r w:rsidR="00170B04">
              <w:t>.</w:t>
            </w:r>
            <w:r w:rsidRPr="00E97FA2">
              <w:rPr>
                <w:spacing w:val="-2"/>
              </w:rPr>
              <w:t xml:space="preserve"> Jejich příspěvek dosáhl +1,2 </w:t>
            </w:r>
            <w:proofErr w:type="spellStart"/>
            <w:r w:rsidRPr="00E97FA2">
              <w:rPr>
                <w:spacing w:val="-2"/>
              </w:rPr>
              <w:t>pb</w:t>
            </w:r>
            <w:proofErr w:type="spellEnd"/>
            <w:r w:rsidRPr="00E97FA2">
              <w:rPr>
                <w:spacing w:val="-2"/>
              </w:rPr>
              <w:t>., byl kladný poprvé po dvou</w:t>
            </w:r>
            <w:r>
              <w:rPr>
                <w:spacing w:val="-2"/>
              </w:rPr>
              <w:t> </w:t>
            </w:r>
            <w:r w:rsidRPr="00E97FA2">
              <w:rPr>
                <w:spacing w:val="-2"/>
              </w:rPr>
              <w:t>letech a nejvyšší od silného roku 2007, kdy v české ekonomice výrazně investovaly nejen tuzemské a zahraniční podniky, ale i domácnosti. Výdaje na</w:t>
            </w:r>
            <w:r>
              <w:rPr>
                <w:spacing w:val="-2"/>
              </w:rPr>
              <w:t> </w:t>
            </w:r>
            <w:r w:rsidRPr="00E97FA2">
              <w:rPr>
                <w:spacing w:val="-2"/>
              </w:rPr>
              <w:t>konečnou spotřebu domácností a výdaje na konečnou spotřebu vládních institucí se na růstu ekonomiky v roce 2014 podílely sice méně, na rozdíl od investic se ale zvyšovaly již druhým rokem. Zatímco pozitivní vliv spotřeby vládních institucí mírně</w:t>
            </w:r>
            <w:r>
              <w:rPr>
                <w:spacing w:val="-2"/>
              </w:rPr>
              <w:t> </w:t>
            </w:r>
            <w:r w:rsidRPr="00E97FA2">
              <w:rPr>
                <w:spacing w:val="-2"/>
              </w:rPr>
              <w:t xml:space="preserve">oslabil (z +0,4 </w:t>
            </w:r>
            <w:proofErr w:type="spellStart"/>
            <w:r w:rsidRPr="00E97FA2">
              <w:rPr>
                <w:spacing w:val="-2"/>
              </w:rPr>
              <w:t>pb</w:t>
            </w:r>
            <w:proofErr w:type="spellEnd"/>
            <w:r w:rsidRPr="00E97FA2">
              <w:rPr>
                <w:spacing w:val="-2"/>
              </w:rPr>
              <w:t>. v roce 2013 na +0,3 </w:t>
            </w:r>
            <w:proofErr w:type="spellStart"/>
            <w:r w:rsidRPr="00E97FA2">
              <w:rPr>
                <w:spacing w:val="-2"/>
              </w:rPr>
              <w:t>pb</w:t>
            </w:r>
            <w:proofErr w:type="spellEnd"/>
            <w:r w:rsidRPr="00E97FA2">
              <w:rPr>
                <w:spacing w:val="-2"/>
              </w:rPr>
              <w:t xml:space="preserve">. v roce 2014), velikost příspěvku spotřeby domácností značně narostla (z +0,2 </w:t>
            </w:r>
            <w:proofErr w:type="spellStart"/>
            <w:r w:rsidRPr="00E97FA2">
              <w:rPr>
                <w:spacing w:val="-2"/>
              </w:rPr>
              <w:t>pb</w:t>
            </w:r>
            <w:proofErr w:type="spellEnd"/>
            <w:r w:rsidRPr="00E97FA2">
              <w:rPr>
                <w:spacing w:val="-2"/>
              </w:rPr>
              <w:t xml:space="preserve">. na +0,8 </w:t>
            </w:r>
            <w:proofErr w:type="spellStart"/>
            <w:r w:rsidRPr="00E97FA2">
              <w:rPr>
                <w:spacing w:val="-2"/>
              </w:rPr>
              <w:t>pb</w:t>
            </w:r>
            <w:proofErr w:type="spellEnd"/>
            <w:r w:rsidRPr="00E97FA2">
              <w:rPr>
                <w:spacing w:val="-2"/>
              </w:rPr>
              <w:t xml:space="preserve">.). Zbývající složky poptávky, tedy změna zásob (-0,2 </w:t>
            </w:r>
            <w:proofErr w:type="spellStart"/>
            <w:r w:rsidRPr="00E97FA2">
              <w:rPr>
                <w:spacing w:val="-2"/>
              </w:rPr>
              <w:t>pb</w:t>
            </w:r>
            <w:proofErr w:type="spellEnd"/>
            <w:r w:rsidRPr="00E97FA2">
              <w:rPr>
                <w:spacing w:val="-2"/>
              </w:rPr>
              <w:t xml:space="preserve">.) a výsledek zahraničního obchodu (-0,1 </w:t>
            </w:r>
            <w:proofErr w:type="spellStart"/>
            <w:r w:rsidRPr="00E97FA2">
              <w:rPr>
                <w:spacing w:val="-2"/>
              </w:rPr>
              <w:t>pb</w:t>
            </w:r>
            <w:proofErr w:type="spellEnd"/>
            <w:r w:rsidRPr="00E97FA2">
              <w:rPr>
                <w:spacing w:val="-2"/>
              </w:rPr>
              <w:t>.), růst české ekonomiky v roce 2014 brzdily.</w:t>
            </w:r>
          </w:p>
          <w:p w:rsidR="000779AC" w:rsidRPr="008F7D28" w:rsidRDefault="000779AC" w:rsidP="008B7306">
            <w:pPr>
              <w:pStyle w:val="Textpoznpodarou"/>
              <w:jc w:val="both"/>
              <w:rPr>
                <w:sz w:val="14"/>
                <w:szCs w:val="14"/>
              </w:rPr>
            </w:pPr>
          </w:p>
        </w:tc>
      </w:tr>
      <w:tr w:rsidR="000779AC" w:rsidRPr="00B924CA" w:rsidTr="008F7D28">
        <w:tc>
          <w:tcPr>
            <w:tcW w:w="1054" w:type="pct"/>
          </w:tcPr>
          <w:p w:rsidR="000779AC" w:rsidRPr="00383227" w:rsidRDefault="000779AC" w:rsidP="00A727BA">
            <w:pPr>
              <w:spacing w:line="240" w:lineRule="auto"/>
              <w:rPr>
                <w:sz w:val="16"/>
                <w:szCs w:val="16"/>
              </w:rPr>
            </w:pPr>
            <w:r>
              <w:rPr>
                <w:sz w:val="16"/>
                <w:szCs w:val="16"/>
              </w:rPr>
              <w:t>… pokud ovšem z celkového dovozu vyloučíme dovoz určený pro konečné užití, pak se na růstu české ekonomiky největším dílem podílel výsledek modifikovaného zahraničního obchodu</w:t>
            </w:r>
          </w:p>
        </w:tc>
        <w:tc>
          <w:tcPr>
            <w:tcW w:w="143" w:type="pct"/>
          </w:tcPr>
          <w:p w:rsidR="000779AC" w:rsidRPr="00383227" w:rsidRDefault="000779AC" w:rsidP="008B7306">
            <w:pPr>
              <w:pStyle w:val="Textpoznpodarou"/>
              <w:jc w:val="both"/>
            </w:pPr>
          </w:p>
        </w:tc>
        <w:tc>
          <w:tcPr>
            <w:tcW w:w="3803" w:type="pct"/>
          </w:tcPr>
          <w:p w:rsidR="000779AC" w:rsidRPr="001323BA" w:rsidRDefault="000779AC" w:rsidP="008B7306">
            <w:pPr>
              <w:pStyle w:val="Textpoznpodarou"/>
              <w:jc w:val="both"/>
              <w:rPr>
                <w:spacing w:val="-2"/>
              </w:rPr>
            </w:pPr>
            <w:r w:rsidRPr="001323BA">
              <w:rPr>
                <w:spacing w:val="-2"/>
              </w:rPr>
              <w:t>Jestliže z celkového objemu dovozu zboží a služeb do ČR vyloučíme dovoz určený pro konečné užití, který nemá s růstem české ekonomiky fakticky nic společného, pak se příspěvky jednotlivých složek poptávky k růstu HDP výrazně mění. Investice</w:t>
            </w:r>
            <w:r>
              <w:rPr>
                <w:spacing w:val="-2"/>
              </w:rPr>
              <w:t> </w:t>
            </w:r>
            <w:r w:rsidRPr="001323BA">
              <w:rPr>
                <w:spacing w:val="-2"/>
              </w:rPr>
              <w:t xml:space="preserve">a výdaje na konečnou spotřebu domácností, které jsou obecně z velké části </w:t>
            </w:r>
            <w:r>
              <w:rPr>
                <w:spacing w:val="-2"/>
              </w:rPr>
              <w:t>uspokojovány z dovozu</w:t>
            </w:r>
            <w:r w:rsidRPr="001323BA">
              <w:rPr>
                <w:spacing w:val="-2"/>
              </w:rPr>
              <w:t xml:space="preserve"> –</w:t>
            </w:r>
            <w:r>
              <w:rPr>
                <w:spacing w:val="-2"/>
              </w:rPr>
              <w:t xml:space="preserve"> a to se projevilo</w:t>
            </w:r>
            <w:r w:rsidRPr="001323BA">
              <w:rPr>
                <w:spacing w:val="-2"/>
              </w:rPr>
              <w:t xml:space="preserve"> i v údajích za rok 2014 – přispěly v tomto modifikovaném pojetí jen 0,6 </w:t>
            </w:r>
            <w:proofErr w:type="spellStart"/>
            <w:r w:rsidRPr="001323BA">
              <w:rPr>
                <w:spacing w:val="-2"/>
              </w:rPr>
              <w:t>pb</w:t>
            </w:r>
            <w:proofErr w:type="spellEnd"/>
            <w:r w:rsidRPr="001323BA">
              <w:rPr>
                <w:spacing w:val="-2"/>
              </w:rPr>
              <w:t xml:space="preserve">. respektive 0,2 </w:t>
            </w:r>
            <w:proofErr w:type="spellStart"/>
            <w:r w:rsidRPr="001323BA">
              <w:rPr>
                <w:spacing w:val="-2"/>
              </w:rPr>
              <w:t>pb</w:t>
            </w:r>
            <w:proofErr w:type="spellEnd"/>
            <w:r w:rsidRPr="001323BA">
              <w:rPr>
                <w:spacing w:val="-2"/>
              </w:rPr>
              <w:t>. Méně než v klasickém pojetí</w:t>
            </w:r>
            <w:r>
              <w:rPr>
                <w:spacing w:val="-2"/>
              </w:rPr>
              <w:t> </w:t>
            </w:r>
            <w:r w:rsidRPr="001323BA">
              <w:rPr>
                <w:spacing w:val="-2"/>
              </w:rPr>
              <w:t>přispěly k růstu ekonomiky i výdaje na konečnou spotřebu vládních institucí</w:t>
            </w:r>
            <w:r>
              <w:rPr>
                <w:spacing w:val="-2"/>
              </w:rPr>
              <w:t> </w:t>
            </w:r>
            <w:r w:rsidRPr="001323BA">
              <w:rPr>
                <w:spacing w:val="-2"/>
              </w:rPr>
              <w:t>(+0,2</w:t>
            </w:r>
            <w:r>
              <w:rPr>
                <w:spacing w:val="-2"/>
              </w:rPr>
              <w:t> </w:t>
            </w:r>
            <w:proofErr w:type="spellStart"/>
            <w:r w:rsidRPr="001323BA">
              <w:rPr>
                <w:spacing w:val="-2"/>
              </w:rPr>
              <w:t>pb</w:t>
            </w:r>
            <w:proofErr w:type="spellEnd"/>
            <w:r w:rsidRPr="001323BA">
              <w:rPr>
                <w:spacing w:val="-2"/>
              </w:rPr>
              <w:t>.), naproti tomu příspěvek změny zásob se nezměnil</w:t>
            </w:r>
            <w:r>
              <w:rPr>
                <w:spacing w:val="-2"/>
              </w:rPr>
              <w:t>,</w:t>
            </w:r>
            <w:r w:rsidRPr="001323BA">
              <w:rPr>
                <w:spacing w:val="-2"/>
              </w:rPr>
              <w:t xml:space="preserve"> zůstával záporný (-0,2 </w:t>
            </w:r>
            <w:proofErr w:type="spellStart"/>
            <w:r w:rsidRPr="001323BA">
              <w:rPr>
                <w:spacing w:val="-2"/>
              </w:rPr>
              <w:t>pb</w:t>
            </w:r>
            <w:proofErr w:type="spellEnd"/>
            <w:r w:rsidRPr="001323BA">
              <w:rPr>
                <w:spacing w:val="-2"/>
              </w:rPr>
              <w:t xml:space="preserve">.). Hlavním faktorem růstu v roce 2014 </w:t>
            </w:r>
            <w:r>
              <w:rPr>
                <w:spacing w:val="-2"/>
              </w:rPr>
              <w:t xml:space="preserve">tak </w:t>
            </w:r>
            <w:r w:rsidRPr="001323BA">
              <w:rPr>
                <w:spacing w:val="-2"/>
              </w:rPr>
              <w:t xml:space="preserve">byl, jak je zřejmé, zahraniční obchod nezahrnující dovoz určený pro konečné užití (+1,3 </w:t>
            </w:r>
            <w:proofErr w:type="spellStart"/>
            <w:r w:rsidRPr="001323BA">
              <w:rPr>
                <w:spacing w:val="-2"/>
              </w:rPr>
              <w:t>pb</w:t>
            </w:r>
            <w:proofErr w:type="spellEnd"/>
            <w:r w:rsidRPr="001323BA">
              <w:rPr>
                <w:spacing w:val="-2"/>
              </w:rPr>
              <w:t>.).</w:t>
            </w:r>
          </w:p>
          <w:p w:rsidR="000779AC" w:rsidRPr="008F7D28" w:rsidRDefault="000779AC" w:rsidP="008B7306">
            <w:pPr>
              <w:pStyle w:val="Textpoznpodarou"/>
              <w:jc w:val="both"/>
              <w:rPr>
                <w:spacing w:val="-2"/>
                <w:sz w:val="14"/>
                <w:szCs w:val="14"/>
              </w:rPr>
            </w:pPr>
          </w:p>
        </w:tc>
      </w:tr>
      <w:tr w:rsidR="000779AC" w:rsidRPr="00B924CA" w:rsidTr="008F7D28">
        <w:tc>
          <w:tcPr>
            <w:tcW w:w="1054" w:type="pct"/>
          </w:tcPr>
          <w:p w:rsidR="000779AC" w:rsidRPr="00DB4FB8" w:rsidRDefault="000779AC" w:rsidP="00A727BA">
            <w:pPr>
              <w:spacing w:line="240" w:lineRule="auto"/>
              <w:rPr>
                <w:sz w:val="16"/>
                <w:szCs w:val="16"/>
              </w:rPr>
            </w:pPr>
            <w:r>
              <w:rPr>
                <w:sz w:val="16"/>
                <w:szCs w:val="16"/>
              </w:rPr>
              <w:t xml:space="preserve">Česká ekonomika i nadále roste rychleji než země EU a výrazně rychleji než </w:t>
            </w:r>
            <w:proofErr w:type="spellStart"/>
            <w:r>
              <w:rPr>
                <w:sz w:val="16"/>
                <w:szCs w:val="16"/>
              </w:rPr>
              <w:t>eurozóna</w:t>
            </w:r>
            <w:proofErr w:type="spellEnd"/>
          </w:p>
        </w:tc>
        <w:tc>
          <w:tcPr>
            <w:tcW w:w="143" w:type="pct"/>
          </w:tcPr>
          <w:p w:rsidR="000779AC" w:rsidRPr="00DB4FB8" w:rsidRDefault="000779AC" w:rsidP="008B7306">
            <w:pPr>
              <w:pStyle w:val="Textpoznpodarou"/>
              <w:jc w:val="both"/>
            </w:pPr>
          </w:p>
        </w:tc>
        <w:tc>
          <w:tcPr>
            <w:tcW w:w="3803" w:type="pct"/>
          </w:tcPr>
          <w:p w:rsidR="000779AC" w:rsidRDefault="000779AC" w:rsidP="008B7306">
            <w:pPr>
              <w:pStyle w:val="Textpoznpodarou"/>
              <w:jc w:val="both"/>
              <w:rPr>
                <w:spacing w:val="-2"/>
                <w:sz w:val="18"/>
                <w:szCs w:val="18"/>
              </w:rPr>
            </w:pPr>
            <w:r w:rsidRPr="007E0F4B">
              <w:rPr>
                <w:spacing w:val="-2"/>
              </w:rPr>
              <w:t>V samotném 4. čtvrtletí</w:t>
            </w:r>
            <w:r>
              <w:rPr>
                <w:spacing w:val="-2"/>
              </w:rPr>
              <w:t xml:space="preserve"> 2014 se</w:t>
            </w:r>
            <w:r w:rsidRPr="006572ED">
              <w:rPr>
                <w:spacing w:val="-2"/>
              </w:rPr>
              <w:t xml:space="preserve"> HDP</w:t>
            </w:r>
            <w:r>
              <w:rPr>
                <w:spacing w:val="-2"/>
              </w:rPr>
              <w:t xml:space="preserve"> v ČR zvýšil o 1,5 % meziročně. Přestože tempo růstu bylo nepříznivě ovlivněno vysokou srovnávací základnou předchozího roku (související s již zmíněným nerovnoměrným výběrem spotřebních daní), posílil tuzemský HDP více než v úhrnu za celou ekonomiku EU (+1,3 %) a výrazně více než v zemích platících eurem (+0,9 %). V porovnání s oběma hospodářskými prostory rostla česká ekonomika rychleji už pět čtvrtletí v řadě.</w:t>
            </w:r>
          </w:p>
          <w:p w:rsidR="000779AC" w:rsidRPr="008F7D28" w:rsidRDefault="000779AC" w:rsidP="008B7306">
            <w:pPr>
              <w:pStyle w:val="Textpoznpodarou"/>
              <w:jc w:val="both"/>
              <w:rPr>
                <w:spacing w:val="-2"/>
                <w:sz w:val="14"/>
                <w:szCs w:val="14"/>
              </w:rPr>
            </w:pPr>
          </w:p>
        </w:tc>
      </w:tr>
      <w:tr w:rsidR="000779AC" w:rsidRPr="00B924CA" w:rsidTr="008F7D28">
        <w:tc>
          <w:tcPr>
            <w:tcW w:w="1054" w:type="pct"/>
          </w:tcPr>
          <w:p w:rsidR="000779AC" w:rsidRPr="00DB4FB8" w:rsidRDefault="000779AC" w:rsidP="00A727BA">
            <w:pPr>
              <w:spacing w:line="240" w:lineRule="auto"/>
              <w:rPr>
                <w:sz w:val="16"/>
                <w:szCs w:val="16"/>
              </w:rPr>
            </w:pPr>
            <w:r>
              <w:rPr>
                <w:sz w:val="16"/>
                <w:szCs w:val="16"/>
              </w:rPr>
              <w:t>Ekonomický vývoj čtyř největších unijních ekonomik byl v závěru roku 2014 značně diferencovaný</w:t>
            </w:r>
          </w:p>
        </w:tc>
        <w:tc>
          <w:tcPr>
            <w:tcW w:w="143" w:type="pct"/>
          </w:tcPr>
          <w:p w:rsidR="000779AC" w:rsidRPr="00DB4FB8" w:rsidRDefault="000779AC" w:rsidP="008B7306">
            <w:pPr>
              <w:pStyle w:val="Textpoznpodarou"/>
              <w:jc w:val="both"/>
            </w:pPr>
          </w:p>
        </w:tc>
        <w:tc>
          <w:tcPr>
            <w:tcW w:w="3803" w:type="pct"/>
          </w:tcPr>
          <w:p w:rsidR="00FF3DF3" w:rsidRPr="00FF3DF3" w:rsidRDefault="000779AC" w:rsidP="008F7D28">
            <w:pPr>
              <w:pStyle w:val="Textpoznpodarou"/>
              <w:jc w:val="both"/>
              <w:rPr>
                <w:sz w:val="16"/>
                <w:szCs w:val="16"/>
              </w:rPr>
            </w:pPr>
            <w:r>
              <w:t xml:space="preserve">Ze čtyř největších ekonomik EU vzrostlo ve 4. čtvrtletí 2014 </w:t>
            </w:r>
            <w:proofErr w:type="spellStart"/>
            <w:r>
              <w:t>mezikvartálně</w:t>
            </w:r>
            <w:proofErr w:type="spellEnd"/>
            <w:r>
              <w:t xml:space="preserve"> více než ČR jen Německo, které si po faktické stagnaci z předchozích dvou čtvrtletí při</w:t>
            </w:r>
            <w:r w:rsidR="00C23D22">
              <w:t>psalo dle dostupných údajů pátý</w:t>
            </w:r>
            <w:r>
              <w:t xml:space="preserve"> nejvyšší přírůstek HDP ze všech zemí EU (+0,7 %), a také Velká Británie (+0,5 %). Růst HDP ve Francii zpomalil z  +0,3 % ve 3. čtvrtletí 2014 na pouhá +0,1 % v posledním kvartále, Itálie – která se v prvních třech čtvrtletích roku 2014 potýkala s recesí – jen stagnovala.</w:t>
            </w:r>
          </w:p>
        </w:tc>
      </w:tr>
      <w:tr w:rsidR="000779AC" w:rsidRPr="00DB4FB8" w:rsidTr="008F7D28">
        <w:tc>
          <w:tcPr>
            <w:tcW w:w="1054" w:type="pct"/>
          </w:tcPr>
          <w:p w:rsidR="000779AC" w:rsidRPr="00DB4FB8" w:rsidRDefault="000779AC" w:rsidP="00A727BA">
            <w:pPr>
              <w:spacing w:line="240" w:lineRule="auto"/>
              <w:rPr>
                <w:sz w:val="16"/>
                <w:szCs w:val="16"/>
              </w:rPr>
            </w:pPr>
            <w:r>
              <w:rPr>
                <w:sz w:val="16"/>
                <w:szCs w:val="16"/>
              </w:rPr>
              <w:lastRenderedPageBreak/>
              <w:t>Zlepšující se situace na trhu práce v roce 2014 se přenesla do vyšších příjmů domácností a v logice věci i do vyšších spotřebních vydání, …</w:t>
            </w:r>
          </w:p>
        </w:tc>
        <w:tc>
          <w:tcPr>
            <w:tcW w:w="143" w:type="pct"/>
          </w:tcPr>
          <w:p w:rsidR="000779AC" w:rsidRPr="00DB4FB8" w:rsidRDefault="000779AC" w:rsidP="008B7306">
            <w:pPr>
              <w:pStyle w:val="Textpoznpodarou"/>
              <w:jc w:val="both"/>
            </w:pPr>
          </w:p>
        </w:tc>
        <w:tc>
          <w:tcPr>
            <w:tcW w:w="3803" w:type="pct"/>
          </w:tcPr>
          <w:p w:rsidR="000779AC" w:rsidRPr="000E4A42" w:rsidRDefault="000779AC" w:rsidP="008B7306">
            <w:pPr>
              <w:pStyle w:val="Textpoznpodarou"/>
              <w:jc w:val="both"/>
            </w:pPr>
            <w:r w:rsidRPr="000E4A42">
              <w:t xml:space="preserve">Po </w:t>
            </w:r>
            <w:r>
              <w:t>třech</w:t>
            </w:r>
            <w:r w:rsidRPr="000E4A42">
              <w:t xml:space="preserve"> letech </w:t>
            </w:r>
            <w:r>
              <w:t>2011,</w:t>
            </w:r>
            <w:r w:rsidRPr="000E4A42">
              <w:t xml:space="preserve"> 2012 a 2013, které tvrdě dopadly do celkových příjmů českých domácností, se jejich příjmová situace v roce 2014</w:t>
            </w:r>
            <w:r w:rsidR="00FF3DF3">
              <w:t xml:space="preserve"> (podle dosud známých údajů)</w:t>
            </w:r>
            <w:r>
              <w:t xml:space="preserve"> již </w:t>
            </w:r>
            <w:r w:rsidRPr="000E4A42">
              <w:t xml:space="preserve">zlepšila. Pokračující </w:t>
            </w:r>
            <w:r>
              <w:t>přibývání počtu</w:t>
            </w:r>
            <w:r w:rsidRPr="000E4A42">
              <w:t xml:space="preserve"> zaměstnanců, opětovné prodlužování skutečně odpracované doby, růst</w:t>
            </w:r>
            <w:r>
              <w:t xml:space="preserve"> reálných</w:t>
            </w:r>
            <w:r w:rsidRPr="000E4A42">
              <w:t xml:space="preserve"> mezd v podnikatelské i </w:t>
            </w:r>
            <w:proofErr w:type="spellStart"/>
            <w:r w:rsidRPr="000E4A42">
              <w:t>nepodnikatelské</w:t>
            </w:r>
            <w:proofErr w:type="spellEnd"/>
            <w:r w:rsidRPr="000E4A42">
              <w:t xml:space="preserve"> sféře, </w:t>
            </w:r>
            <w:r>
              <w:t>ale i například nárůst</w:t>
            </w:r>
            <w:r w:rsidRPr="000E4A42">
              <w:t xml:space="preserve"> počtu </w:t>
            </w:r>
            <w:proofErr w:type="spellStart"/>
            <w:r>
              <w:t>sebezaměstnaných</w:t>
            </w:r>
            <w:proofErr w:type="spellEnd"/>
            <w:r>
              <w:t xml:space="preserve"> osob (zejména živnostníci)</w:t>
            </w:r>
            <w:r w:rsidRPr="000E4A42">
              <w:t xml:space="preserve"> – to je</w:t>
            </w:r>
            <w:r>
              <w:t> </w:t>
            </w:r>
            <w:r w:rsidRPr="000E4A42">
              <w:t xml:space="preserve">jen stručný nástin </w:t>
            </w:r>
            <w:r>
              <w:t>změn na trhu práce</w:t>
            </w:r>
            <w:r w:rsidRPr="000E4A42">
              <w:t>, které měly na příjmy domácností</w:t>
            </w:r>
            <w:r>
              <w:t xml:space="preserve"> v roce 2014</w:t>
            </w:r>
            <w:r w:rsidRPr="000E4A42">
              <w:t xml:space="preserve"> pozitivní vliv, a</w:t>
            </w:r>
            <w:r>
              <w:t> </w:t>
            </w:r>
            <w:r w:rsidRPr="000E4A42">
              <w:t>v logice věci se tak přenesly i do vyšších spotřebních vydání. Jestliže v</w:t>
            </w:r>
            <w:r>
              <w:t xml:space="preserve"> úhrnu za roky 2011-2013 výdaje na konečnou spotřebu domácností klesly o 1,2 %, </w:t>
            </w:r>
            <w:r w:rsidRPr="000E4A42">
              <w:t>v roce obnoveného růstu české ekonomiky 2014 posílily o 1,7 %. Zvýšily se nejvíce za posledních šest let.</w:t>
            </w:r>
          </w:p>
          <w:p w:rsidR="000779AC" w:rsidRPr="008F7D28" w:rsidRDefault="000779AC" w:rsidP="008B7306">
            <w:pPr>
              <w:pStyle w:val="Textpoznpodarou"/>
              <w:jc w:val="both"/>
              <w:rPr>
                <w:sz w:val="18"/>
                <w:szCs w:val="18"/>
              </w:rPr>
            </w:pPr>
          </w:p>
        </w:tc>
      </w:tr>
      <w:tr w:rsidR="000779AC" w:rsidRPr="00DB4FB8" w:rsidTr="008F7D28">
        <w:tc>
          <w:tcPr>
            <w:tcW w:w="1054" w:type="pct"/>
          </w:tcPr>
          <w:p w:rsidR="000779AC" w:rsidRPr="00DB4FB8" w:rsidRDefault="000779AC" w:rsidP="00A727BA">
            <w:pPr>
              <w:spacing w:line="240" w:lineRule="auto"/>
              <w:rPr>
                <w:sz w:val="16"/>
                <w:szCs w:val="16"/>
              </w:rPr>
            </w:pPr>
            <w:r>
              <w:rPr>
                <w:sz w:val="16"/>
                <w:szCs w:val="16"/>
              </w:rPr>
              <w:t xml:space="preserve">… v samotném 4. čtvrtletí 2014 výdaje na konečnou spotřebu domácností narostly o 1,2 % </w:t>
            </w:r>
            <w:proofErr w:type="spellStart"/>
            <w:r>
              <w:rPr>
                <w:sz w:val="16"/>
                <w:szCs w:val="16"/>
              </w:rPr>
              <w:t>mezikvartálně</w:t>
            </w:r>
            <w:proofErr w:type="spellEnd"/>
            <w:r>
              <w:rPr>
                <w:sz w:val="16"/>
                <w:szCs w:val="16"/>
              </w:rPr>
              <w:t>, nejvíce od 1. čtvrtletí 2010</w:t>
            </w:r>
          </w:p>
        </w:tc>
        <w:tc>
          <w:tcPr>
            <w:tcW w:w="143" w:type="pct"/>
          </w:tcPr>
          <w:p w:rsidR="000779AC" w:rsidRPr="00DB4FB8" w:rsidRDefault="000779AC" w:rsidP="008B7306">
            <w:pPr>
              <w:pStyle w:val="Textpoznpodarou"/>
              <w:jc w:val="both"/>
            </w:pPr>
          </w:p>
        </w:tc>
        <w:tc>
          <w:tcPr>
            <w:tcW w:w="3803" w:type="pct"/>
          </w:tcPr>
          <w:p w:rsidR="000779AC" w:rsidRPr="000500DC" w:rsidRDefault="000779AC" w:rsidP="008B7306">
            <w:pPr>
              <w:pStyle w:val="Textpoznpodarou"/>
              <w:jc w:val="both"/>
              <w:rPr>
                <w:spacing w:val="-2"/>
              </w:rPr>
            </w:pPr>
            <w:r w:rsidRPr="000500DC">
              <w:rPr>
                <w:spacing w:val="-2"/>
              </w:rPr>
              <w:t xml:space="preserve">V samotném 4. čtvrtletí narostla spotřeba domácností o 1,2 % </w:t>
            </w:r>
            <w:proofErr w:type="spellStart"/>
            <w:r w:rsidRPr="000500DC">
              <w:rPr>
                <w:spacing w:val="-2"/>
              </w:rPr>
              <w:t>mezikvartálně</w:t>
            </w:r>
            <w:proofErr w:type="spellEnd"/>
            <w:r w:rsidRPr="000500DC">
              <w:rPr>
                <w:spacing w:val="-2"/>
              </w:rPr>
              <w:t xml:space="preserve">, více než odpovídalo průměru za jednotlivá čtvrtletí 2014 a nejvíce od počátku roku 2010. Ve vydáních domácností se zřejmě pozitivně projevilo nejen avizované zvýšení platů státních zaměstnanců platné od počátku listopadu 2014, ale pozitivní očekávání domácností o dalším vývoji v ekonomice vůbec. Dokládaly to i výsledky konjunkturálních průzkumů ze závěru roku. V posledních třech měsících roku 2014 byla důvěra spotřebitelů v ekonomiku už </w:t>
            </w:r>
            <w:r>
              <w:rPr>
                <w:spacing w:val="-2"/>
              </w:rPr>
              <w:t>tak vysoko</w:t>
            </w:r>
            <w:r w:rsidRPr="000500DC">
              <w:rPr>
                <w:spacing w:val="-2"/>
              </w:rPr>
              <w:t xml:space="preserve">, že </w:t>
            </w:r>
            <w:r>
              <w:rPr>
                <w:spacing w:val="-2"/>
              </w:rPr>
              <w:t>„atakovala“</w:t>
            </w:r>
            <w:r w:rsidRPr="000500DC">
              <w:rPr>
                <w:spacing w:val="-2"/>
              </w:rPr>
              <w:t> </w:t>
            </w:r>
            <w:r>
              <w:rPr>
                <w:spacing w:val="-2"/>
              </w:rPr>
              <w:t xml:space="preserve"> </w:t>
            </w:r>
            <w:r w:rsidRPr="000500DC">
              <w:rPr>
                <w:spacing w:val="-2"/>
              </w:rPr>
              <w:t>historicky nejvyšší úroveň</w:t>
            </w:r>
            <w:r>
              <w:rPr>
                <w:spacing w:val="-2"/>
              </w:rPr>
              <w:t xml:space="preserve"> důvěry</w:t>
            </w:r>
            <w:r w:rsidRPr="000500DC">
              <w:rPr>
                <w:spacing w:val="-2"/>
              </w:rPr>
              <w:t xml:space="preserve"> z přelomu konjunkturních let 2006 a 2007.</w:t>
            </w:r>
          </w:p>
          <w:p w:rsidR="000779AC" w:rsidRPr="008F7D28" w:rsidRDefault="000779AC" w:rsidP="008B7306">
            <w:pPr>
              <w:pStyle w:val="Textpoznpodarou"/>
              <w:jc w:val="both"/>
              <w:rPr>
                <w:sz w:val="18"/>
                <w:szCs w:val="18"/>
              </w:rPr>
            </w:pPr>
          </w:p>
        </w:tc>
      </w:tr>
      <w:tr w:rsidR="000779AC" w:rsidRPr="00DB4FB8" w:rsidTr="008F7D28">
        <w:tc>
          <w:tcPr>
            <w:tcW w:w="1054" w:type="pct"/>
          </w:tcPr>
          <w:p w:rsidR="000779AC" w:rsidRPr="00DB4FB8" w:rsidRDefault="000779AC" w:rsidP="00A727BA">
            <w:pPr>
              <w:spacing w:line="240" w:lineRule="auto"/>
              <w:rPr>
                <w:sz w:val="16"/>
                <w:szCs w:val="16"/>
              </w:rPr>
            </w:pPr>
            <w:r>
              <w:rPr>
                <w:sz w:val="16"/>
                <w:szCs w:val="16"/>
              </w:rPr>
              <w:t>Uvolněná fiskální politika stimulovala skrze růst spotřeby vládních institucí domácí poptávku i v roce 2014</w:t>
            </w:r>
          </w:p>
        </w:tc>
        <w:tc>
          <w:tcPr>
            <w:tcW w:w="143" w:type="pct"/>
          </w:tcPr>
          <w:p w:rsidR="000779AC" w:rsidRPr="00DB4FB8" w:rsidRDefault="000779AC" w:rsidP="008B7306">
            <w:pPr>
              <w:pStyle w:val="Textpoznpodarou"/>
              <w:jc w:val="both"/>
            </w:pPr>
          </w:p>
        </w:tc>
        <w:tc>
          <w:tcPr>
            <w:tcW w:w="3803" w:type="pct"/>
          </w:tcPr>
          <w:p w:rsidR="000779AC" w:rsidRDefault="000779AC" w:rsidP="008B7306">
            <w:pPr>
              <w:pStyle w:val="Textpoznpodarou"/>
              <w:jc w:val="both"/>
            </w:pPr>
            <w:r>
              <w:t xml:space="preserve">Přestože dynamika výdajů na konečnou spotřebu vládních institucí byla v průběhu roku 2014 značně nevyrovnaná (s pozitivními </w:t>
            </w:r>
            <w:proofErr w:type="spellStart"/>
            <w:r>
              <w:t>mezičtvrtletními</w:t>
            </w:r>
            <w:proofErr w:type="spellEnd"/>
            <w:r>
              <w:t xml:space="preserve"> přírůstky ve 2. a 4. čtvrtletí a zápornými v 1. a 3. kvartále), převládly růstové tendence. V úhrnu za celý rok 2014 spotřeba vládních institucí posílila o 1,6 %, uvolněná fiskální politika stimulovala domácí poptávku už druhým rokem.</w:t>
            </w:r>
          </w:p>
          <w:p w:rsidR="000779AC" w:rsidRPr="008F7D28" w:rsidRDefault="000779AC" w:rsidP="008B7306">
            <w:pPr>
              <w:pStyle w:val="Textpoznpodarou"/>
              <w:jc w:val="both"/>
              <w:rPr>
                <w:sz w:val="18"/>
                <w:szCs w:val="18"/>
              </w:rPr>
            </w:pPr>
          </w:p>
        </w:tc>
      </w:tr>
      <w:tr w:rsidR="000779AC" w:rsidRPr="00DB4FB8" w:rsidTr="008F7D28">
        <w:tc>
          <w:tcPr>
            <w:tcW w:w="1054" w:type="pct"/>
          </w:tcPr>
          <w:p w:rsidR="000779AC" w:rsidRPr="00DB4FB8" w:rsidRDefault="000779AC" w:rsidP="00A727BA">
            <w:pPr>
              <w:spacing w:line="240" w:lineRule="auto"/>
              <w:rPr>
                <w:sz w:val="16"/>
                <w:szCs w:val="16"/>
              </w:rPr>
            </w:pPr>
            <w:r>
              <w:rPr>
                <w:sz w:val="16"/>
                <w:szCs w:val="16"/>
              </w:rPr>
              <w:t>Investice se v </w:t>
            </w:r>
            <w:proofErr w:type="spellStart"/>
            <w:r>
              <w:rPr>
                <w:sz w:val="16"/>
                <w:szCs w:val="16"/>
              </w:rPr>
              <w:t>mezikvartálním</w:t>
            </w:r>
            <w:proofErr w:type="spellEnd"/>
            <w:r>
              <w:rPr>
                <w:sz w:val="16"/>
                <w:szCs w:val="16"/>
              </w:rPr>
              <w:t xml:space="preserve"> srovnání zvyšují už šest čtvrtletí v řadě, …</w:t>
            </w:r>
          </w:p>
        </w:tc>
        <w:tc>
          <w:tcPr>
            <w:tcW w:w="143" w:type="pct"/>
          </w:tcPr>
          <w:p w:rsidR="000779AC" w:rsidRPr="00DB4FB8" w:rsidRDefault="000779AC" w:rsidP="008B7306">
            <w:pPr>
              <w:pStyle w:val="Textpoznpodarou"/>
              <w:jc w:val="both"/>
            </w:pPr>
          </w:p>
        </w:tc>
        <w:tc>
          <w:tcPr>
            <w:tcW w:w="3803" w:type="pct"/>
          </w:tcPr>
          <w:p w:rsidR="000779AC" w:rsidRPr="009A5C68" w:rsidRDefault="000779AC" w:rsidP="008B7306">
            <w:pPr>
              <w:pStyle w:val="Textpoznpodarou"/>
              <w:jc w:val="both"/>
              <w:rPr>
                <w:spacing w:val="-6"/>
              </w:rPr>
            </w:pPr>
            <w:r w:rsidRPr="009A5C68">
              <w:rPr>
                <w:spacing w:val="-6"/>
              </w:rPr>
              <w:t>Růst české ekonomiky v roce 2014 byl z velké části postaven na vyšší poptávce po investicích. Přestože v porovnání s rokem 2008 – kdy se v </w:t>
            </w:r>
            <w:r w:rsidR="00FF3DF3">
              <w:rPr>
                <w:spacing w:val="-6"/>
              </w:rPr>
              <w:t>ČR</w:t>
            </w:r>
            <w:r w:rsidRPr="009A5C68">
              <w:rPr>
                <w:spacing w:val="-6"/>
              </w:rPr>
              <w:t xml:space="preserve"> proinvestovalo historicky nejvyšších 1 168 mld. korun (v cenách roku 2010) – byly investice stále výrazně nižší (-10,4 %), proti roku 2013 se investiční aktivita v tuzemsku evidentně zlepšila (+4,7 %). Velmi pozitivně lze hodnotit i skutečnost, že k nárůstu investic v ČR nedošlo nárazově, ale že se zvyšují kontinuálně. Již š</w:t>
            </w:r>
            <w:r>
              <w:rPr>
                <w:spacing w:val="-6"/>
              </w:rPr>
              <w:t xml:space="preserve">est čtvrtletí trvající </w:t>
            </w:r>
            <w:proofErr w:type="spellStart"/>
            <w:r>
              <w:rPr>
                <w:spacing w:val="-6"/>
              </w:rPr>
              <w:t>mezikvar</w:t>
            </w:r>
            <w:r w:rsidRPr="009A5C68">
              <w:rPr>
                <w:spacing w:val="-6"/>
              </w:rPr>
              <w:t>tální</w:t>
            </w:r>
            <w:proofErr w:type="spellEnd"/>
            <w:r w:rsidRPr="009A5C68">
              <w:rPr>
                <w:spacing w:val="-6"/>
              </w:rPr>
              <w:t xml:space="preserve"> růst naznačuje, že investiční nálady v </w:t>
            </w:r>
            <w:r w:rsidR="00FF3DF3">
              <w:rPr>
                <w:spacing w:val="-6"/>
              </w:rPr>
              <w:t>ČR</w:t>
            </w:r>
            <w:r w:rsidRPr="009A5C68">
              <w:rPr>
                <w:spacing w:val="-6"/>
              </w:rPr>
              <w:t xml:space="preserve"> jsou nejen pozitivní, ale také stabilní.</w:t>
            </w:r>
          </w:p>
          <w:p w:rsidR="000779AC" w:rsidRPr="008F7D28" w:rsidRDefault="000779AC" w:rsidP="008B7306">
            <w:pPr>
              <w:pStyle w:val="Textpoznpodarou"/>
              <w:jc w:val="both"/>
              <w:rPr>
                <w:spacing w:val="-2"/>
                <w:sz w:val="18"/>
                <w:szCs w:val="18"/>
              </w:rPr>
            </w:pPr>
          </w:p>
        </w:tc>
      </w:tr>
      <w:tr w:rsidR="000779AC" w:rsidRPr="00DB4FB8" w:rsidTr="008F7D28">
        <w:tc>
          <w:tcPr>
            <w:tcW w:w="1054" w:type="pct"/>
          </w:tcPr>
          <w:p w:rsidR="000779AC" w:rsidRPr="009102BD" w:rsidRDefault="000779AC" w:rsidP="00A727BA">
            <w:pPr>
              <w:spacing w:line="240" w:lineRule="auto"/>
              <w:rPr>
                <w:sz w:val="16"/>
                <w:szCs w:val="16"/>
              </w:rPr>
            </w:pPr>
            <w:r>
              <w:rPr>
                <w:sz w:val="16"/>
                <w:szCs w:val="16"/>
              </w:rPr>
              <w:t>… více než v roce 2013 se investovalo zejména do ICT, strojů a zařízení</w:t>
            </w:r>
            <w:r>
              <w:rPr>
                <w:sz w:val="16"/>
                <w:szCs w:val="16"/>
                <w:lang w:val="en-US"/>
              </w:rPr>
              <w:t xml:space="preserve">; </w:t>
            </w:r>
            <w:r>
              <w:rPr>
                <w:sz w:val="16"/>
                <w:szCs w:val="16"/>
              </w:rPr>
              <w:t>budov a staveb</w:t>
            </w:r>
            <w:r>
              <w:rPr>
                <w:sz w:val="16"/>
                <w:szCs w:val="16"/>
                <w:lang w:val="en-US"/>
              </w:rPr>
              <w:t xml:space="preserve">; </w:t>
            </w:r>
            <w:r>
              <w:rPr>
                <w:sz w:val="16"/>
                <w:szCs w:val="16"/>
              </w:rPr>
              <w:t>ale také do staveb pro bydlení</w:t>
            </w:r>
          </w:p>
        </w:tc>
        <w:tc>
          <w:tcPr>
            <w:tcW w:w="143" w:type="pct"/>
          </w:tcPr>
          <w:p w:rsidR="000779AC" w:rsidRPr="00DB4FB8" w:rsidRDefault="000779AC" w:rsidP="008B7306">
            <w:pPr>
              <w:pStyle w:val="Textpoznpodarou"/>
              <w:jc w:val="both"/>
            </w:pPr>
          </w:p>
        </w:tc>
        <w:tc>
          <w:tcPr>
            <w:tcW w:w="3803" w:type="pct"/>
          </w:tcPr>
          <w:p w:rsidR="000779AC" w:rsidRPr="00E539E4" w:rsidRDefault="000779AC" w:rsidP="008B7306">
            <w:pPr>
              <w:pStyle w:val="Textpoznpodarou"/>
              <w:jc w:val="both"/>
              <w:rPr>
                <w:spacing w:val="-4"/>
              </w:rPr>
            </w:pPr>
            <w:r w:rsidRPr="00E539E4">
              <w:rPr>
                <w:spacing w:val="-4"/>
              </w:rPr>
              <w:t>Jak vyplývá z věcného členění tvorby hrubého fixního kapitálu bez sezónního očištění, nejvýrazněji se v roce 2014 zvýšily investice do ICT, strojů a zařízení (+7,4 %), příliš ale nezaostávaly – co se týče vykázané dynamiky – ani investice do budov a staveb (+6,4 %). Zatímco vyšší nákupy ICT, strojů a zařízení měly opodstatnění zejména v rozšiřování výrobních kapacit zpracovatelských podniků, růst investic do budov a staveb lze přisuzovat i obnovené výstavbě velkých infrastrukturních staveb financovaných z veřejných peněz. Nákupy dopravních prostředků a zařízení – které se rozmohly v roce 2013 – již dále neposilovaly (-2,8 %), investice do staveb pro bydlení (domy a byty), do nichž své prostředky ukládají zejména domácnosti, naproti tomu narostly</w:t>
            </w:r>
            <w:r>
              <w:rPr>
                <w:spacing w:val="-4"/>
              </w:rPr>
              <w:t xml:space="preserve"> (+1,1 %)</w:t>
            </w:r>
            <w:r w:rsidRPr="00E539E4">
              <w:rPr>
                <w:spacing w:val="-4"/>
              </w:rPr>
              <w:t xml:space="preserve"> poprvé od roku 2010. Zrcadlily se</w:t>
            </w:r>
            <w:r>
              <w:rPr>
                <w:spacing w:val="-4"/>
              </w:rPr>
              <w:t> </w:t>
            </w:r>
            <w:r w:rsidRPr="00E539E4">
              <w:rPr>
                <w:spacing w:val="-4"/>
              </w:rPr>
              <w:t>v nich vyšší příjmy domácností, snaha vytvořit si do budoucna finanční rezervy, ale</w:t>
            </w:r>
            <w:r>
              <w:rPr>
                <w:spacing w:val="-4"/>
              </w:rPr>
              <w:t> </w:t>
            </w:r>
            <w:r w:rsidRPr="00E539E4">
              <w:rPr>
                <w:spacing w:val="-4"/>
              </w:rPr>
              <w:t>také velmi nízké úrokové sazby z úvěrů na bydlení.</w:t>
            </w:r>
          </w:p>
          <w:p w:rsidR="000779AC" w:rsidRPr="008F7D28" w:rsidRDefault="000779AC" w:rsidP="008B7306">
            <w:pPr>
              <w:pStyle w:val="Textpoznpodarou"/>
              <w:jc w:val="both"/>
              <w:rPr>
                <w:spacing w:val="-4"/>
                <w:sz w:val="18"/>
                <w:szCs w:val="18"/>
              </w:rPr>
            </w:pPr>
          </w:p>
        </w:tc>
      </w:tr>
      <w:tr w:rsidR="000779AC" w:rsidRPr="00DB4FB8" w:rsidTr="008F7D28">
        <w:tc>
          <w:tcPr>
            <w:tcW w:w="1054" w:type="pct"/>
          </w:tcPr>
          <w:p w:rsidR="000779AC" w:rsidRPr="00DB4FB8" w:rsidRDefault="000779AC" w:rsidP="00A727BA">
            <w:pPr>
              <w:spacing w:line="240" w:lineRule="auto"/>
              <w:rPr>
                <w:sz w:val="16"/>
                <w:szCs w:val="16"/>
              </w:rPr>
            </w:pPr>
            <w:r>
              <w:rPr>
                <w:sz w:val="16"/>
                <w:szCs w:val="16"/>
              </w:rPr>
              <w:t>Výrazný pokles hodnoty zásob na skladech v 1. a 4. čtvrtletí 2014 se promítnul i do výsledku za celý rok</w:t>
            </w:r>
          </w:p>
        </w:tc>
        <w:tc>
          <w:tcPr>
            <w:tcW w:w="143" w:type="pct"/>
          </w:tcPr>
          <w:p w:rsidR="000779AC" w:rsidRPr="00DB4FB8" w:rsidRDefault="000779AC" w:rsidP="008B7306">
            <w:pPr>
              <w:pStyle w:val="Textpoznpodarou"/>
              <w:jc w:val="both"/>
            </w:pPr>
          </w:p>
        </w:tc>
        <w:tc>
          <w:tcPr>
            <w:tcW w:w="3803" w:type="pct"/>
          </w:tcPr>
          <w:p w:rsidR="000779AC" w:rsidRDefault="00FF3DF3" w:rsidP="008B7306">
            <w:pPr>
              <w:pStyle w:val="Textpoznpodarou"/>
              <w:jc w:val="both"/>
            </w:pPr>
            <w:r>
              <w:t>Hodnota zásob</w:t>
            </w:r>
            <w:r w:rsidR="000779AC" w:rsidRPr="00410BCD">
              <w:t xml:space="preserve"> na skladech se v úhrnu za celý rok 2014 snížila, vlivem značného vysklad</w:t>
            </w:r>
            <w:r w:rsidR="000779AC">
              <w:t>ňování na po</w:t>
            </w:r>
            <w:r w:rsidR="000779AC" w:rsidRPr="00410BCD">
              <w:t>čátku a konci roku, o 9,3 mld. korun (</w:t>
            </w:r>
            <w:r w:rsidR="000779AC">
              <w:t xml:space="preserve">nominálně, </w:t>
            </w:r>
            <w:r w:rsidR="000779AC" w:rsidRPr="00410BCD">
              <w:t>bez sezónního očištění). Zatímco v 1. čtvrtletí 2014 byly postupně rozpouštěny zásoby tabákových výrobků naskladněných</w:t>
            </w:r>
            <w:r w:rsidR="000779AC">
              <w:t xml:space="preserve"> v rámci daňové optimalizace</w:t>
            </w:r>
            <w:r w:rsidR="000779AC" w:rsidRPr="00410BCD">
              <w:t xml:space="preserve"> ve</w:t>
            </w:r>
            <w:r w:rsidR="000779AC">
              <w:t> </w:t>
            </w:r>
            <w:r w:rsidR="000779AC" w:rsidRPr="00410BCD">
              <w:t xml:space="preserve">čtvrtletí předchozím, ve 4. </w:t>
            </w:r>
            <w:r w:rsidR="000779AC">
              <w:t xml:space="preserve">kvartále </w:t>
            </w:r>
            <w:r w:rsidR="000779AC" w:rsidRPr="00410BCD">
              <w:t xml:space="preserve">2014 </w:t>
            </w:r>
            <w:r w:rsidR="000779AC">
              <w:t>docházelo v důsledku dále posilující poptávky k redukci zásob zboží a nedokončených výrobků.</w:t>
            </w:r>
          </w:p>
          <w:p w:rsidR="000779AC" w:rsidRPr="008F7D28" w:rsidRDefault="000779AC" w:rsidP="008B7306">
            <w:pPr>
              <w:pStyle w:val="Textpoznpodarou"/>
              <w:jc w:val="both"/>
              <w:rPr>
                <w:sz w:val="18"/>
                <w:szCs w:val="18"/>
              </w:rPr>
            </w:pPr>
          </w:p>
        </w:tc>
      </w:tr>
      <w:tr w:rsidR="000779AC" w:rsidRPr="00DB4FB8" w:rsidTr="008F7D28">
        <w:tc>
          <w:tcPr>
            <w:tcW w:w="1054" w:type="pct"/>
          </w:tcPr>
          <w:p w:rsidR="000779AC" w:rsidRPr="00FF3DF3" w:rsidRDefault="000779AC" w:rsidP="00A727BA">
            <w:pPr>
              <w:spacing w:line="240" w:lineRule="auto"/>
              <w:rPr>
                <w:spacing w:val="-6"/>
                <w:sz w:val="16"/>
                <w:szCs w:val="16"/>
              </w:rPr>
            </w:pPr>
            <w:r w:rsidRPr="00FF3DF3">
              <w:rPr>
                <w:spacing w:val="-6"/>
                <w:sz w:val="16"/>
                <w:szCs w:val="16"/>
              </w:rPr>
              <w:t xml:space="preserve">Přebytek zahraničního obchodu ve stálých cenách se v roce 2014 vlivem silného růstu domácí poptávky zmenšil, … </w:t>
            </w:r>
          </w:p>
        </w:tc>
        <w:tc>
          <w:tcPr>
            <w:tcW w:w="143" w:type="pct"/>
          </w:tcPr>
          <w:p w:rsidR="000779AC" w:rsidRPr="00ED336F" w:rsidRDefault="000779AC" w:rsidP="008B7306">
            <w:pPr>
              <w:pStyle w:val="Textpoznpodarou"/>
              <w:jc w:val="both"/>
            </w:pPr>
          </w:p>
        </w:tc>
        <w:tc>
          <w:tcPr>
            <w:tcW w:w="3803" w:type="pct"/>
          </w:tcPr>
          <w:p w:rsidR="00301D04" w:rsidRDefault="000779AC" w:rsidP="00301D04">
            <w:pPr>
              <w:pStyle w:val="Textpoznpodarou"/>
              <w:jc w:val="both"/>
            </w:pPr>
            <w:r>
              <w:t>Obnovený hospodářský růst v </w:t>
            </w:r>
            <w:proofErr w:type="spellStart"/>
            <w:r>
              <w:t>eurozóně</w:t>
            </w:r>
            <w:proofErr w:type="spellEnd"/>
            <w:r>
              <w:t xml:space="preserve"> společně se slabší korunou, která zvyšovala konkurenceschopnost domácích exportérů na světových trzích, měl velmi pozitivní vliv na objem vývozu zboží a služeb z ČR do zahraničí. Narostl o 8,8 %, výrazně více než v „chudém“ roce 2013 (+0,3 %), na přírůstek objemu dovozu – jenž byl dynamizován sílou domácí poptávky – to ale nestačilo (+9,6 %).</w:t>
            </w:r>
          </w:p>
          <w:p w:rsidR="00EA06CB" w:rsidRPr="008F7D28" w:rsidRDefault="00EA06CB" w:rsidP="00301D04">
            <w:pPr>
              <w:pStyle w:val="Textpoznpodarou"/>
              <w:jc w:val="both"/>
              <w:rPr>
                <w:sz w:val="18"/>
                <w:szCs w:val="18"/>
              </w:rPr>
            </w:pPr>
          </w:p>
        </w:tc>
      </w:tr>
      <w:tr w:rsidR="000779AC" w:rsidRPr="00DB4FB8" w:rsidTr="008F7D28">
        <w:tc>
          <w:tcPr>
            <w:tcW w:w="1054" w:type="pct"/>
          </w:tcPr>
          <w:p w:rsidR="000779AC" w:rsidRPr="00DB4FB8" w:rsidRDefault="000779AC" w:rsidP="00A727BA">
            <w:pPr>
              <w:spacing w:line="240" w:lineRule="auto"/>
              <w:rPr>
                <w:sz w:val="16"/>
                <w:szCs w:val="16"/>
              </w:rPr>
            </w:pPr>
            <w:r>
              <w:rPr>
                <w:sz w:val="16"/>
                <w:szCs w:val="16"/>
              </w:rPr>
              <w:t xml:space="preserve">… avšak v běžných cenách – díky příznivému vývoji cen v obchodě se </w:t>
            </w:r>
            <w:r>
              <w:rPr>
                <w:sz w:val="16"/>
                <w:szCs w:val="16"/>
              </w:rPr>
              <w:lastRenderedPageBreak/>
              <w:t>zbožím – narostl na historické maximum</w:t>
            </w:r>
          </w:p>
        </w:tc>
        <w:tc>
          <w:tcPr>
            <w:tcW w:w="143" w:type="pct"/>
          </w:tcPr>
          <w:p w:rsidR="000779AC" w:rsidRPr="00DB4FB8" w:rsidRDefault="000779AC" w:rsidP="008B7306">
            <w:pPr>
              <w:pStyle w:val="Textpoznpodarou"/>
              <w:jc w:val="both"/>
            </w:pPr>
          </w:p>
        </w:tc>
        <w:tc>
          <w:tcPr>
            <w:tcW w:w="3803" w:type="pct"/>
          </w:tcPr>
          <w:p w:rsidR="000779AC" w:rsidRDefault="000779AC" w:rsidP="00F72F44">
            <w:pPr>
              <w:pStyle w:val="Textpoznpodarou"/>
              <w:jc w:val="both"/>
            </w:pPr>
            <w:r w:rsidRPr="002F7594">
              <w:t xml:space="preserve">Výsledek zahraničního obchodu se zbožím a službami narostl v roce 2014 na historicky nejvyšších 292,6 mld. korun nominálně. Zatímco samotný přebytek </w:t>
            </w:r>
            <w:r w:rsidRPr="002F7594">
              <w:lastRenderedPageBreak/>
              <w:t>zahraničního obchodu se službami se v porovnání s rokem 2013 o 14,4 mld. korun zmenšil, převaha vývozu zboží nad jeho dovozem díky pozitivním směnným relacím o 71,4 mld. korun narostla.</w:t>
            </w:r>
          </w:p>
          <w:p w:rsidR="00F72F44" w:rsidRPr="00DB016E" w:rsidRDefault="00F72F44" w:rsidP="00F72F44">
            <w:pPr>
              <w:pStyle w:val="Textpoznpodarou"/>
              <w:jc w:val="both"/>
              <w:rPr>
                <w:spacing w:val="-4"/>
                <w:sz w:val="18"/>
                <w:szCs w:val="18"/>
              </w:rPr>
            </w:pPr>
          </w:p>
        </w:tc>
      </w:tr>
      <w:tr w:rsidR="000779AC" w:rsidRPr="00DB4FB8" w:rsidTr="008F7D28">
        <w:tc>
          <w:tcPr>
            <w:tcW w:w="1054" w:type="pct"/>
          </w:tcPr>
          <w:p w:rsidR="000779AC" w:rsidRPr="00DB4FB8" w:rsidRDefault="000779AC" w:rsidP="00A727BA">
            <w:pPr>
              <w:spacing w:line="240" w:lineRule="auto"/>
              <w:rPr>
                <w:sz w:val="16"/>
                <w:szCs w:val="16"/>
              </w:rPr>
            </w:pPr>
            <w:r>
              <w:rPr>
                <w:sz w:val="16"/>
                <w:szCs w:val="16"/>
              </w:rPr>
              <w:lastRenderedPageBreak/>
              <w:t xml:space="preserve">Podle hrubé přidané hodnoty již česká ekonomika rok 2008 překonala </w:t>
            </w:r>
          </w:p>
        </w:tc>
        <w:tc>
          <w:tcPr>
            <w:tcW w:w="143" w:type="pct"/>
          </w:tcPr>
          <w:p w:rsidR="000779AC" w:rsidRPr="00DB4FB8" w:rsidRDefault="000779AC" w:rsidP="008B7306">
            <w:pPr>
              <w:pStyle w:val="Textpoznpodarou"/>
              <w:jc w:val="both"/>
            </w:pPr>
          </w:p>
        </w:tc>
        <w:tc>
          <w:tcPr>
            <w:tcW w:w="3803" w:type="pct"/>
          </w:tcPr>
          <w:p w:rsidR="000779AC" w:rsidRDefault="000779AC" w:rsidP="00F72F44">
            <w:pPr>
              <w:pStyle w:val="Textpoznpodarou"/>
              <w:jc w:val="both"/>
              <w:rPr>
                <w:spacing w:val="-2"/>
              </w:rPr>
            </w:pPr>
            <w:r w:rsidRPr="00EE0298">
              <w:rPr>
                <w:spacing w:val="-2"/>
              </w:rPr>
              <w:t xml:space="preserve">Celkový výkon české ekonomiky, měřený hrubou přidanou hodnotou, se v roce </w:t>
            </w:r>
            <w:r>
              <w:rPr>
                <w:spacing w:val="-2"/>
              </w:rPr>
              <w:t>2014 zvýšil o 2,6 %. Všechna</w:t>
            </w:r>
            <w:r w:rsidRPr="00EE0298">
              <w:rPr>
                <w:spacing w:val="-2"/>
              </w:rPr>
              <w:t xml:space="preserve"> odvětví v ekonomice ČR vyprodu</w:t>
            </w:r>
            <w:r>
              <w:rPr>
                <w:spacing w:val="-2"/>
              </w:rPr>
              <w:t>kovala</w:t>
            </w:r>
            <w:r w:rsidRPr="00EE0298">
              <w:rPr>
                <w:spacing w:val="-2"/>
              </w:rPr>
              <w:t xml:space="preserve"> společně</w:t>
            </w:r>
            <w:r>
              <w:rPr>
                <w:spacing w:val="-2"/>
              </w:rPr>
              <w:t xml:space="preserve"> </w:t>
            </w:r>
            <w:r w:rsidRPr="00EE0298">
              <w:rPr>
                <w:spacing w:val="-2"/>
              </w:rPr>
              <w:t>zboží a služ</w:t>
            </w:r>
            <w:r>
              <w:rPr>
                <w:spacing w:val="-2"/>
              </w:rPr>
              <w:t>by v objemu</w:t>
            </w:r>
            <w:r w:rsidRPr="00EE0298">
              <w:rPr>
                <w:spacing w:val="-2"/>
              </w:rPr>
              <w:t xml:space="preserve">, </w:t>
            </w:r>
            <w:r>
              <w:rPr>
                <w:spacing w:val="-2"/>
              </w:rPr>
              <w:t>jenž</w:t>
            </w:r>
            <w:r w:rsidRPr="00EE0298">
              <w:rPr>
                <w:spacing w:val="-2"/>
              </w:rPr>
              <w:t xml:space="preserve"> poprvé překročil úroveň roku 2008. Byl vyšší o 0,5 %.</w:t>
            </w:r>
          </w:p>
          <w:p w:rsidR="00F72F44" w:rsidRPr="00DB016E" w:rsidRDefault="00F72F44" w:rsidP="00F72F44">
            <w:pPr>
              <w:pStyle w:val="Textpoznpodarou"/>
              <w:jc w:val="both"/>
              <w:rPr>
                <w:spacing w:val="-2"/>
                <w:sz w:val="18"/>
                <w:szCs w:val="18"/>
              </w:rPr>
            </w:pPr>
          </w:p>
        </w:tc>
      </w:tr>
      <w:tr w:rsidR="000779AC" w:rsidRPr="00DB4FB8" w:rsidTr="008F7D28">
        <w:tc>
          <w:tcPr>
            <w:tcW w:w="1054" w:type="pct"/>
          </w:tcPr>
          <w:p w:rsidR="000779AC" w:rsidRPr="00DB4FB8" w:rsidRDefault="000779AC" w:rsidP="00A727BA">
            <w:pPr>
              <w:spacing w:line="240" w:lineRule="auto"/>
              <w:rPr>
                <w:sz w:val="16"/>
                <w:szCs w:val="16"/>
              </w:rPr>
            </w:pPr>
            <w:r>
              <w:rPr>
                <w:sz w:val="16"/>
                <w:szCs w:val="16"/>
              </w:rPr>
              <w:t>K růstu hrubé přidané hodnoty v roce 2014 největším dílem přispěl na zahraniční poptávku silně orientovaný zpracovatelský průmysl společně s objemově významnými službami</w:t>
            </w:r>
          </w:p>
        </w:tc>
        <w:tc>
          <w:tcPr>
            <w:tcW w:w="143" w:type="pct"/>
          </w:tcPr>
          <w:p w:rsidR="000779AC" w:rsidRPr="00DB4FB8" w:rsidRDefault="000779AC" w:rsidP="008B7306">
            <w:pPr>
              <w:pStyle w:val="Textpoznpodarou"/>
              <w:jc w:val="both"/>
            </w:pPr>
          </w:p>
        </w:tc>
        <w:tc>
          <w:tcPr>
            <w:tcW w:w="3803" w:type="pct"/>
          </w:tcPr>
          <w:p w:rsidR="00FF3DF3" w:rsidRDefault="000779AC" w:rsidP="00F72F44">
            <w:pPr>
              <w:pStyle w:val="Textpoznpodarou"/>
              <w:jc w:val="both"/>
              <w:rPr>
                <w:spacing w:val="-4"/>
              </w:rPr>
            </w:pPr>
            <w:r w:rsidRPr="00773613">
              <w:rPr>
                <w:spacing w:val="-4"/>
              </w:rPr>
              <w:t xml:space="preserve">K růstu ekonomiky ČR v roce 2014, z hlediska nabídkové strany, největším dílem přispěl zpracovatelský průmysl (+1,5 </w:t>
            </w:r>
            <w:proofErr w:type="spellStart"/>
            <w:r w:rsidRPr="00773613">
              <w:rPr>
                <w:spacing w:val="-4"/>
              </w:rPr>
              <w:t>pb</w:t>
            </w:r>
            <w:proofErr w:type="spellEnd"/>
            <w:r w:rsidRPr="00773613">
              <w:rPr>
                <w:spacing w:val="-4"/>
              </w:rPr>
              <w:t>.), který již od poloviny roku 2013 těžil z vyšší poptávky v zahraničí i v tuzemsku. Zbývající průmyslová odvětví v úhrnu (CZ-NACE B, D, E) – poznamenaná zejména vleklým poklesem cen uhlí na světovém trhu (těžba</w:t>
            </w:r>
            <w:r>
              <w:rPr>
                <w:spacing w:val="-4"/>
              </w:rPr>
              <w:t> </w:t>
            </w:r>
            <w:r w:rsidRPr="00773613">
              <w:rPr>
                <w:spacing w:val="-4"/>
              </w:rPr>
              <w:t xml:space="preserve">a dobývání) a mírnou zimou (energetika) – růst ekonomiky brzdila (-0,1 </w:t>
            </w:r>
            <w:proofErr w:type="spellStart"/>
            <w:r w:rsidRPr="00773613">
              <w:rPr>
                <w:spacing w:val="-4"/>
              </w:rPr>
              <w:t>pb</w:t>
            </w:r>
            <w:proofErr w:type="spellEnd"/>
            <w:r w:rsidRPr="00773613">
              <w:rPr>
                <w:spacing w:val="-4"/>
              </w:rPr>
              <w:t xml:space="preserve">.). Dobrá úroda zemědělských plodin se pozitivně projevila ve výkonech </w:t>
            </w:r>
            <w:r w:rsidR="00FF3DF3">
              <w:rPr>
                <w:spacing w:val="-4"/>
              </w:rPr>
              <w:t>skupiny</w:t>
            </w:r>
            <w:r w:rsidRPr="00773613">
              <w:rPr>
                <w:spacing w:val="-4"/>
              </w:rPr>
              <w:t xml:space="preserve"> odvětví</w:t>
            </w:r>
            <w:r>
              <w:rPr>
                <w:spacing w:val="-4"/>
              </w:rPr>
              <w:t> </w:t>
            </w:r>
            <w:r w:rsidRPr="00773613">
              <w:rPr>
                <w:spacing w:val="-4"/>
              </w:rPr>
              <w:t xml:space="preserve">zahrnující zemědělství, lesnictví a rybářství (+0,2 </w:t>
            </w:r>
            <w:proofErr w:type="spellStart"/>
            <w:r w:rsidRPr="00773613">
              <w:rPr>
                <w:spacing w:val="-4"/>
              </w:rPr>
              <w:t>pb</w:t>
            </w:r>
            <w:proofErr w:type="spellEnd"/>
            <w:r w:rsidRPr="00773613">
              <w:rPr>
                <w:spacing w:val="-4"/>
              </w:rPr>
              <w:t>.), nárůst poptávky po stavebních činnostech ze strany soukromých osob i veřejných zadavatelů v</w:t>
            </w:r>
            <w:r>
              <w:rPr>
                <w:spacing w:val="-4"/>
              </w:rPr>
              <w:t> </w:t>
            </w:r>
            <w:r w:rsidRPr="00773613">
              <w:rPr>
                <w:spacing w:val="-4"/>
              </w:rPr>
              <w:t>hrubé</w:t>
            </w:r>
            <w:r>
              <w:rPr>
                <w:spacing w:val="-4"/>
              </w:rPr>
              <w:t> </w:t>
            </w:r>
            <w:r w:rsidRPr="00773613">
              <w:rPr>
                <w:spacing w:val="-4"/>
              </w:rPr>
              <w:t>přidané hodnotě stavebnictví (+0,1 </w:t>
            </w:r>
            <w:proofErr w:type="spellStart"/>
            <w:r w:rsidRPr="00773613">
              <w:rPr>
                <w:spacing w:val="-4"/>
              </w:rPr>
              <w:t>pb</w:t>
            </w:r>
            <w:proofErr w:type="spellEnd"/>
            <w:r w:rsidRPr="00773613">
              <w:rPr>
                <w:spacing w:val="-4"/>
              </w:rPr>
              <w:t>.). Služby jako celek</w:t>
            </w:r>
            <w:r>
              <w:rPr>
                <w:spacing w:val="-4"/>
              </w:rPr>
              <w:t xml:space="preserve"> (CZ-NACE G-U)</w:t>
            </w:r>
            <w:r w:rsidRPr="00773613">
              <w:rPr>
                <w:spacing w:val="-4"/>
              </w:rPr>
              <w:t xml:space="preserve">, které se na celkovém výkonu české ekonomiky podílí zhruba třemi pětinami, k růstu ekonomiky v roce 2014 přispěly silou 0,9 </w:t>
            </w:r>
            <w:proofErr w:type="spellStart"/>
            <w:r w:rsidRPr="00773613">
              <w:rPr>
                <w:spacing w:val="-4"/>
              </w:rPr>
              <w:t>pb</w:t>
            </w:r>
            <w:proofErr w:type="spellEnd"/>
            <w:r w:rsidRPr="00773613">
              <w:rPr>
                <w:spacing w:val="-4"/>
              </w:rPr>
              <w:t>.</w:t>
            </w:r>
          </w:p>
          <w:p w:rsidR="00F72F44" w:rsidRPr="008F7D28" w:rsidRDefault="00F72F44" w:rsidP="00F72F44">
            <w:pPr>
              <w:pStyle w:val="Textpoznpodarou"/>
              <w:jc w:val="both"/>
              <w:rPr>
                <w:spacing w:val="-4"/>
                <w:sz w:val="18"/>
                <w:szCs w:val="18"/>
              </w:rPr>
            </w:pPr>
          </w:p>
        </w:tc>
      </w:tr>
    </w:tbl>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4"/>
        <w:gridCol w:w="3874"/>
        <w:gridCol w:w="616"/>
        <w:gridCol w:w="4310"/>
      </w:tblGrid>
      <w:tr w:rsidR="003D4760" w:rsidRPr="003D4760" w:rsidTr="00782818">
        <w:tc>
          <w:tcPr>
            <w:tcW w:w="534" w:type="pct"/>
          </w:tcPr>
          <w:p w:rsidR="003D4760" w:rsidRPr="003D4760" w:rsidRDefault="003D4760" w:rsidP="008B7306">
            <w:pPr>
              <w:pStyle w:val="Textpoznpodarou"/>
              <w:rPr>
                <w:sz w:val="20"/>
              </w:rPr>
            </w:pPr>
            <w:r w:rsidRPr="003D4760">
              <w:rPr>
                <w:sz w:val="20"/>
              </w:rPr>
              <w:t>Graf č. 1</w:t>
            </w:r>
          </w:p>
        </w:tc>
        <w:tc>
          <w:tcPr>
            <w:tcW w:w="1967" w:type="pct"/>
          </w:tcPr>
          <w:p w:rsidR="003D4760" w:rsidRPr="003D4760" w:rsidRDefault="003D4760" w:rsidP="008B7306">
            <w:pPr>
              <w:pStyle w:val="Textpoznpodarou"/>
              <w:rPr>
                <w:sz w:val="20"/>
              </w:rPr>
            </w:pPr>
            <w:r w:rsidRPr="003D4760">
              <w:rPr>
                <w:b/>
                <w:sz w:val="20"/>
              </w:rPr>
              <w:t xml:space="preserve">HDP </w:t>
            </w:r>
            <w:r w:rsidRPr="003D4760">
              <w:rPr>
                <w:sz w:val="20"/>
              </w:rPr>
              <w:t>(stálé ceny, očištěno od sezónnosti a vlivu počtu pracovních dní, v %)</w:t>
            </w:r>
          </w:p>
        </w:tc>
        <w:tc>
          <w:tcPr>
            <w:tcW w:w="311" w:type="pct"/>
          </w:tcPr>
          <w:p w:rsidR="003D4760" w:rsidRPr="003D4760" w:rsidRDefault="003D4760" w:rsidP="008B7306">
            <w:pPr>
              <w:pStyle w:val="Textpoznpodarou"/>
              <w:rPr>
                <w:sz w:val="20"/>
              </w:rPr>
            </w:pPr>
            <w:r w:rsidRPr="003D4760">
              <w:rPr>
                <w:sz w:val="20"/>
              </w:rPr>
              <w:t>Graf č. 2</w:t>
            </w:r>
          </w:p>
        </w:tc>
        <w:tc>
          <w:tcPr>
            <w:tcW w:w="2189" w:type="pct"/>
          </w:tcPr>
          <w:p w:rsidR="003D4760" w:rsidRPr="003D4760" w:rsidRDefault="003D4760" w:rsidP="008B7306">
            <w:pPr>
              <w:pStyle w:val="Textpoznpodarou"/>
              <w:rPr>
                <w:spacing w:val="-2"/>
                <w:sz w:val="20"/>
              </w:rPr>
            </w:pPr>
            <w:r w:rsidRPr="003D4760">
              <w:rPr>
                <w:b/>
                <w:spacing w:val="-2"/>
                <w:sz w:val="20"/>
              </w:rPr>
              <w:t xml:space="preserve">HDP </w:t>
            </w:r>
            <w:r w:rsidRPr="003D4760">
              <w:rPr>
                <w:spacing w:val="-2"/>
                <w:sz w:val="20"/>
              </w:rPr>
              <w:t xml:space="preserve">(stálé ceny, očištěno od sezónnosti a vlivu počtu pracovních dní, y/y v %, pravá osa) </w:t>
            </w:r>
            <w:r w:rsidRPr="003D4760">
              <w:rPr>
                <w:b/>
                <w:spacing w:val="-2"/>
                <w:sz w:val="20"/>
              </w:rPr>
              <w:t>a indikátory důvěry</w:t>
            </w:r>
            <w:r w:rsidRPr="003D4760">
              <w:rPr>
                <w:spacing w:val="-2"/>
                <w:sz w:val="20"/>
              </w:rPr>
              <w:t xml:space="preserve"> (2005=100, levá osa)</w:t>
            </w:r>
          </w:p>
        </w:tc>
      </w:tr>
      <w:tr w:rsidR="003D4760" w:rsidRPr="007D44C3" w:rsidTr="008B7306">
        <w:tc>
          <w:tcPr>
            <w:tcW w:w="2501" w:type="pct"/>
            <w:gridSpan w:val="2"/>
          </w:tcPr>
          <w:p w:rsidR="003D4760" w:rsidRPr="007D44C3" w:rsidRDefault="003D4760" w:rsidP="008B7306">
            <w:pPr>
              <w:pStyle w:val="Textpoznpodarou"/>
              <w:jc w:val="both"/>
            </w:pPr>
            <w:r w:rsidRPr="009F3BFF">
              <w:rPr>
                <w:noProof/>
              </w:rPr>
              <w:drawing>
                <wp:inline distT="0" distB="0" distL="0" distR="0">
                  <wp:extent cx="3011805" cy="2377440"/>
                  <wp:effectExtent l="1905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011805" cy="2377440"/>
                          </a:xfrm>
                          <a:prstGeom prst="rect">
                            <a:avLst/>
                          </a:prstGeom>
                          <a:noFill/>
                        </pic:spPr>
                      </pic:pic>
                    </a:graphicData>
                  </a:graphic>
                </wp:inline>
              </w:drawing>
            </w:r>
          </w:p>
        </w:tc>
        <w:tc>
          <w:tcPr>
            <w:tcW w:w="2499" w:type="pct"/>
            <w:gridSpan w:val="2"/>
          </w:tcPr>
          <w:p w:rsidR="003D4760" w:rsidRPr="007D44C3" w:rsidRDefault="003D4760" w:rsidP="008B7306">
            <w:pPr>
              <w:pStyle w:val="Textpoznpodarou"/>
              <w:jc w:val="both"/>
            </w:pPr>
            <w:r w:rsidRPr="0038158D">
              <w:rPr>
                <w:noProof/>
              </w:rPr>
              <w:drawing>
                <wp:inline distT="0" distB="0" distL="0" distR="0">
                  <wp:extent cx="3005455" cy="2377440"/>
                  <wp:effectExtent l="19050" t="0" r="4445"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005455" cy="2377440"/>
                          </a:xfrm>
                          <a:prstGeom prst="rect">
                            <a:avLst/>
                          </a:prstGeom>
                          <a:noFill/>
                        </pic:spPr>
                      </pic:pic>
                    </a:graphicData>
                  </a:graphic>
                </wp:inline>
              </w:drawing>
            </w:r>
          </w:p>
        </w:tc>
      </w:tr>
      <w:tr w:rsidR="003D4760" w:rsidRPr="007D44C3" w:rsidTr="008B7306">
        <w:tc>
          <w:tcPr>
            <w:tcW w:w="5000" w:type="pct"/>
            <w:gridSpan w:val="4"/>
          </w:tcPr>
          <w:p w:rsidR="006C559A" w:rsidRDefault="003D4760" w:rsidP="008F7D28">
            <w:pPr>
              <w:pStyle w:val="Textpoznpodarou"/>
              <w:jc w:val="right"/>
              <w:rPr>
                <w:sz w:val="18"/>
                <w:szCs w:val="18"/>
              </w:rPr>
            </w:pPr>
            <w:r>
              <w:rPr>
                <w:sz w:val="18"/>
                <w:szCs w:val="18"/>
              </w:rPr>
              <w:t>Zdroj</w:t>
            </w:r>
            <w:r w:rsidRPr="007D44C3">
              <w:rPr>
                <w:sz w:val="18"/>
                <w:szCs w:val="18"/>
              </w:rPr>
              <w:t xml:space="preserve">: ČSÚ, </w:t>
            </w:r>
            <w:proofErr w:type="spellStart"/>
            <w:r w:rsidRPr="007D44C3">
              <w:rPr>
                <w:sz w:val="18"/>
                <w:szCs w:val="18"/>
              </w:rPr>
              <w:t>Eurostat</w:t>
            </w:r>
            <w:proofErr w:type="spellEnd"/>
          </w:p>
          <w:p w:rsidR="008F7D28" w:rsidRPr="007D44C3" w:rsidRDefault="008F7D28" w:rsidP="008F7D28">
            <w:pPr>
              <w:pStyle w:val="Textpoznpodarou"/>
              <w:jc w:val="right"/>
              <w:rPr>
                <w:sz w:val="18"/>
                <w:szCs w:val="18"/>
              </w:rPr>
            </w:pPr>
          </w:p>
        </w:tc>
      </w:tr>
    </w:tbl>
    <w:tbl>
      <w:tblPr>
        <w:tblStyle w:val="Mkatabulk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2"/>
        <w:gridCol w:w="4289"/>
        <w:gridCol w:w="1008"/>
        <w:gridCol w:w="1394"/>
        <w:gridCol w:w="2531"/>
      </w:tblGrid>
      <w:tr w:rsidR="003D4760" w:rsidRPr="003D4760" w:rsidTr="008F7D28">
        <w:tc>
          <w:tcPr>
            <w:tcW w:w="319" w:type="pct"/>
          </w:tcPr>
          <w:p w:rsidR="003D4760" w:rsidRPr="003D4760" w:rsidRDefault="003D4760" w:rsidP="008B7306">
            <w:pPr>
              <w:pStyle w:val="Textpoznpodarou"/>
              <w:rPr>
                <w:sz w:val="20"/>
              </w:rPr>
            </w:pPr>
            <w:r w:rsidRPr="003D4760">
              <w:rPr>
                <w:sz w:val="20"/>
              </w:rPr>
              <w:t>Graf č. 3</w:t>
            </w:r>
          </w:p>
        </w:tc>
        <w:tc>
          <w:tcPr>
            <w:tcW w:w="2178" w:type="pct"/>
          </w:tcPr>
          <w:p w:rsidR="003D4760" w:rsidRPr="003D4760" w:rsidRDefault="003D4760" w:rsidP="008B7306">
            <w:pPr>
              <w:pStyle w:val="Textpoznpodarou"/>
              <w:rPr>
                <w:spacing w:val="-6"/>
                <w:sz w:val="20"/>
              </w:rPr>
            </w:pPr>
            <w:r w:rsidRPr="003D4760">
              <w:rPr>
                <w:b/>
                <w:spacing w:val="-6"/>
                <w:sz w:val="20"/>
              </w:rPr>
              <w:t>Příspěvky výdajových složek ke změně HDP*</w:t>
            </w:r>
            <w:r w:rsidRPr="003D4760">
              <w:rPr>
                <w:spacing w:val="-6"/>
                <w:sz w:val="20"/>
              </w:rPr>
              <w:t xml:space="preserve"> (stálé ceny, y/y, příspěvky v </w:t>
            </w:r>
            <w:proofErr w:type="spellStart"/>
            <w:r w:rsidRPr="003D4760">
              <w:rPr>
                <w:spacing w:val="-6"/>
                <w:sz w:val="20"/>
              </w:rPr>
              <w:t>pb</w:t>
            </w:r>
            <w:proofErr w:type="spellEnd"/>
            <w:r w:rsidRPr="003D4760">
              <w:rPr>
                <w:spacing w:val="-6"/>
                <w:sz w:val="20"/>
              </w:rPr>
              <w:t>., HDP v %)</w:t>
            </w:r>
          </w:p>
        </w:tc>
        <w:tc>
          <w:tcPr>
            <w:tcW w:w="511" w:type="pct"/>
          </w:tcPr>
          <w:p w:rsidR="003D4760" w:rsidRPr="003D4760" w:rsidRDefault="003D4760" w:rsidP="008B7306">
            <w:pPr>
              <w:pStyle w:val="Textpoznpodarou"/>
              <w:rPr>
                <w:sz w:val="20"/>
              </w:rPr>
            </w:pPr>
            <w:r w:rsidRPr="003D4760">
              <w:rPr>
                <w:sz w:val="20"/>
              </w:rPr>
              <w:t>Graf č. 4</w:t>
            </w:r>
          </w:p>
        </w:tc>
        <w:tc>
          <w:tcPr>
            <w:tcW w:w="1992" w:type="pct"/>
            <w:gridSpan w:val="2"/>
          </w:tcPr>
          <w:p w:rsidR="003D4760" w:rsidRPr="003D4760" w:rsidRDefault="003D4760" w:rsidP="008B7306">
            <w:pPr>
              <w:pStyle w:val="Textpoznpodarou"/>
              <w:rPr>
                <w:sz w:val="20"/>
              </w:rPr>
            </w:pPr>
            <w:r w:rsidRPr="003D4760">
              <w:rPr>
                <w:b/>
                <w:sz w:val="20"/>
              </w:rPr>
              <w:t>Příspěvky odvětví ke změně HPH</w:t>
            </w:r>
            <w:r w:rsidRPr="003D4760">
              <w:rPr>
                <w:sz w:val="20"/>
              </w:rPr>
              <w:t xml:space="preserve"> (stálé ceny, y/y, příspěvky v </w:t>
            </w:r>
            <w:proofErr w:type="spellStart"/>
            <w:r w:rsidRPr="003D4760">
              <w:rPr>
                <w:sz w:val="20"/>
              </w:rPr>
              <w:t>pb</w:t>
            </w:r>
            <w:proofErr w:type="spellEnd"/>
            <w:r w:rsidRPr="003D4760">
              <w:rPr>
                <w:sz w:val="20"/>
              </w:rPr>
              <w:t>., HPH v %)</w:t>
            </w:r>
          </w:p>
        </w:tc>
      </w:tr>
      <w:tr w:rsidR="003D4760" w:rsidRPr="007D44C3" w:rsidTr="008F7D28">
        <w:tc>
          <w:tcPr>
            <w:tcW w:w="2497" w:type="pct"/>
            <w:gridSpan w:val="2"/>
          </w:tcPr>
          <w:p w:rsidR="003D4760" w:rsidRPr="007D44C3" w:rsidRDefault="003D4760" w:rsidP="008B7306">
            <w:pPr>
              <w:pStyle w:val="Textpoznpodarou"/>
              <w:jc w:val="both"/>
            </w:pPr>
            <w:r w:rsidRPr="00242588">
              <w:rPr>
                <w:noProof/>
              </w:rPr>
              <w:drawing>
                <wp:inline distT="0" distB="0" distL="0" distR="0">
                  <wp:extent cx="3005455" cy="2377440"/>
                  <wp:effectExtent l="19050" t="0" r="4445" b="0"/>
                  <wp:docPr id="4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005455" cy="2377440"/>
                          </a:xfrm>
                          <a:prstGeom prst="rect">
                            <a:avLst/>
                          </a:prstGeom>
                          <a:noFill/>
                        </pic:spPr>
                      </pic:pic>
                    </a:graphicData>
                  </a:graphic>
                </wp:inline>
              </w:drawing>
            </w:r>
          </w:p>
        </w:tc>
        <w:tc>
          <w:tcPr>
            <w:tcW w:w="2503" w:type="pct"/>
            <w:gridSpan w:val="3"/>
          </w:tcPr>
          <w:p w:rsidR="003D4760" w:rsidRPr="007D44C3" w:rsidRDefault="003D4760" w:rsidP="008B7306">
            <w:pPr>
              <w:pStyle w:val="Textpoznpodarou"/>
              <w:jc w:val="both"/>
            </w:pPr>
            <w:r w:rsidRPr="00242588">
              <w:rPr>
                <w:noProof/>
              </w:rPr>
              <w:drawing>
                <wp:inline distT="0" distB="0" distL="0" distR="0">
                  <wp:extent cx="3017520" cy="2377440"/>
                  <wp:effectExtent l="19050" t="0" r="0" b="0"/>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017520" cy="2377440"/>
                          </a:xfrm>
                          <a:prstGeom prst="rect">
                            <a:avLst/>
                          </a:prstGeom>
                          <a:noFill/>
                        </pic:spPr>
                      </pic:pic>
                    </a:graphicData>
                  </a:graphic>
                </wp:inline>
              </w:drawing>
            </w:r>
          </w:p>
        </w:tc>
      </w:tr>
      <w:tr w:rsidR="003D4760" w:rsidRPr="003D4760" w:rsidTr="008F7D28">
        <w:tc>
          <w:tcPr>
            <w:tcW w:w="3715" w:type="pct"/>
            <w:gridSpan w:val="4"/>
          </w:tcPr>
          <w:p w:rsidR="003D4760" w:rsidRPr="003D4760" w:rsidRDefault="003D4760" w:rsidP="008B7306">
            <w:pPr>
              <w:pStyle w:val="Textpoznpodarou"/>
              <w:rPr>
                <w:sz w:val="18"/>
                <w:szCs w:val="18"/>
              </w:rPr>
            </w:pPr>
            <w:r w:rsidRPr="003D4760">
              <w:rPr>
                <w:sz w:val="18"/>
                <w:szCs w:val="18"/>
              </w:rPr>
              <w:t>*příspěvky ke změně HDP bez vyloučení dovozu pro konečné užití</w:t>
            </w:r>
          </w:p>
        </w:tc>
        <w:tc>
          <w:tcPr>
            <w:tcW w:w="1285" w:type="pct"/>
          </w:tcPr>
          <w:p w:rsidR="003D4760" w:rsidRPr="003D4760" w:rsidRDefault="003D4760" w:rsidP="008B7306">
            <w:pPr>
              <w:pStyle w:val="Textpoznpodarou"/>
              <w:jc w:val="right"/>
              <w:rPr>
                <w:sz w:val="18"/>
                <w:szCs w:val="18"/>
              </w:rPr>
            </w:pPr>
            <w:r w:rsidRPr="003D4760">
              <w:rPr>
                <w:sz w:val="18"/>
                <w:szCs w:val="18"/>
              </w:rPr>
              <w:t>Zdroj: ČSÚ</w:t>
            </w:r>
          </w:p>
        </w:tc>
      </w:tr>
    </w:tbl>
    <w:p w:rsidR="00F4591F" w:rsidRPr="00F4591F" w:rsidRDefault="00F4591F" w:rsidP="00F4591F">
      <w:pPr>
        <w:pStyle w:val="Nadpis1"/>
        <w:numPr>
          <w:ilvl w:val="0"/>
          <w:numId w:val="30"/>
        </w:numPr>
        <w:jc w:val="both"/>
      </w:pPr>
      <w:bookmarkStart w:id="5" w:name="_Toc414264322"/>
      <w:r>
        <w:lastRenderedPageBreak/>
        <w:t>Výkonnost odvětví</w:t>
      </w:r>
      <w:bookmarkEnd w:id="5"/>
    </w:p>
    <w:tbl>
      <w:tblPr>
        <w:tblW w:w="5000" w:type="pct"/>
        <w:tblCellMar>
          <w:left w:w="28" w:type="dxa"/>
          <w:right w:w="28" w:type="dxa"/>
        </w:tblCellMar>
        <w:tblLook w:val="04A0"/>
      </w:tblPr>
      <w:tblGrid>
        <w:gridCol w:w="2115"/>
        <w:gridCol w:w="283"/>
        <w:gridCol w:w="7296"/>
      </w:tblGrid>
      <w:tr w:rsidR="000F401E" w:rsidTr="000F401E">
        <w:tc>
          <w:tcPr>
            <w:tcW w:w="1091" w:type="pct"/>
          </w:tcPr>
          <w:p w:rsidR="000F401E" w:rsidRDefault="000F401E" w:rsidP="000F401E">
            <w:pPr>
              <w:spacing w:line="240" w:lineRule="auto"/>
              <w:rPr>
                <w:sz w:val="16"/>
                <w:szCs w:val="16"/>
              </w:rPr>
            </w:pPr>
            <w:r>
              <w:rPr>
                <w:sz w:val="16"/>
                <w:szCs w:val="16"/>
              </w:rPr>
              <w:t xml:space="preserve">Růst HPH v průběhu roku 2014 pravidelně zrychloval, </w:t>
            </w:r>
          </w:p>
          <w:p w:rsidR="000F401E" w:rsidRDefault="000F401E" w:rsidP="000F401E">
            <w:pPr>
              <w:spacing w:line="240" w:lineRule="auto"/>
              <w:rPr>
                <w:sz w:val="16"/>
                <w:szCs w:val="16"/>
              </w:rPr>
            </w:pPr>
            <w:r>
              <w:rPr>
                <w:sz w:val="16"/>
                <w:szCs w:val="16"/>
              </w:rPr>
              <w:t xml:space="preserve">a to navzdory postupnému přechodu na vyšší loňskou základnu </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Default="000F401E" w:rsidP="000F401E">
            <w:pPr>
              <w:spacing w:line="240" w:lineRule="auto"/>
              <w:rPr>
                <w:sz w:val="16"/>
                <w:szCs w:val="16"/>
              </w:rPr>
            </w:pPr>
            <w:r>
              <w:rPr>
                <w:sz w:val="16"/>
                <w:szCs w:val="16"/>
              </w:rPr>
              <w:t>Tři pětiny růstu HPH zabezpečil zpracovatelský průmysl, poprvé od roku 2010 pozitivně přispělo i stavebnictví</w:t>
            </w:r>
          </w:p>
          <w:p w:rsidR="000F401E" w:rsidRDefault="000F401E" w:rsidP="000F401E">
            <w:pPr>
              <w:spacing w:line="240" w:lineRule="auto"/>
              <w:rPr>
                <w:sz w:val="16"/>
                <w:szCs w:val="16"/>
              </w:rPr>
            </w:pPr>
          </w:p>
        </w:tc>
        <w:tc>
          <w:tcPr>
            <w:tcW w:w="146" w:type="pct"/>
          </w:tcPr>
          <w:p w:rsidR="000F401E" w:rsidRDefault="000F401E" w:rsidP="000F401E">
            <w:pPr>
              <w:pStyle w:val="Textpoznpodarou"/>
              <w:jc w:val="both"/>
            </w:pPr>
          </w:p>
        </w:tc>
        <w:tc>
          <w:tcPr>
            <w:tcW w:w="3763" w:type="pct"/>
          </w:tcPr>
          <w:p w:rsidR="000F401E" w:rsidRPr="000F401E" w:rsidRDefault="000F401E" w:rsidP="000F401E">
            <w:pPr>
              <w:pStyle w:val="Textpoznpodarou"/>
              <w:jc w:val="both"/>
              <w:rPr>
                <w:spacing w:val="-4"/>
              </w:rPr>
            </w:pPr>
            <w:r w:rsidRPr="000F401E">
              <w:rPr>
                <w:spacing w:val="-4"/>
              </w:rPr>
              <w:t xml:space="preserve">Rok 2014 přinesl potvrzení i pevnější ukotvení růstových tendencí klíčových odvětví české ekonomiky. Souhrnná sezónně očištěná výše hrubé přidané hodnoty (HPH) pokračovala v nepřetržitém růstu započatém ve 4. čtvrtletí 2013 (v meziročním vyjádření), resp. již ve 2. čtvrtletí 2013 (v </w:t>
            </w:r>
            <w:proofErr w:type="spellStart"/>
            <w:r w:rsidRPr="000F401E">
              <w:rPr>
                <w:spacing w:val="-4"/>
              </w:rPr>
              <w:t>mezičtvrtletním</w:t>
            </w:r>
            <w:proofErr w:type="spellEnd"/>
            <w:r w:rsidRPr="000F401E">
              <w:rPr>
                <w:spacing w:val="-4"/>
              </w:rPr>
              <w:t xml:space="preserve"> pojetí). Během 3. čtvrtletí 2014 se přehoupla přes předkrizovou úroveň (obdobné čtvrtletí roku 2008) a během posledního čtvrtletí mírně akcelerovala (meziročně +2,9 %, za celý rok +2,6 %). Růst HPH byl v roce 2014 ze tří pětin tažen exportně orientovaným zpracovatelským průmyslem. Pozitivně však přispěly (podobně jako v letech silné konjunktury) stavebnictví i většina významných uskupení služeb (vyjma finančního sektoru a oblasti nemovitostí, které nenavázaly na předchozí úspěšné roky).  </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Pr="000F401E" w:rsidRDefault="000F401E" w:rsidP="000F401E">
            <w:pPr>
              <w:spacing w:line="240" w:lineRule="auto"/>
              <w:rPr>
                <w:sz w:val="16"/>
                <w:szCs w:val="16"/>
              </w:rPr>
            </w:pPr>
            <w:r w:rsidRPr="000F401E">
              <w:rPr>
                <w:sz w:val="16"/>
                <w:szCs w:val="16"/>
              </w:rPr>
              <w:t>Růst HPH převyšoval dynamiku celkové zaměstnanosti i odpracované doby, které meziročně posílily především ve vybraných službách</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Pr="000F401E" w:rsidRDefault="000F401E" w:rsidP="000F401E">
            <w:pPr>
              <w:spacing w:line="240" w:lineRule="auto"/>
              <w:rPr>
                <w:spacing w:val="-4"/>
                <w:sz w:val="16"/>
                <w:szCs w:val="16"/>
              </w:rPr>
            </w:pPr>
            <w:r w:rsidRPr="000F401E">
              <w:rPr>
                <w:spacing w:val="-4"/>
                <w:sz w:val="16"/>
                <w:szCs w:val="16"/>
              </w:rPr>
              <w:t>Velmi dobrá úroda (obilovin, cukrovky a řepky) vytáhla HPH v zemědělství na nejvyšší úroveň od roku 2009</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Pr="000F401E" w:rsidRDefault="000F401E" w:rsidP="000F401E">
            <w:pPr>
              <w:spacing w:line="240" w:lineRule="auto"/>
              <w:rPr>
                <w:spacing w:val="-4"/>
                <w:sz w:val="16"/>
                <w:szCs w:val="16"/>
              </w:rPr>
            </w:pPr>
            <w:r w:rsidRPr="000F401E">
              <w:rPr>
                <w:spacing w:val="-4"/>
                <w:sz w:val="16"/>
                <w:szCs w:val="16"/>
              </w:rPr>
              <w:t>Veřejné zakázky i mírná zima oživily stavebnictví, kde rostl</w:t>
            </w:r>
          </w:p>
          <w:p w:rsidR="000F401E" w:rsidRPr="000F401E" w:rsidRDefault="000F401E" w:rsidP="000F401E">
            <w:pPr>
              <w:spacing w:line="240" w:lineRule="auto"/>
              <w:rPr>
                <w:spacing w:val="-4"/>
                <w:sz w:val="16"/>
                <w:szCs w:val="16"/>
              </w:rPr>
            </w:pPr>
            <w:r w:rsidRPr="000F401E">
              <w:rPr>
                <w:spacing w:val="-4"/>
                <w:sz w:val="16"/>
                <w:szCs w:val="16"/>
              </w:rPr>
              <w:t xml:space="preserve"> i počet </w:t>
            </w:r>
            <w:proofErr w:type="spellStart"/>
            <w:r w:rsidRPr="000F401E">
              <w:rPr>
                <w:spacing w:val="-4"/>
                <w:sz w:val="16"/>
                <w:szCs w:val="16"/>
              </w:rPr>
              <w:t>sebezaměstnaných</w:t>
            </w:r>
            <w:proofErr w:type="spellEnd"/>
          </w:p>
          <w:p w:rsidR="000F401E" w:rsidRDefault="000F401E" w:rsidP="000F401E">
            <w:pPr>
              <w:spacing w:line="240" w:lineRule="auto"/>
              <w:rPr>
                <w:sz w:val="16"/>
                <w:szCs w:val="16"/>
              </w:rPr>
            </w:pPr>
          </w:p>
        </w:tc>
        <w:tc>
          <w:tcPr>
            <w:tcW w:w="146" w:type="pct"/>
          </w:tcPr>
          <w:p w:rsidR="000F401E" w:rsidRDefault="000F401E" w:rsidP="000F401E">
            <w:pPr>
              <w:pStyle w:val="Textpoznpodarou"/>
              <w:jc w:val="both"/>
            </w:pPr>
          </w:p>
        </w:tc>
        <w:tc>
          <w:tcPr>
            <w:tcW w:w="3763" w:type="pct"/>
          </w:tcPr>
          <w:p w:rsidR="000F401E" w:rsidRDefault="000F401E" w:rsidP="000F401E">
            <w:pPr>
              <w:pStyle w:val="Textpoznpodarou"/>
              <w:jc w:val="both"/>
              <w:rPr>
                <w:spacing w:val="-4"/>
              </w:rPr>
            </w:pPr>
            <w:r>
              <w:rPr>
                <w:spacing w:val="-4"/>
              </w:rPr>
              <w:t xml:space="preserve">Meziroční zvýšení HPH doprovázel v roce 2014 mírnější růst </w:t>
            </w:r>
            <w:r w:rsidRPr="000F401E">
              <w:rPr>
                <w:spacing w:val="-4"/>
              </w:rPr>
              <w:t xml:space="preserve">zaměstnanosti (0,4 %, </w:t>
            </w:r>
            <w:r w:rsidRPr="005D374F">
              <w:rPr>
                <w:spacing w:val="-4"/>
              </w:rPr>
              <w:t>v pojetí národních účtů), ten ale s obdobnou intenzitou přetrvával i v nedávném</w:t>
            </w:r>
            <w:r>
              <w:rPr>
                <w:spacing w:val="-4"/>
              </w:rPr>
              <w:t xml:space="preserve"> období mělké recese. Jen mírný byl také růst celkové odpracované doby (1,0</w:t>
            </w:r>
            <w:r w:rsidRPr="00EF6BE3">
              <w:rPr>
                <w:spacing w:val="-4"/>
              </w:rPr>
              <w:t xml:space="preserve"> %) s vyšší dynamik</w:t>
            </w:r>
            <w:r>
              <w:rPr>
                <w:spacing w:val="-4"/>
              </w:rPr>
              <w:t>ou soustředěnou (podobně jako u zaměstnanosti) hlavně v</w:t>
            </w:r>
            <w:r w:rsidRPr="00EF6BE3">
              <w:rPr>
                <w:spacing w:val="-4"/>
              </w:rPr>
              <w:t xml:space="preserve"> odvětví </w:t>
            </w:r>
            <w:r>
              <w:rPr>
                <w:spacing w:val="-4"/>
              </w:rPr>
              <w:t>služeb - v</w:t>
            </w:r>
            <w:r w:rsidRPr="00EF6BE3">
              <w:rPr>
                <w:spacing w:val="-4"/>
              </w:rPr>
              <w:t xml:space="preserve"> profesních, vědeckých, technickýc</w:t>
            </w:r>
            <w:r>
              <w:rPr>
                <w:spacing w:val="-4"/>
              </w:rPr>
              <w:t>h a administrativních činnostech (5,8 %) či v oblastech</w:t>
            </w:r>
            <w:r w:rsidRPr="00EF6BE3">
              <w:rPr>
                <w:spacing w:val="-4"/>
              </w:rPr>
              <w:t xml:space="preserve"> nemovitostí</w:t>
            </w:r>
            <w:r>
              <w:rPr>
                <w:spacing w:val="-4"/>
              </w:rPr>
              <w:t xml:space="preserve"> (3,9 %). Zpracovatelský průmysl reagoval na stabilní růst zakázek významnějším růstem zaměstnanosti až s určitým zpožděním (v prvním pololetí 2014 rostl počet zaměstnanců meziročně jen o 0,3 %, v druhé polovině roku již o 1,6 %, nejrychleji od konce roku 2011). Hlavně díky rostlinné výrobě se dařilo </w:t>
            </w:r>
            <w:r w:rsidRPr="000F401E">
              <w:rPr>
                <w:spacing w:val="-4"/>
              </w:rPr>
              <w:t>i zemědělství, jehož HPH v roce 2014 rostla srovnatelným tempem jako zpracovatelský</w:t>
            </w:r>
            <w:r>
              <w:rPr>
                <w:spacing w:val="-4"/>
              </w:rPr>
              <w:t xml:space="preserve"> průmysl (6 %). Oživení veřejných zakázek hlavně v oblasti inženýrského stavitelství se odrazilo v růstu stavebnictví (2,6 %), které ale nadále ztrácelo zaměstnanecká místa, na rozdíl od předchozích let se však navýšil počet </w:t>
            </w:r>
            <w:proofErr w:type="spellStart"/>
            <w:r>
              <w:rPr>
                <w:spacing w:val="-4"/>
              </w:rPr>
              <w:t>sebezaměstnaných</w:t>
            </w:r>
            <w:proofErr w:type="spellEnd"/>
            <w:r>
              <w:rPr>
                <w:spacing w:val="-4"/>
              </w:rPr>
              <w:t xml:space="preserve"> (meziročně o 7 %). Obdobná situace nastala v tomto odvětví v období i těšně po hluboké recesi ekonomiky. </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Default="000F401E" w:rsidP="000F401E">
            <w:pPr>
              <w:spacing w:line="240" w:lineRule="auto"/>
              <w:rPr>
                <w:sz w:val="16"/>
                <w:szCs w:val="16"/>
              </w:rPr>
            </w:pPr>
            <w:r w:rsidRPr="00DA1318">
              <w:rPr>
                <w:sz w:val="16"/>
                <w:szCs w:val="16"/>
              </w:rPr>
              <w:t xml:space="preserve">Veřejné služby </w:t>
            </w:r>
            <w:r>
              <w:rPr>
                <w:sz w:val="16"/>
                <w:szCs w:val="16"/>
              </w:rPr>
              <w:t xml:space="preserve">přispěly k růstu HPH celé terciární sféry ze 40 %, dařilo se však </w:t>
            </w:r>
          </w:p>
          <w:p w:rsidR="000F401E" w:rsidRDefault="000F401E" w:rsidP="000F401E">
            <w:pPr>
              <w:spacing w:line="240" w:lineRule="auto"/>
              <w:rPr>
                <w:sz w:val="16"/>
                <w:szCs w:val="16"/>
              </w:rPr>
            </w:pPr>
            <w:r>
              <w:rPr>
                <w:sz w:val="16"/>
                <w:szCs w:val="16"/>
              </w:rPr>
              <w:t xml:space="preserve">i většině ostatních odvětví vyjma peněžnictví a pojišťovnictví, kde HPH mimořádně poklesla - nejvíce od roku 2002 </w:t>
            </w:r>
          </w:p>
          <w:p w:rsidR="000F401E" w:rsidRPr="00DA1318" w:rsidRDefault="000F401E" w:rsidP="000F401E">
            <w:pPr>
              <w:spacing w:line="240" w:lineRule="auto"/>
              <w:rPr>
                <w:sz w:val="16"/>
                <w:szCs w:val="16"/>
              </w:rPr>
            </w:pPr>
          </w:p>
        </w:tc>
        <w:tc>
          <w:tcPr>
            <w:tcW w:w="146" w:type="pct"/>
          </w:tcPr>
          <w:p w:rsidR="000F401E" w:rsidRDefault="000F401E" w:rsidP="000F401E">
            <w:pPr>
              <w:pStyle w:val="Textpoznpodarou"/>
              <w:jc w:val="both"/>
              <w:rPr>
                <w:spacing w:val="-2"/>
              </w:rPr>
            </w:pPr>
          </w:p>
        </w:tc>
        <w:tc>
          <w:tcPr>
            <w:tcW w:w="3763" w:type="pct"/>
          </w:tcPr>
          <w:p w:rsidR="000F401E" w:rsidRPr="000F401E" w:rsidRDefault="000F401E" w:rsidP="000F401E">
            <w:pPr>
              <w:pStyle w:val="Textpoznpodarou"/>
              <w:jc w:val="both"/>
              <w:rPr>
                <w:spacing w:val="-4"/>
              </w:rPr>
            </w:pPr>
            <w:r w:rsidRPr="000F401E">
              <w:rPr>
                <w:spacing w:val="-4"/>
              </w:rPr>
              <w:t>V rámci služeb vzrostla HPH nejvíce v dlouhodobě růstovém odvětví profesních, vědeckých, technických a administrativních činností (+4,2 %) a v informačních a komunikačních činnostech (+3,5 %). V těchto odvětvích se zvýšená poptávk</w:t>
            </w:r>
            <w:r w:rsidR="00DE2ED9">
              <w:rPr>
                <w:spacing w:val="-4"/>
              </w:rPr>
              <w:t>a</w:t>
            </w:r>
            <w:r w:rsidRPr="000F401E">
              <w:rPr>
                <w:spacing w:val="-4"/>
              </w:rPr>
              <w:t xml:space="preserve"> přetavila i do vyšších počtů </w:t>
            </w:r>
            <w:proofErr w:type="spellStart"/>
            <w:r w:rsidRPr="000F401E">
              <w:rPr>
                <w:spacing w:val="-4"/>
              </w:rPr>
              <w:t>sebezaměstnaných</w:t>
            </w:r>
            <w:proofErr w:type="spellEnd"/>
            <w:r w:rsidRPr="000F401E">
              <w:rPr>
                <w:spacing w:val="-4"/>
              </w:rPr>
              <w:t xml:space="preserve"> osob. Díky své váze i dynamice (+2,4 %) pomohly k růstu přidané hodnoty v celé ekonomice z terciární sféry nejvíce veřejné služby. Přispěl k tomu postupný odklon od silnějších úsporných opatření podpořený i větší aktivitou státu v oblasti aktivní politiky zaměstnanosti. Horší rok zažily peněžnictví a pojišťovnictví, kde HPH meziročně klesla o celá 3 % (proti roku 2008 však zůstávala o téměř třetinu výše, zatímco ve zpracovatelském průmyslu „jen“ o desetinu), což se odrazilo i v poklesu pracovních míst. Naopak již šest let po sobě klesá HPH těžbě, do</w:t>
            </w:r>
            <w:r w:rsidR="00DE2ED9">
              <w:rPr>
                <w:spacing w:val="-4"/>
              </w:rPr>
              <w:t>bývání a energetice, poznamenaná</w:t>
            </w:r>
            <w:r w:rsidRPr="000F401E">
              <w:rPr>
                <w:spacing w:val="-4"/>
              </w:rPr>
              <w:t xml:space="preserve"> nepříznivými cenami komodit na světových trzích, v poslední</w:t>
            </w:r>
            <w:r w:rsidR="00DE2ED9">
              <w:rPr>
                <w:spacing w:val="-4"/>
              </w:rPr>
              <w:t>ch dvou letech také</w:t>
            </w:r>
            <w:r w:rsidRPr="000F401E">
              <w:rPr>
                <w:spacing w:val="-4"/>
              </w:rPr>
              <w:t xml:space="preserve"> výkyvy</w:t>
            </w:r>
            <w:r w:rsidR="00DE2ED9">
              <w:rPr>
                <w:spacing w:val="-4"/>
              </w:rPr>
              <w:t xml:space="preserve"> počasí</w:t>
            </w:r>
            <w:r w:rsidRPr="000F401E">
              <w:rPr>
                <w:spacing w:val="-4"/>
              </w:rPr>
              <w:t>.</w:t>
            </w:r>
          </w:p>
          <w:p w:rsidR="000F401E" w:rsidRPr="000F401E" w:rsidRDefault="000F401E" w:rsidP="000F401E">
            <w:pPr>
              <w:pStyle w:val="Textpoznpodarou"/>
              <w:jc w:val="both"/>
              <w:rPr>
                <w:spacing w:val="-4"/>
                <w:sz w:val="16"/>
                <w:szCs w:val="16"/>
              </w:rPr>
            </w:pPr>
            <w:r>
              <w:rPr>
                <w:spacing w:val="-4"/>
              </w:rPr>
              <w:t xml:space="preserve"> </w:t>
            </w:r>
          </w:p>
        </w:tc>
      </w:tr>
      <w:tr w:rsidR="000F401E" w:rsidTr="000F401E">
        <w:tc>
          <w:tcPr>
            <w:tcW w:w="1091" w:type="pct"/>
          </w:tcPr>
          <w:p w:rsidR="000F401E" w:rsidRPr="000F401E" w:rsidRDefault="000F401E" w:rsidP="000F401E">
            <w:pPr>
              <w:spacing w:line="240" w:lineRule="auto"/>
              <w:rPr>
                <w:spacing w:val="-4"/>
                <w:sz w:val="16"/>
                <w:szCs w:val="16"/>
              </w:rPr>
            </w:pPr>
            <w:r w:rsidRPr="000F401E">
              <w:rPr>
                <w:spacing w:val="-4"/>
                <w:sz w:val="16"/>
                <w:szCs w:val="16"/>
              </w:rPr>
              <w:t>Produkce se zvýšila napříč té</w:t>
            </w:r>
            <w:r w:rsidR="0043068A">
              <w:rPr>
                <w:spacing w:val="-4"/>
                <w:sz w:val="16"/>
                <w:szCs w:val="16"/>
              </w:rPr>
              <w:t>měř všemi zpracovatelskými</w:t>
            </w:r>
            <w:r w:rsidRPr="000F401E">
              <w:rPr>
                <w:spacing w:val="-4"/>
                <w:sz w:val="16"/>
                <w:szCs w:val="16"/>
              </w:rPr>
              <w:t xml:space="preserve"> obory, vyjma „malých“ oborů - tiskárenství, dřevařství a oděvnictví</w:t>
            </w:r>
          </w:p>
          <w:p w:rsidR="000F401E" w:rsidRPr="000F401E" w:rsidRDefault="000F401E" w:rsidP="000F401E">
            <w:pPr>
              <w:spacing w:line="240" w:lineRule="auto"/>
              <w:rPr>
                <w:spacing w:val="-4"/>
                <w:sz w:val="16"/>
                <w:szCs w:val="16"/>
              </w:rPr>
            </w:pPr>
          </w:p>
          <w:p w:rsidR="000F401E" w:rsidRPr="000F401E" w:rsidRDefault="000F401E" w:rsidP="000F401E">
            <w:pPr>
              <w:spacing w:line="240" w:lineRule="auto"/>
              <w:rPr>
                <w:spacing w:val="-4"/>
                <w:sz w:val="16"/>
                <w:szCs w:val="16"/>
              </w:rPr>
            </w:pPr>
          </w:p>
          <w:p w:rsidR="000F401E" w:rsidRPr="000F401E" w:rsidRDefault="000F401E" w:rsidP="000F401E">
            <w:pPr>
              <w:spacing w:line="240" w:lineRule="auto"/>
              <w:rPr>
                <w:sz w:val="16"/>
                <w:szCs w:val="16"/>
              </w:rPr>
            </w:pPr>
            <w:r w:rsidRPr="000F401E">
              <w:rPr>
                <w:spacing w:val="-4"/>
                <w:sz w:val="16"/>
                <w:szCs w:val="16"/>
              </w:rPr>
              <w:t>Na prudký propad produkce v roce 2013 navázal těžební průmysl dalším meziročním poklesem (- 2,8 %), mírnější útlum dále přetrvává i v energetice (avšak bez hlubšího dopadu na zaměstnanost)</w:t>
            </w:r>
          </w:p>
        </w:tc>
        <w:tc>
          <w:tcPr>
            <w:tcW w:w="146" w:type="pct"/>
          </w:tcPr>
          <w:p w:rsidR="000F401E" w:rsidRDefault="000F401E" w:rsidP="000F401E">
            <w:pPr>
              <w:pStyle w:val="Textpoznpodarou"/>
              <w:jc w:val="both"/>
              <w:rPr>
                <w:spacing w:val="-2"/>
              </w:rPr>
            </w:pPr>
          </w:p>
        </w:tc>
        <w:tc>
          <w:tcPr>
            <w:tcW w:w="3763" w:type="pct"/>
          </w:tcPr>
          <w:p w:rsidR="000F401E" w:rsidRDefault="000F401E" w:rsidP="000F401E">
            <w:pPr>
              <w:pStyle w:val="Textpoznpodarou"/>
              <w:jc w:val="both"/>
              <w:rPr>
                <w:spacing w:val="-4"/>
              </w:rPr>
            </w:pPr>
            <w:r w:rsidRPr="00573C97">
              <w:rPr>
                <w:spacing w:val="-4"/>
              </w:rPr>
              <w:t>Výkon průmyslu</w:t>
            </w:r>
            <w:r w:rsidRPr="00170B04">
              <w:rPr>
                <w:vertAlign w:val="superscript"/>
              </w:rPr>
              <w:footnoteReference w:id="4"/>
            </w:r>
            <w:r w:rsidRPr="00573C97">
              <w:rPr>
                <w:spacing w:val="-4"/>
              </w:rPr>
              <w:t xml:space="preserve"> </w:t>
            </w:r>
            <w:r>
              <w:rPr>
                <w:spacing w:val="-4"/>
              </w:rPr>
              <w:t>(měřený indexem</w:t>
            </w:r>
            <w:r w:rsidRPr="00573C97">
              <w:rPr>
                <w:spacing w:val="-4"/>
              </w:rPr>
              <w:t xml:space="preserve"> </w:t>
            </w:r>
            <w:r w:rsidR="00C24E77">
              <w:rPr>
                <w:spacing w:val="-4"/>
              </w:rPr>
              <w:t xml:space="preserve">průmyslové </w:t>
            </w:r>
            <w:r w:rsidRPr="00573C97">
              <w:rPr>
                <w:spacing w:val="-4"/>
              </w:rPr>
              <w:t>produ</w:t>
            </w:r>
            <w:r>
              <w:rPr>
                <w:spacing w:val="-4"/>
              </w:rPr>
              <w:t>kce</w:t>
            </w:r>
            <w:r w:rsidR="00C24E77">
              <w:rPr>
                <w:spacing w:val="-4"/>
              </w:rPr>
              <w:t xml:space="preserve"> v reálném vyjádření</w:t>
            </w:r>
            <w:r>
              <w:rPr>
                <w:spacing w:val="-4"/>
              </w:rPr>
              <w:t>) za celý rok 2014 meziročně přidal téměř 5 % (po stagnaci v předchozím roce). Zatímco v</w:t>
            </w:r>
            <w:r w:rsidR="0075315D">
              <w:rPr>
                <w:spacing w:val="-4"/>
              </w:rPr>
              <w:t> prvních dvou čtvrtletích</w:t>
            </w:r>
            <w:r w:rsidR="00C24E77">
              <w:rPr>
                <w:spacing w:val="-4"/>
              </w:rPr>
              <w:t xml:space="preserve"> rostl</w:t>
            </w:r>
            <w:r w:rsidR="0075315D">
              <w:rPr>
                <w:spacing w:val="-4"/>
              </w:rPr>
              <w:t xml:space="preserve"> (po očištění o pracovní dny) shodně o více než 6 %</w:t>
            </w:r>
            <w:r>
              <w:rPr>
                <w:spacing w:val="-4"/>
              </w:rPr>
              <w:t xml:space="preserve"> %, ve druhém pololetí již narazil na silnou loňskou základnu a posílil o 3,5 %. Za růstem stálo o</w:t>
            </w:r>
            <w:r w:rsidRPr="00573C97">
              <w:rPr>
                <w:spacing w:val="-4"/>
              </w:rPr>
              <w:t xml:space="preserve">živení zahraniční poptávky, zpočátku zejména po dopravních prostředcích, </w:t>
            </w:r>
            <w:r>
              <w:rPr>
                <w:spacing w:val="-4"/>
              </w:rPr>
              <w:t xml:space="preserve">které </w:t>
            </w:r>
            <w:r w:rsidRPr="00573C97">
              <w:rPr>
                <w:spacing w:val="-4"/>
              </w:rPr>
              <w:t xml:space="preserve">se postupně přeneslo nejen </w:t>
            </w:r>
            <w:r>
              <w:rPr>
                <w:spacing w:val="-4"/>
              </w:rPr>
              <w:t xml:space="preserve">přímými </w:t>
            </w:r>
            <w:r w:rsidRPr="00573C97">
              <w:rPr>
                <w:spacing w:val="-4"/>
              </w:rPr>
              <w:t>subdodavatelskými vztahy i na většinu ostatních</w:t>
            </w:r>
            <w:r>
              <w:rPr>
                <w:spacing w:val="-4"/>
              </w:rPr>
              <w:t xml:space="preserve"> zpracovatelských oborů, a to i </w:t>
            </w:r>
            <w:r w:rsidRPr="00573C97">
              <w:rPr>
                <w:spacing w:val="-4"/>
              </w:rPr>
              <w:t>v případě domácí poptávky.</w:t>
            </w:r>
            <w:r>
              <w:rPr>
                <w:spacing w:val="-4"/>
              </w:rPr>
              <w:t xml:space="preserve"> Pod úrovní roku 2013 setrvávaly pouze produkčně okrajové obory – tiskárens</w:t>
            </w:r>
            <w:r w:rsidR="0075315D">
              <w:rPr>
                <w:spacing w:val="-4"/>
              </w:rPr>
              <w:t>tví</w:t>
            </w:r>
            <w:r>
              <w:rPr>
                <w:spacing w:val="-4"/>
              </w:rPr>
              <w:t>, dřevařs</w:t>
            </w:r>
            <w:r w:rsidR="0075315D">
              <w:rPr>
                <w:spacing w:val="-4"/>
              </w:rPr>
              <w:t>tví</w:t>
            </w:r>
            <w:r w:rsidR="00C24E77">
              <w:rPr>
                <w:spacing w:val="-4"/>
              </w:rPr>
              <w:t>,</w:t>
            </w:r>
            <w:r>
              <w:rPr>
                <w:spacing w:val="-4"/>
              </w:rPr>
              <w:t xml:space="preserve"> a</w:t>
            </w:r>
            <w:r w:rsidR="00C24E77">
              <w:rPr>
                <w:spacing w:val="-4"/>
              </w:rPr>
              <w:t>le</w:t>
            </w:r>
            <w:r>
              <w:rPr>
                <w:spacing w:val="-4"/>
              </w:rPr>
              <w:t xml:space="preserve"> zejména </w:t>
            </w:r>
            <w:r w:rsidR="00C24E77">
              <w:rPr>
                <w:spacing w:val="-4"/>
              </w:rPr>
              <w:t>oděvní průmysl</w:t>
            </w:r>
            <w:r>
              <w:rPr>
                <w:spacing w:val="-4"/>
              </w:rPr>
              <w:t>, je</w:t>
            </w:r>
            <w:r w:rsidR="00C24E77">
              <w:rPr>
                <w:spacing w:val="-4"/>
              </w:rPr>
              <w:t>hož</w:t>
            </w:r>
            <w:r>
              <w:rPr>
                <w:spacing w:val="-4"/>
              </w:rPr>
              <w:t xml:space="preserve"> produkce byla proti roku 2008 o třetinu slabší. Mimo zpracovatelský segment pokračoval v  dlouhodobých poklesech těžební průmysl (meziročně -2,8 %, proti roku 2007 o celou pětinu), s obdobnou intenzitou (a již po čtyři roky v řadě) i energetika, kde ale redukce produkční výkonnosti nebyla doprovázena razantním úbytkem pracovních míst.</w:t>
            </w:r>
          </w:p>
          <w:p w:rsidR="000F401E" w:rsidRPr="000F401E" w:rsidRDefault="000F401E" w:rsidP="000F401E">
            <w:pPr>
              <w:pStyle w:val="Textpoznpodarou"/>
              <w:jc w:val="both"/>
              <w:rPr>
                <w:spacing w:val="-4"/>
                <w:sz w:val="16"/>
                <w:szCs w:val="16"/>
              </w:rPr>
            </w:pPr>
          </w:p>
        </w:tc>
      </w:tr>
      <w:tr w:rsidR="000F401E" w:rsidTr="000F401E">
        <w:trPr>
          <w:cantSplit/>
          <w:trHeight w:val="203"/>
        </w:trPr>
        <w:tc>
          <w:tcPr>
            <w:tcW w:w="1091" w:type="pct"/>
          </w:tcPr>
          <w:p w:rsidR="000F401E" w:rsidRPr="000F401E" w:rsidRDefault="000F401E" w:rsidP="000F401E">
            <w:pPr>
              <w:spacing w:line="240" w:lineRule="auto"/>
              <w:rPr>
                <w:sz w:val="16"/>
                <w:szCs w:val="16"/>
              </w:rPr>
            </w:pPr>
            <w:r w:rsidRPr="000F401E">
              <w:rPr>
                <w:sz w:val="16"/>
                <w:szCs w:val="16"/>
              </w:rPr>
              <w:lastRenderedPageBreak/>
              <w:t>Klíčovým generátorem růstu zůstával po celý rok automobilový průmysl, který se společně s nejbližšími návaznými obory podílel na růstu produkce celého průmyslu až ze dvou třetin</w:t>
            </w:r>
          </w:p>
        </w:tc>
        <w:tc>
          <w:tcPr>
            <w:tcW w:w="146" w:type="pct"/>
          </w:tcPr>
          <w:p w:rsidR="000F401E" w:rsidRDefault="000F401E" w:rsidP="000F401E">
            <w:pPr>
              <w:rPr>
                <w:szCs w:val="16"/>
              </w:rPr>
            </w:pPr>
          </w:p>
        </w:tc>
        <w:tc>
          <w:tcPr>
            <w:tcW w:w="3763" w:type="pct"/>
          </w:tcPr>
          <w:p w:rsidR="000F401E" w:rsidRPr="000F401E" w:rsidRDefault="000F401E" w:rsidP="000F401E">
            <w:pPr>
              <w:pStyle w:val="Textpoznpodarou"/>
              <w:jc w:val="both"/>
              <w:rPr>
                <w:spacing w:val="-4"/>
              </w:rPr>
            </w:pPr>
            <w:r w:rsidRPr="000F401E">
              <w:rPr>
                <w:spacing w:val="-4"/>
              </w:rPr>
              <w:t>K meziročně vyšší produkci v celém průmyslu v roce</w:t>
            </w:r>
            <w:r w:rsidR="0075315D">
              <w:rPr>
                <w:spacing w:val="-4"/>
              </w:rPr>
              <w:t xml:space="preserve"> 2014 téměř z poloviny</w:t>
            </w:r>
            <w:r w:rsidRPr="000F401E">
              <w:rPr>
                <w:spacing w:val="-4"/>
              </w:rPr>
              <w:t xml:space="preserve"> přispěla </w:t>
            </w:r>
            <w:r w:rsidRPr="00573C97">
              <w:rPr>
                <w:spacing w:val="-4"/>
              </w:rPr>
              <w:t>výroba motorových vozidel</w:t>
            </w:r>
            <w:r w:rsidR="00471EDD">
              <w:rPr>
                <w:spacing w:val="-4"/>
              </w:rPr>
              <w:t xml:space="preserve"> spolu</w:t>
            </w:r>
            <w:r>
              <w:rPr>
                <w:spacing w:val="-4"/>
              </w:rPr>
              <w:t xml:space="preserve"> </w:t>
            </w:r>
            <w:r w:rsidR="00471EDD">
              <w:rPr>
                <w:spacing w:val="-4"/>
              </w:rPr>
              <w:t>s ostatními dopravními prostředky</w:t>
            </w:r>
            <w:r>
              <w:rPr>
                <w:spacing w:val="-4"/>
              </w:rPr>
              <w:t>,</w:t>
            </w:r>
            <w:r w:rsidRPr="00573C97">
              <w:rPr>
                <w:spacing w:val="-4"/>
              </w:rPr>
              <w:t xml:space="preserve"> </w:t>
            </w:r>
            <w:r>
              <w:rPr>
                <w:spacing w:val="-4"/>
              </w:rPr>
              <w:t>desetinu</w:t>
            </w:r>
            <w:r w:rsidRPr="00573C97">
              <w:rPr>
                <w:spacing w:val="-4"/>
              </w:rPr>
              <w:t xml:space="preserve"> </w:t>
            </w:r>
            <w:r>
              <w:rPr>
                <w:spacing w:val="-4"/>
              </w:rPr>
              <w:t>shodně přidaly</w:t>
            </w:r>
            <w:r w:rsidRPr="00573C97">
              <w:rPr>
                <w:spacing w:val="-4"/>
              </w:rPr>
              <w:t xml:space="preserve"> </w:t>
            </w:r>
            <w:r w:rsidR="00471EDD">
              <w:rPr>
                <w:spacing w:val="-4"/>
              </w:rPr>
              <w:t xml:space="preserve">i jednotlivé </w:t>
            </w:r>
            <w:r>
              <w:rPr>
                <w:spacing w:val="-4"/>
              </w:rPr>
              <w:t>subdodavatelské obory – gumárenství</w:t>
            </w:r>
            <w:r w:rsidR="0075315D">
              <w:rPr>
                <w:spacing w:val="-4"/>
              </w:rPr>
              <w:t xml:space="preserve"> (vč. </w:t>
            </w:r>
            <w:r w:rsidR="00AB440B">
              <w:rPr>
                <w:spacing w:val="-4"/>
              </w:rPr>
              <w:t> </w:t>
            </w:r>
            <w:proofErr w:type="spellStart"/>
            <w:r w:rsidRPr="00573C97">
              <w:rPr>
                <w:spacing w:val="-4"/>
              </w:rPr>
              <w:t>plastikářství</w:t>
            </w:r>
            <w:proofErr w:type="spellEnd"/>
            <w:r w:rsidR="0075315D">
              <w:rPr>
                <w:spacing w:val="-4"/>
              </w:rPr>
              <w:t>)</w:t>
            </w:r>
            <w:r w:rsidR="00AB440B">
              <w:rPr>
                <w:spacing w:val="-4"/>
              </w:rPr>
              <w:t>,</w:t>
            </w:r>
            <w:r>
              <w:rPr>
                <w:spacing w:val="-4"/>
              </w:rPr>
              <w:t xml:space="preserve"> výroba elektrických zařízení a </w:t>
            </w:r>
            <w:r w:rsidR="00A96463">
              <w:rPr>
                <w:spacing w:val="-4"/>
              </w:rPr>
              <w:t xml:space="preserve">také </w:t>
            </w:r>
            <w:r>
              <w:rPr>
                <w:spacing w:val="-4"/>
              </w:rPr>
              <w:t xml:space="preserve">kovovýroba. </w:t>
            </w:r>
            <w:r w:rsidRPr="00573C97">
              <w:rPr>
                <w:spacing w:val="-4"/>
              </w:rPr>
              <w:t>Dynamicky rostla produkce i v</w:t>
            </w:r>
            <w:r w:rsidR="0043068A">
              <w:rPr>
                <w:spacing w:val="-4"/>
              </w:rPr>
              <w:t> </w:t>
            </w:r>
            <w:proofErr w:type="spellStart"/>
            <w:r w:rsidR="0043068A">
              <w:rPr>
                <w:spacing w:val="-4"/>
              </w:rPr>
              <w:t>procyklicky</w:t>
            </w:r>
            <w:proofErr w:type="spellEnd"/>
            <w:r>
              <w:rPr>
                <w:spacing w:val="-4"/>
              </w:rPr>
              <w:t xml:space="preserve"> silně exportně orientované</w:t>
            </w:r>
            <w:r w:rsidRPr="00573C97">
              <w:rPr>
                <w:spacing w:val="-4"/>
              </w:rPr>
              <w:t xml:space="preserve"> </w:t>
            </w:r>
            <w:r>
              <w:rPr>
                <w:spacing w:val="-4"/>
              </w:rPr>
              <w:t>výrobě</w:t>
            </w:r>
            <w:r w:rsidRPr="00573C97">
              <w:rPr>
                <w:spacing w:val="-4"/>
              </w:rPr>
              <w:t xml:space="preserve"> počítačů, elektronických </w:t>
            </w:r>
            <w:r>
              <w:rPr>
                <w:spacing w:val="-4"/>
              </w:rPr>
              <w:t>a optických přístrojů (meziročně o šestinu, za dva roky o 37 %</w:t>
            </w:r>
            <w:r w:rsidRPr="00573C97">
              <w:rPr>
                <w:spacing w:val="-4"/>
              </w:rPr>
              <w:t>)</w:t>
            </w:r>
            <w:r w:rsidR="00C24E77">
              <w:rPr>
                <w:spacing w:val="-4"/>
              </w:rPr>
              <w:t xml:space="preserve"> a také </w:t>
            </w:r>
            <w:r>
              <w:rPr>
                <w:spacing w:val="-4"/>
              </w:rPr>
              <w:t>petro</w:t>
            </w:r>
            <w:r w:rsidR="00C24E77">
              <w:rPr>
                <w:spacing w:val="-4"/>
              </w:rPr>
              <w:t xml:space="preserve">chemickém i </w:t>
            </w:r>
            <w:r>
              <w:rPr>
                <w:spacing w:val="-4"/>
              </w:rPr>
              <w:t>chemickém průmyslu (</w:t>
            </w:r>
            <w:r w:rsidR="00AB440B">
              <w:rPr>
                <w:spacing w:val="-4"/>
              </w:rPr>
              <w:t>zčásti také</w:t>
            </w:r>
            <w:r>
              <w:rPr>
                <w:spacing w:val="-4"/>
              </w:rPr>
              <w:t xml:space="preserve"> vlivem omezení výroby v předešlém roce vinou povodní). Jen mírně (1,5 až 2,5 %) naopak posílily významné obory potravinářství a též hutnictví či strojírenství, jejichž většímu oživení bránily meziročně slabší tuzemské zakázky. </w:t>
            </w:r>
            <w:r w:rsidR="00471EDD">
              <w:rPr>
                <w:spacing w:val="-6"/>
              </w:rPr>
              <w:t>S</w:t>
            </w:r>
            <w:r w:rsidRPr="00471EDD">
              <w:rPr>
                <w:spacing w:val="-6"/>
              </w:rPr>
              <w:t>trojírenství společně s výrobou elektrických zařízení patřily k jediným průmyslovým oborům, jejichž produkce se v posledních pěti letech nepřetržitě zvyšovala.</w:t>
            </w:r>
          </w:p>
          <w:p w:rsidR="000F401E" w:rsidRPr="000F401E" w:rsidRDefault="000F401E" w:rsidP="000F401E">
            <w:pPr>
              <w:pStyle w:val="Textpoznpodarou"/>
              <w:jc w:val="both"/>
              <w:rPr>
                <w:spacing w:val="-4"/>
                <w:sz w:val="16"/>
                <w:szCs w:val="16"/>
              </w:rPr>
            </w:pPr>
          </w:p>
        </w:tc>
      </w:tr>
      <w:tr w:rsidR="000F401E" w:rsidTr="000F401E">
        <w:trPr>
          <w:cantSplit/>
          <w:trHeight w:val="250"/>
        </w:trPr>
        <w:tc>
          <w:tcPr>
            <w:tcW w:w="1091" w:type="pct"/>
          </w:tcPr>
          <w:p w:rsidR="000F401E" w:rsidRDefault="000F401E" w:rsidP="000F401E">
            <w:pPr>
              <w:spacing w:line="240" w:lineRule="auto"/>
              <w:rPr>
                <w:sz w:val="16"/>
                <w:szCs w:val="16"/>
              </w:rPr>
            </w:pPr>
            <w:r w:rsidRPr="00680079">
              <w:rPr>
                <w:sz w:val="16"/>
                <w:szCs w:val="16"/>
              </w:rPr>
              <w:t xml:space="preserve">Průmysl jako celek </w:t>
            </w:r>
            <w:proofErr w:type="gramStart"/>
            <w:r w:rsidRPr="00680079">
              <w:rPr>
                <w:sz w:val="16"/>
                <w:szCs w:val="16"/>
              </w:rPr>
              <w:t>ve</w:t>
            </w:r>
            <w:proofErr w:type="gramEnd"/>
            <w:r w:rsidRPr="00680079">
              <w:rPr>
                <w:sz w:val="16"/>
                <w:szCs w:val="16"/>
              </w:rPr>
              <w:t xml:space="preserve"> </w:t>
            </w:r>
          </w:p>
          <w:p w:rsidR="000F401E" w:rsidRPr="000F401E" w:rsidRDefault="000F401E" w:rsidP="000F401E">
            <w:pPr>
              <w:spacing w:line="240" w:lineRule="auto"/>
              <w:rPr>
                <w:sz w:val="16"/>
                <w:szCs w:val="16"/>
              </w:rPr>
            </w:pPr>
            <w:r>
              <w:rPr>
                <w:sz w:val="16"/>
                <w:szCs w:val="16"/>
              </w:rPr>
              <w:t>4. čtvrtletí poprvé překonal</w:t>
            </w:r>
            <w:r w:rsidRPr="00680079">
              <w:rPr>
                <w:sz w:val="16"/>
                <w:szCs w:val="16"/>
              </w:rPr>
              <w:t xml:space="preserve"> úroveň produkce</w:t>
            </w:r>
            <w:r>
              <w:rPr>
                <w:sz w:val="16"/>
                <w:szCs w:val="16"/>
              </w:rPr>
              <w:t xml:space="preserve"> z vrcholu konjunktury</w:t>
            </w:r>
            <w:r w:rsidRPr="00680079">
              <w:rPr>
                <w:sz w:val="16"/>
                <w:szCs w:val="16"/>
              </w:rPr>
              <w:t>, většina oborů však za ní stále z</w:t>
            </w:r>
            <w:r>
              <w:rPr>
                <w:sz w:val="16"/>
                <w:szCs w:val="16"/>
              </w:rPr>
              <w:t>aostávala</w:t>
            </w:r>
          </w:p>
        </w:tc>
        <w:tc>
          <w:tcPr>
            <w:tcW w:w="146" w:type="pct"/>
          </w:tcPr>
          <w:p w:rsidR="000F401E" w:rsidRDefault="000F401E" w:rsidP="000F401E">
            <w:pPr>
              <w:rPr>
                <w:szCs w:val="16"/>
              </w:rPr>
            </w:pPr>
          </w:p>
        </w:tc>
        <w:tc>
          <w:tcPr>
            <w:tcW w:w="3763" w:type="pct"/>
          </w:tcPr>
          <w:p w:rsidR="000F401E" w:rsidRDefault="000F401E" w:rsidP="000F401E">
            <w:pPr>
              <w:pStyle w:val="Textpoznpodarou"/>
              <w:jc w:val="both"/>
              <w:rPr>
                <w:spacing w:val="-4"/>
              </w:rPr>
            </w:pPr>
            <w:r>
              <w:rPr>
                <w:spacing w:val="-4"/>
              </w:rPr>
              <w:t xml:space="preserve">Na sklonku roku 2014 průmysl jako celek poprvé reálně překonal úroveň produkce z vrcholu konjunktury (počátek roku 2008). Nejvíce se o to zasloužila výroba motorových vozidel, resp. ostatních dopravních prostředků (svoji úroveň z roku 2007 překonaly o 45 %, resp. 54 %) a také související odvětví výroby elektrických zařízení (o třetinu). O čtvrtinu vyšší byla produkce i v převážně investičně zaměřených </w:t>
            </w:r>
            <w:r w:rsidRPr="000F401E">
              <w:rPr>
                <w:spacing w:val="-4"/>
              </w:rPr>
              <w:t>oborech - výroba počítačů, elektronických a optických přístrojů, resp. opravy a instalace</w:t>
            </w:r>
            <w:r w:rsidRPr="00306E3B">
              <w:rPr>
                <w:spacing w:val="-4"/>
              </w:rPr>
              <w:t xml:space="preserve"> strojů a zařízení</w:t>
            </w:r>
            <w:r>
              <w:rPr>
                <w:spacing w:val="-4"/>
              </w:rPr>
              <w:t xml:space="preserve">. Většina průmyslových oborů však předkrizové úrovně produkce nedosáhla - vedle těžby především některá menší zpracovatelská odvětví (výroba </w:t>
            </w:r>
            <w:r w:rsidRPr="000F401E">
              <w:rPr>
                <w:spacing w:val="-4"/>
              </w:rPr>
              <w:t>nápojů, textilní, oděvní, kožedělný průmysl, tiskárenství, nábytkářství), z významnějších oborů pak průmysl skla, keramiky, porcelánu a stavebních hmot</w:t>
            </w:r>
            <w:r>
              <w:rPr>
                <w:spacing w:val="-4"/>
              </w:rPr>
              <w:t xml:space="preserve"> (-23 %), potravinářství (-13 %), o desetinu také hutnictví, kovovýroba a energetika.</w:t>
            </w:r>
          </w:p>
          <w:p w:rsidR="000F401E" w:rsidRPr="000F401E" w:rsidRDefault="000F401E" w:rsidP="000F401E">
            <w:pPr>
              <w:pStyle w:val="Textpoznpodarou"/>
              <w:jc w:val="both"/>
              <w:rPr>
                <w:spacing w:val="-4"/>
                <w:sz w:val="16"/>
                <w:szCs w:val="16"/>
              </w:rPr>
            </w:pPr>
          </w:p>
        </w:tc>
      </w:tr>
      <w:tr w:rsidR="000F401E" w:rsidTr="000F401E">
        <w:trPr>
          <w:cantSplit/>
          <w:trHeight w:val="295"/>
        </w:trPr>
        <w:tc>
          <w:tcPr>
            <w:tcW w:w="1091" w:type="pct"/>
          </w:tcPr>
          <w:p w:rsidR="000F401E" w:rsidRPr="000F401E" w:rsidRDefault="000F401E" w:rsidP="000F401E">
            <w:pPr>
              <w:spacing w:line="240" w:lineRule="auto"/>
              <w:rPr>
                <w:sz w:val="16"/>
                <w:szCs w:val="16"/>
              </w:rPr>
            </w:pPr>
            <w:r w:rsidRPr="00605814">
              <w:rPr>
                <w:sz w:val="16"/>
                <w:szCs w:val="16"/>
              </w:rPr>
              <w:t>Průmysl táhly především investičně orientované obory,</w:t>
            </w:r>
            <w:r w:rsidRPr="00043E05">
              <w:rPr>
                <w:sz w:val="16"/>
                <w:szCs w:val="16"/>
              </w:rPr>
              <w:t xml:space="preserve"> zastavil se vleklý pokles produkce u odvětví </w:t>
            </w:r>
            <w:r>
              <w:rPr>
                <w:sz w:val="16"/>
                <w:szCs w:val="16"/>
              </w:rPr>
              <w:t>zaměřených</w:t>
            </w:r>
            <w:r w:rsidRPr="00043E05">
              <w:rPr>
                <w:sz w:val="16"/>
                <w:szCs w:val="16"/>
              </w:rPr>
              <w:t xml:space="preserve"> na krátkodobou spotřebu</w:t>
            </w:r>
          </w:p>
        </w:tc>
        <w:tc>
          <w:tcPr>
            <w:tcW w:w="146" w:type="pct"/>
          </w:tcPr>
          <w:p w:rsidR="000F401E" w:rsidRDefault="000F401E" w:rsidP="000F401E">
            <w:pPr>
              <w:rPr>
                <w:szCs w:val="16"/>
              </w:rPr>
            </w:pPr>
          </w:p>
        </w:tc>
        <w:tc>
          <w:tcPr>
            <w:tcW w:w="3763" w:type="pct"/>
          </w:tcPr>
          <w:p w:rsidR="000F401E" w:rsidRPr="00605814" w:rsidRDefault="000F401E" w:rsidP="000F401E">
            <w:pPr>
              <w:pStyle w:val="Textpoznpodarou"/>
              <w:jc w:val="both"/>
              <w:rPr>
                <w:spacing w:val="-4"/>
              </w:rPr>
            </w:pPr>
            <w:r w:rsidRPr="00605814">
              <w:rPr>
                <w:spacing w:val="-4"/>
              </w:rPr>
              <w:t xml:space="preserve">Podobně jako ve většině let konjunktury táhly i </w:t>
            </w:r>
            <w:r>
              <w:rPr>
                <w:spacing w:val="-4"/>
              </w:rPr>
              <w:t>v roce 2014 průmyslovou produkci</w:t>
            </w:r>
            <w:r w:rsidRPr="00605814">
              <w:rPr>
                <w:spacing w:val="-4"/>
              </w:rPr>
              <w:t xml:space="preserve"> vzhůru hlavně odvětví zaměřená na investice (+8,5 %), následovaná obory vyrábějící</w:t>
            </w:r>
            <w:r w:rsidR="0043068A">
              <w:rPr>
                <w:spacing w:val="-4"/>
              </w:rPr>
              <w:t>mi</w:t>
            </w:r>
            <w:r w:rsidRPr="00605814">
              <w:rPr>
                <w:spacing w:val="-4"/>
              </w:rPr>
              <w:t xml:space="preserve"> produkty pro dlouhodobou spotřebu (+6,2 %) či meziprodukty. Po šesti letech nepřetržitých poklesů mírně posílily (1,8 %) i obory orientované na krátkodobou spotřebu (zahrnující např. potraviny, vč. nápojů, textil, oděvy, léky, hračky). Proti konjunkturnímu roku 2007 se zvýšila produkce jen</w:t>
            </w:r>
            <w:r>
              <w:rPr>
                <w:spacing w:val="-4"/>
              </w:rPr>
              <w:t xml:space="preserve"> </w:t>
            </w:r>
            <w:r w:rsidRPr="00605814">
              <w:rPr>
                <w:spacing w:val="-4"/>
              </w:rPr>
              <w:t xml:space="preserve">u investičně orientovaných odvětví (o čtvrtinu), u produktů krátkodobé spotřeby o šestinu oslabila. </w:t>
            </w:r>
          </w:p>
          <w:p w:rsidR="000F401E" w:rsidRPr="000F401E" w:rsidRDefault="000F401E" w:rsidP="000F401E">
            <w:pPr>
              <w:pStyle w:val="Textpoznpodarou"/>
              <w:jc w:val="both"/>
              <w:rPr>
                <w:spacing w:val="-4"/>
                <w:sz w:val="16"/>
                <w:szCs w:val="16"/>
              </w:rPr>
            </w:pPr>
          </w:p>
        </w:tc>
      </w:tr>
      <w:tr w:rsidR="000F401E" w:rsidTr="000F401E">
        <w:trPr>
          <w:cantSplit/>
          <w:trHeight w:val="272"/>
        </w:trPr>
        <w:tc>
          <w:tcPr>
            <w:tcW w:w="1091" w:type="pct"/>
          </w:tcPr>
          <w:p w:rsidR="000F401E" w:rsidRDefault="000F401E" w:rsidP="000F401E">
            <w:pPr>
              <w:spacing w:line="240" w:lineRule="auto"/>
              <w:rPr>
                <w:sz w:val="16"/>
                <w:szCs w:val="16"/>
              </w:rPr>
            </w:pPr>
            <w:r>
              <w:rPr>
                <w:sz w:val="16"/>
                <w:szCs w:val="16"/>
              </w:rPr>
              <w:t>Dynamika</w:t>
            </w:r>
            <w:r w:rsidRPr="00025501">
              <w:rPr>
                <w:sz w:val="16"/>
                <w:szCs w:val="16"/>
              </w:rPr>
              <w:t xml:space="preserve"> nových </w:t>
            </w:r>
            <w:r>
              <w:rPr>
                <w:sz w:val="16"/>
                <w:szCs w:val="16"/>
              </w:rPr>
              <w:t xml:space="preserve">průmyslových </w:t>
            </w:r>
            <w:r w:rsidRPr="00025501">
              <w:rPr>
                <w:sz w:val="16"/>
                <w:szCs w:val="16"/>
              </w:rPr>
              <w:t xml:space="preserve">zakázek </w:t>
            </w:r>
            <w:r>
              <w:rPr>
                <w:sz w:val="16"/>
                <w:szCs w:val="16"/>
              </w:rPr>
              <w:t>se vrátila k dvouciferným hodnotám, a to i na tuzemském trhu</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Default="000F401E" w:rsidP="000F401E">
            <w:pPr>
              <w:spacing w:line="240" w:lineRule="auto"/>
              <w:rPr>
                <w:sz w:val="16"/>
                <w:szCs w:val="16"/>
              </w:rPr>
            </w:pPr>
            <w:r>
              <w:rPr>
                <w:sz w:val="16"/>
                <w:szCs w:val="16"/>
              </w:rPr>
              <w:t>Přetrvával vleklý pokles poptávky v oděvnictví, výrobcům počítačů naopak objednávky rostly meziročně o šestinu prakticky po celý rok</w:t>
            </w:r>
          </w:p>
          <w:p w:rsidR="000F401E" w:rsidRPr="000F401E" w:rsidRDefault="000F401E" w:rsidP="000F401E">
            <w:pPr>
              <w:spacing w:line="240" w:lineRule="auto"/>
              <w:rPr>
                <w:sz w:val="16"/>
                <w:szCs w:val="16"/>
              </w:rPr>
            </w:pPr>
          </w:p>
        </w:tc>
        <w:tc>
          <w:tcPr>
            <w:tcW w:w="146" w:type="pct"/>
          </w:tcPr>
          <w:p w:rsidR="000F401E" w:rsidRDefault="000F401E" w:rsidP="000F401E">
            <w:pPr>
              <w:rPr>
                <w:szCs w:val="16"/>
              </w:rPr>
            </w:pPr>
          </w:p>
        </w:tc>
        <w:tc>
          <w:tcPr>
            <w:tcW w:w="3763" w:type="pct"/>
          </w:tcPr>
          <w:p w:rsidR="000F401E" w:rsidRPr="000F401E" w:rsidRDefault="000F401E" w:rsidP="000F401E">
            <w:pPr>
              <w:pStyle w:val="Textpoznpodarou"/>
              <w:jc w:val="both"/>
              <w:rPr>
                <w:spacing w:val="-4"/>
              </w:rPr>
            </w:pPr>
            <w:r w:rsidRPr="000F401E">
              <w:rPr>
                <w:spacing w:val="-4"/>
              </w:rPr>
              <w:t>Příznivé vyhlídky průmyslu dokládají i nové zakázky. Ty v roce 2014 meziročně zrychlily o osminu (nejvíce od roku 2010). Na rozdíl od předchozích let dynamika váhově méně významných tuzemských zakázek (+10,5 %) za těmi zahraničním prakticky nezaostala. Jediné obory bez významnějších růstových „zakázkových“ impulsů zůstaly oděvnictví (s poklesem hodnoty zakázek dvanáct let v řadě) a farmacie (kde mírný růst zakázek ze zahraničí stačil pouze vyrovnat tradiční hlubší poklesy domácí poptávky). Nejvyšší dynamikou zakázek disponoval automobilový průmysl a též výrobci počítačů. Tempo růstu zakázek v průběhu roku 2014 vlivem přechodu na vysokou loňskou základnu sláblo (z 20,3 % v 1. čtvrtletí na 6,5 % v posledním kvartále), stabilní růstovou dynamiku si udržely pouze chemický a strojírenský průmysl a výrobci počítačů.</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Default="000F401E" w:rsidP="000F401E">
            <w:pPr>
              <w:spacing w:line="240" w:lineRule="auto"/>
              <w:rPr>
                <w:sz w:val="16"/>
                <w:szCs w:val="16"/>
              </w:rPr>
            </w:pPr>
            <w:r>
              <w:rPr>
                <w:sz w:val="16"/>
                <w:szCs w:val="16"/>
              </w:rPr>
              <w:t>Meziroční dynamika průmyslové produkce v ČR byla v roce 2014 ze zemí EU čtvrtá nejvyšší, nejsilnější růst v EU dlouhodobě ve středoevropském regionu a Pobaltí</w:t>
            </w:r>
          </w:p>
          <w:p w:rsidR="000F401E" w:rsidRDefault="000F401E" w:rsidP="000F401E">
            <w:pPr>
              <w:spacing w:line="240" w:lineRule="auto"/>
              <w:rPr>
                <w:sz w:val="16"/>
                <w:szCs w:val="16"/>
              </w:rPr>
            </w:pPr>
          </w:p>
          <w:p w:rsidR="000F401E" w:rsidRDefault="000F401E" w:rsidP="000F401E">
            <w:pPr>
              <w:spacing w:line="240" w:lineRule="auto"/>
              <w:rPr>
                <w:sz w:val="16"/>
                <w:szCs w:val="16"/>
              </w:rPr>
            </w:pPr>
          </w:p>
        </w:tc>
        <w:tc>
          <w:tcPr>
            <w:tcW w:w="146" w:type="pct"/>
          </w:tcPr>
          <w:p w:rsidR="000F401E" w:rsidRDefault="000F401E" w:rsidP="000F401E">
            <w:pPr>
              <w:rPr>
                <w:sz w:val="16"/>
                <w:szCs w:val="16"/>
              </w:rPr>
            </w:pPr>
          </w:p>
        </w:tc>
        <w:tc>
          <w:tcPr>
            <w:tcW w:w="3763" w:type="pct"/>
          </w:tcPr>
          <w:p w:rsidR="000F401E" w:rsidRDefault="000F401E" w:rsidP="000F401E">
            <w:pPr>
              <w:pStyle w:val="Textpoznpodarou"/>
              <w:jc w:val="both"/>
              <w:rPr>
                <w:spacing w:val="-4"/>
              </w:rPr>
            </w:pPr>
            <w:r>
              <w:rPr>
                <w:spacing w:val="-4"/>
              </w:rPr>
              <w:t>Dynamiku průmyslo</w:t>
            </w:r>
            <w:r w:rsidR="0075315D">
              <w:rPr>
                <w:spacing w:val="-4"/>
              </w:rPr>
              <w:t>vé produkce ČR v roce 2014 (+4,9</w:t>
            </w:r>
            <w:r>
              <w:rPr>
                <w:spacing w:val="-4"/>
              </w:rPr>
              <w:t xml:space="preserve"> % meziročně) předčily ze zemí EU28 pouze Maďarsko (+7 %), Lucembursku a rychle se zotavující Irsko (+20</w:t>
            </w:r>
            <w:r w:rsidRPr="000F401E">
              <w:rPr>
                <w:spacing w:val="-4"/>
              </w:rPr>
              <w:t> </w:t>
            </w:r>
            <w:r>
              <w:rPr>
                <w:spacing w:val="-4"/>
              </w:rPr>
              <w:t xml:space="preserve">%). Průmysl v ČR svými růstovými tempy dlouhodobě převyšuje země </w:t>
            </w:r>
            <w:proofErr w:type="spellStart"/>
            <w:r>
              <w:rPr>
                <w:spacing w:val="-4"/>
              </w:rPr>
              <w:t>eurozóny</w:t>
            </w:r>
            <w:proofErr w:type="spellEnd"/>
            <w:r>
              <w:rPr>
                <w:spacing w:val="-4"/>
              </w:rPr>
              <w:t xml:space="preserve"> i celou EU (vyjma roku 2008). Úroveň produkce roku 2007 průmysl překonal již v jedenácti zemích, nejvíce na Slovensku (+29 %) a v Polsku (o čtvrtinu) a Irsku (o šestinu). V Německu, podobně jako v ČR či Maďarsku, tuto metu těsně překonal právě v roce 2014. V celé EU byl nižší o téměř desetinu, především vinou jihoevropských zemí – v Itálii klesl o čtvrtinu, v Řecku a Španělsku bezmála o třetinu. </w:t>
            </w:r>
          </w:p>
          <w:p w:rsidR="000F401E" w:rsidRPr="000F401E" w:rsidRDefault="000F401E" w:rsidP="000F401E">
            <w:pPr>
              <w:pStyle w:val="Textpoznpodarou"/>
              <w:jc w:val="both"/>
              <w:rPr>
                <w:spacing w:val="-4"/>
                <w:sz w:val="16"/>
                <w:szCs w:val="16"/>
              </w:rPr>
            </w:pPr>
          </w:p>
        </w:tc>
      </w:tr>
      <w:tr w:rsidR="000F401E" w:rsidTr="000F401E">
        <w:trPr>
          <w:cantSplit/>
          <w:trHeight w:val="110"/>
        </w:trPr>
        <w:tc>
          <w:tcPr>
            <w:tcW w:w="1091" w:type="pct"/>
          </w:tcPr>
          <w:p w:rsidR="000F401E" w:rsidRDefault="0043068A" w:rsidP="000F401E">
            <w:pPr>
              <w:spacing w:line="240" w:lineRule="auto"/>
              <w:rPr>
                <w:sz w:val="16"/>
                <w:szCs w:val="16"/>
              </w:rPr>
            </w:pPr>
            <w:r>
              <w:rPr>
                <w:sz w:val="16"/>
                <w:szCs w:val="16"/>
              </w:rPr>
              <w:t xml:space="preserve">První růst </w:t>
            </w:r>
            <w:r w:rsidR="000F401E">
              <w:rPr>
                <w:sz w:val="16"/>
                <w:szCs w:val="16"/>
              </w:rPr>
              <w:t xml:space="preserve">produkce </w:t>
            </w:r>
            <w:r>
              <w:rPr>
                <w:sz w:val="16"/>
                <w:szCs w:val="16"/>
              </w:rPr>
              <w:t xml:space="preserve">stavebnictví </w:t>
            </w:r>
            <w:r w:rsidR="000F401E">
              <w:rPr>
                <w:sz w:val="16"/>
                <w:szCs w:val="16"/>
              </w:rPr>
              <w:t>po šesti letech,</w:t>
            </w:r>
          </w:p>
          <w:p w:rsidR="0043068A" w:rsidRDefault="0043068A" w:rsidP="000F401E">
            <w:pPr>
              <w:spacing w:line="240" w:lineRule="auto"/>
              <w:rPr>
                <w:sz w:val="16"/>
                <w:szCs w:val="16"/>
              </w:rPr>
            </w:pPr>
            <w:r>
              <w:rPr>
                <w:sz w:val="16"/>
                <w:szCs w:val="16"/>
              </w:rPr>
              <w:t>mezi roky 2007 a 2013 propadla o</w:t>
            </w:r>
            <w:r w:rsidR="000F401E">
              <w:rPr>
                <w:sz w:val="16"/>
                <w:szCs w:val="16"/>
              </w:rPr>
              <w:t xml:space="preserve"> 27 % v pozemním stavitelství </w:t>
            </w:r>
          </w:p>
          <w:p w:rsidR="000F401E" w:rsidRDefault="000F401E" w:rsidP="000F401E">
            <w:pPr>
              <w:spacing w:line="240" w:lineRule="auto"/>
              <w:rPr>
                <w:sz w:val="16"/>
                <w:szCs w:val="16"/>
              </w:rPr>
            </w:pPr>
            <w:r>
              <w:rPr>
                <w:sz w:val="16"/>
                <w:szCs w:val="16"/>
              </w:rPr>
              <w:t>a o 16 % v inženýrském</w:t>
            </w:r>
          </w:p>
        </w:tc>
        <w:tc>
          <w:tcPr>
            <w:tcW w:w="146" w:type="pct"/>
          </w:tcPr>
          <w:p w:rsidR="000F401E" w:rsidRDefault="000F401E" w:rsidP="000F401E">
            <w:pPr>
              <w:rPr>
                <w:sz w:val="16"/>
                <w:szCs w:val="16"/>
              </w:rPr>
            </w:pPr>
          </w:p>
        </w:tc>
        <w:tc>
          <w:tcPr>
            <w:tcW w:w="3763" w:type="pct"/>
          </w:tcPr>
          <w:p w:rsidR="000F401E" w:rsidRPr="000F401E" w:rsidRDefault="000F401E" w:rsidP="000F401E">
            <w:pPr>
              <w:pStyle w:val="Textpoznpodarou"/>
              <w:jc w:val="both"/>
              <w:rPr>
                <w:spacing w:val="-4"/>
              </w:rPr>
            </w:pPr>
            <w:r w:rsidRPr="000F401E">
              <w:rPr>
                <w:spacing w:val="-4"/>
              </w:rPr>
              <w:t>Rok 2014 lze z pohledu stavebnictví označit za období obratu. Stavební produkce poprvé po šesti nepříznivých letech v řadě (ve kterých se v úhrnu hlavně vlivem pozemního stavitelství smrskla o téměř čtvrtinu) meziročně posílila o 4,3 %. Poprvé od roku 2006 se dařilo oběma hlavním oborům, když váhově významnější pozemní stavitelství (+3,4 %) mírně zaostalo za inženýrským stavitelstvím (+6,4 %), jehož růst, sycený zakázkami velkých dopravních staveb, byl během roku rovnoměrnější. Oběma oborům pomohla mírnější zima, byť se vyskytla již podruhé v řadě.</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Pr="000F401E" w:rsidRDefault="000F401E" w:rsidP="000F401E">
            <w:pPr>
              <w:spacing w:line="240" w:lineRule="auto"/>
              <w:rPr>
                <w:sz w:val="16"/>
                <w:szCs w:val="16"/>
              </w:rPr>
            </w:pPr>
            <w:r w:rsidRPr="000F401E">
              <w:rPr>
                <w:sz w:val="16"/>
                <w:szCs w:val="16"/>
              </w:rPr>
              <w:t xml:space="preserve">Vysoký meziroční růst zakázek v inženýrském </w:t>
            </w:r>
            <w:r w:rsidRPr="000F401E">
              <w:rPr>
                <w:sz w:val="16"/>
                <w:szCs w:val="16"/>
              </w:rPr>
              <w:lastRenderedPageBreak/>
              <w:t>stavitelství souvisel s realizací významných dopravních staveb podpořených i ze zdrojů EU</w:t>
            </w:r>
          </w:p>
          <w:p w:rsidR="000F401E" w:rsidRPr="000F401E" w:rsidRDefault="000F401E" w:rsidP="000F401E">
            <w:pPr>
              <w:spacing w:line="240" w:lineRule="auto"/>
              <w:rPr>
                <w:sz w:val="16"/>
                <w:szCs w:val="16"/>
              </w:rPr>
            </w:pPr>
          </w:p>
          <w:p w:rsidR="000F401E" w:rsidRPr="000F401E" w:rsidRDefault="000F401E" w:rsidP="000F401E">
            <w:pPr>
              <w:spacing w:line="240" w:lineRule="auto"/>
              <w:rPr>
                <w:sz w:val="16"/>
                <w:szCs w:val="16"/>
              </w:rPr>
            </w:pPr>
            <w:r w:rsidRPr="000F401E">
              <w:rPr>
                <w:sz w:val="16"/>
                <w:szCs w:val="16"/>
              </w:rPr>
              <w:t>Počet dokončených bytů klesl na úroveň roku 1999, nová výstavba ožívá dosud navzdory příznivé situaci na hypotečním trhu i nižším cenám stavebních prací obezřetně</w:t>
            </w:r>
          </w:p>
          <w:p w:rsidR="000F401E" w:rsidRDefault="000F401E" w:rsidP="000F401E">
            <w:pPr>
              <w:spacing w:line="240" w:lineRule="auto"/>
              <w:rPr>
                <w:sz w:val="16"/>
                <w:szCs w:val="16"/>
              </w:rPr>
            </w:pPr>
          </w:p>
        </w:tc>
        <w:tc>
          <w:tcPr>
            <w:tcW w:w="146" w:type="pct"/>
          </w:tcPr>
          <w:p w:rsidR="000F401E" w:rsidRDefault="000F401E" w:rsidP="000F401E">
            <w:pPr>
              <w:rPr>
                <w:sz w:val="16"/>
                <w:szCs w:val="16"/>
              </w:rPr>
            </w:pPr>
          </w:p>
        </w:tc>
        <w:tc>
          <w:tcPr>
            <w:tcW w:w="3763" w:type="pct"/>
          </w:tcPr>
          <w:p w:rsidR="000F401E" w:rsidRPr="000F401E" w:rsidRDefault="000F401E" w:rsidP="000F401E">
            <w:pPr>
              <w:pStyle w:val="Textpoznpodarou"/>
              <w:jc w:val="both"/>
              <w:rPr>
                <w:spacing w:val="-4"/>
              </w:rPr>
            </w:pPr>
            <w:r>
              <w:rPr>
                <w:spacing w:val="-4"/>
              </w:rPr>
              <w:t xml:space="preserve">Podstatnější roli však nepochybně sehrálo výrazně oživení stavebních zakázek, pozorovatelné v inženýrském stavitelství již od poloviny roku 2013 (hodnota nových </w:t>
            </w:r>
            <w:r>
              <w:rPr>
                <w:spacing w:val="-4"/>
              </w:rPr>
              <w:lastRenderedPageBreak/>
              <w:t xml:space="preserve">zakázek u podniků s 50 a víc zaměstnanci v tomto oboru </w:t>
            </w:r>
            <w:r w:rsidR="0075315D">
              <w:rPr>
                <w:spacing w:val="-4"/>
              </w:rPr>
              <w:t>meziročně posílila o vysokých 41</w:t>
            </w:r>
            <w:r>
              <w:rPr>
                <w:spacing w:val="-4"/>
              </w:rPr>
              <w:t xml:space="preserve"> %, avšak u pozemního stavitelství prakticky pouze stagnovala). Většímu rozmachu pozemního stavitelství zatím bránil velmi opatrný „rozjezd“ nové bytové výstavby. Počet zahájených bytů v roce 2014 proti extrémně nízké loňské základně (nejnižší od roku 1996) sice o desetinu vzrostl, proti vrcholu „stavební“ konjunktury však byly o 45 % nižší. Citelnější meziroční posun u zahájených bytů nastal v roce 2014 pouze u bytových domů </w:t>
            </w:r>
            <w:r w:rsidR="0043068A">
              <w:rPr>
                <w:spacing w:val="-4"/>
              </w:rPr>
              <w:t>(+1,8 tis., na nejvyšší úroveň z</w:t>
            </w:r>
            <w:r>
              <w:rPr>
                <w:spacing w:val="-4"/>
              </w:rPr>
              <w:t>a posledních pět let), částečně i u nebytových budov, z regionů pak v Praze a Jihomoravské</w:t>
            </w:r>
            <w:r w:rsidR="0043068A">
              <w:rPr>
                <w:spacing w:val="-4"/>
              </w:rPr>
              <w:t>m</w:t>
            </w:r>
            <w:r>
              <w:rPr>
                <w:spacing w:val="-4"/>
              </w:rPr>
              <w:t xml:space="preserve"> kraji. Počet </w:t>
            </w:r>
            <w:r w:rsidRPr="000F401E">
              <w:rPr>
                <w:spacing w:val="-6"/>
              </w:rPr>
              <w:t>dokončených bytů v ČR stále setrvačně klesal (-5 %) na ne</w:t>
            </w:r>
            <w:r w:rsidR="0043068A">
              <w:rPr>
                <w:spacing w:val="-6"/>
              </w:rPr>
              <w:t>j</w:t>
            </w:r>
            <w:r w:rsidRPr="000F401E">
              <w:rPr>
                <w:spacing w:val="-6"/>
              </w:rPr>
              <w:t>nižší úroveň od roku 1999. Vysokých 37 % bytů bylo v roce 2014 dokončeno v Praze a středních Čechách.</w:t>
            </w:r>
            <w:r w:rsidRPr="000F401E">
              <w:rPr>
                <w:spacing w:val="-4"/>
              </w:rPr>
              <w:t xml:space="preserve"> </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Pr="000F401E" w:rsidRDefault="000F401E" w:rsidP="000F401E">
            <w:pPr>
              <w:spacing w:line="240" w:lineRule="auto"/>
              <w:rPr>
                <w:sz w:val="16"/>
                <w:szCs w:val="16"/>
              </w:rPr>
            </w:pPr>
            <w:r w:rsidRPr="000F401E">
              <w:rPr>
                <w:sz w:val="16"/>
                <w:szCs w:val="16"/>
              </w:rPr>
              <w:lastRenderedPageBreak/>
              <w:t>Pět let trvající pokles průměrné hodnoty jedné nově uzavřené stavební zakázky se v roce 2014 zastavil</w:t>
            </w:r>
          </w:p>
        </w:tc>
        <w:tc>
          <w:tcPr>
            <w:tcW w:w="146" w:type="pct"/>
          </w:tcPr>
          <w:p w:rsidR="000F401E" w:rsidRDefault="000F401E" w:rsidP="000F401E">
            <w:pPr>
              <w:pStyle w:val="Textpoznpodarou"/>
              <w:jc w:val="both"/>
            </w:pPr>
          </w:p>
        </w:tc>
        <w:tc>
          <w:tcPr>
            <w:tcW w:w="3763" w:type="pct"/>
          </w:tcPr>
          <w:p w:rsidR="000F401E" w:rsidRDefault="000F401E" w:rsidP="000F401E">
            <w:pPr>
              <w:pStyle w:val="Textpoznpodarou"/>
              <w:jc w:val="both"/>
              <w:rPr>
                <w:spacing w:val="-4"/>
              </w:rPr>
            </w:pPr>
            <w:r w:rsidRPr="00FD1261">
              <w:rPr>
                <w:spacing w:val="-4"/>
              </w:rPr>
              <w:t>Oži</w:t>
            </w:r>
            <w:r>
              <w:rPr>
                <w:spacing w:val="-4"/>
              </w:rPr>
              <w:t>vení výstavby větších (hlavně</w:t>
            </w:r>
            <w:r w:rsidRPr="00FD1261">
              <w:rPr>
                <w:spacing w:val="-4"/>
              </w:rPr>
              <w:t xml:space="preserve"> dopravních) staveb </w:t>
            </w:r>
            <w:r>
              <w:rPr>
                <w:spacing w:val="-4"/>
              </w:rPr>
              <w:t xml:space="preserve">se zrcadlí v </w:t>
            </w:r>
            <w:r w:rsidRPr="00FD1261">
              <w:rPr>
                <w:spacing w:val="-4"/>
              </w:rPr>
              <w:t xml:space="preserve">i </w:t>
            </w:r>
            <w:r>
              <w:rPr>
                <w:spacing w:val="-4"/>
              </w:rPr>
              <w:t>pozvolném růstu</w:t>
            </w:r>
            <w:r w:rsidRPr="00FD1261">
              <w:rPr>
                <w:spacing w:val="-4"/>
              </w:rPr>
              <w:t xml:space="preserve"> průměrné hodnoty na jednu nově uzavřenou zakázku (z 3,6 mil. korun v roce 2013 </w:t>
            </w:r>
            <w:r>
              <w:rPr>
                <w:spacing w:val="-4"/>
              </w:rPr>
              <w:t>na 4 mil. korun o rok později), podobně jako u orientační hodnoty na</w:t>
            </w:r>
            <w:r w:rsidRPr="00A14821">
              <w:rPr>
                <w:spacing w:val="-4"/>
              </w:rPr>
              <w:t xml:space="preserve"> </w:t>
            </w:r>
            <w:r>
              <w:rPr>
                <w:spacing w:val="-4"/>
              </w:rPr>
              <w:t xml:space="preserve">jedno </w:t>
            </w:r>
            <w:r w:rsidRPr="00A14821">
              <w:rPr>
                <w:spacing w:val="-4"/>
              </w:rPr>
              <w:t>vydané stavební povolení</w:t>
            </w:r>
            <w:r>
              <w:rPr>
                <w:spacing w:val="-4"/>
              </w:rPr>
              <w:t xml:space="preserve"> (hlavně u bytových budov). Vyšší byla meziročně i celková zásoba dosud nerealizovaných stavebních zakázek, především vlivem vyšších obje</w:t>
            </w:r>
            <w:r w:rsidR="0075315D">
              <w:rPr>
                <w:spacing w:val="-4"/>
              </w:rPr>
              <w:t>dnávek od veřejného sektoru (+23</w:t>
            </w:r>
            <w:r>
              <w:rPr>
                <w:spacing w:val="-4"/>
              </w:rPr>
              <w:t xml:space="preserve"> %), zčásti i v posledních třech letech dynamicky rostoucí poptávky ze zahraničí (v portfoliu zakázek stavebních firem tvořila na konci roku 2014 již pětinu). Nominální hodnota veřejných stavebních zakázek však byla proti konci roku 2006 nižší o</w:t>
            </w:r>
            <w:r w:rsidR="0075315D">
              <w:rPr>
                <w:spacing w:val="-4"/>
              </w:rPr>
              <w:t xml:space="preserve"> 43 %, u soukromých zakázek o 22</w:t>
            </w:r>
            <w:r>
              <w:rPr>
                <w:spacing w:val="-4"/>
              </w:rPr>
              <w:t xml:space="preserve"> %. </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Pr="000F401E" w:rsidRDefault="000F401E" w:rsidP="000F401E">
            <w:pPr>
              <w:spacing w:line="240" w:lineRule="auto"/>
              <w:rPr>
                <w:sz w:val="16"/>
                <w:szCs w:val="16"/>
              </w:rPr>
            </w:pPr>
            <w:r w:rsidRPr="000F401E">
              <w:rPr>
                <w:sz w:val="16"/>
                <w:szCs w:val="16"/>
              </w:rPr>
              <w:t>Obnovení růstu zásoby stavebních zakázek přispívá ke stabilizaci zaměstnanosti ve stavebnictví zatím jen pozvolna, dynamika mezd ve stavebnictví v posledních pěti letech zaostala za tempy v celé podnikatelské sféře</w:t>
            </w:r>
          </w:p>
        </w:tc>
        <w:tc>
          <w:tcPr>
            <w:tcW w:w="146" w:type="pct"/>
          </w:tcPr>
          <w:p w:rsidR="000F401E" w:rsidRDefault="000F401E" w:rsidP="000F401E">
            <w:pPr>
              <w:pStyle w:val="Textpoznpodarou"/>
              <w:jc w:val="both"/>
            </w:pPr>
          </w:p>
        </w:tc>
        <w:tc>
          <w:tcPr>
            <w:tcW w:w="3763" w:type="pct"/>
          </w:tcPr>
          <w:p w:rsidR="000F401E" w:rsidRPr="00877E5D" w:rsidRDefault="000F401E" w:rsidP="000F401E">
            <w:pPr>
              <w:pStyle w:val="Textpoznpodarou"/>
              <w:jc w:val="both"/>
              <w:rPr>
                <w:spacing w:val="-4"/>
              </w:rPr>
            </w:pPr>
            <w:r>
              <w:rPr>
                <w:spacing w:val="-4"/>
              </w:rPr>
              <w:t xml:space="preserve">Vleklá „recese“ stavebnictví se setrvačně projevuje pokračující redukcí evidenčního počtu zaměstnanců (v roce 2014 o 5 %), a to vč. středních a větších firem. Proti roku 2008 ztratilo odvětví (ve fyzických </w:t>
            </w:r>
            <w:proofErr w:type="gramStart"/>
            <w:r>
              <w:rPr>
                <w:spacing w:val="-4"/>
              </w:rPr>
              <w:t>os</w:t>
            </w:r>
            <w:proofErr w:type="gramEnd"/>
            <w:r>
              <w:rPr>
                <w:spacing w:val="-4"/>
              </w:rPr>
              <w:t>.) přes 60 tisíc zaměstnanců. I přes významný posun zůstává dle konjunkturálních šetření h</w:t>
            </w:r>
            <w:r w:rsidRPr="00877E5D">
              <w:rPr>
                <w:spacing w:val="-4"/>
              </w:rPr>
              <w:t>lavním faktorem limitujícím stavební aktivitu nedostatečná poptávka</w:t>
            </w:r>
            <w:r>
              <w:rPr>
                <w:spacing w:val="-4"/>
              </w:rPr>
              <w:t xml:space="preserve"> (v prosinci 2013 v 83 % případů, o rok později 68 %). Pokles počtu zaměstnanců v příštích třech měsících očekávala na sklonku roku 2014 třetina stavebních podniků (8,5 % dokonce růst), před rokem dokonce 45 %.</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Default="000F401E" w:rsidP="000F401E">
            <w:pPr>
              <w:spacing w:line="240" w:lineRule="auto"/>
              <w:rPr>
                <w:sz w:val="16"/>
                <w:szCs w:val="16"/>
              </w:rPr>
            </w:pPr>
            <w:r>
              <w:rPr>
                <w:sz w:val="16"/>
                <w:szCs w:val="16"/>
              </w:rPr>
              <w:t>Meziroční dynamika stavební produkce v ČR po čtyřech letech opět příznivější než v celé EU</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Default="000F401E" w:rsidP="000F401E">
            <w:pPr>
              <w:spacing w:line="240" w:lineRule="auto"/>
              <w:rPr>
                <w:sz w:val="16"/>
                <w:szCs w:val="16"/>
              </w:rPr>
            </w:pPr>
          </w:p>
        </w:tc>
        <w:tc>
          <w:tcPr>
            <w:tcW w:w="146" w:type="pct"/>
          </w:tcPr>
          <w:p w:rsidR="000F401E" w:rsidRDefault="000F401E" w:rsidP="000F401E">
            <w:pPr>
              <w:pStyle w:val="Textpoznpodarou"/>
              <w:jc w:val="both"/>
              <w:rPr>
                <w:spacing w:val="-2"/>
              </w:rPr>
            </w:pPr>
          </w:p>
        </w:tc>
        <w:tc>
          <w:tcPr>
            <w:tcW w:w="3763" w:type="pct"/>
          </w:tcPr>
          <w:p w:rsidR="000F401E" w:rsidRDefault="000F401E" w:rsidP="000F401E">
            <w:pPr>
              <w:pStyle w:val="Textpoznpodarou"/>
              <w:jc w:val="both"/>
              <w:rPr>
                <w:spacing w:val="-4"/>
              </w:rPr>
            </w:pPr>
            <w:r>
              <w:rPr>
                <w:spacing w:val="-4"/>
              </w:rPr>
              <w:t>Dynamika stavební produkce byla na rozdíl od předchozích čtyř let v ČR (+4,3 %) příznivější než v celé EU (+3 %), kterou v roce 2014 táhly vzhůru zejména Velká Británie a Španělsko. Proti vrcholu konjunktury (rok 2007) ubrala produkce v ČR reálně pětinu, shodně jako v celé EU. Tuto úroveň v roce 2014 překonalo jen pět členských zemí (Německo o 8 %, Polsku o 22 %), výrazně hlubší byla na Slovensku (-26 %) a hlavně v jihoevropských státech (Španělsko -46 %, Itálie – 38 %) a Irsku.</w:t>
            </w:r>
          </w:p>
          <w:p w:rsidR="000F401E" w:rsidRPr="00A96463" w:rsidRDefault="000F401E" w:rsidP="000F401E">
            <w:pPr>
              <w:pStyle w:val="Textpoznpodarou"/>
              <w:jc w:val="both"/>
              <w:rPr>
                <w:spacing w:val="-4"/>
                <w:sz w:val="16"/>
                <w:szCs w:val="16"/>
              </w:rPr>
            </w:pPr>
            <w:r>
              <w:rPr>
                <w:spacing w:val="-4"/>
              </w:rPr>
              <w:t xml:space="preserve"> </w:t>
            </w:r>
          </w:p>
        </w:tc>
      </w:tr>
      <w:tr w:rsidR="000F401E" w:rsidTr="000F401E">
        <w:tc>
          <w:tcPr>
            <w:tcW w:w="1091" w:type="pct"/>
          </w:tcPr>
          <w:p w:rsidR="000F401E" w:rsidRDefault="000F401E" w:rsidP="000F401E">
            <w:pPr>
              <w:spacing w:line="240" w:lineRule="auto"/>
              <w:rPr>
                <w:sz w:val="16"/>
                <w:szCs w:val="16"/>
              </w:rPr>
            </w:pPr>
            <w:r>
              <w:rPr>
                <w:sz w:val="16"/>
                <w:szCs w:val="16"/>
              </w:rPr>
              <w:t>Vyšší tržby ve službách poprvé od roku 2008 vlivem dlouhodobého růstu váhově významné dopravy a skladování</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Default="000F401E" w:rsidP="000F401E">
            <w:pPr>
              <w:spacing w:line="240" w:lineRule="auto"/>
              <w:rPr>
                <w:sz w:val="16"/>
                <w:szCs w:val="16"/>
              </w:rPr>
            </w:pPr>
            <w:r>
              <w:rPr>
                <w:sz w:val="16"/>
                <w:szCs w:val="16"/>
              </w:rPr>
              <w:t xml:space="preserve">Ve 4. kvartále přerušen dvanáct </w:t>
            </w:r>
            <w:r w:rsidR="00AB440B">
              <w:rPr>
                <w:sz w:val="16"/>
                <w:szCs w:val="16"/>
              </w:rPr>
              <w:t>čtvrtletí</w:t>
            </w:r>
            <w:r>
              <w:rPr>
                <w:sz w:val="16"/>
                <w:szCs w:val="16"/>
              </w:rPr>
              <w:t xml:space="preserve"> trvající růst ve skladování, zpomalení meziroční dynamiky i v pozemní dopravě</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Default="000F401E" w:rsidP="000F401E">
            <w:pPr>
              <w:spacing w:line="240" w:lineRule="auto"/>
              <w:rPr>
                <w:sz w:val="16"/>
                <w:szCs w:val="16"/>
              </w:rPr>
            </w:pPr>
            <w:r>
              <w:rPr>
                <w:sz w:val="16"/>
                <w:szCs w:val="16"/>
              </w:rPr>
              <w:t>Po pěti letech zastaveny hluboké poklesy tržeb u reklamních činností, silný růst u pracovních agentur pokračoval</w:t>
            </w:r>
          </w:p>
        </w:tc>
        <w:tc>
          <w:tcPr>
            <w:tcW w:w="146" w:type="pct"/>
          </w:tcPr>
          <w:p w:rsidR="000F401E" w:rsidRDefault="000F401E" w:rsidP="000F401E">
            <w:pPr>
              <w:pStyle w:val="Textpoznpodarou"/>
              <w:jc w:val="both"/>
            </w:pPr>
          </w:p>
        </w:tc>
        <w:tc>
          <w:tcPr>
            <w:tcW w:w="3763" w:type="pct"/>
          </w:tcPr>
          <w:p w:rsidR="000F401E" w:rsidRPr="000F401E" w:rsidRDefault="000F401E" w:rsidP="000F401E">
            <w:pPr>
              <w:pStyle w:val="Textpoznpodarou"/>
              <w:jc w:val="both"/>
              <w:rPr>
                <w:spacing w:val="-4"/>
              </w:rPr>
            </w:pPr>
            <w:r w:rsidRPr="000F401E">
              <w:rPr>
                <w:spacing w:val="-4"/>
              </w:rPr>
              <w:t>Tržby ve vybraných službách</w:t>
            </w:r>
            <w:r w:rsidRPr="00170B04">
              <w:rPr>
                <w:vertAlign w:val="superscript"/>
              </w:rPr>
              <w:footnoteReference w:id="5"/>
            </w:r>
            <w:r w:rsidRPr="000F401E">
              <w:rPr>
                <w:spacing w:val="-4"/>
              </w:rPr>
              <w:t xml:space="preserve"> zaznamenaly v roce 2014 první meziroční růst (0,6 %) od propuknutí hluboké recese. Dařilo se zejména oborům, jejichž tržby rostou dlouhodobě, a většinou již přesáhly „předkrizovou úroveň“. V posledním čtvrtletí </w:t>
            </w:r>
            <w:proofErr w:type="gramStart"/>
            <w:r w:rsidRPr="000F401E">
              <w:rPr>
                <w:spacing w:val="-4"/>
              </w:rPr>
              <w:t>2014   ale</w:t>
            </w:r>
            <w:proofErr w:type="gramEnd"/>
            <w:r w:rsidRPr="000F401E">
              <w:rPr>
                <w:spacing w:val="-4"/>
              </w:rPr>
              <w:t xml:space="preserve"> dynamika tržeb ve službách oslabila (-1,1 %) vlivem vývoje ve skladování a vedlejších činností v dopravě (kde tržby narazily na velmi vysokou loňskou základnu). Z dlouhodobého hlediska se daří zejména dopravě a skladování, jejichž tržby v posledních dvou letech dynamizovalo oživení průmyslu a zahraničního obchodu. Již pátým rokem pokračoval růst tržeb v ubytování (poprvé od roku 200</w:t>
            </w:r>
            <w:r w:rsidR="00AB440B">
              <w:rPr>
                <w:spacing w:val="-4"/>
              </w:rPr>
              <w:t>8</w:t>
            </w:r>
            <w:r w:rsidRPr="000F401E">
              <w:rPr>
                <w:spacing w:val="-4"/>
              </w:rPr>
              <w:t xml:space="preserve"> i při cenovém růstu), když výpadek návštěvnosti hostů z Ruska a</w:t>
            </w:r>
            <w:r>
              <w:rPr>
                <w:spacing w:val="-4"/>
              </w:rPr>
              <w:t> </w:t>
            </w:r>
            <w:r w:rsidRPr="000F401E">
              <w:rPr>
                <w:spacing w:val="-4"/>
              </w:rPr>
              <w:t>Ukrajiny bohatě kompenzovali turisté ze vzdálenějších, zejména asijských, zemí. Naopak stravování a pohostinství (po příznivějším letním období 2013) pokračovalo v redukci tržeb</w:t>
            </w:r>
            <w:r w:rsidR="00AB440B">
              <w:rPr>
                <w:spacing w:val="-4"/>
              </w:rPr>
              <w:t>.</w:t>
            </w:r>
            <w:r w:rsidRPr="000F401E">
              <w:rPr>
                <w:spacing w:val="-4"/>
              </w:rPr>
              <w:t xml:space="preserve"> V mírnějším, ale dlouhodobějším útlumu se nachází i činnosti v oblasti nemovitostí a také profesní, vědecké a technické činnosti</w:t>
            </w:r>
            <w:r w:rsidR="0043068A">
              <w:rPr>
                <w:spacing w:val="-4"/>
              </w:rPr>
              <w:t>.</w:t>
            </w:r>
            <w:r w:rsidRPr="000F401E">
              <w:rPr>
                <w:spacing w:val="-4"/>
              </w:rPr>
              <w:t xml:space="preserve">  </w:t>
            </w:r>
          </w:p>
          <w:p w:rsidR="008746E6" w:rsidRPr="00A96463" w:rsidRDefault="008746E6" w:rsidP="000F401E">
            <w:pPr>
              <w:pStyle w:val="Textpoznpodarou"/>
              <w:jc w:val="both"/>
              <w:rPr>
                <w:spacing w:val="-4"/>
                <w:sz w:val="16"/>
                <w:szCs w:val="16"/>
              </w:rPr>
            </w:pPr>
          </w:p>
          <w:p w:rsidR="000F401E" w:rsidRPr="000F401E" w:rsidRDefault="000F401E" w:rsidP="000F401E">
            <w:pPr>
              <w:pStyle w:val="Textpoznpodarou"/>
              <w:jc w:val="both"/>
              <w:rPr>
                <w:spacing w:val="-4"/>
              </w:rPr>
            </w:pPr>
            <w:r w:rsidRPr="000F401E">
              <w:rPr>
                <w:spacing w:val="-4"/>
              </w:rPr>
              <w:t>Naopak již devatenáct čtvrtletí v řadě se daří pracovním</w:t>
            </w:r>
            <w:r w:rsidR="008746E6">
              <w:rPr>
                <w:spacing w:val="-4"/>
              </w:rPr>
              <w:t xml:space="preserve"> agenturám a</w:t>
            </w:r>
            <w:r w:rsidRPr="000F401E">
              <w:rPr>
                <w:spacing w:val="-4"/>
              </w:rPr>
              <w:t xml:space="preserve"> </w:t>
            </w:r>
            <w:r w:rsidR="008746E6">
              <w:rPr>
                <w:spacing w:val="-4"/>
              </w:rPr>
              <w:t>dále i</w:t>
            </w:r>
            <w:r w:rsidRPr="000F401E">
              <w:rPr>
                <w:spacing w:val="-4"/>
              </w:rPr>
              <w:t xml:space="preserve"> (byť při skromnějších tempech růstu) administrativním a kancelářským činnostem a také bezpečnostním a pátracím službám, činnostem v oblasti IT či tvorbě programů a vysílání</w:t>
            </w:r>
            <w:r w:rsidR="008746E6">
              <w:rPr>
                <w:spacing w:val="-4"/>
              </w:rPr>
              <w:t>.</w:t>
            </w:r>
          </w:p>
          <w:p w:rsidR="000F401E" w:rsidRPr="00A96463" w:rsidRDefault="000F401E" w:rsidP="000F401E">
            <w:pPr>
              <w:pStyle w:val="Textpoznpodarou"/>
              <w:jc w:val="both"/>
              <w:rPr>
                <w:spacing w:val="-4"/>
                <w:sz w:val="16"/>
                <w:szCs w:val="16"/>
              </w:rPr>
            </w:pPr>
            <w:r w:rsidRPr="000F401E">
              <w:rPr>
                <w:spacing w:val="-4"/>
              </w:rPr>
              <w:t xml:space="preserve"> </w:t>
            </w:r>
          </w:p>
        </w:tc>
      </w:tr>
      <w:tr w:rsidR="000F401E" w:rsidTr="000F401E">
        <w:tc>
          <w:tcPr>
            <w:tcW w:w="1091" w:type="pct"/>
          </w:tcPr>
          <w:p w:rsidR="000F401E" w:rsidRDefault="000F401E" w:rsidP="008746E6">
            <w:pPr>
              <w:spacing w:line="240" w:lineRule="auto"/>
              <w:rPr>
                <w:sz w:val="16"/>
                <w:szCs w:val="16"/>
              </w:rPr>
            </w:pPr>
            <w:r>
              <w:rPr>
                <w:sz w:val="16"/>
                <w:szCs w:val="16"/>
              </w:rPr>
              <w:t xml:space="preserve">Maloobchodní tržby </w:t>
            </w:r>
            <w:r w:rsidR="0075315D">
              <w:rPr>
                <w:sz w:val="16"/>
                <w:szCs w:val="16"/>
              </w:rPr>
              <w:t>vč. prodeje aut</w:t>
            </w:r>
            <w:r>
              <w:rPr>
                <w:sz w:val="16"/>
                <w:szCs w:val="16"/>
              </w:rPr>
              <w:t xml:space="preserve"> </w:t>
            </w:r>
            <w:r w:rsidR="008746E6">
              <w:rPr>
                <w:sz w:val="16"/>
                <w:szCs w:val="16"/>
              </w:rPr>
              <w:t xml:space="preserve">vzrostly meziročně </w:t>
            </w:r>
            <w:r>
              <w:rPr>
                <w:sz w:val="16"/>
                <w:szCs w:val="16"/>
              </w:rPr>
              <w:t>nejvíce za posledních sedm let a poprvé překonaly úroveň vrcholu konjunktury (r. 2008)</w:t>
            </w:r>
          </w:p>
        </w:tc>
        <w:tc>
          <w:tcPr>
            <w:tcW w:w="146" w:type="pct"/>
          </w:tcPr>
          <w:p w:rsidR="000F401E" w:rsidRDefault="000F401E" w:rsidP="000F401E">
            <w:pPr>
              <w:pStyle w:val="Textpoznpodarou"/>
              <w:jc w:val="both"/>
              <w:rPr>
                <w:spacing w:val="-2"/>
              </w:rPr>
            </w:pPr>
          </w:p>
        </w:tc>
        <w:tc>
          <w:tcPr>
            <w:tcW w:w="3763" w:type="pct"/>
          </w:tcPr>
          <w:p w:rsidR="000F401E" w:rsidRPr="000F401E" w:rsidRDefault="000F401E" w:rsidP="000F401E">
            <w:pPr>
              <w:pStyle w:val="Textpoznpodarou"/>
              <w:jc w:val="both"/>
              <w:rPr>
                <w:spacing w:val="-4"/>
              </w:rPr>
            </w:pPr>
            <w:r w:rsidRPr="000F401E">
              <w:rPr>
                <w:spacing w:val="-4"/>
              </w:rPr>
              <w:t>Obnovení růstu ekonomiky pozvolna následované zlepšením s</w:t>
            </w:r>
            <w:r w:rsidR="0043068A">
              <w:rPr>
                <w:spacing w:val="-4"/>
              </w:rPr>
              <w:t>ituace na trhu práce se promítlo</w:t>
            </w:r>
            <w:r w:rsidRPr="000F401E">
              <w:rPr>
                <w:spacing w:val="-4"/>
              </w:rPr>
              <w:t xml:space="preserve"> do indikátoru spotřebitelské důvěry, který se na sklonku roku 2014 nacházel nejvýše od března 2007. Rekordní byly též maloobchodní tržby</w:t>
            </w:r>
            <w:r w:rsidR="008746E6">
              <w:rPr>
                <w:spacing w:val="-4"/>
              </w:rPr>
              <w:t xml:space="preserve"> (CZ-NACE 45 a 47)</w:t>
            </w:r>
            <w:r w:rsidRPr="000F401E">
              <w:rPr>
                <w:spacing w:val="-4"/>
              </w:rPr>
              <w:t>, které meziročně posílily o 5,4 %. Vyšší tržby měl z</w:t>
            </w:r>
            <w:r w:rsidR="008746E6">
              <w:rPr>
                <w:spacing w:val="-4"/>
              </w:rPr>
              <w:t xml:space="preserve"> více než </w:t>
            </w:r>
            <w:r w:rsidRPr="000F401E">
              <w:rPr>
                <w:spacing w:val="-4"/>
              </w:rPr>
              <w:t xml:space="preserve">poloviny na svědomí dynamický (výrazně </w:t>
            </w:r>
            <w:proofErr w:type="spellStart"/>
            <w:r w:rsidRPr="000F401E">
              <w:rPr>
                <w:spacing w:val="-4"/>
              </w:rPr>
              <w:t>procyklický</w:t>
            </w:r>
            <w:proofErr w:type="spellEnd"/>
            <w:r w:rsidRPr="000F401E">
              <w:rPr>
                <w:spacing w:val="-4"/>
              </w:rPr>
              <w:t xml:space="preserve">) motoristický segment, jehož tržby atakovaly dvouciferné hodnoty (u prodejů i oprav a údržby motorových vozidel). </w:t>
            </w:r>
          </w:p>
          <w:p w:rsidR="000F401E" w:rsidRPr="00460164" w:rsidRDefault="000F401E" w:rsidP="000F401E">
            <w:pPr>
              <w:pStyle w:val="Textpoznpodarou"/>
              <w:jc w:val="both"/>
              <w:rPr>
                <w:spacing w:val="-4"/>
                <w:sz w:val="10"/>
                <w:szCs w:val="10"/>
              </w:rPr>
            </w:pPr>
          </w:p>
        </w:tc>
      </w:tr>
      <w:tr w:rsidR="000F401E" w:rsidTr="000F401E">
        <w:trPr>
          <w:cantSplit/>
          <w:trHeight w:val="230"/>
        </w:trPr>
        <w:tc>
          <w:tcPr>
            <w:tcW w:w="1091" w:type="pct"/>
          </w:tcPr>
          <w:p w:rsidR="000F401E" w:rsidRDefault="000F401E" w:rsidP="008746E6">
            <w:pPr>
              <w:spacing w:line="240" w:lineRule="auto"/>
              <w:rPr>
                <w:sz w:val="16"/>
                <w:szCs w:val="16"/>
              </w:rPr>
            </w:pPr>
            <w:r>
              <w:rPr>
                <w:sz w:val="16"/>
                <w:szCs w:val="16"/>
              </w:rPr>
              <w:lastRenderedPageBreak/>
              <w:t xml:space="preserve">Vyšší tržby za </w:t>
            </w:r>
            <w:proofErr w:type="spellStart"/>
            <w:r>
              <w:rPr>
                <w:sz w:val="16"/>
                <w:szCs w:val="16"/>
              </w:rPr>
              <w:t>nepotravinářské</w:t>
            </w:r>
            <w:proofErr w:type="spellEnd"/>
            <w:r>
              <w:rPr>
                <w:sz w:val="16"/>
                <w:szCs w:val="16"/>
              </w:rPr>
              <w:t xml:space="preserve"> zboží ve specializovaných prodejnách u všech hlavních sortimentních skupin - vyjma farmaceutického a zdravotnického zboží </w:t>
            </w:r>
          </w:p>
        </w:tc>
        <w:tc>
          <w:tcPr>
            <w:tcW w:w="146" w:type="pct"/>
          </w:tcPr>
          <w:p w:rsidR="000F401E" w:rsidRDefault="000F401E" w:rsidP="000F401E">
            <w:pPr>
              <w:pStyle w:val="Textpoznpodarou"/>
              <w:jc w:val="both"/>
              <w:rPr>
                <w:spacing w:val="-2"/>
              </w:rPr>
            </w:pPr>
          </w:p>
        </w:tc>
        <w:tc>
          <w:tcPr>
            <w:tcW w:w="3763" w:type="pct"/>
          </w:tcPr>
          <w:p w:rsidR="000F401E" w:rsidRPr="000F401E" w:rsidRDefault="0043068A" w:rsidP="008746E6">
            <w:pPr>
              <w:pStyle w:val="Textpoznpodarou"/>
              <w:jc w:val="both"/>
              <w:rPr>
                <w:spacing w:val="-4"/>
              </w:rPr>
            </w:pPr>
            <w:r>
              <w:rPr>
                <w:spacing w:val="-4"/>
              </w:rPr>
              <w:t>„</w:t>
            </w:r>
            <w:r w:rsidR="000F401E">
              <w:rPr>
                <w:spacing w:val="-4"/>
              </w:rPr>
              <w:t>Nemotoristický</w:t>
            </w:r>
            <w:r>
              <w:rPr>
                <w:spacing w:val="-4"/>
              </w:rPr>
              <w:t>“</w:t>
            </w:r>
            <w:r w:rsidR="000F401E">
              <w:rPr>
                <w:spacing w:val="-4"/>
              </w:rPr>
              <w:t xml:space="preserve"> seg</w:t>
            </w:r>
            <w:r>
              <w:rPr>
                <w:spacing w:val="-4"/>
              </w:rPr>
              <w:t>ment</w:t>
            </w:r>
            <w:r w:rsidR="000F401E">
              <w:rPr>
                <w:spacing w:val="-4"/>
              </w:rPr>
              <w:t xml:space="preserve"> maloobchodu již tradičně táhl prodej </w:t>
            </w:r>
            <w:proofErr w:type="spellStart"/>
            <w:r w:rsidR="000F401E">
              <w:rPr>
                <w:spacing w:val="-4"/>
              </w:rPr>
              <w:t>nepotravinářského</w:t>
            </w:r>
            <w:proofErr w:type="spellEnd"/>
            <w:r w:rsidR="000F401E">
              <w:rPr>
                <w:spacing w:val="-4"/>
              </w:rPr>
              <w:t xml:space="preserve"> zboží (+4,3 %), kde </w:t>
            </w:r>
            <w:r w:rsidR="008746E6">
              <w:rPr>
                <w:spacing w:val="-4"/>
              </w:rPr>
              <w:t xml:space="preserve">pokles cen </w:t>
            </w:r>
            <w:r w:rsidR="000F401E">
              <w:rPr>
                <w:spacing w:val="-4"/>
              </w:rPr>
              <w:t xml:space="preserve">dlouhodobě pomáhal hlavně prodejům </w:t>
            </w:r>
            <w:r>
              <w:rPr>
                <w:spacing w:val="-4"/>
              </w:rPr>
              <w:t>počítačových a komunikačních zařízení</w:t>
            </w:r>
            <w:r w:rsidR="000F401E">
              <w:rPr>
                <w:spacing w:val="-4"/>
              </w:rPr>
              <w:t xml:space="preserve"> (+17</w:t>
            </w:r>
            <w:r w:rsidR="008746E6">
              <w:rPr>
                <w:spacing w:val="-4"/>
              </w:rPr>
              <w:t>,2</w:t>
            </w:r>
            <w:r w:rsidR="000F401E">
              <w:rPr>
                <w:spacing w:val="-4"/>
              </w:rPr>
              <w:t xml:space="preserve"> %). Rostly ale i tržby v drtivé většině ostatních specializovaných prodejen, zejména u výrobků pro domácnosti, kulturu a rekreaci či u prodejen s textilem, oděvy a obuví. Růst tržeb za potravinářské zboží (1,3 %) byl i přes svou „skromnost“ nejvyšší za posledních šest let. Týkal se především větších subjektů, ve specializovaných prodejnách s potravin</w:t>
            </w:r>
            <w:r w:rsidR="008746E6">
              <w:rPr>
                <w:spacing w:val="-4"/>
              </w:rPr>
              <w:t>ami</w:t>
            </w:r>
            <w:r w:rsidR="000F401E">
              <w:rPr>
                <w:spacing w:val="-4"/>
              </w:rPr>
              <w:t xml:space="preserve"> tržby pokračovaly v dlouhodobých poklesech. Po pěti letech rostly i tržby u čerpacích stanic (1,7 %), k čemuž přispěl i vysoký meziroční prosincový růst (13,6 %), když velmi příznivý cenový vývoj PHM stimuloval poptávku (vč. tranzitní dopravy). Pokračoval dynamický růst u internetových prodejců (</w:t>
            </w:r>
            <w:r w:rsidR="008746E6">
              <w:rPr>
                <w:spacing w:val="-4"/>
              </w:rPr>
              <w:t>19,7</w:t>
            </w:r>
            <w:r w:rsidR="000F401E">
              <w:rPr>
                <w:spacing w:val="-4"/>
              </w:rPr>
              <w:t xml:space="preserve"> %)</w:t>
            </w:r>
            <w:r w:rsidR="008746E6">
              <w:rPr>
                <w:spacing w:val="-4"/>
              </w:rPr>
              <w:t>.</w:t>
            </w:r>
          </w:p>
        </w:tc>
      </w:tr>
    </w:tbl>
    <w:p w:rsidR="000F401E" w:rsidRDefault="000F401E" w:rsidP="000F401E">
      <w:pPr>
        <w:pStyle w:val="Textpoznpodarou"/>
        <w:jc w:val="both"/>
      </w:pPr>
    </w:p>
    <w:tbl>
      <w:tblPr>
        <w:tblW w:w="5111" w:type="pct"/>
        <w:tblCellMar>
          <w:left w:w="28" w:type="dxa"/>
          <w:right w:w="28" w:type="dxa"/>
        </w:tblCellMar>
        <w:tblLook w:val="04A0"/>
      </w:tblPr>
      <w:tblGrid>
        <w:gridCol w:w="1027"/>
        <w:gridCol w:w="3910"/>
        <w:gridCol w:w="963"/>
        <w:gridCol w:w="4009"/>
      </w:tblGrid>
      <w:tr w:rsidR="000F401E" w:rsidTr="000F401E">
        <w:tc>
          <w:tcPr>
            <w:tcW w:w="518" w:type="pct"/>
          </w:tcPr>
          <w:p w:rsidR="000F401E" w:rsidRDefault="000F401E" w:rsidP="000F401E">
            <w:r>
              <w:t>Graf č. 5</w:t>
            </w:r>
          </w:p>
        </w:tc>
        <w:tc>
          <w:tcPr>
            <w:tcW w:w="1973" w:type="pct"/>
          </w:tcPr>
          <w:p w:rsidR="000F401E" w:rsidRPr="00055059" w:rsidRDefault="000F401E" w:rsidP="00055059">
            <w:pPr>
              <w:pStyle w:val="Textpoznpodarou"/>
              <w:rPr>
                <w:b/>
                <w:spacing w:val="-6"/>
              </w:rPr>
            </w:pPr>
            <w:r w:rsidRPr="00055059">
              <w:rPr>
                <w:b/>
                <w:spacing w:val="-6"/>
              </w:rPr>
              <w:t xml:space="preserve">Produkce v průmyslu a vybraných zpracovatelských odvětví </w:t>
            </w:r>
          </w:p>
          <w:p w:rsidR="000F401E" w:rsidRDefault="000F401E" w:rsidP="00055059">
            <w:pPr>
              <w:pStyle w:val="Textpoznpodarou"/>
              <w:rPr>
                <w:b/>
              </w:rPr>
            </w:pPr>
            <w:r w:rsidRPr="00055059">
              <w:rPr>
                <w:spacing w:val="-6"/>
              </w:rPr>
              <w:t>(reálně, y/y, v %)</w:t>
            </w:r>
          </w:p>
        </w:tc>
        <w:tc>
          <w:tcPr>
            <w:tcW w:w="486" w:type="pct"/>
          </w:tcPr>
          <w:p w:rsidR="000F401E" w:rsidRDefault="000F401E" w:rsidP="000F401E">
            <w:r>
              <w:t>Graf č. 6</w:t>
            </w:r>
          </w:p>
        </w:tc>
        <w:tc>
          <w:tcPr>
            <w:tcW w:w="2024" w:type="pct"/>
          </w:tcPr>
          <w:p w:rsidR="000F401E" w:rsidRDefault="000F401E" w:rsidP="00055059">
            <w:pPr>
              <w:spacing w:line="240" w:lineRule="auto"/>
              <w:rPr>
                <w:b/>
              </w:rPr>
            </w:pPr>
            <w:r w:rsidRPr="004B22DA">
              <w:rPr>
                <w:b/>
                <w:spacing w:val="-2"/>
              </w:rPr>
              <w:t>Nové zakázky v automobilovém průmyslu</w:t>
            </w:r>
            <w:r>
              <w:rPr>
                <w:b/>
              </w:rPr>
              <w:t xml:space="preserve">, v průmyslu </w:t>
            </w:r>
            <w:proofErr w:type="gramStart"/>
            <w:r>
              <w:rPr>
                <w:b/>
              </w:rPr>
              <w:t xml:space="preserve">celkem </w:t>
            </w:r>
            <w:r>
              <w:rPr>
                <w:bCs/>
              </w:rPr>
              <w:t>(</w:t>
            </w:r>
            <w:proofErr w:type="spellStart"/>
            <w:r>
              <w:rPr>
                <w:bCs/>
              </w:rPr>
              <w:t>b.c</w:t>
            </w:r>
            <w:proofErr w:type="spellEnd"/>
            <w:r>
              <w:rPr>
                <w:bCs/>
              </w:rPr>
              <w:t>.</w:t>
            </w:r>
            <w:proofErr w:type="gramEnd"/>
            <w:r>
              <w:rPr>
                <w:bCs/>
              </w:rPr>
              <w:t xml:space="preserve">, y/y, v %) </w:t>
            </w:r>
            <w:r w:rsidRPr="004B22DA">
              <w:t>a</w:t>
            </w:r>
            <w:r>
              <w:rPr>
                <w:b/>
              </w:rPr>
              <w:t xml:space="preserve"> saldo indikátoru důvěry v průmyslu </w:t>
            </w:r>
            <w:r w:rsidRPr="00C1711F">
              <w:t>(pravá osa)</w:t>
            </w:r>
          </w:p>
        </w:tc>
      </w:tr>
      <w:tr w:rsidR="000F401E" w:rsidTr="000F401E">
        <w:tc>
          <w:tcPr>
            <w:tcW w:w="2490" w:type="pct"/>
            <w:gridSpan w:val="2"/>
          </w:tcPr>
          <w:p w:rsidR="000F401E" w:rsidRDefault="000F401E" w:rsidP="000F401E">
            <w:pPr>
              <w:pStyle w:val="Textpoznpodarou"/>
              <w:jc w:val="both"/>
            </w:pPr>
            <w:r>
              <w:rPr>
                <w:noProof/>
              </w:rPr>
              <w:drawing>
                <wp:inline distT="0" distB="0" distL="0" distR="0">
                  <wp:extent cx="3048000" cy="2581275"/>
                  <wp:effectExtent l="19050" t="0" r="0"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048000" cy="2581275"/>
                          </a:xfrm>
                          <a:prstGeom prst="rect">
                            <a:avLst/>
                          </a:prstGeom>
                          <a:noFill/>
                          <a:ln w="9525">
                            <a:noFill/>
                            <a:miter lim="800000"/>
                            <a:headEnd/>
                            <a:tailEnd/>
                          </a:ln>
                        </pic:spPr>
                      </pic:pic>
                    </a:graphicData>
                  </a:graphic>
                </wp:inline>
              </w:drawing>
            </w:r>
          </w:p>
        </w:tc>
        <w:tc>
          <w:tcPr>
            <w:tcW w:w="2510" w:type="pct"/>
            <w:gridSpan w:val="2"/>
          </w:tcPr>
          <w:p w:rsidR="000F401E" w:rsidRDefault="000F401E" w:rsidP="000F401E">
            <w:pPr>
              <w:pStyle w:val="Textpoznpodarou"/>
              <w:jc w:val="both"/>
            </w:pPr>
            <w:r>
              <w:rPr>
                <w:noProof/>
              </w:rPr>
              <w:drawing>
                <wp:inline distT="0" distB="0" distL="0" distR="0">
                  <wp:extent cx="3067050" cy="2581275"/>
                  <wp:effectExtent l="19050" t="0" r="0"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3067050" cy="2581275"/>
                          </a:xfrm>
                          <a:prstGeom prst="rect">
                            <a:avLst/>
                          </a:prstGeom>
                          <a:noFill/>
                          <a:ln w="9525">
                            <a:noFill/>
                            <a:miter lim="800000"/>
                            <a:headEnd/>
                            <a:tailEnd/>
                          </a:ln>
                        </pic:spPr>
                      </pic:pic>
                    </a:graphicData>
                  </a:graphic>
                </wp:inline>
              </w:drawing>
            </w:r>
          </w:p>
        </w:tc>
      </w:tr>
      <w:tr w:rsidR="000F401E" w:rsidTr="000F401E">
        <w:tc>
          <w:tcPr>
            <w:tcW w:w="5000" w:type="pct"/>
            <w:gridSpan w:val="4"/>
          </w:tcPr>
          <w:p w:rsidR="000F401E" w:rsidRDefault="000F401E" w:rsidP="000F401E">
            <w:pPr>
              <w:pStyle w:val="Textpoznpodarou"/>
              <w:jc w:val="right"/>
              <w:rPr>
                <w:sz w:val="18"/>
                <w:szCs w:val="18"/>
              </w:rPr>
            </w:pPr>
            <w:r>
              <w:rPr>
                <w:rFonts w:cs="Arial"/>
                <w:sz w:val="18"/>
                <w:szCs w:val="18"/>
              </w:rPr>
              <w:t xml:space="preserve">* očištěný údaj o počet pracovních a kalendářních </w:t>
            </w:r>
            <w:proofErr w:type="gramStart"/>
            <w:r>
              <w:rPr>
                <w:rFonts w:cs="Arial"/>
                <w:sz w:val="18"/>
                <w:szCs w:val="18"/>
              </w:rPr>
              <w:t>dní                                                                                         Zdroj</w:t>
            </w:r>
            <w:proofErr w:type="gramEnd"/>
            <w:r>
              <w:rPr>
                <w:rFonts w:cs="Arial"/>
                <w:sz w:val="18"/>
                <w:szCs w:val="18"/>
              </w:rPr>
              <w:t>: ČSÚ</w:t>
            </w:r>
          </w:p>
        </w:tc>
      </w:tr>
    </w:tbl>
    <w:p w:rsidR="000F401E" w:rsidRPr="000F401E" w:rsidRDefault="000F401E" w:rsidP="000F401E">
      <w:pPr>
        <w:pStyle w:val="Odstavecseseznamem"/>
        <w:ind w:left="720"/>
        <w:rPr>
          <w:sz w:val="10"/>
          <w:szCs w:val="10"/>
        </w:rPr>
      </w:pPr>
    </w:p>
    <w:tbl>
      <w:tblPr>
        <w:tblW w:w="5117" w:type="pct"/>
        <w:tblCellMar>
          <w:left w:w="28" w:type="dxa"/>
          <w:right w:w="28" w:type="dxa"/>
        </w:tblCellMar>
        <w:tblLook w:val="04A0"/>
      </w:tblPr>
      <w:tblGrid>
        <w:gridCol w:w="1027"/>
        <w:gridCol w:w="3919"/>
        <w:gridCol w:w="974"/>
        <w:gridCol w:w="4062"/>
      </w:tblGrid>
      <w:tr w:rsidR="000F401E" w:rsidTr="000F401E">
        <w:tc>
          <w:tcPr>
            <w:tcW w:w="515" w:type="pct"/>
          </w:tcPr>
          <w:p w:rsidR="000F401E" w:rsidRDefault="000F401E" w:rsidP="000F401E">
            <w:r>
              <w:t>Graf č. 7</w:t>
            </w:r>
          </w:p>
        </w:tc>
        <w:tc>
          <w:tcPr>
            <w:tcW w:w="1963" w:type="pct"/>
          </w:tcPr>
          <w:p w:rsidR="000F401E" w:rsidRDefault="000F401E" w:rsidP="00055059">
            <w:pPr>
              <w:spacing w:line="240" w:lineRule="auto"/>
              <w:rPr>
                <w:b/>
              </w:rPr>
            </w:pPr>
            <w:r>
              <w:rPr>
                <w:b/>
              </w:rPr>
              <w:t xml:space="preserve">Stavební produkce, hodnota nových zakázek </w:t>
            </w:r>
            <w:r>
              <w:rPr>
                <w:bCs/>
              </w:rPr>
              <w:t xml:space="preserve">(y/y, v %) </w:t>
            </w:r>
            <w:r w:rsidRPr="004B22DA">
              <w:t>a</w:t>
            </w:r>
            <w:r>
              <w:rPr>
                <w:b/>
              </w:rPr>
              <w:t xml:space="preserve"> saldo indikátoru důvěry ve stavebnictví </w:t>
            </w:r>
            <w:r w:rsidRPr="00C1711F">
              <w:t>(pravá osa)</w:t>
            </w:r>
          </w:p>
        </w:tc>
        <w:tc>
          <w:tcPr>
            <w:tcW w:w="488" w:type="pct"/>
          </w:tcPr>
          <w:p w:rsidR="000F401E" w:rsidRDefault="000F401E" w:rsidP="000F401E">
            <w:r>
              <w:t>Graf č. 8</w:t>
            </w:r>
          </w:p>
        </w:tc>
        <w:tc>
          <w:tcPr>
            <w:tcW w:w="2035" w:type="pct"/>
          </w:tcPr>
          <w:p w:rsidR="000F401E" w:rsidRDefault="000F401E" w:rsidP="00055059">
            <w:pPr>
              <w:spacing w:line="240" w:lineRule="auto"/>
              <w:rPr>
                <w:b/>
              </w:rPr>
            </w:pPr>
            <w:r>
              <w:rPr>
                <w:b/>
              </w:rPr>
              <w:t xml:space="preserve">Tržby v maloobchodě vč. motoristického segmentu </w:t>
            </w:r>
            <w:r>
              <w:rPr>
                <w:bCs/>
              </w:rPr>
              <w:t xml:space="preserve">(reálně, y/y v %) </w:t>
            </w:r>
            <w:r>
              <w:rPr>
                <w:b/>
              </w:rPr>
              <w:t xml:space="preserve">saldo indikátoru důvěry spotřebitelů </w:t>
            </w:r>
            <w:r w:rsidRPr="00C1711F">
              <w:t>(pravá osa)</w:t>
            </w:r>
          </w:p>
        </w:tc>
      </w:tr>
      <w:tr w:rsidR="000F401E" w:rsidTr="000F401E">
        <w:tc>
          <w:tcPr>
            <w:tcW w:w="2477" w:type="pct"/>
            <w:gridSpan w:val="2"/>
          </w:tcPr>
          <w:p w:rsidR="000F401E" w:rsidRDefault="000F401E" w:rsidP="000F401E">
            <w:pPr>
              <w:pStyle w:val="Textpoznpodarou"/>
              <w:jc w:val="both"/>
            </w:pPr>
            <w:r>
              <w:rPr>
                <w:noProof/>
              </w:rPr>
              <w:drawing>
                <wp:inline distT="0" distB="0" distL="0" distR="0">
                  <wp:extent cx="3086100" cy="2609850"/>
                  <wp:effectExtent l="19050" t="0" r="0" b="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086100" cy="2609850"/>
                          </a:xfrm>
                          <a:prstGeom prst="rect">
                            <a:avLst/>
                          </a:prstGeom>
                          <a:noFill/>
                          <a:ln w="9525">
                            <a:noFill/>
                            <a:miter lim="800000"/>
                            <a:headEnd/>
                            <a:tailEnd/>
                          </a:ln>
                        </pic:spPr>
                      </pic:pic>
                    </a:graphicData>
                  </a:graphic>
                </wp:inline>
              </w:drawing>
            </w:r>
          </w:p>
        </w:tc>
        <w:tc>
          <w:tcPr>
            <w:tcW w:w="2523" w:type="pct"/>
            <w:gridSpan w:val="2"/>
          </w:tcPr>
          <w:p w:rsidR="000F401E" w:rsidRDefault="000F401E" w:rsidP="000F401E">
            <w:pPr>
              <w:pStyle w:val="Textpoznpodarou"/>
              <w:jc w:val="both"/>
            </w:pPr>
            <w:r>
              <w:rPr>
                <w:noProof/>
              </w:rPr>
              <w:drawing>
                <wp:inline distT="0" distB="0" distL="0" distR="0">
                  <wp:extent cx="3143250" cy="2609850"/>
                  <wp:effectExtent l="1905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143250" cy="2609850"/>
                          </a:xfrm>
                          <a:prstGeom prst="rect">
                            <a:avLst/>
                          </a:prstGeom>
                          <a:noFill/>
                          <a:ln w="9525">
                            <a:noFill/>
                            <a:miter lim="800000"/>
                            <a:headEnd/>
                            <a:tailEnd/>
                          </a:ln>
                        </pic:spPr>
                      </pic:pic>
                    </a:graphicData>
                  </a:graphic>
                </wp:inline>
              </w:drawing>
            </w:r>
          </w:p>
        </w:tc>
      </w:tr>
      <w:tr w:rsidR="000F401E" w:rsidTr="000F401E">
        <w:tc>
          <w:tcPr>
            <w:tcW w:w="5000" w:type="pct"/>
            <w:gridSpan w:val="4"/>
          </w:tcPr>
          <w:p w:rsidR="000F401E" w:rsidRDefault="000F401E" w:rsidP="000F401E">
            <w:pPr>
              <w:pStyle w:val="Zhlav"/>
              <w:jc w:val="right"/>
              <w:rPr>
                <w:rFonts w:ascii="Arial" w:eastAsia="Times New Roman" w:hAnsi="Arial" w:cs="Arial"/>
                <w:sz w:val="18"/>
                <w:szCs w:val="18"/>
              </w:rPr>
            </w:pPr>
            <w:r>
              <w:rPr>
                <w:rFonts w:ascii="Arial" w:eastAsia="Times New Roman" w:hAnsi="Arial" w:cs="Arial"/>
                <w:sz w:val="18"/>
                <w:szCs w:val="18"/>
              </w:rPr>
              <w:t xml:space="preserve">* očištěný údaj o počet pracovních a kalendářních </w:t>
            </w:r>
            <w:proofErr w:type="gramStart"/>
            <w:r>
              <w:rPr>
                <w:rFonts w:ascii="Arial" w:eastAsia="Times New Roman" w:hAnsi="Arial" w:cs="Arial"/>
                <w:sz w:val="18"/>
                <w:szCs w:val="18"/>
              </w:rPr>
              <w:t xml:space="preserve">dní                                                                                        </w:t>
            </w:r>
            <w:r w:rsidRPr="000F401E">
              <w:rPr>
                <w:rFonts w:ascii="Arial" w:hAnsi="Arial" w:cs="Arial"/>
                <w:sz w:val="18"/>
                <w:szCs w:val="18"/>
                <w:lang w:eastAsia="cs-CZ"/>
              </w:rPr>
              <w:t>Zdroj</w:t>
            </w:r>
            <w:proofErr w:type="gramEnd"/>
            <w:r w:rsidRPr="000F401E">
              <w:rPr>
                <w:rFonts w:ascii="Arial" w:hAnsi="Arial" w:cs="Arial"/>
                <w:sz w:val="18"/>
                <w:szCs w:val="18"/>
                <w:lang w:eastAsia="cs-CZ"/>
              </w:rPr>
              <w:t>: ČSÚ</w:t>
            </w:r>
          </w:p>
        </w:tc>
      </w:tr>
    </w:tbl>
    <w:p w:rsidR="008F7D28" w:rsidRDefault="008F7D28" w:rsidP="00F72F44"/>
    <w:p w:rsidR="000F401E" w:rsidRDefault="000F401E" w:rsidP="00F72F44"/>
    <w:p w:rsidR="000F401E" w:rsidRDefault="000F401E" w:rsidP="00F72F44"/>
    <w:p w:rsidR="00F4591F" w:rsidRPr="00F4591F" w:rsidRDefault="00F4591F" w:rsidP="00F4591F">
      <w:pPr>
        <w:pStyle w:val="Nadpis1"/>
        <w:numPr>
          <w:ilvl w:val="0"/>
          <w:numId w:val="30"/>
        </w:numPr>
        <w:jc w:val="both"/>
      </w:pPr>
      <w:bookmarkStart w:id="6" w:name="_Toc414264323"/>
      <w:r>
        <w:lastRenderedPageBreak/>
        <w:t>Vnější ekonomické vztahy</w:t>
      </w:r>
      <w:bookmarkEnd w:id="6"/>
    </w:p>
    <w:tbl>
      <w:tblPr>
        <w:tblW w:w="5043" w:type="pct"/>
        <w:tblInd w:w="-42" w:type="dxa"/>
        <w:tblCellMar>
          <w:left w:w="28" w:type="dxa"/>
          <w:right w:w="28" w:type="dxa"/>
        </w:tblCellMar>
        <w:tblLook w:val="00A0"/>
      </w:tblPr>
      <w:tblGrid>
        <w:gridCol w:w="28"/>
        <w:gridCol w:w="805"/>
        <w:gridCol w:w="1164"/>
        <w:gridCol w:w="30"/>
        <w:gridCol w:w="216"/>
        <w:gridCol w:w="51"/>
        <w:gridCol w:w="2452"/>
        <w:gridCol w:w="921"/>
        <w:gridCol w:w="4055"/>
        <w:gridCol w:w="55"/>
      </w:tblGrid>
      <w:tr w:rsidR="00602D1D" w:rsidRPr="00632171"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Histori</w:t>
            </w:r>
            <w:r w:rsidR="000F401E">
              <w:rPr>
                <w:color w:val="000000" w:themeColor="text1"/>
                <w:sz w:val="16"/>
                <w:szCs w:val="16"/>
              </w:rPr>
              <w:t xml:space="preserve">cky nejlepší výsledek vnějších </w:t>
            </w:r>
            <w:r w:rsidRPr="00602D1D">
              <w:rPr>
                <w:color w:val="000000" w:themeColor="text1"/>
                <w:sz w:val="16"/>
                <w:szCs w:val="16"/>
              </w:rPr>
              <w:t xml:space="preserve">ekonomických vztahů v několika ohledech -  s přebytkem na běžném účtu platební bilance, teprve druhým za posledních 22 let… </w:t>
            </w: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 xml:space="preserve">Vnější rovnováha české ekonomiky se v roce 2014 zlepšovala už čtvrtý rok za sebou. Toky peněz se zahraničím na běžném účtu platební bilance končily v kumulaci každého čtvrtletí přebytkem. Kladné tak bylo i celoroční saldo (26,1 mld. korun, nejlepší výsledek v historii ČR (v roce 1993 přebytek 13,3 mld. korun). </w:t>
            </w:r>
          </w:p>
          <w:p w:rsidR="00602D1D" w:rsidRPr="00602D1D" w:rsidRDefault="00602D1D" w:rsidP="00602D1D">
            <w:pPr>
              <w:pStyle w:val="Textpoznpodarou"/>
              <w:jc w:val="both"/>
              <w:rPr>
                <w:color w:val="000000" w:themeColor="text1"/>
                <w:spacing w:val="-2"/>
                <w:sz w:val="10"/>
                <w:szCs w:val="10"/>
              </w:rPr>
            </w:pPr>
          </w:p>
          <w:p w:rsidR="00602D1D" w:rsidRPr="00602D1D" w:rsidRDefault="00602D1D" w:rsidP="00602D1D">
            <w:pPr>
              <w:pStyle w:val="Textpoznpodarou"/>
              <w:jc w:val="both"/>
              <w:rPr>
                <w:color w:val="000000" w:themeColor="text1"/>
                <w:spacing w:val="-2"/>
              </w:rPr>
            </w:pPr>
            <w:r w:rsidRPr="00602D1D">
              <w:rPr>
                <w:color w:val="000000" w:themeColor="text1"/>
                <w:spacing w:val="-2"/>
              </w:rPr>
              <w:t>Převýšením příjmů nad výdaji skončil i kapitálový účet (32,2 mld. korun), i přes meziroční zhoršení (82,4 mld. korun v roce 2013). Ztenčení přebytku v roce 2014 ovlivnily hlavně nižší čisté příjmy z rozpočtu EU. Naopak finanční účet byl deficitní již třetí rok v řadě (loni hlavně vlivem portfoliových obchodů) - jeho schodek byl však kryt přebytky běžného a kapitálového účtu. Deficitní bylo i saldo druhotných důchodů</w:t>
            </w:r>
            <w:r w:rsidRPr="00602D1D">
              <w:rPr>
                <w:color w:val="000000" w:themeColor="text1"/>
                <w:spacing w:val="-2"/>
                <w:vertAlign w:val="superscript"/>
              </w:rPr>
              <w:footnoteReference w:id="6"/>
            </w:r>
            <w:r w:rsidRPr="00602D1D">
              <w:rPr>
                <w:color w:val="000000" w:themeColor="text1"/>
                <w:spacing w:val="-2"/>
              </w:rPr>
              <w:t xml:space="preserve"> (běžné převody) s -9,7 mld. korun a jen nepatrným meziročním zlepšením (-10,1 mld. v roce 2013) -</w:t>
            </w:r>
            <w:r w:rsidR="00C20C4D">
              <w:rPr>
                <w:color w:val="000000" w:themeColor="text1"/>
                <w:spacing w:val="-2"/>
              </w:rPr>
              <w:t xml:space="preserve"> transfery peněz stouply stejně</w:t>
            </w:r>
            <w:r w:rsidRPr="00602D1D">
              <w:rPr>
                <w:color w:val="000000" w:themeColor="text1"/>
                <w:spacing w:val="-2"/>
              </w:rPr>
              <w:t xml:space="preserve"> jako příjmy (tj. o 4-5 mld. korun). Vyšší příjem byl jen ve 2. čtvrtletí.</w:t>
            </w:r>
          </w:p>
          <w:p w:rsidR="00602D1D" w:rsidRPr="00602D1D" w:rsidRDefault="00602D1D" w:rsidP="00602D1D">
            <w:pPr>
              <w:pStyle w:val="Textpoznpodarou"/>
              <w:jc w:val="both"/>
              <w:rPr>
                <w:color w:val="000000" w:themeColor="text1"/>
                <w:spacing w:val="-2"/>
                <w:sz w:val="16"/>
                <w:szCs w:val="16"/>
              </w:rPr>
            </w:pPr>
          </w:p>
        </w:tc>
      </w:tr>
      <w:tr w:rsidR="00602D1D" w:rsidRPr="00B45D1B" w:rsidTr="00281416">
        <w:tc>
          <w:tcPr>
            <w:tcW w:w="1042" w:type="pct"/>
            <w:gridSpan w:val="4"/>
          </w:tcPr>
          <w:p w:rsidR="00602D1D" w:rsidRPr="00602D1D" w:rsidRDefault="00602D1D" w:rsidP="00602D1D">
            <w:pPr>
              <w:spacing w:line="240" w:lineRule="auto"/>
              <w:rPr>
                <w:color w:val="000000" w:themeColor="text1"/>
                <w:sz w:val="16"/>
                <w:szCs w:val="16"/>
              </w:rPr>
            </w:pPr>
            <w:proofErr w:type="gramStart"/>
            <w:r w:rsidRPr="00602D1D">
              <w:rPr>
                <w:color w:val="000000" w:themeColor="text1"/>
                <w:sz w:val="16"/>
                <w:szCs w:val="16"/>
              </w:rPr>
              <w:t>... díky</w:t>
            </w:r>
            <w:proofErr w:type="gramEnd"/>
            <w:r w:rsidRPr="00602D1D">
              <w:rPr>
                <w:color w:val="000000" w:themeColor="text1"/>
                <w:sz w:val="16"/>
                <w:szCs w:val="16"/>
              </w:rPr>
              <w:t xml:space="preserve"> rekordnímu  přebytku  zahraničního obchodu se zbožím a službami…</w:t>
            </w:r>
          </w:p>
          <w:p w:rsidR="00602D1D" w:rsidRPr="00602D1D" w:rsidRDefault="00602D1D" w:rsidP="00602D1D">
            <w:pPr>
              <w:spacing w:line="240" w:lineRule="auto"/>
              <w:rPr>
                <w:color w:val="000000" w:themeColor="text1"/>
                <w:sz w:val="16"/>
                <w:szCs w:val="16"/>
              </w:rPr>
            </w:pP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Úspěšný rok 2014 z pohledu vnější rovnováhy byl ovlivněn hlavně výsledkem obchodu se zbožím i službami – rekordní výkonová bilance byla podle dat ČNB v přebytku 294,8 mld. korun</w:t>
            </w:r>
            <w:r w:rsidRPr="00602D1D">
              <w:rPr>
                <w:color w:val="000000" w:themeColor="text1"/>
                <w:spacing w:val="-2"/>
                <w:vertAlign w:val="superscript"/>
              </w:rPr>
              <w:footnoteReference w:id="7"/>
            </w:r>
            <w:r w:rsidRPr="00602D1D">
              <w:rPr>
                <w:color w:val="000000" w:themeColor="text1"/>
                <w:spacing w:val="-2"/>
              </w:rPr>
              <w:t xml:space="preserve"> (pětinu z něj tvořil přebytek bilance služeb). </w:t>
            </w:r>
          </w:p>
          <w:p w:rsidR="00602D1D" w:rsidRPr="00602D1D" w:rsidRDefault="00602D1D" w:rsidP="00602D1D">
            <w:pPr>
              <w:pStyle w:val="Textpoznpodarou"/>
              <w:jc w:val="both"/>
              <w:rPr>
                <w:color w:val="000000" w:themeColor="text1"/>
                <w:spacing w:val="-2"/>
                <w:sz w:val="16"/>
                <w:szCs w:val="16"/>
              </w:rPr>
            </w:pPr>
          </w:p>
          <w:p w:rsidR="00602D1D" w:rsidRPr="00602D1D" w:rsidRDefault="00602D1D" w:rsidP="00602D1D">
            <w:pPr>
              <w:pStyle w:val="Textpoznpodarou"/>
              <w:jc w:val="both"/>
              <w:rPr>
                <w:color w:val="000000" w:themeColor="text1"/>
                <w:spacing w:val="-4"/>
              </w:rPr>
            </w:pPr>
            <w:r w:rsidRPr="00602D1D">
              <w:rPr>
                <w:color w:val="000000" w:themeColor="text1"/>
                <w:spacing w:val="-4"/>
              </w:rPr>
              <w:t xml:space="preserve">Vývoz i dovoz služeb rostl meziročně </w:t>
            </w:r>
            <w:proofErr w:type="spellStart"/>
            <w:r w:rsidRPr="00602D1D">
              <w:rPr>
                <w:color w:val="000000" w:themeColor="text1"/>
                <w:spacing w:val="-4"/>
              </w:rPr>
              <w:t>dvojciferně</w:t>
            </w:r>
            <w:proofErr w:type="spellEnd"/>
            <w:r w:rsidRPr="00602D1D">
              <w:rPr>
                <w:color w:val="000000" w:themeColor="text1"/>
                <w:spacing w:val="-4"/>
              </w:rPr>
              <w:t xml:space="preserve"> (+11,2 %, resp. +16,8 %), což ostře kontrastovalo s „recesivním“ rokem 2013 (-1 %, resp. +0,6 %). Pozitivně působilo významné domácí oživení a příznivá zahraniční poptávka po službách. Příjmy i výdaje stouply u dopravních služeb meziročně o zhruba desetinu. V cestovním ruchu rostly značně výdaje (+17,6 %), ale příjmy se zvýšily jen málo (+2,9 %). Dvojciferná byla tempa obchodů s pojišťovacími službami, u příjmů z telekomunikačních služeb (+16,6 %), z poplatků za využívání duševního vlastnictví stouply dokonce o třetinu (+32,4 %).</w:t>
            </w:r>
          </w:p>
          <w:p w:rsidR="00602D1D" w:rsidRPr="00602D1D" w:rsidRDefault="00602D1D" w:rsidP="00602D1D">
            <w:pPr>
              <w:pStyle w:val="Textpoznpodarou"/>
              <w:jc w:val="both"/>
              <w:rPr>
                <w:color w:val="000000" w:themeColor="text1"/>
                <w:spacing w:val="-2"/>
                <w:sz w:val="16"/>
                <w:szCs w:val="16"/>
              </w:rPr>
            </w:pPr>
          </w:p>
          <w:p w:rsidR="00602D1D" w:rsidRPr="00602D1D" w:rsidRDefault="00AB440B" w:rsidP="00602D1D">
            <w:pPr>
              <w:pStyle w:val="Textpoznpodarou"/>
              <w:jc w:val="both"/>
              <w:rPr>
                <w:color w:val="000000" w:themeColor="text1"/>
                <w:spacing w:val="-2"/>
              </w:rPr>
            </w:pPr>
            <w:r>
              <w:rPr>
                <w:color w:val="000000" w:themeColor="text1"/>
                <w:spacing w:val="-2"/>
              </w:rPr>
              <w:t>N</w:t>
            </w:r>
            <w:r w:rsidR="00602D1D" w:rsidRPr="00602D1D">
              <w:rPr>
                <w:color w:val="000000" w:themeColor="text1"/>
                <w:spacing w:val="-2"/>
              </w:rPr>
              <w:t>a tomto příznivém nominálním výsledku zahr</w:t>
            </w:r>
            <w:r>
              <w:rPr>
                <w:color w:val="000000" w:themeColor="text1"/>
                <w:spacing w:val="-2"/>
              </w:rPr>
              <w:t>aničního obchodu participovalo i</w:t>
            </w:r>
            <w:r w:rsidR="00602D1D" w:rsidRPr="00602D1D">
              <w:rPr>
                <w:color w:val="000000" w:themeColor="text1"/>
                <w:spacing w:val="-2"/>
              </w:rPr>
              <w:t xml:space="preserve"> umělé oslabení koruny po měnové intervenci ČNB zahájené v listopadu 2013. Po téměř celý loňský rok převyšovala tempa růstu cen vývozů růst cen dovozů, což zvyšovalo obchodní přebytky. </w:t>
            </w:r>
          </w:p>
          <w:p w:rsidR="00602D1D" w:rsidRPr="00602D1D" w:rsidRDefault="00602D1D" w:rsidP="00602D1D">
            <w:pPr>
              <w:pStyle w:val="Textpoznpodarou"/>
              <w:jc w:val="both"/>
              <w:rPr>
                <w:color w:val="000000" w:themeColor="text1"/>
                <w:spacing w:val="-2"/>
                <w:sz w:val="16"/>
                <w:szCs w:val="16"/>
              </w:rPr>
            </w:pPr>
            <w:r w:rsidRPr="00602D1D">
              <w:rPr>
                <w:color w:val="000000" w:themeColor="text1"/>
                <w:spacing w:val="-2"/>
              </w:rPr>
              <w:t xml:space="preserve">   </w:t>
            </w:r>
          </w:p>
        </w:tc>
      </w:tr>
      <w:tr w:rsidR="00602D1D" w:rsidRPr="00B45D1B"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 xml:space="preserve">… i navzdory také historicky nejvyššímu odlivu peněz ze země v podobě dividend pro mateřské společnosti zahraničních vlastníků firem v ČR </w:t>
            </w:r>
          </w:p>
          <w:p w:rsidR="00602D1D" w:rsidRPr="00602D1D" w:rsidRDefault="00602D1D" w:rsidP="00602D1D">
            <w:pPr>
              <w:spacing w:line="240" w:lineRule="auto"/>
              <w:rPr>
                <w:color w:val="000000" w:themeColor="text1"/>
                <w:sz w:val="16"/>
                <w:szCs w:val="16"/>
              </w:rPr>
            </w:pP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Právě tyto vysoké přebytky v obchodech vyrovnaly tradiční hluboké schodky v prvotních důchodech dané silnou majetkovou účastí zahraničních firem v ekonomice ČR. Ty si loni stáhly na dividendách 219,3 mld. korun, nejvíce v historii. K reinvesticím zde ponechali 94,2 mld. korun, což byl druhý nejvě</w:t>
            </w:r>
            <w:r w:rsidR="00AC1E3F">
              <w:rPr>
                <w:color w:val="000000" w:themeColor="text1"/>
                <w:spacing w:val="-2"/>
              </w:rPr>
              <w:t>tší objem reinvestovaných zisků</w:t>
            </w:r>
            <w:r w:rsidRPr="00602D1D">
              <w:rPr>
                <w:color w:val="000000" w:themeColor="text1"/>
                <w:spacing w:val="-2"/>
              </w:rPr>
              <w:t xml:space="preserve"> od roku 1993. Je však třeba mít na paměti, že jak velikost repatriovaných tak reinvestovaných zisků souvisela s vysokými výnosy danými oslabenou korunou, která dynamizovala tržby i zisky zejména exportujících firem (ale i jejich tuzemských dodavatelů v obchodech v eurech). </w:t>
            </w:r>
          </w:p>
          <w:p w:rsidR="00602D1D" w:rsidRPr="00602D1D" w:rsidRDefault="00602D1D" w:rsidP="00602D1D">
            <w:pPr>
              <w:pStyle w:val="Textpoznpodarou"/>
              <w:jc w:val="both"/>
              <w:rPr>
                <w:color w:val="000000" w:themeColor="text1"/>
                <w:spacing w:val="-2"/>
                <w:sz w:val="16"/>
                <w:szCs w:val="16"/>
              </w:rPr>
            </w:pPr>
          </w:p>
        </w:tc>
      </w:tr>
      <w:tr w:rsidR="00602D1D" w:rsidRPr="006F1326"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Na mzdách přišlo do ČR výrazně více peněz, než kolik jich odešlo - „mzdové saldo“ pro ČR příznivé už potřetí od roku 2012</w:t>
            </w:r>
          </w:p>
          <w:p w:rsidR="00602D1D" w:rsidRPr="00602D1D" w:rsidRDefault="00602D1D" w:rsidP="00602D1D">
            <w:pPr>
              <w:spacing w:line="240" w:lineRule="auto"/>
              <w:rPr>
                <w:color w:val="000000" w:themeColor="text1"/>
                <w:sz w:val="16"/>
                <w:szCs w:val="16"/>
              </w:rPr>
            </w:pPr>
            <w:r w:rsidRPr="00602D1D">
              <w:rPr>
                <w:color w:val="000000" w:themeColor="text1"/>
                <w:sz w:val="16"/>
                <w:szCs w:val="16"/>
              </w:rPr>
              <w:t xml:space="preserve"> </w:t>
            </w: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 xml:space="preserve">Dalším rekordem bylo v roce 2014 z pohledu vnějších vztahů pozitivní „mzdové saldo“, tj. rozdíl mezi objemem mezd, resp. náhrad zaměstnancům, pracovníků ČR v zahraničí (39,3 mld.) a cizinců pracujících v ČR (17 mld. korun). Přebytek ve výši 22,2 mld. byl dán hlavně výší mezd (náhrad) rezidentů v zahraničí. Proporce jsou ovlivněné ekonomickým cyklem, neboť imigrace má u nás charakter migrace pracovní – proto také k největšímu odlivu peněz ve formě mezd (44,1 mld.) došlo za konjunktury v roce 2008 při výsledném saldu -24,8 mld. (rezidenti si tehdy ze zahraničí přivezli 19,2 mld. korun). </w:t>
            </w:r>
          </w:p>
          <w:p w:rsidR="00602D1D" w:rsidRPr="00602D1D" w:rsidRDefault="00602D1D" w:rsidP="00602D1D">
            <w:pPr>
              <w:pStyle w:val="Textpoznpodarou"/>
              <w:jc w:val="both"/>
              <w:rPr>
                <w:color w:val="000000" w:themeColor="text1"/>
                <w:spacing w:val="-2"/>
              </w:rPr>
            </w:pPr>
          </w:p>
        </w:tc>
      </w:tr>
      <w:tr w:rsidR="00602D1D" w:rsidRPr="00444268"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Finanční účet skončil v deficitu i přes příliv přímých investic do země na aktivní i pasivní straně…</w:t>
            </w:r>
          </w:p>
        </w:tc>
        <w:tc>
          <w:tcPr>
            <w:tcW w:w="139" w:type="pct"/>
            <w:gridSpan w:val="2"/>
          </w:tcPr>
          <w:p w:rsidR="00602D1D" w:rsidRPr="00B45D1B"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 xml:space="preserve">Oproti přebytkům na běžném i kapitálovém účtu zaznamenal finanční účet již třetí rok v řadě odliv peněz ze země (v roce 2014 ve výši 48 mld. korun). </w:t>
            </w:r>
          </w:p>
          <w:p w:rsidR="00602D1D" w:rsidRPr="00602D1D" w:rsidRDefault="00602D1D" w:rsidP="00602D1D">
            <w:pPr>
              <w:pStyle w:val="Textpoznpodarou"/>
              <w:jc w:val="both"/>
              <w:rPr>
                <w:color w:val="000000" w:themeColor="text1"/>
                <w:spacing w:val="-2"/>
                <w:sz w:val="10"/>
                <w:szCs w:val="10"/>
              </w:rPr>
            </w:pPr>
          </w:p>
          <w:p w:rsidR="00602D1D" w:rsidRPr="00602D1D" w:rsidRDefault="00602D1D" w:rsidP="00602D1D">
            <w:pPr>
              <w:pStyle w:val="Textpoznpodarou"/>
              <w:jc w:val="both"/>
              <w:rPr>
                <w:color w:val="000000" w:themeColor="text1"/>
                <w:spacing w:val="-2"/>
              </w:rPr>
            </w:pPr>
            <w:r w:rsidRPr="00602D1D">
              <w:rPr>
                <w:color w:val="000000" w:themeColor="text1"/>
                <w:spacing w:val="-2"/>
              </w:rPr>
              <w:t>Saldo přímých zahraničních investic bylo jako obvykle kladné (133,6 mld. korun) s přílivem přímých investic ve výši 101,4 mld. Nedošlo však k odlivu v podobě investic tuzemských subjektů do zahraničí - naopak, ti odtud své investice stahovali (v čistém -32,2 mld. korun).</w:t>
            </w:r>
          </w:p>
          <w:p w:rsidR="00602D1D" w:rsidRPr="00602D1D" w:rsidRDefault="00602D1D" w:rsidP="00602D1D">
            <w:pPr>
              <w:pStyle w:val="Textpoznpodarou"/>
              <w:jc w:val="both"/>
              <w:rPr>
                <w:color w:val="000000" w:themeColor="text1"/>
                <w:spacing w:val="-2"/>
                <w:sz w:val="10"/>
                <w:szCs w:val="10"/>
              </w:rPr>
            </w:pPr>
          </w:p>
          <w:p w:rsidR="00602D1D" w:rsidRPr="00602D1D" w:rsidRDefault="00602D1D" w:rsidP="00602D1D">
            <w:pPr>
              <w:pStyle w:val="Textpoznpodarou"/>
              <w:jc w:val="both"/>
              <w:rPr>
                <w:color w:val="000000" w:themeColor="text1"/>
                <w:spacing w:val="-2"/>
              </w:rPr>
            </w:pPr>
            <w:r w:rsidRPr="00602D1D">
              <w:rPr>
                <w:color w:val="000000" w:themeColor="text1"/>
                <w:spacing w:val="-2"/>
              </w:rPr>
              <w:lastRenderedPageBreak/>
              <w:t xml:space="preserve">Přímé investice do české ekonomiky jen </w:t>
            </w:r>
            <w:r w:rsidR="00C20C4D">
              <w:rPr>
                <w:color w:val="000000" w:themeColor="text1"/>
                <w:spacing w:val="-2"/>
              </w:rPr>
              <w:t>mírně nad stomiliardovou hranicí</w:t>
            </w:r>
            <w:r w:rsidRPr="00602D1D">
              <w:rPr>
                <w:color w:val="000000" w:themeColor="text1"/>
                <w:spacing w:val="-2"/>
              </w:rPr>
              <w:t xml:space="preserve"> byly nižší než v předchozích dvou letech recese. Nepřekonaly ani tříletý, resp. desetiletý průměr (135, resp. 159 mld. korun), zřejmě vlivem znovuobnovené atraktivity jiných trhů, zejména evropských, do nichž se přímí zahraniční investoři začali opět vracet.</w:t>
            </w:r>
          </w:p>
          <w:p w:rsidR="00602D1D" w:rsidRPr="000F401E" w:rsidRDefault="00602D1D" w:rsidP="00602D1D">
            <w:pPr>
              <w:pStyle w:val="Textpoznpodarou"/>
              <w:jc w:val="both"/>
              <w:rPr>
                <w:color w:val="000000" w:themeColor="text1"/>
                <w:spacing w:val="-2"/>
                <w:sz w:val="16"/>
                <w:szCs w:val="16"/>
              </w:rPr>
            </w:pPr>
          </w:p>
        </w:tc>
      </w:tr>
      <w:tr w:rsidR="00602D1D" w:rsidRPr="00E06A2A" w:rsidTr="00281416">
        <w:tc>
          <w:tcPr>
            <w:tcW w:w="1042" w:type="pct"/>
            <w:gridSpan w:val="4"/>
          </w:tcPr>
          <w:p w:rsidR="00602D1D" w:rsidRPr="00602D1D" w:rsidRDefault="00602D1D" w:rsidP="00AC1E3F">
            <w:pPr>
              <w:spacing w:line="240" w:lineRule="auto"/>
              <w:rPr>
                <w:color w:val="000000" w:themeColor="text1"/>
                <w:sz w:val="16"/>
                <w:szCs w:val="16"/>
              </w:rPr>
            </w:pPr>
            <w:r w:rsidRPr="00602D1D">
              <w:rPr>
                <w:color w:val="000000" w:themeColor="text1"/>
                <w:sz w:val="16"/>
                <w:szCs w:val="16"/>
              </w:rPr>
              <w:lastRenderedPageBreak/>
              <w:t xml:space="preserve">…ale při výrazném odlivu peněz ve formě portfoliových investic, neboť nízké emise českých dluhopisů vedly ke slabším nákupům zahraničními investory a stahování peněz zpět do jejich zemí;  nepříznivě působil na výsledek finančního účtu i deficit ostatních investic </w:t>
            </w:r>
          </w:p>
        </w:tc>
        <w:tc>
          <w:tcPr>
            <w:tcW w:w="139" w:type="pct"/>
            <w:gridSpan w:val="2"/>
          </w:tcPr>
          <w:p w:rsidR="00602D1D" w:rsidRPr="002B1544" w:rsidRDefault="00602D1D" w:rsidP="00281416">
            <w:pPr>
              <w:pStyle w:val="Textpoznpodarou"/>
              <w:jc w:val="both"/>
              <w:rPr>
                <w:i/>
              </w:rPr>
            </w:pPr>
          </w:p>
        </w:tc>
        <w:tc>
          <w:tcPr>
            <w:tcW w:w="3819" w:type="pct"/>
            <w:gridSpan w:val="4"/>
          </w:tcPr>
          <w:p w:rsidR="00602D1D" w:rsidRPr="00602D1D" w:rsidRDefault="00602D1D" w:rsidP="00602D1D">
            <w:pPr>
              <w:pStyle w:val="Textpoznpodarou"/>
              <w:jc w:val="both"/>
              <w:rPr>
                <w:color w:val="000000" w:themeColor="text1"/>
                <w:spacing w:val="-2"/>
              </w:rPr>
            </w:pPr>
            <w:r w:rsidRPr="00602D1D">
              <w:rPr>
                <w:color w:val="000000" w:themeColor="text1"/>
                <w:spacing w:val="-2"/>
              </w:rPr>
              <w:t>Zcela jinak se meziročně odvíjely toky portfoliových investic</w:t>
            </w:r>
            <w:r w:rsidR="00170B04">
              <w:rPr>
                <w:color w:val="000000" w:themeColor="text1"/>
                <w:spacing w:val="-2"/>
              </w:rPr>
              <w:t xml:space="preserve">. V roce 2014 jich </w:t>
            </w:r>
            <w:r w:rsidRPr="00602D1D">
              <w:rPr>
                <w:color w:val="000000" w:themeColor="text1"/>
                <w:spacing w:val="-2"/>
              </w:rPr>
              <w:t>z ČR odešlo v čistém vyjádření za 90,3 mld. korun (v roce 2013 jich naopak v čistém 92,8 mld. přiteklo). Důvodem byly vysoké loňské nákupy zahraničních dluhopisů a akcií tuzemskými subjekty (v čistém za 76,6 mld.). Velmi pozitivní vývoj akciových trhů, zejména zámořských, lákal k investování.</w:t>
            </w:r>
          </w:p>
          <w:p w:rsidR="00602D1D" w:rsidRPr="000F401E" w:rsidRDefault="00602D1D" w:rsidP="00602D1D">
            <w:pPr>
              <w:pStyle w:val="Textpoznpodarou"/>
              <w:jc w:val="both"/>
              <w:rPr>
                <w:color w:val="000000" w:themeColor="text1"/>
                <w:spacing w:val="-2"/>
                <w:sz w:val="16"/>
                <w:szCs w:val="16"/>
              </w:rPr>
            </w:pPr>
          </w:p>
          <w:p w:rsidR="00602D1D" w:rsidRPr="00602D1D" w:rsidRDefault="00602D1D" w:rsidP="00602D1D">
            <w:pPr>
              <w:pStyle w:val="Textpoznpodarou"/>
              <w:jc w:val="both"/>
              <w:rPr>
                <w:color w:val="000000" w:themeColor="text1"/>
                <w:spacing w:val="-2"/>
              </w:rPr>
            </w:pPr>
            <w:r w:rsidRPr="00602D1D">
              <w:rPr>
                <w:color w:val="000000" w:themeColor="text1"/>
                <w:spacing w:val="-2"/>
              </w:rPr>
              <w:t>Zároveň s tím však odliv portfoliových investic z ČR způsobili i zahraniční portfolioví investoři - své pozice v ČR spíše likvidovali (převážily u nich prodeje tuzemských cenných papírů nad jejich nákupy, v čistém 13,7 mld. korun). Je tak patrné, že nižší potřeba financovat deficit státního rozpočtu emisemi dluhopisů se odrazila i v této oblasti. Výsledkem obchodů se samotnými dluhopisy tak byl zpětný čistý odliv peněz z ČR ve</w:t>
            </w:r>
            <w:r w:rsidR="000F401E">
              <w:rPr>
                <w:color w:val="000000" w:themeColor="text1"/>
                <w:spacing w:val="-2"/>
              </w:rPr>
              <w:t xml:space="preserve"> výši 18,9 mld. korun.</w:t>
            </w:r>
          </w:p>
          <w:p w:rsidR="00602D1D" w:rsidRPr="000F401E" w:rsidRDefault="00602D1D" w:rsidP="00602D1D">
            <w:pPr>
              <w:pStyle w:val="Textpoznpodarou"/>
              <w:jc w:val="both"/>
              <w:rPr>
                <w:color w:val="000000" w:themeColor="text1"/>
                <w:spacing w:val="-2"/>
                <w:sz w:val="16"/>
                <w:szCs w:val="16"/>
              </w:rPr>
            </w:pPr>
          </w:p>
          <w:p w:rsidR="00602D1D" w:rsidRPr="00602D1D" w:rsidRDefault="00602D1D" w:rsidP="00602D1D">
            <w:pPr>
              <w:pStyle w:val="Textpoznpodarou"/>
              <w:jc w:val="both"/>
              <w:rPr>
                <w:color w:val="000000" w:themeColor="text1"/>
                <w:spacing w:val="-2"/>
              </w:rPr>
            </w:pPr>
            <w:r w:rsidRPr="00602D1D">
              <w:rPr>
                <w:color w:val="000000" w:themeColor="text1"/>
                <w:spacing w:val="-2"/>
              </w:rPr>
              <w:t>Také ve formě ostatních investic odešlo z ČR loni 24,3 mld. korun.</w:t>
            </w:r>
          </w:p>
          <w:p w:rsidR="00602D1D" w:rsidRPr="00602D1D" w:rsidRDefault="00602D1D" w:rsidP="00602D1D">
            <w:pPr>
              <w:pStyle w:val="Textpoznpodarou"/>
              <w:jc w:val="both"/>
              <w:rPr>
                <w:color w:val="000000" w:themeColor="text1"/>
                <w:spacing w:val="-2"/>
                <w:sz w:val="14"/>
                <w:szCs w:val="14"/>
              </w:rPr>
            </w:pPr>
          </w:p>
        </w:tc>
      </w:tr>
      <w:tr w:rsidR="00602D1D" w:rsidRPr="00367038"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Obchodní bilance v národním pojetí (ceny FOB/CIF) stoupla o téměř polovinu na 155,2 mld. korun díky exportu aut a dovozům ropy a plynu</w:t>
            </w: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4"/>
              </w:rPr>
            </w:pPr>
            <w:r w:rsidRPr="00602D1D">
              <w:rPr>
                <w:color w:val="000000" w:themeColor="text1"/>
                <w:spacing w:val="-4"/>
              </w:rPr>
              <w:t>Bilance</w:t>
            </w:r>
            <w:r w:rsidRPr="00602D1D">
              <w:rPr>
                <w:color w:val="000000" w:themeColor="text1"/>
                <w:spacing w:val="-4"/>
                <w:vertAlign w:val="superscript"/>
              </w:rPr>
              <w:footnoteReference w:id="8"/>
            </w:r>
            <w:r w:rsidRPr="00602D1D">
              <w:rPr>
                <w:color w:val="000000" w:themeColor="text1"/>
                <w:spacing w:val="-4"/>
                <w:vertAlign w:val="superscript"/>
              </w:rPr>
              <w:t xml:space="preserve"> </w:t>
            </w:r>
            <w:r w:rsidRPr="00602D1D">
              <w:rPr>
                <w:color w:val="000000" w:themeColor="text1"/>
                <w:spacing w:val="-4"/>
              </w:rPr>
              <w:t xml:space="preserve">komodit se nejvíce zlepšila v obchodech s automobily (+65 mld. na 354 mld. korun) a v obchodech s ropou a zemním plynem (deficit se ztenčil o 32 mld. na 161 mld. korun). Tato dvě zlepšení byla klíčová pro růst obchodní bilance v národním pojetí (+48,7 mld. na 155,2 mld. korun). Ze 40 položek výrobkové klasifikace (CZ-CPA) se bilance zhoršila u 16 z nich - nejvíc u strojů a zařízení </w:t>
            </w:r>
            <w:proofErr w:type="spellStart"/>
            <w:proofErr w:type="gramStart"/>
            <w:r w:rsidRPr="00602D1D">
              <w:rPr>
                <w:color w:val="000000" w:themeColor="text1"/>
                <w:spacing w:val="-4"/>
              </w:rPr>
              <w:t>j.n</w:t>
            </w:r>
            <w:proofErr w:type="spellEnd"/>
            <w:r w:rsidRPr="00602D1D">
              <w:rPr>
                <w:color w:val="000000" w:themeColor="text1"/>
                <w:spacing w:val="-4"/>
              </w:rPr>
              <w:t>.</w:t>
            </w:r>
            <w:proofErr w:type="gramEnd"/>
            <w:r w:rsidRPr="00602D1D">
              <w:rPr>
                <w:color w:val="000000" w:themeColor="text1"/>
                <w:spacing w:val="-4"/>
              </w:rPr>
              <w:t xml:space="preserve"> (-20 mld.), základních kovů (-14 mld.) anebo např. v obchodech s PC a elektronikou (-8 mld. korun).</w:t>
            </w:r>
          </w:p>
          <w:p w:rsidR="00602D1D" w:rsidRPr="000F401E" w:rsidRDefault="00602D1D" w:rsidP="00602D1D">
            <w:pPr>
              <w:pStyle w:val="Textpoznpodarou"/>
              <w:jc w:val="both"/>
              <w:rPr>
                <w:color w:val="000000" w:themeColor="text1"/>
                <w:spacing w:val="-2"/>
                <w:sz w:val="16"/>
                <w:szCs w:val="16"/>
              </w:rPr>
            </w:pPr>
          </w:p>
        </w:tc>
      </w:tr>
      <w:tr w:rsidR="00602D1D" w:rsidRPr="00367038" w:rsidTr="00281416">
        <w:tc>
          <w:tcPr>
            <w:tcW w:w="1042" w:type="pct"/>
            <w:gridSpan w:val="4"/>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 xml:space="preserve">Vývoz aut stoupl meziročně o </w:t>
            </w:r>
            <w:proofErr w:type="gramStart"/>
            <w:r w:rsidRPr="00602D1D">
              <w:rPr>
                <w:color w:val="000000" w:themeColor="text1"/>
                <w:sz w:val="16"/>
                <w:szCs w:val="16"/>
              </w:rPr>
              <w:t>22 %,  léků</w:t>
            </w:r>
            <w:proofErr w:type="gramEnd"/>
            <w:r w:rsidRPr="00602D1D">
              <w:rPr>
                <w:color w:val="000000" w:themeColor="text1"/>
                <w:sz w:val="16"/>
                <w:szCs w:val="16"/>
              </w:rPr>
              <w:t xml:space="preserve"> o 38 % - šest největších položek tvořících téměř dvě třetiny exportu z ČR rostlo v úhrnu meziročně mírně více  (+13,8 %) než export celkem (+13,1 %) </w:t>
            </w:r>
          </w:p>
        </w:tc>
        <w:tc>
          <w:tcPr>
            <w:tcW w:w="139" w:type="pct"/>
            <w:gridSpan w:val="2"/>
          </w:tcPr>
          <w:p w:rsidR="00602D1D" w:rsidRDefault="00602D1D" w:rsidP="00281416">
            <w:pPr>
              <w:pStyle w:val="Textpoznpodarou"/>
              <w:jc w:val="both"/>
            </w:pPr>
          </w:p>
        </w:tc>
        <w:tc>
          <w:tcPr>
            <w:tcW w:w="3819" w:type="pct"/>
            <w:gridSpan w:val="4"/>
          </w:tcPr>
          <w:p w:rsidR="00602D1D" w:rsidRPr="00602D1D" w:rsidRDefault="00602D1D" w:rsidP="00602D1D">
            <w:pPr>
              <w:pStyle w:val="Textpoznpodarou"/>
              <w:jc w:val="both"/>
              <w:rPr>
                <w:color w:val="000000" w:themeColor="text1"/>
                <w:spacing w:val="-6"/>
              </w:rPr>
            </w:pPr>
            <w:r w:rsidRPr="00602D1D">
              <w:rPr>
                <w:color w:val="000000" w:themeColor="text1"/>
                <w:spacing w:val="-6"/>
              </w:rPr>
              <w:t xml:space="preserve">Export zboží z ČR byl opět velmi úspěšný. I přes znovuobnovení růstu české ekonomiky, s vyšší domácí poptávkou a tím i s nároky na dovozy, se proti roku 2013 zvýšil vývoz rychleji (+13,1 %) než dovoz (+11,8 %). Šest klíčových exportních komodit strojírenského charakteru (auta, kovy a kovodělné výrobky, PC a elektronika spolu s elektrickými přístroji a ostatními stroji) tvořilo 63 % celkového exportu z ČR a jejich dynamika byla v úhrnu dvojciferná (+13,8 %), tj. mírně nad průměrným tempem za celý export.  </w:t>
            </w:r>
          </w:p>
          <w:p w:rsidR="00602D1D" w:rsidRPr="000F401E" w:rsidRDefault="00602D1D" w:rsidP="00602D1D">
            <w:pPr>
              <w:pStyle w:val="Textpoznpodarou"/>
              <w:jc w:val="both"/>
              <w:rPr>
                <w:color w:val="000000" w:themeColor="text1"/>
                <w:spacing w:val="-2"/>
                <w:sz w:val="16"/>
                <w:szCs w:val="16"/>
              </w:rPr>
            </w:pPr>
          </w:p>
        </w:tc>
      </w:tr>
      <w:tr w:rsidR="00602D1D" w:rsidRPr="00602D1D" w:rsidTr="00281416">
        <w:trPr>
          <w:gridBefore w:val="1"/>
          <w:gridAfter w:val="1"/>
          <w:wBefore w:w="15" w:type="pct"/>
          <w:wAfter w:w="28" w:type="pct"/>
        </w:trPr>
        <w:tc>
          <w:tcPr>
            <w:tcW w:w="1011" w:type="pct"/>
            <w:gridSpan w:val="2"/>
          </w:tcPr>
          <w:p w:rsidR="00602D1D" w:rsidRPr="00602D1D" w:rsidRDefault="00602D1D" w:rsidP="00602D1D">
            <w:pPr>
              <w:spacing w:line="240" w:lineRule="auto"/>
              <w:rPr>
                <w:color w:val="000000" w:themeColor="text1"/>
                <w:sz w:val="16"/>
                <w:szCs w:val="16"/>
              </w:rPr>
            </w:pPr>
            <w:r w:rsidRPr="00602D1D">
              <w:rPr>
                <w:color w:val="000000" w:themeColor="text1"/>
                <w:sz w:val="16"/>
                <w:szCs w:val="16"/>
              </w:rPr>
              <w:t>Klesl podíl Německa i Ruské federace na exportu z České republiky</w:t>
            </w:r>
          </w:p>
        </w:tc>
        <w:tc>
          <w:tcPr>
            <w:tcW w:w="128" w:type="pct"/>
            <w:gridSpan w:val="2"/>
          </w:tcPr>
          <w:p w:rsidR="00602D1D" w:rsidRPr="005765D5" w:rsidRDefault="00602D1D" w:rsidP="00281416">
            <w:pPr>
              <w:pStyle w:val="Textpoznpodarou"/>
              <w:jc w:val="both"/>
            </w:pPr>
          </w:p>
        </w:tc>
        <w:tc>
          <w:tcPr>
            <w:tcW w:w="3818" w:type="pct"/>
            <w:gridSpan w:val="4"/>
          </w:tcPr>
          <w:p w:rsidR="00602D1D" w:rsidRPr="00C20C4D" w:rsidRDefault="00602D1D" w:rsidP="00602D1D">
            <w:pPr>
              <w:pStyle w:val="Textpoznpodarou"/>
              <w:jc w:val="both"/>
              <w:rPr>
                <w:color w:val="000000" w:themeColor="text1"/>
              </w:rPr>
            </w:pPr>
            <w:r w:rsidRPr="00C20C4D">
              <w:rPr>
                <w:color w:val="000000" w:themeColor="text1"/>
              </w:rPr>
              <w:t xml:space="preserve">Váha EU jako cílové destinace vývozů z ČR vzrostla (+1,3 </w:t>
            </w:r>
            <w:proofErr w:type="spellStart"/>
            <w:r w:rsidRPr="00C20C4D">
              <w:rPr>
                <w:color w:val="000000" w:themeColor="text1"/>
              </w:rPr>
              <w:t>pb</w:t>
            </w:r>
            <w:proofErr w:type="spellEnd"/>
            <w:r w:rsidRPr="00C20C4D">
              <w:rPr>
                <w:color w:val="000000" w:themeColor="text1"/>
              </w:rPr>
              <w:t>. na</w:t>
            </w:r>
            <w:r w:rsidR="00C20C4D" w:rsidRPr="00C20C4D">
              <w:rPr>
                <w:color w:val="000000" w:themeColor="text1"/>
              </w:rPr>
              <w:t xml:space="preserve"> 83 %). Vývoz do Německa stoupl</w:t>
            </w:r>
            <w:r w:rsidRPr="00C20C4D">
              <w:rPr>
                <w:color w:val="000000" w:themeColor="text1"/>
              </w:rPr>
              <w:t xml:space="preserve"> nadprůměrně (+15,8 %), čímž se zvýšil i podíl tohoto hlavního partnera na vývozech celkem (+0,7 </w:t>
            </w:r>
            <w:proofErr w:type="spellStart"/>
            <w:r w:rsidRPr="00C20C4D">
              <w:rPr>
                <w:color w:val="000000" w:themeColor="text1"/>
              </w:rPr>
              <w:t>pb</w:t>
            </w:r>
            <w:proofErr w:type="spellEnd"/>
            <w:r w:rsidRPr="00C20C4D">
              <w:rPr>
                <w:color w:val="000000" w:themeColor="text1"/>
              </w:rPr>
              <w:t>. na 32,1 %). Politika sankcí omezila export do Ruské federace (-4,6 %), čímž klesl její podíl na celkových expo</w:t>
            </w:r>
            <w:r w:rsidR="000F401E" w:rsidRPr="00C20C4D">
              <w:rPr>
                <w:color w:val="000000" w:themeColor="text1"/>
              </w:rPr>
              <w:t>rtech z ČR z 3,7</w:t>
            </w:r>
            <w:r w:rsidR="00C20C4D">
              <w:rPr>
                <w:color w:val="000000" w:themeColor="text1"/>
              </w:rPr>
              <w:t> </w:t>
            </w:r>
            <w:r w:rsidR="000F401E" w:rsidRPr="00C20C4D">
              <w:rPr>
                <w:color w:val="000000" w:themeColor="text1"/>
              </w:rPr>
              <w:t>% na 3,1 %.</w:t>
            </w:r>
          </w:p>
          <w:p w:rsidR="00602D1D" w:rsidRPr="000F401E" w:rsidRDefault="00602D1D" w:rsidP="00602D1D">
            <w:pPr>
              <w:pStyle w:val="Textpoznpodarou"/>
              <w:jc w:val="both"/>
              <w:rPr>
                <w:color w:val="000000" w:themeColor="text1"/>
                <w:spacing w:val="-2"/>
                <w:sz w:val="16"/>
                <w:szCs w:val="16"/>
              </w:rPr>
            </w:pPr>
          </w:p>
        </w:tc>
      </w:tr>
      <w:tr w:rsidR="00602D1D" w:rsidTr="0028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429" w:type="pct"/>
            <w:gridSpan w:val="2"/>
            <w:tcBorders>
              <w:top w:val="nil"/>
              <w:left w:val="nil"/>
              <w:bottom w:val="nil"/>
              <w:right w:val="nil"/>
            </w:tcBorders>
          </w:tcPr>
          <w:p w:rsidR="00602D1D" w:rsidRDefault="00602D1D" w:rsidP="00055059">
            <w:pPr>
              <w:spacing w:line="240" w:lineRule="auto"/>
              <w:rPr>
                <w:color w:val="000000"/>
              </w:rPr>
            </w:pPr>
            <w:r>
              <w:rPr>
                <w:color w:val="000000"/>
              </w:rPr>
              <w:t>Graf č. 9</w:t>
            </w:r>
          </w:p>
        </w:tc>
        <w:tc>
          <w:tcPr>
            <w:tcW w:w="2007" w:type="pct"/>
            <w:gridSpan w:val="5"/>
            <w:tcBorders>
              <w:top w:val="nil"/>
              <w:left w:val="nil"/>
              <w:bottom w:val="nil"/>
              <w:right w:val="nil"/>
            </w:tcBorders>
          </w:tcPr>
          <w:p w:rsidR="00602D1D" w:rsidRPr="00444268" w:rsidRDefault="00602D1D" w:rsidP="00055059">
            <w:pPr>
              <w:spacing w:line="240" w:lineRule="auto"/>
              <w:rPr>
                <w:b/>
                <w:bCs/>
              </w:rPr>
            </w:pPr>
            <w:r>
              <w:rPr>
                <w:b/>
                <w:bCs/>
              </w:rPr>
              <w:t>Obchodní bilance</w:t>
            </w:r>
            <w:r w:rsidRPr="002A35EA">
              <w:rPr>
                <w:bCs/>
              </w:rPr>
              <w:t xml:space="preserve"> (</w:t>
            </w:r>
            <w:r w:rsidRPr="00C75C9B">
              <w:rPr>
                <w:bCs/>
              </w:rPr>
              <w:t>v m</w:t>
            </w:r>
            <w:r>
              <w:rPr>
                <w:bCs/>
              </w:rPr>
              <w:t>i</w:t>
            </w:r>
            <w:r w:rsidRPr="00C75C9B">
              <w:rPr>
                <w:bCs/>
              </w:rPr>
              <w:t>l. korun</w:t>
            </w:r>
            <w:r>
              <w:rPr>
                <w:bCs/>
              </w:rPr>
              <w:t xml:space="preserve">, </w:t>
            </w:r>
            <w:proofErr w:type="spellStart"/>
            <w:r>
              <w:rPr>
                <w:bCs/>
              </w:rPr>
              <w:t>nár</w:t>
            </w:r>
            <w:proofErr w:type="spellEnd"/>
            <w:r>
              <w:rPr>
                <w:bCs/>
              </w:rPr>
              <w:t>.</w:t>
            </w:r>
            <w:r w:rsidR="00055059">
              <w:rPr>
                <w:bCs/>
              </w:rPr>
              <w:t> </w:t>
            </w:r>
            <w:proofErr w:type="gramStart"/>
            <w:r>
              <w:rPr>
                <w:bCs/>
              </w:rPr>
              <w:t>pojetí</w:t>
            </w:r>
            <w:proofErr w:type="gramEnd"/>
            <w:r>
              <w:rPr>
                <w:bCs/>
              </w:rPr>
              <w:t xml:space="preserve">; </w:t>
            </w:r>
            <w:r w:rsidRPr="009B4B4B">
              <w:rPr>
                <w:bCs/>
                <w:sz w:val="18"/>
                <w:szCs w:val="18"/>
              </w:rPr>
              <w:t>vývoz/dovoz v cenách FOB/ CIF)</w:t>
            </w:r>
            <w:r>
              <w:rPr>
                <w:b/>
                <w:bCs/>
              </w:rPr>
              <w:t xml:space="preserve"> </w:t>
            </w:r>
          </w:p>
        </w:tc>
        <w:tc>
          <w:tcPr>
            <w:tcW w:w="469" w:type="pct"/>
            <w:tcBorders>
              <w:top w:val="nil"/>
              <w:left w:val="nil"/>
              <w:bottom w:val="nil"/>
              <w:right w:val="nil"/>
            </w:tcBorders>
          </w:tcPr>
          <w:p w:rsidR="00602D1D" w:rsidRDefault="00602D1D" w:rsidP="00055059">
            <w:pPr>
              <w:spacing w:line="240" w:lineRule="auto"/>
              <w:rPr>
                <w:color w:val="000000"/>
              </w:rPr>
            </w:pPr>
            <w:r>
              <w:rPr>
                <w:color w:val="000000"/>
              </w:rPr>
              <w:t>Graf č. 10</w:t>
            </w:r>
          </w:p>
        </w:tc>
        <w:tc>
          <w:tcPr>
            <w:tcW w:w="2095" w:type="pct"/>
            <w:gridSpan w:val="2"/>
            <w:tcBorders>
              <w:top w:val="nil"/>
              <w:left w:val="nil"/>
              <w:bottom w:val="nil"/>
              <w:right w:val="nil"/>
            </w:tcBorders>
          </w:tcPr>
          <w:p w:rsidR="00602D1D" w:rsidRPr="00EB30B6" w:rsidRDefault="00602D1D" w:rsidP="00055059">
            <w:pPr>
              <w:spacing w:line="240" w:lineRule="auto"/>
              <w:rPr>
                <w:bCs/>
              </w:rPr>
            </w:pPr>
            <w:r>
              <w:rPr>
                <w:b/>
                <w:bCs/>
              </w:rPr>
              <w:t xml:space="preserve">Vývoj hlavních složek platební </w:t>
            </w:r>
            <w:proofErr w:type="gramStart"/>
            <w:r>
              <w:rPr>
                <w:b/>
                <w:bCs/>
              </w:rPr>
              <w:t xml:space="preserve">bilance </w:t>
            </w:r>
            <w:r w:rsidRPr="00974D5F">
              <w:rPr>
                <w:b/>
                <w:bCs/>
              </w:rPr>
              <w:t xml:space="preserve"> </w:t>
            </w:r>
            <w:r w:rsidRPr="00974D5F">
              <w:rPr>
                <w:bCs/>
              </w:rPr>
              <w:t>(</w:t>
            </w:r>
            <w:r>
              <w:rPr>
                <w:bCs/>
              </w:rPr>
              <w:t>v</w:t>
            </w:r>
            <w:r w:rsidR="00055059">
              <w:rPr>
                <w:bCs/>
              </w:rPr>
              <w:t> </w:t>
            </w:r>
            <w:r>
              <w:rPr>
                <w:bCs/>
              </w:rPr>
              <w:t>mil.</w:t>
            </w:r>
            <w:proofErr w:type="gramEnd"/>
            <w:r>
              <w:rPr>
                <w:bCs/>
              </w:rPr>
              <w:t xml:space="preserve"> korun, stav k 31.12.</w:t>
            </w:r>
            <w:r w:rsidRPr="00974D5F">
              <w:rPr>
                <w:bCs/>
              </w:rPr>
              <w:t>)</w:t>
            </w:r>
            <w:r>
              <w:rPr>
                <w:b/>
                <w:bCs/>
              </w:rPr>
              <w:t xml:space="preserve"> </w:t>
            </w:r>
          </w:p>
        </w:tc>
      </w:tr>
      <w:tr w:rsidR="00602D1D" w:rsidTr="0028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56"/>
        </w:trPr>
        <w:tc>
          <w:tcPr>
            <w:tcW w:w="2436" w:type="pct"/>
            <w:gridSpan w:val="7"/>
            <w:tcBorders>
              <w:top w:val="nil"/>
              <w:left w:val="nil"/>
              <w:bottom w:val="nil"/>
              <w:right w:val="nil"/>
            </w:tcBorders>
          </w:tcPr>
          <w:p w:rsidR="00602D1D" w:rsidRPr="001D47E5" w:rsidRDefault="00602D1D" w:rsidP="00281416">
            <w:pPr>
              <w:pStyle w:val="Zhlav"/>
              <w:tabs>
                <w:tab w:val="clear" w:pos="4536"/>
                <w:tab w:val="clear" w:pos="9072"/>
              </w:tabs>
              <w:ind w:right="-275"/>
              <w:rPr>
                <w:rFonts w:ascii="Arial" w:hAnsi="Arial" w:cs="Arial"/>
                <w:sz w:val="20"/>
              </w:rPr>
            </w:pPr>
            <w:r>
              <w:rPr>
                <w:rFonts w:ascii="Arial" w:hAnsi="Arial" w:cs="Arial"/>
                <w:noProof/>
                <w:sz w:val="20"/>
                <w:lang w:eastAsia="cs-CZ"/>
              </w:rPr>
              <w:drawing>
                <wp:inline distT="0" distB="0" distL="0" distR="0">
                  <wp:extent cx="2933700" cy="25050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933700" cy="2505075"/>
                          </a:xfrm>
                          <a:prstGeom prst="rect">
                            <a:avLst/>
                          </a:prstGeom>
                          <a:noFill/>
                          <a:ln w="9525">
                            <a:noFill/>
                            <a:miter lim="800000"/>
                            <a:headEnd/>
                            <a:tailEnd/>
                          </a:ln>
                        </pic:spPr>
                      </pic:pic>
                    </a:graphicData>
                  </a:graphic>
                </wp:inline>
              </w:drawing>
            </w:r>
          </w:p>
        </w:tc>
        <w:tc>
          <w:tcPr>
            <w:tcW w:w="2564" w:type="pct"/>
            <w:gridSpan w:val="3"/>
            <w:tcBorders>
              <w:top w:val="nil"/>
              <w:left w:val="nil"/>
              <w:bottom w:val="nil"/>
              <w:right w:val="nil"/>
            </w:tcBorders>
          </w:tcPr>
          <w:p w:rsidR="00602D1D" w:rsidRPr="009B4B4B" w:rsidRDefault="00602D1D" w:rsidP="00281416">
            <w:pPr>
              <w:pStyle w:val="Zhlav"/>
              <w:tabs>
                <w:tab w:val="clear" w:pos="4536"/>
                <w:tab w:val="clear" w:pos="9072"/>
              </w:tabs>
              <w:spacing w:line="235" w:lineRule="auto"/>
              <w:jc w:val="both"/>
              <w:rPr>
                <w:rFonts w:ascii="Arial" w:hAnsi="Arial" w:cs="Arial"/>
                <w:noProof/>
                <w:sz w:val="20"/>
                <w:lang w:eastAsia="cs-CZ"/>
              </w:rPr>
            </w:pPr>
            <w:r w:rsidRPr="00602D1D">
              <w:rPr>
                <w:rFonts w:ascii="Arial" w:hAnsi="Arial" w:cs="Arial"/>
                <w:noProof/>
                <w:sz w:val="20"/>
                <w:lang w:eastAsia="cs-CZ"/>
              </w:rPr>
              <w:drawing>
                <wp:inline distT="0" distB="0" distL="0" distR="0">
                  <wp:extent cx="3082595" cy="2420281"/>
                  <wp:effectExtent l="19050" t="0" r="3505" b="0"/>
                  <wp:docPr id="7"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3088483" cy="2424904"/>
                          </a:xfrm>
                          <a:prstGeom prst="rect">
                            <a:avLst/>
                          </a:prstGeom>
                          <a:noFill/>
                        </pic:spPr>
                      </pic:pic>
                    </a:graphicData>
                  </a:graphic>
                </wp:inline>
              </w:drawing>
            </w:r>
          </w:p>
          <w:p w:rsidR="00602D1D" w:rsidRPr="00862A7A" w:rsidRDefault="00AB440B" w:rsidP="00AB440B">
            <w:pPr>
              <w:pStyle w:val="Zhlav"/>
              <w:tabs>
                <w:tab w:val="clear" w:pos="4536"/>
                <w:tab w:val="clear" w:pos="9072"/>
              </w:tabs>
              <w:spacing w:line="235" w:lineRule="auto"/>
              <w:jc w:val="right"/>
              <w:rPr>
                <w:rFonts w:ascii="Arial" w:hAnsi="Arial" w:cs="Arial"/>
                <w:noProof/>
                <w:sz w:val="18"/>
                <w:szCs w:val="18"/>
                <w:lang w:eastAsia="cs-CZ"/>
              </w:rPr>
            </w:pPr>
            <w:r>
              <w:rPr>
                <w:rFonts w:ascii="Arial" w:hAnsi="Arial" w:cs="Arial"/>
                <w:noProof/>
                <w:sz w:val="18"/>
                <w:szCs w:val="18"/>
                <w:lang w:eastAsia="cs-CZ"/>
              </w:rPr>
              <w:t>Zdroj</w:t>
            </w:r>
            <w:r w:rsidR="00602D1D" w:rsidRPr="00862A7A">
              <w:rPr>
                <w:rFonts w:ascii="Arial" w:hAnsi="Arial" w:cs="Arial"/>
                <w:noProof/>
                <w:sz w:val="18"/>
                <w:szCs w:val="18"/>
                <w:lang w:eastAsia="cs-CZ"/>
              </w:rPr>
              <w:t>: ČSÚ, ČNB</w:t>
            </w:r>
          </w:p>
        </w:tc>
      </w:tr>
    </w:tbl>
    <w:p w:rsidR="00F72F44" w:rsidRDefault="00F72F44" w:rsidP="00F72F44"/>
    <w:p w:rsidR="0088733A" w:rsidRDefault="0088733A" w:rsidP="00F4591F">
      <w:pPr>
        <w:pStyle w:val="Nadpis1"/>
        <w:numPr>
          <w:ilvl w:val="0"/>
          <w:numId w:val="30"/>
        </w:numPr>
        <w:jc w:val="both"/>
      </w:pPr>
      <w:bookmarkStart w:id="7" w:name="_Toc414264324"/>
      <w:r>
        <w:lastRenderedPageBreak/>
        <w:t>Ceny</w:t>
      </w:r>
      <w:bookmarkEnd w:id="7"/>
    </w:p>
    <w:tbl>
      <w:tblPr>
        <w:tblW w:w="5000" w:type="pct"/>
        <w:tblLayout w:type="fixed"/>
        <w:tblLook w:val="00A0"/>
      </w:tblPr>
      <w:tblGrid>
        <w:gridCol w:w="2077"/>
        <w:gridCol w:w="282"/>
        <w:gridCol w:w="7495"/>
      </w:tblGrid>
      <w:tr w:rsidR="00566381" w:rsidRPr="007D44C3" w:rsidTr="00ED2CA5">
        <w:tc>
          <w:tcPr>
            <w:tcW w:w="1054" w:type="pct"/>
          </w:tcPr>
          <w:p w:rsidR="00566381" w:rsidRPr="0021355B" w:rsidRDefault="00566381" w:rsidP="00A727BA">
            <w:pPr>
              <w:spacing w:line="240" w:lineRule="auto"/>
              <w:rPr>
                <w:color w:val="000000" w:themeColor="text1"/>
                <w:sz w:val="16"/>
                <w:szCs w:val="16"/>
              </w:rPr>
            </w:pPr>
            <w:r>
              <w:rPr>
                <w:color w:val="000000" w:themeColor="text1"/>
                <w:sz w:val="16"/>
                <w:szCs w:val="16"/>
              </w:rPr>
              <w:t>K růstu celkové cenové hladiny v ekonomice v roce 2014 o 2,3 % nejvíce přispěl příznivý vývoj cen v zahraničním obchodě se zbožím</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DF2873" w:rsidRDefault="00566381" w:rsidP="008B7306">
            <w:pPr>
              <w:pStyle w:val="Textpoznpodarou"/>
              <w:jc w:val="both"/>
              <w:rPr>
                <w:color w:val="000000" w:themeColor="text1"/>
                <w:spacing w:val="-2"/>
              </w:rPr>
            </w:pPr>
            <w:r w:rsidRPr="00DF2873">
              <w:rPr>
                <w:color w:val="000000" w:themeColor="text1"/>
                <w:spacing w:val="-2"/>
              </w:rPr>
              <w:t>Celková cenová hladina v ekonomice vzrostla v roce 2014 – měřeno implicitním deflátorem HDP bez sezónního očištění – o 2,3 %, nejvíce od roku hluboké recese 2009 (+2,6 %). Ke zvýšení cenové hladiny nejvíce přispěl příznivý vývoj cen v zahraničním obchodě se zbožím (směnné relace se zlepšily o 2,0 %). Zatímco nákupy domácností podražily o</w:t>
            </w:r>
            <w:r>
              <w:rPr>
                <w:color w:val="000000" w:themeColor="text1"/>
                <w:spacing w:val="-2"/>
              </w:rPr>
              <w:t> 0,3 % a</w:t>
            </w:r>
            <w:r w:rsidRPr="00DF2873">
              <w:rPr>
                <w:color w:val="000000" w:themeColor="text1"/>
                <w:spacing w:val="-2"/>
              </w:rPr>
              <w:t xml:space="preserve"> zboží a služby vstupující do</w:t>
            </w:r>
            <w:r>
              <w:rPr>
                <w:color w:val="000000" w:themeColor="text1"/>
                <w:spacing w:val="-2"/>
              </w:rPr>
              <w:t> </w:t>
            </w:r>
            <w:r w:rsidRPr="00DF2873">
              <w:rPr>
                <w:color w:val="000000" w:themeColor="text1"/>
                <w:spacing w:val="-2"/>
              </w:rPr>
              <w:t>spotřeby vládních institucí o 1,7 %</w:t>
            </w:r>
            <w:r>
              <w:rPr>
                <w:color w:val="000000" w:themeColor="text1"/>
                <w:spacing w:val="-2"/>
              </w:rPr>
              <w:t>,</w:t>
            </w:r>
            <w:r w:rsidRPr="00DF2873">
              <w:rPr>
                <w:color w:val="000000" w:themeColor="text1"/>
                <w:spacing w:val="-2"/>
              </w:rPr>
              <w:t xml:space="preserve"> investice (tvorba hrubého fixního kapitálu) se p</w:t>
            </w:r>
            <w:r>
              <w:rPr>
                <w:color w:val="000000" w:themeColor="text1"/>
                <w:spacing w:val="-2"/>
              </w:rPr>
              <w:t>ořizovaly za ceny o 1,6 % vyšší než před rokem.</w:t>
            </w:r>
            <w:r w:rsidRPr="00DF2873">
              <w:rPr>
                <w:color w:val="000000" w:themeColor="text1"/>
                <w:spacing w:val="-2"/>
              </w:rPr>
              <w:t xml:space="preserve"> </w:t>
            </w:r>
            <w:r>
              <w:rPr>
                <w:color w:val="000000" w:themeColor="text1"/>
                <w:spacing w:val="-2"/>
              </w:rPr>
              <w:t>N</w:t>
            </w:r>
            <w:r w:rsidRPr="00DF2873">
              <w:rPr>
                <w:color w:val="000000" w:themeColor="text1"/>
                <w:spacing w:val="-2"/>
              </w:rPr>
              <w:t>egativní vývoj cen v zahraničním obchodě se</w:t>
            </w:r>
            <w:r>
              <w:rPr>
                <w:color w:val="000000" w:themeColor="text1"/>
                <w:spacing w:val="-2"/>
              </w:rPr>
              <w:t> </w:t>
            </w:r>
            <w:r w:rsidRPr="00DF2873">
              <w:rPr>
                <w:color w:val="000000" w:themeColor="text1"/>
                <w:spacing w:val="-2"/>
              </w:rPr>
              <w:t>službami růst cenové hladiny brzdil (směnné relace -1,6 %).</w:t>
            </w:r>
          </w:p>
          <w:p w:rsidR="00566381" w:rsidRPr="00ED2CA5" w:rsidRDefault="00566381" w:rsidP="008B7306">
            <w:pPr>
              <w:pStyle w:val="Textpoznpodarou"/>
              <w:jc w:val="both"/>
              <w:rPr>
                <w:color w:val="000000" w:themeColor="text1"/>
                <w:sz w:val="14"/>
                <w:szCs w:val="14"/>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Pr>
                <w:color w:val="000000" w:themeColor="text1"/>
                <w:sz w:val="16"/>
                <w:szCs w:val="16"/>
              </w:rPr>
              <w:t>M</w:t>
            </w:r>
            <w:r w:rsidRPr="0021355B">
              <w:rPr>
                <w:color w:val="000000" w:themeColor="text1"/>
                <w:sz w:val="16"/>
                <w:szCs w:val="16"/>
              </w:rPr>
              <w:t>íra inflace v roce 2014, dosahující jen 0,4 %, byla nejnižší za posledních jedenáct let</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C10B28" w:rsidRDefault="00566381" w:rsidP="008B7306">
            <w:pPr>
              <w:pStyle w:val="Textpoznpodarou"/>
              <w:jc w:val="both"/>
              <w:rPr>
                <w:color w:val="000000" w:themeColor="text1"/>
                <w:spacing w:val="-2"/>
              </w:rPr>
            </w:pPr>
            <w:r w:rsidRPr="00C10B28">
              <w:rPr>
                <w:color w:val="000000" w:themeColor="text1"/>
                <w:spacing w:val="-2"/>
              </w:rPr>
              <w:t>Průměrná míra inflace za rok 2014 klesla na pouhé 0,4 %. Nejenže růst spotřebitelských cen byl výrazně pod cílem České národní banky (ČNB), která jej stanovuje na úrovni 2 %, ceny rostly nejpomaleji od roku 2003 (+0,1 %). Slabý růst cen v roce 2014 byl způsoben především dlouhodobou dezinflací v </w:t>
            </w:r>
            <w:proofErr w:type="spellStart"/>
            <w:r w:rsidRPr="00C10B28">
              <w:rPr>
                <w:color w:val="000000" w:themeColor="text1"/>
                <w:spacing w:val="-2"/>
              </w:rPr>
              <w:t>eurozóně</w:t>
            </w:r>
            <w:proofErr w:type="spellEnd"/>
            <w:r w:rsidRPr="00C10B28">
              <w:rPr>
                <w:color w:val="000000" w:themeColor="text1"/>
                <w:spacing w:val="-2"/>
              </w:rPr>
              <w:t>, která do ČR prosakovala skrze ceny dovozu, ale také dobrou úrodou zemědělských plodin. Svým dílem k nízkému růstu spotřebitelských cen zřejmě přispěly i</w:t>
            </w:r>
            <w:r>
              <w:rPr>
                <w:color w:val="000000" w:themeColor="text1"/>
                <w:spacing w:val="-2"/>
              </w:rPr>
              <w:t> </w:t>
            </w:r>
            <w:r w:rsidRPr="00C10B28">
              <w:rPr>
                <w:color w:val="000000" w:themeColor="text1"/>
                <w:spacing w:val="-2"/>
              </w:rPr>
              <w:t>restriktivní opatření uvalené na zahraniční obchod v Evropě, jež se promítaly do přetlaku nabídky některých komodit na trhu. Výraznějšímu útlumu míry inflace v roce 2014 bránila slabší koruna, ale také dále oživující domácí poptávka.</w:t>
            </w:r>
          </w:p>
          <w:p w:rsidR="00566381" w:rsidRPr="00ED2CA5" w:rsidRDefault="00566381" w:rsidP="008B7306">
            <w:pPr>
              <w:pStyle w:val="Textpoznpodarou"/>
              <w:jc w:val="both"/>
              <w:rPr>
                <w:color w:val="000000" w:themeColor="text1"/>
                <w:sz w:val="16"/>
                <w:szCs w:val="16"/>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t>Vývoj cen ropy a zemního plynu na světovém komoditním trhu naznačuje, že hrozba deflace stále odvrácena nebyla</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DF2873" w:rsidRDefault="00566381" w:rsidP="008B7306">
            <w:pPr>
              <w:pStyle w:val="Textpoznpodarou"/>
              <w:jc w:val="both"/>
              <w:rPr>
                <w:color w:val="000000" w:themeColor="text1"/>
              </w:rPr>
            </w:pPr>
            <w:r w:rsidRPr="00DF2873">
              <w:rPr>
                <w:color w:val="000000" w:themeColor="text1"/>
              </w:rPr>
              <w:t>Jak bylo možné soudit z vývoje cen ropy a zemního plynu na světovém trhu ve druhé polovině roku 2014 a v prvních měsících roku 2015, hrozba deflace v ČR zřejmě zažehnána nebyla. Jestliže ještě na začátku července se na světovém trhu s komoditami obchodoval barel ropy Brent za zhruba 110 amerických dolarů, na začátku roku 2015 za méně než 50, a přestože v průběhu ledna a února ceny mírně narostly, meziročně zůstávaly stále výrazně níže. Nepříliš odlišně se vyvíjely i ceny zemního plynu, i ten byl v prvních měsících roku 2015 meziročně výrazně levnější. S tím, jak budou nízké ceny těchto energetických surovin vstřebávány výrobním řetězcem, budou se zřejmě postupně projevovat i v cenách pro spotřebitele.</w:t>
            </w:r>
          </w:p>
          <w:p w:rsidR="00566381" w:rsidRPr="00ED2CA5" w:rsidRDefault="00566381" w:rsidP="008B7306">
            <w:pPr>
              <w:pStyle w:val="Textpoznpodarou"/>
              <w:jc w:val="both"/>
              <w:rPr>
                <w:color w:val="000000" w:themeColor="text1"/>
                <w:sz w:val="16"/>
                <w:szCs w:val="16"/>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t>Ještě v 1. pololetí 2014 se ceny pro spotřebitele v </w:t>
            </w:r>
            <w:proofErr w:type="spellStart"/>
            <w:r w:rsidRPr="0021355B">
              <w:rPr>
                <w:color w:val="000000" w:themeColor="text1"/>
                <w:sz w:val="16"/>
                <w:szCs w:val="16"/>
              </w:rPr>
              <w:t>eurozóně</w:t>
            </w:r>
            <w:proofErr w:type="spellEnd"/>
            <w:r w:rsidRPr="0021355B">
              <w:rPr>
                <w:color w:val="000000" w:themeColor="text1"/>
                <w:sz w:val="16"/>
                <w:szCs w:val="16"/>
              </w:rPr>
              <w:t xml:space="preserve"> zvyšovaly v meziročním srovnání výrazněji než v ČR, ve druhé půlce roku se ale relace obrátila</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AB440B" w:rsidRDefault="00566381" w:rsidP="008B7306">
            <w:pPr>
              <w:pStyle w:val="Textpoznpodarou"/>
              <w:jc w:val="both"/>
              <w:rPr>
                <w:color w:val="000000" w:themeColor="text1"/>
                <w:spacing w:val="-4"/>
              </w:rPr>
            </w:pPr>
            <w:r w:rsidRPr="00AB440B">
              <w:rPr>
                <w:color w:val="000000" w:themeColor="text1"/>
                <w:spacing w:val="-4"/>
              </w:rPr>
              <w:t>Zatímco v </w:t>
            </w:r>
            <w:proofErr w:type="spellStart"/>
            <w:r w:rsidRPr="00AB440B">
              <w:rPr>
                <w:color w:val="000000" w:themeColor="text1"/>
                <w:spacing w:val="-4"/>
              </w:rPr>
              <w:t>eurozóně</w:t>
            </w:r>
            <w:proofErr w:type="spellEnd"/>
            <w:r w:rsidRPr="00AB440B">
              <w:rPr>
                <w:color w:val="000000" w:themeColor="text1"/>
                <w:spacing w:val="-4"/>
              </w:rPr>
              <w:t xml:space="preserve"> se v 1. pololetí 2014 ceny pro spotřebitele, jak vyplývá z harmonizovaného indexu spotřebitelských cen, zvyšovaly v meziročním srovnání výrazněji než v </w:t>
            </w:r>
            <w:r w:rsidR="00FF3DF3" w:rsidRPr="00AB440B">
              <w:rPr>
                <w:color w:val="000000" w:themeColor="text1"/>
                <w:spacing w:val="-4"/>
              </w:rPr>
              <w:t>ČR</w:t>
            </w:r>
            <w:r w:rsidRPr="00AB440B">
              <w:rPr>
                <w:color w:val="000000" w:themeColor="text1"/>
                <w:spacing w:val="-4"/>
              </w:rPr>
              <w:t>, ve 2. pololetí se relace obrátila. V samotném 4. čtvrtletí 2014, kdy ceny pro spotřebitele v ČR vzrostly o 0,5 % meziročně, v </w:t>
            </w:r>
            <w:proofErr w:type="spellStart"/>
            <w:r w:rsidRPr="00AB440B">
              <w:rPr>
                <w:color w:val="000000" w:themeColor="text1"/>
                <w:spacing w:val="-4"/>
              </w:rPr>
              <w:t>eurozóně</w:t>
            </w:r>
            <w:proofErr w:type="spellEnd"/>
            <w:r w:rsidRPr="00AB440B">
              <w:rPr>
                <w:color w:val="000000" w:themeColor="text1"/>
                <w:spacing w:val="-4"/>
              </w:rPr>
              <w:t xml:space="preserve"> o pouhé 0,2 %. Snaha Evropské centrální banky (ECB) o rozpohybování trhu s úvěry a následně i cen skrze rekordně nízké úrokové sazby, dodávání likvidity bankám a nákupy zajištěných dluhopisů od bank, neměla výsledky. V lednu 2015 se tak ECB rozhodla spustit program kvantitativního uvolňování</w:t>
            </w:r>
            <w:r w:rsidR="00AB440B" w:rsidRPr="00AB440B">
              <w:rPr>
                <w:color w:val="000000" w:themeColor="text1"/>
                <w:spacing w:val="-4"/>
              </w:rPr>
              <w:t xml:space="preserve"> (spuštěn byl v březnu).</w:t>
            </w:r>
          </w:p>
          <w:p w:rsidR="00566381" w:rsidRPr="00ED2CA5" w:rsidRDefault="00566381" w:rsidP="008B7306">
            <w:pPr>
              <w:pStyle w:val="Textpoznpodarou"/>
              <w:jc w:val="both"/>
              <w:rPr>
                <w:color w:val="000000" w:themeColor="text1"/>
                <w:sz w:val="16"/>
                <w:szCs w:val="16"/>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t>Zatímc</w:t>
            </w:r>
            <w:r w:rsidR="00FF3DF3">
              <w:rPr>
                <w:color w:val="000000" w:themeColor="text1"/>
                <w:sz w:val="16"/>
                <w:szCs w:val="16"/>
              </w:rPr>
              <w:t>o v 1. čtvrtletí 2014 bylo v de</w:t>
            </w:r>
            <w:r w:rsidRPr="0021355B">
              <w:rPr>
                <w:color w:val="000000" w:themeColor="text1"/>
                <w:sz w:val="16"/>
                <w:szCs w:val="16"/>
              </w:rPr>
              <w:t>f</w:t>
            </w:r>
            <w:r w:rsidR="00FF3DF3">
              <w:rPr>
                <w:color w:val="000000" w:themeColor="text1"/>
                <w:sz w:val="16"/>
                <w:szCs w:val="16"/>
              </w:rPr>
              <w:t>l</w:t>
            </w:r>
            <w:r w:rsidRPr="0021355B">
              <w:rPr>
                <w:color w:val="000000" w:themeColor="text1"/>
                <w:sz w:val="16"/>
                <w:szCs w:val="16"/>
              </w:rPr>
              <w:t>aci jen pět zemí EU, v posledním už osm</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21355B" w:rsidRDefault="00566381" w:rsidP="008B7306">
            <w:pPr>
              <w:pStyle w:val="Textpoznpodarou"/>
              <w:jc w:val="both"/>
              <w:rPr>
                <w:color w:val="000000" w:themeColor="text1"/>
                <w:spacing w:val="-6"/>
              </w:rPr>
            </w:pPr>
            <w:r w:rsidRPr="0021355B">
              <w:rPr>
                <w:color w:val="000000" w:themeColor="text1"/>
              </w:rPr>
              <w:t>Meziroční růst spotřebitelských cen v ČR v posledním čtvrtletí 2014 patřil mezi zeměmi EU k těm nejvyšším. Více ceny narůstaly jen v Rumunsku, Rakousku, Finsku, Velké Británii, Lotyšsku a na Maltě. Ani v jedné z těchto zemí ale meziroční přírůstek nepřekročil hranici 1,5 %. Naproti tomu čím dál tím více zemí se propadalo do deflace. Jestliže ještě v 1. čtvrtletí 2014 evidovalo meziroční pokles spotřebitelských cen jen pět unijních členů, ve 2. čtvrtletí šest, ve 3. už sedm a v posledním dokonce osm.</w:t>
            </w:r>
          </w:p>
          <w:p w:rsidR="00566381" w:rsidRPr="00ED2CA5" w:rsidRDefault="00566381" w:rsidP="008B7306">
            <w:pPr>
              <w:pStyle w:val="Textpoznpodarou"/>
              <w:jc w:val="both"/>
              <w:rPr>
                <w:color w:val="000000" w:themeColor="text1"/>
                <w:sz w:val="16"/>
                <w:szCs w:val="16"/>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t>Ceny potravin v ČR vzrostly v roce 2014 jen o 2,3 %, nejméně od roku 2010, …</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21355B" w:rsidRDefault="00566381" w:rsidP="008B7306">
            <w:pPr>
              <w:pStyle w:val="Textpoznpodarou"/>
              <w:jc w:val="both"/>
              <w:rPr>
                <w:color w:val="000000" w:themeColor="text1"/>
                <w:spacing w:val="-2"/>
              </w:rPr>
            </w:pPr>
            <w:r w:rsidRPr="0021355B">
              <w:rPr>
                <w:color w:val="000000" w:themeColor="text1"/>
                <w:spacing w:val="-2"/>
              </w:rPr>
              <w:t>Růst cen potravin v tuzemsku v průběhu roku 2014 výrazně zpomaloval. Jestliže ještě v 1. čtvrtletí byly ceny potravin v meziročním srovnání vyšší o 4,4 %, ve 2. o 1,9 %, ve 3. kvartále o 1,7 % a v posledním čtvrtletí už jen o 1,4 %. V úhrnu za celý rok 2014 se ceny potravin zvýšily o 2,3 %, nejméně od roku 2010 (+1,7 %).</w:t>
            </w:r>
          </w:p>
          <w:p w:rsidR="00566381" w:rsidRPr="00ED2CA5" w:rsidRDefault="00566381" w:rsidP="008B7306">
            <w:pPr>
              <w:pStyle w:val="Textpoznpodarou"/>
              <w:jc w:val="both"/>
              <w:rPr>
                <w:color w:val="000000" w:themeColor="text1"/>
                <w:sz w:val="14"/>
                <w:szCs w:val="14"/>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t>… velký podíl na nízkém růstu cen potravin měla dobrá úroda zemědělských plodin</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21355B" w:rsidRDefault="00566381" w:rsidP="008B7306">
            <w:pPr>
              <w:pStyle w:val="Textpoznpodarou"/>
              <w:jc w:val="both"/>
              <w:rPr>
                <w:color w:val="000000" w:themeColor="text1"/>
              </w:rPr>
            </w:pPr>
            <w:r w:rsidRPr="0021355B">
              <w:rPr>
                <w:color w:val="000000" w:themeColor="text1"/>
              </w:rPr>
              <w:t>Dobrá úroda zemědělských plodin měla přímý poz</w:t>
            </w:r>
            <w:r>
              <w:rPr>
                <w:color w:val="000000" w:themeColor="text1"/>
              </w:rPr>
              <w:t>itivní vliv na ceny ovoce, jež</w:t>
            </w:r>
            <w:r w:rsidRPr="0021355B">
              <w:rPr>
                <w:color w:val="000000" w:themeColor="text1"/>
              </w:rPr>
              <w:t xml:space="preserve"> se v úhrnu za rok 2014 zvýšily jen o 0,5 %, a zeleniny, které dokonce o 3,7 % klesly, projevila se ale také nepřímo v cenách pekárenských výrobků a obilovin (+0,4 %). Maso se v obchodech prodávalo o 2,5 % dráž než před rokem, nejvíce si spotřebitelé museli připlatit za mléko, sýry a vejce (+7,4 %).</w:t>
            </w:r>
          </w:p>
          <w:p w:rsidR="00566381" w:rsidRPr="00ED2CA5" w:rsidRDefault="00566381" w:rsidP="008B7306">
            <w:pPr>
              <w:pStyle w:val="Textpoznpodarou"/>
              <w:jc w:val="both"/>
              <w:rPr>
                <w:color w:val="000000" w:themeColor="text1"/>
                <w:sz w:val="14"/>
                <w:szCs w:val="14"/>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t xml:space="preserve">Ceny </w:t>
            </w:r>
            <w:r>
              <w:rPr>
                <w:color w:val="000000" w:themeColor="text1"/>
                <w:sz w:val="16"/>
                <w:szCs w:val="16"/>
              </w:rPr>
              <w:t xml:space="preserve">průmyslových výrobců </w:t>
            </w:r>
            <w:r w:rsidRPr="0021355B">
              <w:rPr>
                <w:color w:val="000000" w:themeColor="text1"/>
                <w:sz w:val="16"/>
                <w:szCs w:val="16"/>
              </w:rPr>
              <w:t xml:space="preserve">zamířily v roce 2014 do deflace, </w:t>
            </w:r>
            <w:r w:rsidRPr="0021355B">
              <w:rPr>
                <w:color w:val="000000" w:themeColor="text1"/>
                <w:sz w:val="16"/>
                <w:szCs w:val="16"/>
              </w:rPr>
              <w:lastRenderedPageBreak/>
              <w:t>v samotném zpracovatelském průmyslu cenová dynamika ale narostla, …</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21355B" w:rsidRDefault="00566381" w:rsidP="008B7306">
            <w:pPr>
              <w:pStyle w:val="Textpoznpodarou"/>
              <w:jc w:val="both"/>
              <w:rPr>
                <w:color w:val="000000" w:themeColor="text1"/>
              </w:rPr>
            </w:pPr>
            <w:r w:rsidRPr="0021355B">
              <w:rPr>
                <w:color w:val="000000" w:themeColor="text1"/>
              </w:rPr>
              <w:t xml:space="preserve">Ceny </w:t>
            </w:r>
            <w:r>
              <w:rPr>
                <w:color w:val="000000" w:themeColor="text1"/>
              </w:rPr>
              <w:t>průmyslových výrobců</w:t>
            </w:r>
            <w:r w:rsidRPr="0021355B">
              <w:rPr>
                <w:color w:val="000000" w:themeColor="text1"/>
              </w:rPr>
              <w:t xml:space="preserve">, které v roce 2013 o 0,8 % posílily, zamířily v roce 2014 do deflace. Klesly o 0,8 %, a to i přesto, že cenová dynamika ve  významném zpracovatelském průmyslu narostla z +0,2 % v roce 2013 na +1,0 % </w:t>
            </w:r>
            <w:r w:rsidRPr="0021355B">
              <w:rPr>
                <w:color w:val="000000" w:themeColor="text1"/>
              </w:rPr>
              <w:lastRenderedPageBreak/>
              <w:t>v roce 2014. Co za poklesem cen v průmyslu tedy stálo? Prohloubila</w:t>
            </w:r>
            <w:r w:rsidR="00FF3DF3">
              <w:rPr>
                <w:color w:val="000000" w:themeColor="text1"/>
              </w:rPr>
              <w:t xml:space="preserve"> se</w:t>
            </w:r>
            <w:r w:rsidRPr="0021355B">
              <w:rPr>
                <w:color w:val="000000" w:themeColor="text1"/>
              </w:rPr>
              <w:t xml:space="preserve"> deflace v těžbě a dobývání, v odvětví, které se již třetím rokem potýkalo s klesajícími cenami uhlí, navíc v lednu skokově zlevnily dodávky elektřiny a plynu.</w:t>
            </w:r>
          </w:p>
          <w:p w:rsidR="00566381" w:rsidRPr="000F401E" w:rsidRDefault="00566381" w:rsidP="008B7306">
            <w:pPr>
              <w:pStyle w:val="Textpoznpodarou"/>
              <w:jc w:val="both"/>
              <w:rPr>
                <w:color w:val="000000" w:themeColor="text1"/>
                <w:sz w:val="14"/>
                <w:szCs w:val="14"/>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lastRenderedPageBreak/>
              <w:t xml:space="preserve">… a to jak díky pokračujícímu </w:t>
            </w:r>
            <w:r>
              <w:rPr>
                <w:color w:val="000000" w:themeColor="text1"/>
                <w:sz w:val="16"/>
                <w:szCs w:val="16"/>
              </w:rPr>
              <w:t>oživování</w:t>
            </w:r>
            <w:r w:rsidRPr="0021355B">
              <w:rPr>
                <w:color w:val="000000" w:themeColor="text1"/>
                <w:sz w:val="16"/>
                <w:szCs w:val="16"/>
              </w:rPr>
              <w:t xml:space="preserve"> ekonomiky, tak sla</w:t>
            </w:r>
            <w:r>
              <w:rPr>
                <w:color w:val="000000" w:themeColor="text1"/>
                <w:sz w:val="16"/>
                <w:szCs w:val="16"/>
              </w:rPr>
              <w:t>bší koruně, která</w:t>
            </w:r>
            <w:r w:rsidRPr="0021355B">
              <w:rPr>
                <w:color w:val="000000" w:themeColor="text1"/>
                <w:sz w:val="16"/>
                <w:szCs w:val="16"/>
              </w:rPr>
              <w:t xml:space="preserve"> firmám zvyšovala náklady na zakoupení vstupů ze zahraničí</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21355B" w:rsidRDefault="00566381" w:rsidP="008B7306">
            <w:pPr>
              <w:pStyle w:val="Textpoznpodarou"/>
              <w:jc w:val="both"/>
              <w:rPr>
                <w:color w:val="000000" w:themeColor="text1"/>
              </w:rPr>
            </w:pPr>
            <w:r w:rsidRPr="0021355B">
              <w:rPr>
                <w:color w:val="000000" w:themeColor="text1"/>
              </w:rPr>
              <w:t>Jak je patrné z členění na </w:t>
            </w:r>
            <w:proofErr w:type="spellStart"/>
            <w:r w:rsidRPr="0021355B">
              <w:rPr>
                <w:color w:val="000000" w:themeColor="text1"/>
              </w:rPr>
              <w:t>subsekce</w:t>
            </w:r>
            <w:proofErr w:type="spellEnd"/>
            <w:r w:rsidRPr="0021355B">
              <w:rPr>
                <w:color w:val="000000" w:themeColor="text1"/>
              </w:rPr>
              <w:t xml:space="preserve"> CZ-CPA, v roce 2014 své ceny zvýšily všechny sledované skupiny podniků zařazené mezi „zpracovatelské“ s výjimkou producentů koksu a rafinovaných ropných produktů (-1,9 %), kterým ve 4. čtvrtletí klesly náklady na zajištění dodávek ropy</w:t>
            </w:r>
            <w:r w:rsidRPr="00631FC2">
              <w:rPr>
                <w:color w:val="000000" w:themeColor="text1"/>
              </w:rPr>
              <w:t>;</w:t>
            </w:r>
            <w:r w:rsidRPr="0021355B">
              <w:rPr>
                <w:color w:val="000000" w:themeColor="text1"/>
              </w:rPr>
              <w:t xml:space="preserve">  výrobců potravinářských výrobků, nápojů a tabáku (-0,3 %), kteří mohli zlevnit díky dobré úrodě a nízkým výkupním cenám zemědělských plodin</w:t>
            </w:r>
            <w:r w:rsidRPr="00631FC2">
              <w:rPr>
                <w:color w:val="000000" w:themeColor="text1"/>
              </w:rPr>
              <w:t>;</w:t>
            </w:r>
            <w:r w:rsidRPr="0021355B">
              <w:rPr>
                <w:color w:val="000000" w:themeColor="text1"/>
              </w:rPr>
              <w:t xml:space="preserve"> a producentů základních farmaceutických výrobků (-1,6 %). Co se týče významných skupin podniků</w:t>
            </w:r>
            <w:r>
              <w:rPr>
                <w:color w:val="000000" w:themeColor="text1"/>
              </w:rPr>
              <w:t xml:space="preserve"> (z hlediska podílu na celkovém výkonu zpracovatelského průmyslu)</w:t>
            </w:r>
            <w:r w:rsidRPr="0021355B">
              <w:rPr>
                <w:color w:val="000000" w:themeColor="text1"/>
              </w:rPr>
              <w:t>, nejvíce zdražili výrobci dopravních prostředků (+3,5 %) a obecných kovů a kovodělných výrobků (+2,4 %), z méně významných pak podniky zabývající se zpracováním dřeva, výrobou papíru a</w:t>
            </w:r>
            <w:r>
              <w:rPr>
                <w:color w:val="000000" w:themeColor="text1"/>
              </w:rPr>
              <w:t> </w:t>
            </w:r>
            <w:r w:rsidRPr="0021355B">
              <w:rPr>
                <w:color w:val="000000" w:themeColor="text1"/>
              </w:rPr>
              <w:t>tiskem (+3,6 %) a producenti textilu, oděvů a usní (+2,4 %).</w:t>
            </w:r>
          </w:p>
          <w:p w:rsidR="00566381" w:rsidRPr="000F401E" w:rsidRDefault="00566381" w:rsidP="008B7306">
            <w:pPr>
              <w:pStyle w:val="Textpoznpodarou"/>
              <w:jc w:val="both"/>
              <w:rPr>
                <w:color w:val="000000" w:themeColor="text1"/>
                <w:sz w:val="14"/>
                <w:szCs w:val="14"/>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t>Ceny zemědělských výrobců se v roce 2014 snížily o 3,7 %, samotné mléko se ale obchodovalo za ceny o 13,1 % vyšší</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21355B" w:rsidRDefault="00566381" w:rsidP="008B7306">
            <w:pPr>
              <w:pStyle w:val="Textpoznpodarou"/>
              <w:jc w:val="both"/>
              <w:rPr>
                <w:color w:val="000000" w:themeColor="text1"/>
              </w:rPr>
            </w:pPr>
            <w:r w:rsidRPr="0021355B">
              <w:rPr>
                <w:color w:val="000000" w:themeColor="text1"/>
              </w:rPr>
              <w:t>Ceny zemědělských výrobců se v roce 2014 snížily o 3,7 %. Dobrá úroda a z ní plynoucí vysoká hmotnost sklizených plodin stlačila ceny všech sledovaných druhů obilovin, meziročně levněji se prodávala i zelenina a zahradnické produkty, brambory, ovoce a průmyslové plodiny (například řepka a slunečnice). Levněji než v roce 2013 se vykupovala hospodářská zvířata (skot, prasata, ovce i</w:t>
            </w:r>
            <w:r>
              <w:rPr>
                <w:color w:val="000000" w:themeColor="text1"/>
              </w:rPr>
              <w:t> </w:t>
            </w:r>
            <w:r w:rsidRPr="0021355B">
              <w:rPr>
                <w:color w:val="000000" w:themeColor="text1"/>
              </w:rPr>
              <w:t xml:space="preserve">drůbež), ceny mléka naproti tomu vzrostly o 13,1 %. </w:t>
            </w:r>
            <w:r>
              <w:rPr>
                <w:color w:val="000000" w:themeColor="text1"/>
              </w:rPr>
              <w:t>Ty se zvyšovaly, zřejmě zejména v</w:t>
            </w:r>
            <w:r w:rsidRPr="0021355B">
              <w:rPr>
                <w:color w:val="000000" w:themeColor="text1"/>
              </w:rPr>
              <w:t xml:space="preserve"> důsledku rostoucí celosvětové poptávky po mléčných výrobcích</w:t>
            </w:r>
            <w:r>
              <w:rPr>
                <w:color w:val="000000" w:themeColor="text1"/>
              </w:rPr>
              <w:t>,</w:t>
            </w:r>
            <w:r w:rsidRPr="0021355B">
              <w:rPr>
                <w:color w:val="000000" w:themeColor="text1"/>
              </w:rPr>
              <w:t xml:space="preserve"> </w:t>
            </w:r>
            <w:r>
              <w:rPr>
                <w:color w:val="000000" w:themeColor="text1"/>
              </w:rPr>
              <w:t>již druhým rokem. V</w:t>
            </w:r>
            <w:r w:rsidRPr="0021355B">
              <w:rPr>
                <w:color w:val="000000" w:themeColor="text1"/>
              </w:rPr>
              <w:t xml:space="preserve"> kumulaci za roky 2013 a 2014</w:t>
            </w:r>
            <w:r>
              <w:rPr>
                <w:color w:val="000000" w:themeColor="text1"/>
              </w:rPr>
              <w:t xml:space="preserve"> ceny mléka</w:t>
            </w:r>
            <w:r w:rsidRPr="0021355B">
              <w:rPr>
                <w:color w:val="000000" w:themeColor="text1"/>
              </w:rPr>
              <w:t xml:space="preserve"> narostly o 21,9 %.</w:t>
            </w:r>
          </w:p>
          <w:p w:rsidR="00566381" w:rsidRPr="000F401E" w:rsidRDefault="00566381" w:rsidP="008B7306">
            <w:pPr>
              <w:pStyle w:val="Textpoznpodarou"/>
              <w:jc w:val="both"/>
              <w:rPr>
                <w:color w:val="000000" w:themeColor="text1"/>
                <w:sz w:val="14"/>
                <w:szCs w:val="14"/>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t>Stavební firmy v roce 2014 již zřejmě nebyly schopné dále zmenšovat své marže a ceny stavebních prací vzrostly o 0,5 %. Zvýšily se poprvé od roku 2009</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21355B" w:rsidRDefault="00566381" w:rsidP="008B7306">
            <w:pPr>
              <w:pStyle w:val="Textpoznpodarou"/>
              <w:jc w:val="both"/>
              <w:rPr>
                <w:color w:val="000000" w:themeColor="text1"/>
              </w:rPr>
            </w:pPr>
            <w:r w:rsidRPr="0021355B">
              <w:rPr>
                <w:color w:val="000000" w:themeColor="text1"/>
              </w:rPr>
              <w:t>Ceny ve stavebnictví, které svého dna dosáhly v polovině roku 2013, pokračovaly v mírném nárůstu i v roce 2014. Plyne to z vývoje bazického indexu cen stavebních prací. V úhrnu za celý rok 2014 se ceny ve stavebnictví zvýšily o 0,5 %, k růstu cen stavebních prací došlo poprvé od roku 2009. Firmy již zřejmě nebyly dále schopné zmenšovat své marže a ceny stavebních prací tak rostly s tím, jak firmám narůstaly náklady stavební výroby. Že se stavebním firmám v roce 2014 – z pohledu růstu hodnoty stavebních zakázek a nárůstu objemu stavební produkce – již v celku dařilo, se v cenách stavebních prací příliš neprojevilo. Firmám ve</w:t>
            </w:r>
            <w:r>
              <w:rPr>
                <w:color w:val="000000" w:themeColor="text1"/>
              </w:rPr>
              <w:t xml:space="preserve"> výraznějším</w:t>
            </w:r>
            <w:r w:rsidRPr="0021355B">
              <w:rPr>
                <w:color w:val="000000" w:themeColor="text1"/>
              </w:rPr>
              <w:t xml:space="preserve"> zvyšování cen bránila velká konkurence.</w:t>
            </w:r>
          </w:p>
          <w:p w:rsidR="00566381" w:rsidRPr="000F401E" w:rsidRDefault="00566381" w:rsidP="008B7306">
            <w:pPr>
              <w:pStyle w:val="Textpoznpodarou"/>
              <w:jc w:val="both"/>
              <w:rPr>
                <w:color w:val="000000" w:themeColor="text1"/>
                <w:sz w:val="14"/>
                <w:szCs w:val="14"/>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t>Opětovnému růstu cen tržních služeb v roce 2014 výrazně napomohla vyšší poptávka zpracovatelského průmyslu po dopravě a skladování, ale i po agenturních zaměstnancích</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21355B" w:rsidRDefault="00566381" w:rsidP="008B7306">
            <w:pPr>
              <w:pStyle w:val="Textpoznpodarou"/>
              <w:jc w:val="both"/>
              <w:rPr>
                <w:color w:val="000000" w:themeColor="text1"/>
              </w:rPr>
            </w:pPr>
            <w:r w:rsidRPr="0021355B">
              <w:rPr>
                <w:color w:val="000000" w:themeColor="text1"/>
              </w:rPr>
              <w:t>Ceny tržních služeb se v roce 2014 zvýšily o 0,3 %, k růstu došlo poprvé po dvou letech. Výrazně narostly ceny poštovních a kurýrních služeb (+4,9 %), finanční služby (kromě pojištění a penzijního financování) podražily navzdory velké konkurenci mezi finančními institucemi o 4,6 %, výrazně se zvýšily i ceny služeb pracovních agentur (+4,8 %), kterých v tomto roce hojně využíval zpracovatelský průmysl. Vyšší výkony zpracovatelského průmyslu se projevily i ve vyšší poptávce po dopravě a skladování, a v logice věci tedy i v cenách těchto služeb. Ceny silniční nákladní dopravy narostly o 2,5 %, vodní nákladní dopravy dokonce o 3,9 %. Ceny skladování a podpůrných služeb v dopravě se v úhrnu za celý rok 2014 nezměnily, to ale bylo dáno výrazně diferencovaným vývojem na počátku a ve zbytku roku – jestliže v 1. čtvrtletí ceny skladování a podpůrných služeb v dopravě klesly o 4,6 %</w:t>
            </w:r>
            <w:r>
              <w:rPr>
                <w:color w:val="000000" w:themeColor="text1"/>
              </w:rPr>
              <w:t xml:space="preserve"> meziročně</w:t>
            </w:r>
            <w:r w:rsidRPr="0021355B">
              <w:rPr>
                <w:color w:val="000000" w:themeColor="text1"/>
              </w:rPr>
              <w:t>, v každém dalším byly o 1,7 % výše.</w:t>
            </w:r>
          </w:p>
          <w:p w:rsidR="00566381" w:rsidRPr="000F401E" w:rsidRDefault="00566381" w:rsidP="008B7306">
            <w:pPr>
              <w:pStyle w:val="Textpoznpodarou"/>
              <w:jc w:val="both"/>
              <w:rPr>
                <w:color w:val="000000" w:themeColor="text1"/>
                <w:sz w:val="14"/>
                <w:szCs w:val="14"/>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t>V prosinci 2014 ceny dovozu zboží poprvé po třinácti měsících v meziročním srovnání klesly</w:t>
            </w:r>
          </w:p>
        </w:tc>
        <w:tc>
          <w:tcPr>
            <w:tcW w:w="143" w:type="pct"/>
          </w:tcPr>
          <w:p w:rsidR="00566381" w:rsidRPr="0021355B" w:rsidRDefault="00566381" w:rsidP="008B7306">
            <w:pPr>
              <w:pStyle w:val="Textpoznpodarou"/>
              <w:jc w:val="both"/>
              <w:rPr>
                <w:color w:val="000000" w:themeColor="text1"/>
              </w:rPr>
            </w:pPr>
          </w:p>
        </w:tc>
        <w:tc>
          <w:tcPr>
            <w:tcW w:w="3803" w:type="pct"/>
          </w:tcPr>
          <w:p w:rsidR="00566381" w:rsidRPr="00B60062" w:rsidRDefault="00566381" w:rsidP="00C84CE3">
            <w:pPr>
              <w:pStyle w:val="Textpoznpodarou"/>
              <w:jc w:val="both"/>
              <w:rPr>
                <w:color w:val="000000" w:themeColor="text1"/>
              </w:rPr>
            </w:pPr>
            <w:r w:rsidRPr="00B60062">
              <w:rPr>
                <w:color w:val="000000" w:themeColor="text1"/>
              </w:rPr>
              <w:t>Po celý rok 2014, s výjimkou prosince, byl ze zahraničí</w:t>
            </w:r>
            <w:r>
              <w:rPr>
                <w:color w:val="000000" w:themeColor="text1"/>
              </w:rPr>
              <w:t xml:space="preserve"> spolu se zbožím</w:t>
            </w:r>
            <w:r w:rsidRPr="00B60062">
              <w:rPr>
                <w:color w:val="000000" w:themeColor="text1"/>
              </w:rPr>
              <w:t xml:space="preserve"> díky slabší koruně dovážen meziroční </w:t>
            </w:r>
            <w:r>
              <w:rPr>
                <w:color w:val="000000" w:themeColor="text1"/>
              </w:rPr>
              <w:t xml:space="preserve">cenový </w:t>
            </w:r>
            <w:r w:rsidRPr="00B60062">
              <w:rPr>
                <w:color w:val="000000" w:themeColor="text1"/>
              </w:rPr>
              <w:t>růst. V úhrnu za celý rok 2014 ceny dovozu zboží vzrostly o 1,9 %, v samotném prosinci ale stejnou měrou klesly. Na</w:t>
            </w:r>
            <w:r>
              <w:rPr>
                <w:color w:val="000000" w:themeColor="text1"/>
              </w:rPr>
              <w:t> </w:t>
            </w:r>
            <w:r w:rsidRPr="00B60062">
              <w:rPr>
                <w:color w:val="000000" w:themeColor="text1"/>
              </w:rPr>
              <w:t>dovozní ceny jako celek přestalo působit výrazné oslabení koruny</w:t>
            </w:r>
            <w:r w:rsidR="00602D1D">
              <w:rPr>
                <w:color w:val="000000" w:themeColor="text1"/>
              </w:rPr>
              <w:t xml:space="preserve"> k euru</w:t>
            </w:r>
            <w:r w:rsidRPr="00B60062">
              <w:rPr>
                <w:color w:val="000000" w:themeColor="text1"/>
              </w:rPr>
              <w:t>, navíc velmi se prohloubil pokles cen dovozu minerálních paliv a maziv (-20,9 %). Ze zahraničí se opět začala dovážet deflace.</w:t>
            </w:r>
          </w:p>
          <w:p w:rsidR="00566381" w:rsidRPr="000F401E" w:rsidRDefault="00566381" w:rsidP="008B7306">
            <w:pPr>
              <w:pStyle w:val="Textpoznpodarou"/>
              <w:jc w:val="both"/>
              <w:rPr>
                <w:color w:val="000000" w:themeColor="text1"/>
                <w:spacing w:val="-4"/>
                <w:sz w:val="14"/>
                <w:szCs w:val="14"/>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t>Vývozní ceny zboží vzrostly v roce 2014 o 3,5 %, nejvíce za posledních deset let</w:t>
            </w:r>
          </w:p>
        </w:tc>
        <w:tc>
          <w:tcPr>
            <w:tcW w:w="143" w:type="pct"/>
          </w:tcPr>
          <w:p w:rsidR="00566381" w:rsidRPr="0021355B" w:rsidRDefault="00566381" w:rsidP="008B7306">
            <w:pPr>
              <w:pStyle w:val="Textpoznpodarou"/>
              <w:jc w:val="both"/>
              <w:rPr>
                <w:color w:val="000000" w:themeColor="text1"/>
              </w:rPr>
            </w:pPr>
          </w:p>
        </w:tc>
        <w:tc>
          <w:tcPr>
            <w:tcW w:w="3803" w:type="pct"/>
          </w:tcPr>
          <w:p w:rsidR="00FF3DF3" w:rsidRDefault="00566381" w:rsidP="00ED2CA5">
            <w:pPr>
              <w:pStyle w:val="Textpoznpodarou"/>
              <w:jc w:val="both"/>
              <w:rPr>
                <w:color w:val="000000" w:themeColor="text1"/>
                <w:spacing w:val="-2"/>
              </w:rPr>
            </w:pPr>
            <w:r w:rsidRPr="00D148CD">
              <w:rPr>
                <w:color w:val="000000" w:themeColor="text1"/>
                <w:spacing w:val="-2"/>
              </w:rPr>
              <w:t>Vývozní ceny</w:t>
            </w:r>
            <w:r>
              <w:rPr>
                <w:color w:val="000000" w:themeColor="text1"/>
                <w:spacing w:val="-2"/>
              </w:rPr>
              <w:t xml:space="preserve"> zboží</w:t>
            </w:r>
            <w:r w:rsidRPr="00D148CD">
              <w:rPr>
                <w:color w:val="000000" w:themeColor="text1"/>
                <w:spacing w:val="-2"/>
              </w:rPr>
              <w:t xml:space="preserve"> vzrostly v roce 2014 v úhrnu o 3,5 %, nejvíce za posledních deset let. Je zřejmé, že stejně jako na straně dovozu, i zde ceny pozitivně ovlivnila </w:t>
            </w:r>
            <w:r>
              <w:rPr>
                <w:color w:val="000000" w:themeColor="text1"/>
                <w:spacing w:val="-2"/>
              </w:rPr>
              <w:t>devizová </w:t>
            </w:r>
            <w:r w:rsidRPr="00D148CD">
              <w:rPr>
                <w:color w:val="000000" w:themeColor="text1"/>
                <w:spacing w:val="-2"/>
              </w:rPr>
              <w:t>intervence ČNB. Za vyšší ceny než před rokem se vyváželo veškeré zboží s výjimkou minerálních paliv a maziv (-5,0 %), potravin a živých zvířat (-0,2 %), a hodnotově málo významných živočišných a rostlinných olejů (-3,2 %). Stěžejní komodity v zahraničním obchodě ČR, t</w:t>
            </w:r>
            <w:r>
              <w:rPr>
                <w:color w:val="000000" w:themeColor="text1"/>
                <w:spacing w:val="-2"/>
              </w:rPr>
              <w:t>j. stroje a dopravní prostředky –</w:t>
            </w:r>
            <w:r w:rsidRPr="00D148CD">
              <w:rPr>
                <w:color w:val="000000" w:themeColor="text1"/>
                <w:spacing w:val="-2"/>
              </w:rPr>
              <w:t xml:space="preserve"> které se</w:t>
            </w:r>
            <w:r>
              <w:rPr>
                <w:color w:val="000000" w:themeColor="text1"/>
                <w:spacing w:val="-2"/>
              </w:rPr>
              <w:t> </w:t>
            </w:r>
            <w:r w:rsidRPr="00D148CD">
              <w:rPr>
                <w:color w:val="000000" w:themeColor="text1"/>
                <w:spacing w:val="-2"/>
              </w:rPr>
              <w:t>na</w:t>
            </w:r>
            <w:r>
              <w:rPr>
                <w:color w:val="000000" w:themeColor="text1"/>
                <w:spacing w:val="-2"/>
              </w:rPr>
              <w:t> </w:t>
            </w:r>
            <w:r w:rsidRPr="00D148CD">
              <w:rPr>
                <w:color w:val="000000" w:themeColor="text1"/>
                <w:spacing w:val="-2"/>
              </w:rPr>
              <w:t>celkovém vývozu zboží z ČR podílí zhruba z</w:t>
            </w:r>
            <w:r>
              <w:rPr>
                <w:color w:val="000000" w:themeColor="text1"/>
                <w:spacing w:val="-2"/>
              </w:rPr>
              <w:t> </w:t>
            </w:r>
            <w:r w:rsidRPr="00D148CD">
              <w:rPr>
                <w:color w:val="000000" w:themeColor="text1"/>
                <w:spacing w:val="-2"/>
              </w:rPr>
              <w:t>pol</w:t>
            </w:r>
            <w:r>
              <w:rPr>
                <w:color w:val="000000" w:themeColor="text1"/>
                <w:spacing w:val="-2"/>
              </w:rPr>
              <w:t>oviny –</w:t>
            </w:r>
            <w:r w:rsidRPr="00D148CD">
              <w:rPr>
                <w:color w:val="000000" w:themeColor="text1"/>
                <w:spacing w:val="-2"/>
              </w:rPr>
              <w:t xml:space="preserve"> se do zahraničí prodávaly o 3,7 % dráže než před rokem.</w:t>
            </w:r>
          </w:p>
          <w:p w:rsidR="00602D1D" w:rsidRPr="000F401E" w:rsidRDefault="00602D1D" w:rsidP="00ED2CA5">
            <w:pPr>
              <w:pStyle w:val="Textpoznpodarou"/>
              <w:jc w:val="both"/>
              <w:rPr>
                <w:color w:val="000000" w:themeColor="text1"/>
                <w:spacing w:val="-2"/>
                <w:sz w:val="14"/>
                <w:szCs w:val="14"/>
              </w:rPr>
            </w:pPr>
          </w:p>
        </w:tc>
      </w:tr>
      <w:tr w:rsidR="00566381" w:rsidRPr="007D44C3" w:rsidTr="00ED2CA5">
        <w:tc>
          <w:tcPr>
            <w:tcW w:w="1054" w:type="pct"/>
          </w:tcPr>
          <w:p w:rsidR="00566381" w:rsidRPr="0021355B" w:rsidRDefault="00566381" w:rsidP="00A727BA">
            <w:pPr>
              <w:spacing w:line="240" w:lineRule="auto"/>
              <w:rPr>
                <w:color w:val="000000" w:themeColor="text1"/>
                <w:sz w:val="16"/>
                <w:szCs w:val="16"/>
              </w:rPr>
            </w:pPr>
            <w:r w:rsidRPr="0021355B">
              <w:rPr>
                <w:color w:val="000000" w:themeColor="text1"/>
                <w:sz w:val="16"/>
                <w:szCs w:val="16"/>
              </w:rPr>
              <w:lastRenderedPageBreak/>
              <w:t>Příznivý vývoj cen v zahraničním obchodě se zbožím se dotýkal všech tříd SITC, výjimkou byly jen potraviny a živá zvířata</w:t>
            </w:r>
          </w:p>
        </w:tc>
        <w:tc>
          <w:tcPr>
            <w:tcW w:w="143" w:type="pct"/>
          </w:tcPr>
          <w:p w:rsidR="00566381" w:rsidRPr="0021355B" w:rsidRDefault="00566381" w:rsidP="008B7306">
            <w:pPr>
              <w:pStyle w:val="Textpoznpodarou"/>
              <w:jc w:val="both"/>
              <w:rPr>
                <w:color w:val="000000" w:themeColor="text1"/>
              </w:rPr>
            </w:pPr>
          </w:p>
        </w:tc>
        <w:tc>
          <w:tcPr>
            <w:tcW w:w="3803" w:type="pct"/>
          </w:tcPr>
          <w:p w:rsidR="00C84CE3" w:rsidRPr="0021355B" w:rsidRDefault="00566381" w:rsidP="00170B04">
            <w:pPr>
              <w:pStyle w:val="Textpoznpodarou"/>
              <w:jc w:val="both"/>
              <w:rPr>
                <w:color w:val="000000" w:themeColor="text1"/>
              </w:rPr>
            </w:pPr>
            <w:r w:rsidRPr="0021355B">
              <w:rPr>
                <w:color w:val="000000" w:themeColor="text1"/>
              </w:rPr>
              <w:t>Příznivý vývoj cen v zahraničním obchodě</w:t>
            </w:r>
            <w:r>
              <w:rPr>
                <w:color w:val="000000" w:themeColor="text1"/>
              </w:rPr>
              <w:t xml:space="preserve"> se zbožím</w:t>
            </w:r>
            <w:r w:rsidRPr="0021355B">
              <w:rPr>
                <w:color w:val="000000" w:themeColor="text1"/>
              </w:rPr>
              <w:t xml:space="preserve"> v roce 2014 – tj. vyšší růst cen vývozu v porovnání s dovozem – zlepšoval směnné relace a tedy i výsledek zahraničního obchodu v běžných cenách, a v logice věci tak i celkovou výkonnost ekonomiky ČR. Směnné relace se zlepšily o 1,6 %, nejvíce od roku 2009 (+3,8</w:t>
            </w:r>
            <w:r>
              <w:rPr>
                <w:color w:val="000000" w:themeColor="text1"/>
              </w:rPr>
              <w:t> </w:t>
            </w:r>
            <w:r w:rsidRPr="0021355B">
              <w:rPr>
                <w:color w:val="000000" w:themeColor="text1"/>
              </w:rPr>
              <w:t xml:space="preserve">%), kdy došlo ke </w:t>
            </w:r>
            <w:r>
              <w:rPr>
                <w:color w:val="000000" w:themeColor="text1"/>
              </w:rPr>
              <w:t>„</w:t>
            </w:r>
            <w:r w:rsidRPr="0021355B">
              <w:rPr>
                <w:color w:val="000000" w:themeColor="text1"/>
              </w:rPr>
              <w:t>splasknutí bubliny</w:t>
            </w:r>
            <w:r>
              <w:rPr>
                <w:color w:val="000000" w:themeColor="text1"/>
              </w:rPr>
              <w:t>“</w:t>
            </w:r>
            <w:r w:rsidRPr="0021355B">
              <w:rPr>
                <w:color w:val="000000" w:themeColor="text1"/>
              </w:rPr>
              <w:t xml:space="preserve"> na světovém trhu s</w:t>
            </w:r>
            <w:r>
              <w:rPr>
                <w:color w:val="000000" w:themeColor="text1"/>
              </w:rPr>
              <w:t> </w:t>
            </w:r>
            <w:r w:rsidRPr="0021355B">
              <w:rPr>
                <w:color w:val="000000" w:themeColor="text1"/>
              </w:rPr>
              <w:t>ropou</w:t>
            </w:r>
            <w:r>
              <w:rPr>
                <w:color w:val="000000" w:themeColor="text1"/>
              </w:rPr>
              <w:t xml:space="preserve"> a česká ekonomika těžila z nízkých dovozníc</w:t>
            </w:r>
            <w:r w:rsidR="00170B04">
              <w:rPr>
                <w:color w:val="000000" w:themeColor="text1"/>
              </w:rPr>
              <w:t>h cen této komodity. P</w:t>
            </w:r>
            <w:r w:rsidRPr="0021355B">
              <w:rPr>
                <w:color w:val="000000" w:themeColor="text1"/>
              </w:rPr>
              <w:t>říznivý vývoj cen v zahraničním obchodě</w:t>
            </w:r>
            <w:r>
              <w:rPr>
                <w:color w:val="000000" w:themeColor="text1"/>
              </w:rPr>
              <w:t xml:space="preserve"> v roce 2014 se dotýkal všech tříd SITC, </w:t>
            </w:r>
            <w:r w:rsidRPr="0021355B">
              <w:rPr>
                <w:color w:val="000000" w:themeColor="text1"/>
              </w:rPr>
              <w:t>výjimkou</w:t>
            </w:r>
            <w:r>
              <w:rPr>
                <w:color w:val="000000" w:themeColor="text1"/>
              </w:rPr>
              <w:t xml:space="preserve"> byly jen</w:t>
            </w:r>
            <w:r w:rsidRPr="0021355B">
              <w:rPr>
                <w:color w:val="000000" w:themeColor="text1"/>
              </w:rPr>
              <w:t xml:space="preserve"> potravin</w:t>
            </w:r>
            <w:r>
              <w:rPr>
                <w:color w:val="000000" w:themeColor="text1"/>
              </w:rPr>
              <w:t>y a živá</w:t>
            </w:r>
            <w:r w:rsidRPr="0021355B">
              <w:rPr>
                <w:color w:val="000000" w:themeColor="text1"/>
              </w:rPr>
              <w:t xml:space="preserve"> zvířat</w:t>
            </w:r>
            <w:r>
              <w:rPr>
                <w:color w:val="000000" w:themeColor="text1"/>
              </w:rPr>
              <w:t>a. Zde se směnné relace</w:t>
            </w:r>
            <w:r w:rsidRPr="0021355B">
              <w:rPr>
                <w:color w:val="000000" w:themeColor="text1"/>
              </w:rPr>
              <w:t xml:space="preserve"> zhoršily</w:t>
            </w:r>
            <w:r>
              <w:rPr>
                <w:color w:val="000000" w:themeColor="text1"/>
              </w:rPr>
              <w:t xml:space="preserve"> již potřetí, konkrétně o</w:t>
            </w:r>
            <w:r w:rsidR="00170B04">
              <w:rPr>
                <w:color w:val="000000" w:themeColor="text1"/>
              </w:rPr>
              <w:t> </w:t>
            </w:r>
            <w:r>
              <w:rPr>
                <w:color w:val="000000" w:themeColor="text1"/>
              </w:rPr>
              <w:t>4,4</w:t>
            </w:r>
            <w:r w:rsidR="00170B04">
              <w:rPr>
                <w:color w:val="000000" w:themeColor="text1"/>
              </w:rPr>
              <w:t> </w:t>
            </w:r>
            <w:r>
              <w:rPr>
                <w:color w:val="000000" w:themeColor="text1"/>
              </w:rPr>
              <w:t>%</w:t>
            </w:r>
            <w:r w:rsidRPr="0021355B">
              <w:rPr>
                <w:color w:val="000000" w:themeColor="text1"/>
              </w:rPr>
              <w:t>.</w:t>
            </w:r>
          </w:p>
        </w:tc>
      </w:tr>
    </w:tbl>
    <w:p w:rsidR="0088733A" w:rsidRPr="00ED2CA5" w:rsidRDefault="0088733A" w:rsidP="00BF3DF1">
      <w:pPr>
        <w:rPr>
          <w:sz w:val="16"/>
          <w:szCs w:val="16"/>
        </w:rPr>
      </w:pPr>
    </w:p>
    <w:tbl>
      <w:tblPr>
        <w:tblW w:w="5000" w:type="pct"/>
        <w:tblLook w:val="04A0"/>
      </w:tblPr>
      <w:tblGrid>
        <w:gridCol w:w="1051"/>
        <w:gridCol w:w="3876"/>
        <w:gridCol w:w="887"/>
        <w:gridCol w:w="4040"/>
      </w:tblGrid>
      <w:tr w:rsidR="00B35BEA" w:rsidRPr="0021355B" w:rsidTr="00665D67">
        <w:tc>
          <w:tcPr>
            <w:tcW w:w="532" w:type="pct"/>
          </w:tcPr>
          <w:p w:rsidR="00B35BEA" w:rsidRPr="0021355B" w:rsidRDefault="00B35BEA" w:rsidP="008B7306">
            <w:pPr>
              <w:pStyle w:val="Textpoznpodarou"/>
              <w:rPr>
                <w:color w:val="000000" w:themeColor="text1"/>
              </w:rPr>
            </w:pPr>
            <w:r w:rsidRPr="0021355B">
              <w:rPr>
                <w:color w:val="000000" w:themeColor="text1"/>
              </w:rPr>
              <w:t>Graf č. 11</w:t>
            </w:r>
          </w:p>
        </w:tc>
        <w:tc>
          <w:tcPr>
            <w:tcW w:w="1968" w:type="pct"/>
          </w:tcPr>
          <w:p w:rsidR="00B35BEA" w:rsidRPr="0021355B" w:rsidRDefault="00B35BEA" w:rsidP="008B7306">
            <w:pPr>
              <w:pStyle w:val="Textpoznpodarou"/>
              <w:rPr>
                <w:color w:val="000000" w:themeColor="text1"/>
              </w:rPr>
            </w:pPr>
            <w:r w:rsidRPr="0021355B">
              <w:rPr>
                <w:b/>
                <w:color w:val="000000" w:themeColor="text1"/>
              </w:rPr>
              <w:t>Růst spotřebitelských cen jednotlivých typů domácností</w:t>
            </w:r>
            <w:r w:rsidRPr="0021355B">
              <w:rPr>
                <w:color w:val="000000" w:themeColor="text1"/>
              </w:rPr>
              <w:t xml:space="preserve"> (y/y v %)</w:t>
            </w:r>
          </w:p>
        </w:tc>
        <w:tc>
          <w:tcPr>
            <w:tcW w:w="449" w:type="pct"/>
          </w:tcPr>
          <w:p w:rsidR="00B35BEA" w:rsidRPr="0021355B" w:rsidRDefault="00B35BEA" w:rsidP="008B7306">
            <w:pPr>
              <w:pStyle w:val="Textpoznpodarou"/>
              <w:rPr>
                <w:color w:val="000000" w:themeColor="text1"/>
              </w:rPr>
            </w:pPr>
            <w:r w:rsidRPr="0021355B">
              <w:rPr>
                <w:color w:val="000000" w:themeColor="text1"/>
              </w:rPr>
              <w:t>Graf č. 12</w:t>
            </w:r>
          </w:p>
        </w:tc>
        <w:tc>
          <w:tcPr>
            <w:tcW w:w="2051" w:type="pct"/>
          </w:tcPr>
          <w:p w:rsidR="00B35BEA" w:rsidRPr="0021355B" w:rsidRDefault="00B35BEA" w:rsidP="008B7306">
            <w:pPr>
              <w:pStyle w:val="Textpoznpodarou"/>
              <w:rPr>
                <w:color w:val="000000" w:themeColor="text1"/>
              </w:rPr>
            </w:pPr>
            <w:r w:rsidRPr="0021355B">
              <w:rPr>
                <w:b/>
                <w:color w:val="000000" w:themeColor="text1"/>
              </w:rPr>
              <w:t>Růst cen ve vybraných oddílech CPI</w:t>
            </w:r>
            <w:r w:rsidRPr="0021355B">
              <w:rPr>
                <w:color w:val="000000" w:themeColor="text1"/>
              </w:rPr>
              <w:t xml:space="preserve"> (y/y v %)</w:t>
            </w:r>
          </w:p>
        </w:tc>
      </w:tr>
      <w:tr w:rsidR="00B35BEA" w:rsidRPr="0021355B" w:rsidTr="00665D67">
        <w:tc>
          <w:tcPr>
            <w:tcW w:w="2500" w:type="pct"/>
            <w:gridSpan w:val="2"/>
          </w:tcPr>
          <w:p w:rsidR="00B35BEA" w:rsidRPr="0021355B" w:rsidRDefault="00B35BEA" w:rsidP="008B7306">
            <w:pPr>
              <w:pStyle w:val="Textpoznpodarou"/>
              <w:jc w:val="both"/>
              <w:rPr>
                <w:color w:val="000000" w:themeColor="text1"/>
              </w:rPr>
            </w:pPr>
            <w:r w:rsidRPr="0021355B">
              <w:rPr>
                <w:noProof/>
                <w:color w:val="000000" w:themeColor="text1"/>
              </w:rPr>
              <w:drawing>
                <wp:inline distT="0" distB="0" distL="0" distR="0">
                  <wp:extent cx="3005455" cy="2371725"/>
                  <wp:effectExtent l="19050" t="0" r="4445" b="0"/>
                  <wp:docPr id="5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3005455" cy="2371725"/>
                          </a:xfrm>
                          <a:prstGeom prst="rect">
                            <a:avLst/>
                          </a:prstGeom>
                          <a:noFill/>
                        </pic:spPr>
                      </pic:pic>
                    </a:graphicData>
                  </a:graphic>
                </wp:inline>
              </w:drawing>
            </w:r>
          </w:p>
        </w:tc>
        <w:tc>
          <w:tcPr>
            <w:tcW w:w="2500" w:type="pct"/>
            <w:gridSpan w:val="2"/>
          </w:tcPr>
          <w:p w:rsidR="00B35BEA" w:rsidRPr="0021355B" w:rsidRDefault="00B35BEA" w:rsidP="008B7306">
            <w:pPr>
              <w:pStyle w:val="Textpoznpodarou"/>
              <w:jc w:val="both"/>
              <w:rPr>
                <w:color w:val="000000" w:themeColor="text1"/>
              </w:rPr>
            </w:pPr>
            <w:r w:rsidRPr="0021355B">
              <w:rPr>
                <w:noProof/>
                <w:color w:val="000000" w:themeColor="text1"/>
              </w:rPr>
              <w:drawing>
                <wp:inline distT="0" distB="0" distL="0" distR="0">
                  <wp:extent cx="3005455" cy="2371725"/>
                  <wp:effectExtent l="19050" t="0" r="4445" b="0"/>
                  <wp:docPr id="5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3005455" cy="2371725"/>
                          </a:xfrm>
                          <a:prstGeom prst="rect">
                            <a:avLst/>
                          </a:prstGeom>
                          <a:noFill/>
                        </pic:spPr>
                      </pic:pic>
                    </a:graphicData>
                  </a:graphic>
                </wp:inline>
              </w:drawing>
            </w:r>
          </w:p>
        </w:tc>
      </w:tr>
      <w:tr w:rsidR="00665D67" w:rsidRPr="0021355B" w:rsidTr="00665D67">
        <w:tc>
          <w:tcPr>
            <w:tcW w:w="5000" w:type="pct"/>
            <w:gridSpan w:val="4"/>
          </w:tcPr>
          <w:p w:rsidR="00665D67" w:rsidRPr="0021355B" w:rsidRDefault="00665D67" w:rsidP="00665D67">
            <w:pPr>
              <w:pStyle w:val="Textpoznpodarou"/>
              <w:jc w:val="right"/>
              <w:rPr>
                <w:noProof/>
                <w:color w:val="000000" w:themeColor="text1"/>
              </w:rPr>
            </w:pPr>
            <w:r>
              <w:rPr>
                <w:color w:val="000000" w:themeColor="text1"/>
                <w:sz w:val="18"/>
                <w:szCs w:val="18"/>
              </w:rPr>
              <w:t>Zdroj</w:t>
            </w:r>
            <w:r w:rsidRPr="0021355B">
              <w:rPr>
                <w:color w:val="000000" w:themeColor="text1"/>
                <w:sz w:val="18"/>
                <w:szCs w:val="18"/>
              </w:rPr>
              <w:t>: ČSÚ</w:t>
            </w:r>
          </w:p>
        </w:tc>
      </w:tr>
    </w:tbl>
    <w:p w:rsidR="00665D67" w:rsidRPr="00ED2CA5" w:rsidRDefault="00665D67" w:rsidP="00BF3DF1">
      <w:pPr>
        <w:rPr>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
        <w:gridCol w:w="3883"/>
        <w:gridCol w:w="882"/>
        <w:gridCol w:w="4045"/>
      </w:tblGrid>
      <w:tr w:rsidR="00B35BEA" w:rsidRPr="0021355B" w:rsidTr="00665D67">
        <w:tc>
          <w:tcPr>
            <w:tcW w:w="527" w:type="pct"/>
          </w:tcPr>
          <w:p w:rsidR="00B35BEA" w:rsidRPr="00B35BEA" w:rsidRDefault="00B35BEA" w:rsidP="008B7306">
            <w:pPr>
              <w:pStyle w:val="Textpoznpodarou"/>
              <w:rPr>
                <w:color w:val="000000" w:themeColor="text1"/>
                <w:sz w:val="20"/>
              </w:rPr>
            </w:pPr>
            <w:r w:rsidRPr="00B35BEA">
              <w:rPr>
                <w:color w:val="000000" w:themeColor="text1"/>
                <w:sz w:val="20"/>
              </w:rPr>
              <w:t>Graf č. 13</w:t>
            </w:r>
          </w:p>
        </w:tc>
        <w:tc>
          <w:tcPr>
            <w:tcW w:w="1964" w:type="pct"/>
          </w:tcPr>
          <w:p w:rsidR="00B35BEA" w:rsidRPr="00B35BEA" w:rsidRDefault="00B35BEA" w:rsidP="008B7306">
            <w:pPr>
              <w:pStyle w:val="Textpoznpodarou"/>
              <w:rPr>
                <w:color w:val="000000" w:themeColor="text1"/>
                <w:sz w:val="20"/>
              </w:rPr>
            </w:pPr>
            <w:r w:rsidRPr="00B35BEA">
              <w:rPr>
                <w:b/>
                <w:color w:val="000000" w:themeColor="text1"/>
                <w:sz w:val="20"/>
              </w:rPr>
              <w:t>Deflátory</w:t>
            </w:r>
            <w:r w:rsidRPr="00B35BEA">
              <w:rPr>
                <w:color w:val="000000" w:themeColor="text1"/>
                <w:sz w:val="20"/>
              </w:rPr>
              <w:t xml:space="preserve"> (očištěno od sezónnosti a vlivu počtu pracovních dní, y/y v %)</w:t>
            </w:r>
          </w:p>
        </w:tc>
        <w:tc>
          <w:tcPr>
            <w:tcW w:w="448" w:type="pct"/>
          </w:tcPr>
          <w:p w:rsidR="00B35BEA" w:rsidRPr="00B35BEA" w:rsidRDefault="00B35BEA" w:rsidP="008B7306">
            <w:pPr>
              <w:pStyle w:val="Textpoznpodarou"/>
              <w:rPr>
                <w:color w:val="000000" w:themeColor="text1"/>
                <w:sz w:val="20"/>
              </w:rPr>
            </w:pPr>
            <w:r w:rsidRPr="00B35BEA">
              <w:rPr>
                <w:color w:val="000000" w:themeColor="text1"/>
                <w:sz w:val="20"/>
              </w:rPr>
              <w:t>Graf č. 14</w:t>
            </w:r>
          </w:p>
        </w:tc>
        <w:tc>
          <w:tcPr>
            <w:tcW w:w="2061" w:type="pct"/>
          </w:tcPr>
          <w:p w:rsidR="00B35BEA" w:rsidRPr="00B35BEA" w:rsidRDefault="00B35BEA" w:rsidP="008B7306">
            <w:pPr>
              <w:pStyle w:val="Textpoznpodarou"/>
              <w:rPr>
                <w:color w:val="000000" w:themeColor="text1"/>
                <w:spacing w:val="-6"/>
                <w:sz w:val="20"/>
              </w:rPr>
            </w:pPr>
            <w:r w:rsidRPr="00B35BEA">
              <w:rPr>
                <w:b/>
                <w:color w:val="000000" w:themeColor="text1"/>
                <w:spacing w:val="-6"/>
                <w:sz w:val="20"/>
              </w:rPr>
              <w:t>Ceny výrobců</w:t>
            </w:r>
            <w:r w:rsidRPr="00B35BEA">
              <w:rPr>
                <w:color w:val="000000" w:themeColor="text1"/>
                <w:spacing w:val="-6"/>
                <w:sz w:val="20"/>
              </w:rPr>
              <w:t xml:space="preserve"> (y/y v %, ceny v zemědělství na pravé ose, ostatní na levé ose)</w:t>
            </w:r>
          </w:p>
        </w:tc>
      </w:tr>
      <w:tr w:rsidR="00B35BEA" w:rsidRPr="0021355B" w:rsidTr="00665D67">
        <w:tc>
          <w:tcPr>
            <w:tcW w:w="2491" w:type="pct"/>
            <w:gridSpan w:val="2"/>
          </w:tcPr>
          <w:p w:rsidR="00B35BEA" w:rsidRPr="0021355B" w:rsidRDefault="00B35BEA" w:rsidP="008B7306">
            <w:pPr>
              <w:pStyle w:val="Textpoznpodarou"/>
              <w:jc w:val="both"/>
              <w:rPr>
                <w:color w:val="000000" w:themeColor="text1"/>
              </w:rPr>
            </w:pPr>
            <w:r w:rsidRPr="00491F8F">
              <w:rPr>
                <w:noProof/>
                <w:color w:val="000000" w:themeColor="text1"/>
              </w:rPr>
              <w:drawing>
                <wp:inline distT="0" distB="0" distL="0" distR="0">
                  <wp:extent cx="3005455" cy="2371725"/>
                  <wp:effectExtent l="19050" t="0" r="4445" b="0"/>
                  <wp:docPr id="5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3005455" cy="2371725"/>
                          </a:xfrm>
                          <a:prstGeom prst="rect">
                            <a:avLst/>
                          </a:prstGeom>
                          <a:noFill/>
                        </pic:spPr>
                      </pic:pic>
                    </a:graphicData>
                  </a:graphic>
                </wp:inline>
              </w:drawing>
            </w:r>
          </w:p>
        </w:tc>
        <w:tc>
          <w:tcPr>
            <w:tcW w:w="2509" w:type="pct"/>
            <w:gridSpan w:val="2"/>
          </w:tcPr>
          <w:p w:rsidR="00B35BEA" w:rsidRPr="0021355B" w:rsidRDefault="00B35BEA" w:rsidP="008B7306">
            <w:pPr>
              <w:pStyle w:val="Textpoznpodarou"/>
              <w:jc w:val="both"/>
              <w:rPr>
                <w:color w:val="000000" w:themeColor="text1"/>
              </w:rPr>
            </w:pPr>
            <w:r w:rsidRPr="0021355B">
              <w:rPr>
                <w:noProof/>
                <w:color w:val="000000" w:themeColor="text1"/>
              </w:rPr>
              <w:drawing>
                <wp:inline distT="0" distB="0" distL="0" distR="0">
                  <wp:extent cx="3005455" cy="2365375"/>
                  <wp:effectExtent l="19050" t="0" r="4445" b="0"/>
                  <wp:docPr id="1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005455" cy="2365375"/>
                          </a:xfrm>
                          <a:prstGeom prst="rect">
                            <a:avLst/>
                          </a:prstGeom>
                          <a:noFill/>
                        </pic:spPr>
                      </pic:pic>
                    </a:graphicData>
                  </a:graphic>
                </wp:inline>
              </w:drawing>
            </w:r>
          </w:p>
        </w:tc>
      </w:tr>
      <w:tr w:rsidR="00B35BEA" w:rsidRPr="0021355B" w:rsidTr="00665D67">
        <w:tc>
          <w:tcPr>
            <w:tcW w:w="5000" w:type="pct"/>
            <w:gridSpan w:val="4"/>
          </w:tcPr>
          <w:p w:rsidR="00380E04" w:rsidRPr="0021355B" w:rsidRDefault="00B35BEA" w:rsidP="00380E04">
            <w:pPr>
              <w:pStyle w:val="Textpoznpodarou"/>
              <w:jc w:val="right"/>
              <w:rPr>
                <w:color w:val="000000" w:themeColor="text1"/>
                <w:sz w:val="18"/>
                <w:szCs w:val="18"/>
              </w:rPr>
            </w:pPr>
            <w:r>
              <w:rPr>
                <w:color w:val="000000" w:themeColor="text1"/>
                <w:sz w:val="18"/>
                <w:szCs w:val="18"/>
              </w:rPr>
              <w:t>Zdroj</w:t>
            </w:r>
            <w:r w:rsidRPr="0021355B">
              <w:rPr>
                <w:color w:val="000000" w:themeColor="text1"/>
                <w:sz w:val="18"/>
                <w:szCs w:val="18"/>
              </w:rPr>
              <w:t>: ČSÚ</w:t>
            </w:r>
          </w:p>
        </w:tc>
      </w:tr>
    </w:tbl>
    <w:p w:rsidR="00380E04" w:rsidRDefault="00380E04" w:rsidP="005513D5"/>
    <w:p w:rsidR="0088733A" w:rsidRDefault="0088733A" w:rsidP="00F4591F">
      <w:pPr>
        <w:pStyle w:val="Nadpis1"/>
        <w:numPr>
          <w:ilvl w:val="0"/>
          <w:numId w:val="30"/>
        </w:numPr>
        <w:jc w:val="both"/>
      </w:pPr>
      <w:bookmarkStart w:id="8" w:name="_Toc414264325"/>
      <w:r>
        <w:t>Trh práce</w:t>
      </w:r>
      <w:bookmarkEnd w:id="8"/>
    </w:p>
    <w:tbl>
      <w:tblPr>
        <w:tblW w:w="5000" w:type="pct"/>
        <w:tblLayout w:type="fixed"/>
        <w:tblLook w:val="00A0"/>
      </w:tblPr>
      <w:tblGrid>
        <w:gridCol w:w="38"/>
        <w:gridCol w:w="791"/>
        <w:gridCol w:w="1249"/>
        <w:gridCol w:w="282"/>
        <w:gridCol w:w="2601"/>
        <w:gridCol w:w="788"/>
        <w:gridCol w:w="4068"/>
        <w:gridCol w:w="37"/>
      </w:tblGrid>
      <w:tr w:rsidR="0088733A" w:rsidRPr="007D44C3" w:rsidTr="00ED2CA5">
        <w:tc>
          <w:tcPr>
            <w:tcW w:w="1054" w:type="pct"/>
            <w:gridSpan w:val="3"/>
          </w:tcPr>
          <w:p w:rsidR="0088733A" w:rsidRPr="00CB43A7" w:rsidRDefault="00477EE0" w:rsidP="00867E29">
            <w:pPr>
              <w:spacing w:line="240" w:lineRule="auto"/>
              <w:rPr>
                <w:sz w:val="16"/>
                <w:szCs w:val="16"/>
              </w:rPr>
            </w:pPr>
            <w:r w:rsidRPr="00CB43A7">
              <w:rPr>
                <w:sz w:val="16"/>
                <w:szCs w:val="16"/>
              </w:rPr>
              <w:t xml:space="preserve">V ekonomice </w:t>
            </w:r>
            <w:r w:rsidR="00D90C1E" w:rsidRPr="00CB43A7">
              <w:rPr>
                <w:sz w:val="16"/>
                <w:szCs w:val="16"/>
              </w:rPr>
              <w:t>r</w:t>
            </w:r>
            <w:r w:rsidRPr="00CB43A7">
              <w:rPr>
                <w:sz w:val="16"/>
                <w:szCs w:val="16"/>
              </w:rPr>
              <w:t xml:space="preserve">ostla </w:t>
            </w:r>
            <w:r w:rsidR="00D90C1E" w:rsidRPr="00CB43A7">
              <w:rPr>
                <w:sz w:val="16"/>
                <w:szCs w:val="16"/>
              </w:rPr>
              <w:t>zaměstnanost</w:t>
            </w:r>
            <w:r w:rsidR="006F3708" w:rsidRPr="00CB43A7">
              <w:rPr>
                <w:sz w:val="16"/>
                <w:szCs w:val="16"/>
              </w:rPr>
              <w:t xml:space="preserve"> a reálná mzda při</w:t>
            </w:r>
            <w:r w:rsidR="00D90C1E" w:rsidRPr="00CB43A7">
              <w:rPr>
                <w:sz w:val="16"/>
                <w:szCs w:val="16"/>
              </w:rPr>
              <w:t xml:space="preserve"> </w:t>
            </w:r>
            <w:r w:rsidR="006F3708" w:rsidRPr="00CB43A7">
              <w:rPr>
                <w:sz w:val="16"/>
                <w:szCs w:val="16"/>
              </w:rPr>
              <w:t>po</w:t>
            </w:r>
            <w:r w:rsidR="00D90C1E" w:rsidRPr="00CB43A7">
              <w:rPr>
                <w:sz w:val="16"/>
                <w:szCs w:val="16"/>
              </w:rPr>
              <w:t>kles</w:t>
            </w:r>
            <w:r w:rsidR="006F3708" w:rsidRPr="00CB43A7">
              <w:rPr>
                <w:sz w:val="16"/>
                <w:szCs w:val="16"/>
              </w:rPr>
              <w:t>u</w:t>
            </w:r>
            <w:r w:rsidR="00D90C1E" w:rsidRPr="00CB43A7">
              <w:rPr>
                <w:sz w:val="16"/>
                <w:szCs w:val="16"/>
              </w:rPr>
              <w:t xml:space="preserve"> mír</w:t>
            </w:r>
            <w:r w:rsidR="006F3708" w:rsidRPr="00CB43A7">
              <w:rPr>
                <w:sz w:val="16"/>
                <w:szCs w:val="16"/>
              </w:rPr>
              <w:t>y</w:t>
            </w:r>
            <w:r w:rsidR="00D90C1E" w:rsidRPr="00CB43A7">
              <w:rPr>
                <w:sz w:val="16"/>
                <w:szCs w:val="16"/>
              </w:rPr>
              <w:t xml:space="preserve"> nezaměstnanosti</w:t>
            </w:r>
          </w:p>
        </w:tc>
        <w:tc>
          <w:tcPr>
            <w:tcW w:w="143" w:type="pct"/>
          </w:tcPr>
          <w:p w:rsidR="0088733A" w:rsidRPr="00CB43A7" w:rsidRDefault="0088733A" w:rsidP="00173642">
            <w:pPr>
              <w:pStyle w:val="Textpoznpodarou"/>
              <w:jc w:val="both"/>
            </w:pPr>
          </w:p>
        </w:tc>
        <w:tc>
          <w:tcPr>
            <w:tcW w:w="3803" w:type="pct"/>
            <w:gridSpan w:val="4"/>
          </w:tcPr>
          <w:p w:rsidR="00414CE5" w:rsidRPr="00CB43A7" w:rsidRDefault="00477EE0" w:rsidP="00C84CE3">
            <w:pPr>
              <w:pStyle w:val="Textpoznpodarou"/>
              <w:jc w:val="both"/>
              <w:rPr>
                <w:spacing w:val="-4"/>
              </w:rPr>
            </w:pPr>
            <w:r w:rsidRPr="00CB43A7">
              <w:t xml:space="preserve">Obnovení růstu ekonomiky </w:t>
            </w:r>
            <w:r w:rsidR="00EE10AA" w:rsidRPr="00CB43A7">
              <w:t>s</w:t>
            </w:r>
            <w:r w:rsidR="00B74317" w:rsidRPr="00CB43A7">
              <w:t xml:space="preserve">e projevilo </w:t>
            </w:r>
            <w:r w:rsidRPr="00CB43A7">
              <w:t>meziroční</w:t>
            </w:r>
            <w:r w:rsidR="00B74317" w:rsidRPr="00CB43A7">
              <w:t>m</w:t>
            </w:r>
            <w:r w:rsidRPr="00CB43A7">
              <w:t xml:space="preserve"> růst</w:t>
            </w:r>
            <w:r w:rsidR="00B74317" w:rsidRPr="00CB43A7">
              <w:t>em</w:t>
            </w:r>
            <w:r w:rsidRPr="00CB43A7">
              <w:t xml:space="preserve"> z</w:t>
            </w:r>
            <w:r w:rsidR="00DF5578" w:rsidRPr="00CB43A7">
              <w:t>aměstnanost</w:t>
            </w:r>
            <w:r w:rsidRPr="00CB43A7">
              <w:t>i</w:t>
            </w:r>
            <w:r w:rsidR="00DF5578" w:rsidRPr="00CB43A7">
              <w:t xml:space="preserve"> </w:t>
            </w:r>
            <w:r w:rsidRPr="00CB43A7">
              <w:t>doprovázený</w:t>
            </w:r>
            <w:r w:rsidR="00EE10AA" w:rsidRPr="00CB43A7">
              <w:t>m</w:t>
            </w:r>
            <w:r w:rsidRPr="00CB43A7">
              <w:t xml:space="preserve"> </w:t>
            </w:r>
            <w:r w:rsidR="00026998" w:rsidRPr="00CB43A7">
              <w:t>pokles</w:t>
            </w:r>
            <w:r w:rsidRPr="00CB43A7">
              <w:t>em</w:t>
            </w:r>
            <w:r w:rsidR="00026998" w:rsidRPr="00CB43A7">
              <w:t xml:space="preserve"> míry nezaměstnanosti.</w:t>
            </w:r>
            <w:r w:rsidR="00CB5996" w:rsidRPr="00CB43A7">
              <w:t xml:space="preserve"> </w:t>
            </w:r>
            <w:r w:rsidR="00774782" w:rsidRPr="00CB43A7">
              <w:t>Po dvou letech poklesu reálné mzd</w:t>
            </w:r>
            <w:r w:rsidR="003F5098" w:rsidRPr="00CB43A7">
              <w:t>y</w:t>
            </w:r>
            <w:r w:rsidR="00774782" w:rsidRPr="00CB43A7">
              <w:t xml:space="preserve"> v národním hospodářství byl v roce 201</w:t>
            </w:r>
            <w:r w:rsidR="00D00DAF" w:rsidRPr="00CB43A7">
              <w:t xml:space="preserve">4 zaznamenán meziroční růst jak </w:t>
            </w:r>
            <w:r w:rsidR="00774782" w:rsidRPr="00CB43A7">
              <w:t>v podnikatelské, tak v </w:t>
            </w:r>
            <w:proofErr w:type="spellStart"/>
            <w:r w:rsidR="00774782" w:rsidRPr="00CB43A7">
              <w:t>nepodnikatelské</w:t>
            </w:r>
            <w:proofErr w:type="spellEnd"/>
            <w:r w:rsidR="00774782" w:rsidRPr="00CB43A7">
              <w:t xml:space="preserve"> sféře</w:t>
            </w:r>
            <w:r w:rsidR="00026998" w:rsidRPr="00CB43A7">
              <w:t>.</w:t>
            </w:r>
            <w:r w:rsidR="00026998" w:rsidRPr="00CB43A7">
              <w:rPr>
                <w:spacing w:val="-4"/>
              </w:rPr>
              <w:t xml:space="preserve"> </w:t>
            </w:r>
          </w:p>
          <w:p w:rsidR="00C84CE3" w:rsidRPr="00ED2CA5" w:rsidRDefault="00C84CE3" w:rsidP="00C84CE3">
            <w:pPr>
              <w:pStyle w:val="Textpoznpodarou"/>
              <w:jc w:val="both"/>
              <w:rPr>
                <w:rFonts w:cs="Arial"/>
                <w:bCs/>
                <w:sz w:val="16"/>
                <w:szCs w:val="16"/>
              </w:rPr>
            </w:pPr>
          </w:p>
        </w:tc>
      </w:tr>
      <w:tr w:rsidR="0088733A" w:rsidRPr="007D44C3" w:rsidTr="00ED2CA5">
        <w:tc>
          <w:tcPr>
            <w:tcW w:w="1054" w:type="pct"/>
            <w:gridSpan w:val="3"/>
          </w:tcPr>
          <w:p w:rsidR="0088733A" w:rsidRPr="000B3F02" w:rsidRDefault="00BF18F4" w:rsidP="00867E29">
            <w:pPr>
              <w:spacing w:line="240" w:lineRule="auto"/>
              <w:rPr>
                <w:sz w:val="16"/>
                <w:szCs w:val="16"/>
              </w:rPr>
            </w:pPr>
            <w:r w:rsidRPr="00C84CE3">
              <w:rPr>
                <w:color w:val="000000" w:themeColor="text1"/>
                <w:sz w:val="16"/>
                <w:szCs w:val="16"/>
              </w:rPr>
              <w:t>Meziroční růst celkové zaměstnanosti setrval na úrovni let 2012, resp. 2013, u zaměstnanců došlo k</w:t>
            </w:r>
            <w:r w:rsidR="00B74317">
              <w:rPr>
                <w:color w:val="000000" w:themeColor="text1"/>
                <w:sz w:val="16"/>
                <w:szCs w:val="16"/>
              </w:rPr>
              <w:t> </w:t>
            </w:r>
            <w:r w:rsidRPr="00C84CE3">
              <w:rPr>
                <w:color w:val="000000" w:themeColor="text1"/>
                <w:sz w:val="16"/>
                <w:szCs w:val="16"/>
              </w:rPr>
              <w:t>jeho</w:t>
            </w:r>
            <w:r w:rsidR="00B74317">
              <w:rPr>
                <w:color w:val="000000" w:themeColor="text1"/>
                <w:sz w:val="16"/>
                <w:szCs w:val="16"/>
              </w:rPr>
              <w:t xml:space="preserve"> útlumu</w:t>
            </w:r>
          </w:p>
        </w:tc>
        <w:tc>
          <w:tcPr>
            <w:tcW w:w="143" w:type="pct"/>
          </w:tcPr>
          <w:p w:rsidR="0088733A" w:rsidRPr="007D44C3" w:rsidRDefault="0088733A" w:rsidP="00173642">
            <w:pPr>
              <w:pStyle w:val="Textpoznpodarou"/>
              <w:jc w:val="both"/>
            </w:pPr>
          </w:p>
        </w:tc>
        <w:tc>
          <w:tcPr>
            <w:tcW w:w="3803" w:type="pct"/>
            <w:gridSpan w:val="4"/>
          </w:tcPr>
          <w:p w:rsidR="00170F47" w:rsidRPr="008A6BFE" w:rsidRDefault="00DC408A" w:rsidP="00C84CE3">
            <w:pPr>
              <w:pStyle w:val="Textpoznpodarou"/>
              <w:jc w:val="both"/>
            </w:pPr>
            <w:r w:rsidRPr="00C84CE3">
              <w:rPr>
                <w:color w:val="000000" w:themeColor="text1"/>
              </w:rPr>
              <w:t>C</w:t>
            </w:r>
            <w:r w:rsidR="00026998" w:rsidRPr="00C84CE3">
              <w:rPr>
                <w:color w:val="000000" w:themeColor="text1"/>
              </w:rPr>
              <w:t>elkov</w:t>
            </w:r>
            <w:r w:rsidRPr="00C84CE3">
              <w:rPr>
                <w:color w:val="000000" w:themeColor="text1"/>
              </w:rPr>
              <w:t>á</w:t>
            </w:r>
            <w:r w:rsidR="00026998" w:rsidRPr="00C84CE3">
              <w:rPr>
                <w:color w:val="000000" w:themeColor="text1"/>
              </w:rPr>
              <w:t xml:space="preserve"> zaměstnanost</w:t>
            </w:r>
            <w:r w:rsidRPr="00C84CE3">
              <w:rPr>
                <w:color w:val="000000" w:themeColor="text1"/>
              </w:rPr>
              <w:t xml:space="preserve"> </w:t>
            </w:r>
            <w:r w:rsidR="00EE10AA" w:rsidRPr="00C84CE3">
              <w:rPr>
                <w:color w:val="000000" w:themeColor="text1"/>
              </w:rPr>
              <w:t xml:space="preserve">(sezónně očištěná data </w:t>
            </w:r>
            <w:r w:rsidR="00B41BE6">
              <w:rPr>
                <w:color w:val="000000" w:themeColor="text1"/>
              </w:rPr>
              <w:t xml:space="preserve">o </w:t>
            </w:r>
            <w:r w:rsidR="00EE10AA" w:rsidRPr="00C84CE3">
              <w:rPr>
                <w:color w:val="000000" w:themeColor="text1"/>
              </w:rPr>
              <w:t>celkové zaměstnanosti v pojetí národního účetnictví</w:t>
            </w:r>
            <w:r w:rsidR="00B41BE6">
              <w:rPr>
                <w:color w:val="000000" w:themeColor="text1"/>
              </w:rPr>
              <w:t>, ve fyzických osobách</w:t>
            </w:r>
            <w:r w:rsidR="00EE10AA" w:rsidRPr="00C84CE3">
              <w:rPr>
                <w:color w:val="000000" w:themeColor="text1"/>
              </w:rPr>
              <w:t>)</w:t>
            </w:r>
            <w:r w:rsidR="00EE10AA">
              <w:rPr>
                <w:color w:val="000000" w:themeColor="text1"/>
              </w:rPr>
              <w:t xml:space="preserve"> </w:t>
            </w:r>
            <w:r w:rsidRPr="00C84CE3">
              <w:rPr>
                <w:color w:val="000000" w:themeColor="text1"/>
              </w:rPr>
              <w:t>navázala</w:t>
            </w:r>
            <w:r w:rsidR="00026998" w:rsidRPr="00C84CE3">
              <w:rPr>
                <w:color w:val="000000" w:themeColor="text1"/>
              </w:rPr>
              <w:t xml:space="preserve"> </w:t>
            </w:r>
            <w:r w:rsidRPr="00C84CE3">
              <w:rPr>
                <w:color w:val="000000" w:themeColor="text1"/>
              </w:rPr>
              <w:t xml:space="preserve">na vývoj </w:t>
            </w:r>
            <w:r w:rsidR="00917709" w:rsidRPr="00C84CE3">
              <w:rPr>
                <w:color w:val="000000" w:themeColor="text1"/>
              </w:rPr>
              <w:t>v letech 2012</w:t>
            </w:r>
            <w:r w:rsidRPr="00C84CE3">
              <w:rPr>
                <w:color w:val="000000" w:themeColor="text1"/>
              </w:rPr>
              <w:t>, resp.</w:t>
            </w:r>
            <w:r w:rsidR="00917709" w:rsidRPr="00C84CE3">
              <w:rPr>
                <w:color w:val="000000" w:themeColor="text1"/>
              </w:rPr>
              <w:t xml:space="preserve"> 2013</w:t>
            </w:r>
            <w:r w:rsidRPr="00C84CE3">
              <w:rPr>
                <w:color w:val="000000" w:themeColor="text1"/>
              </w:rPr>
              <w:t>, když dynamika meziročního růstu setrvala na hodnotě</w:t>
            </w:r>
            <w:r w:rsidR="00917709" w:rsidRPr="00C84CE3">
              <w:rPr>
                <w:color w:val="000000" w:themeColor="text1"/>
              </w:rPr>
              <w:t xml:space="preserve"> 0,4 %. </w:t>
            </w:r>
            <w:r w:rsidRPr="00C84CE3">
              <w:rPr>
                <w:color w:val="000000" w:themeColor="text1"/>
              </w:rPr>
              <w:t xml:space="preserve">V případě </w:t>
            </w:r>
            <w:r w:rsidR="00EE10AA">
              <w:rPr>
                <w:color w:val="000000" w:themeColor="text1"/>
              </w:rPr>
              <w:t xml:space="preserve">samotných </w:t>
            </w:r>
            <w:r w:rsidRPr="00C84CE3">
              <w:rPr>
                <w:color w:val="000000" w:themeColor="text1"/>
              </w:rPr>
              <w:t xml:space="preserve">zaměstnanců </w:t>
            </w:r>
            <w:r w:rsidR="009D2859">
              <w:rPr>
                <w:color w:val="000000" w:themeColor="text1"/>
              </w:rPr>
              <w:t>došlo</w:t>
            </w:r>
            <w:r w:rsidRPr="00C84CE3">
              <w:rPr>
                <w:color w:val="000000" w:themeColor="text1"/>
              </w:rPr>
              <w:t xml:space="preserve"> v roce 2014 </w:t>
            </w:r>
            <w:r w:rsidR="009D2859">
              <w:rPr>
                <w:color w:val="000000" w:themeColor="text1"/>
              </w:rPr>
              <w:t>ke</w:t>
            </w:r>
            <w:r w:rsidRPr="00C84CE3">
              <w:rPr>
                <w:color w:val="000000" w:themeColor="text1"/>
              </w:rPr>
              <w:t xml:space="preserve"> snížení růstu </w:t>
            </w:r>
            <w:r w:rsidR="00EE10AA">
              <w:rPr>
                <w:color w:val="000000" w:themeColor="text1"/>
              </w:rPr>
              <w:t>z</w:t>
            </w:r>
            <w:r w:rsidRPr="00C84CE3">
              <w:rPr>
                <w:color w:val="000000" w:themeColor="text1"/>
              </w:rPr>
              <w:t xml:space="preserve"> 0,</w:t>
            </w:r>
            <w:r w:rsidR="00EE10AA">
              <w:rPr>
                <w:color w:val="000000" w:themeColor="text1"/>
              </w:rPr>
              <w:t xml:space="preserve">6 % na </w:t>
            </w:r>
            <w:r w:rsidR="00EE10AA">
              <w:rPr>
                <w:color w:val="000000" w:themeColor="text1"/>
              </w:rPr>
              <w:lastRenderedPageBreak/>
              <w:t>0,2 %</w:t>
            </w:r>
            <w:r w:rsidRPr="00C84CE3">
              <w:rPr>
                <w:color w:val="000000" w:themeColor="text1"/>
              </w:rPr>
              <w:t xml:space="preserve">. </w:t>
            </w:r>
            <w:r w:rsidR="005357A2" w:rsidRPr="00C84CE3">
              <w:rPr>
                <w:color w:val="000000" w:themeColor="text1"/>
              </w:rPr>
              <w:t xml:space="preserve">Celkový počet </w:t>
            </w:r>
            <w:r w:rsidR="00EE10AA">
              <w:rPr>
                <w:color w:val="000000" w:themeColor="text1"/>
              </w:rPr>
              <w:t>pracovníků dosáhl</w:t>
            </w:r>
            <w:r w:rsidR="00026998" w:rsidRPr="00C84CE3">
              <w:rPr>
                <w:color w:val="000000" w:themeColor="text1"/>
              </w:rPr>
              <w:t xml:space="preserve"> 5</w:t>
            </w:r>
            <w:r w:rsidR="00C91C19">
              <w:rPr>
                <w:color w:val="000000" w:themeColor="text1"/>
              </w:rPr>
              <w:t> </w:t>
            </w:r>
            <w:r w:rsidR="00026998" w:rsidRPr="00C84CE3">
              <w:rPr>
                <w:color w:val="000000" w:themeColor="text1"/>
              </w:rPr>
              <w:t>1</w:t>
            </w:r>
            <w:r w:rsidR="00917709" w:rsidRPr="00C84CE3">
              <w:rPr>
                <w:color w:val="000000" w:themeColor="text1"/>
              </w:rPr>
              <w:t>0</w:t>
            </w:r>
            <w:r w:rsidR="00C91C19">
              <w:rPr>
                <w:color w:val="000000" w:themeColor="text1"/>
              </w:rPr>
              <w:t>4,9</w:t>
            </w:r>
            <w:r w:rsidR="00026998" w:rsidRPr="00C84CE3">
              <w:rPr>
                <w:color w:val="000000" w:themeColor="text1"/>
              </w:rPr>
              <w:t xml:space="preserve"> tis., </w:t>
            </w:r>
            <w:r w:rsidR="005357A2" w:rsidRPr="00C84CE3">
              <w:rPr>
                <w:color w:val="000000" w:themeColor="text1"/>
              </w:rPr>
              <w:t xml:space="preserve">z toho zaměstnanců </w:t>
            </w:r>
            <w:r w:rsidR="00026998" w:rsidRPr="00C84CE3">
              <w:rPr>
                <w:color w:val="000000" w:themeColor="text1"/>
              </w:rPr>
              <w:t>4</w:t>
            </w:r>
            <w:r w:rsidR="00C91C19">
              <w:rPr>
                <w:color w:val="000000" w:themeColor="text1"/>
              </w:rPr>
              <w:t> </w:t>
            </w:r>
            <w:r w:rsidR="00917709" w:rsidRPr="00C84CE3">
              <w:rPr>
                <w:color w:val="000000" w:themeColor="text1"/>
              </w:rPr>
              <w:t>2</w:t>
            </w:r>
            <w:r w:rsidRPr="00C84CE3">
              <w:rPr>
                <w:color w:val="000000" w:themeColor="text1"/>
              </w:rPr>
              <w:t>9</w:t>
            </w:r>
            <w:r w:rsidR="00C91C19">
              <w:rPr>
                <w:color w:val="000000" w:themeColor="text1"/>
              </w:rPr>
              <w:t>0,6</w:t>
            </w:r>
            <w:r w:rsidR="00026998" w:rsidRPr="00C84CE3">
              <w:rPr>
                <w:color w:val="000000" w:themeColor="text1"/>
              </w:rPr>
              <w:t xml:space="preserve"> tis.</w:t>
            </w:r>
            <w:r w:rsidR="00BE0DB0" w:rsidRPr="00C84CE3">
              <w:rPr>
                <w:color w:val="000000" w:themeColor="text1"/>
              </w:rPr>
              <w:t xml:space="preserve"> </w:t>
            </w:r>
            <w:r w:rsidRPr="00C84CE3">
              <w:rPr>
                <w:color w:val="000000" w:themeColor="text1"/>
              </w:rPr>
              <w:t>osob</w:t>
            </w:r>
            <w:r w:rsidR="00574240" w:rsidRPr="00C84CE3">
              <w:rPr>
                <w:color w:val="000000" w:themeColor="text1"/>
              </w:rPr>
              <w:t xml:space="preserve">. </w:t>
            </w:r>
            <w:r w:rsidR="00974D48" w:rsidRPr="00894A63">
              <w:t xml:space="preserve">Jednalo se o nejvyšší </w:t>
            </w:r>
            <w:r w:rsidR="000202C6" w:rsidRPr="00894A63">
              <w:t xml:space="preserve">počet </w:t>
            </w:r>
            <w:r w:rsidR="00813A70" w:rsidRPr="00894A63">
              <w:t xml:space="preserve">zaměstnaných osob </w:t>
            </w:r>
            <w:r w:rsidR="003E69F3" w:rsidRPr="00894A63">
              <w:t xml:space="preserve">a zaměstnanců </w:t>
            </w:r>
            <w:r w:rsidR="00894A63" w:rsidRPr="00894A63">
              <w:t>od roku 2009</w:t>
            </w:r>
            <w:r w:rsidR="00CE21C7" w:rsidRPr="00B41BE6">
              <w:rPr>
                <w:color w:val="FF0000"/>
              </w:rPr>
              <w:t xml:space="preserve"> </w:t>
            </w:r>
            <w:r w:rsidR="00CE21C7" w:rsidRPr="008A6BFE">
              <w:t>(</w:t>
            </w:r>
            <w:r w:rsidR="00813A70" w:rsidRPr="00894A63">
              <w:t>5</w:t>
            </w:r>
            <w:r w:rsidR="00EE10AA" w:rsidRPr="00894A63">
              <w:t> </w:t>
            </w:r>
            <w:r w:rsidR="00894A63" w:rsidRPr="00894A63">
              <w:t>110</w:t>
            </w:r>
            <w:r w:rsidR="00EE10AA" w:rsidRPr="00894A63">
              <w:t>,</w:t>
            </w:r>
            <w:r w:rsidR="00894A63" w:rsidRPr="00894A63">
              <w:t>1,</w:t>
            </w:r>
            <w:r w:rsidR="003E69F3" w:rsidRPr="00894A63">
              <w:t xml:space="preserve"> resp.</w:t>
            </w:r>
            <w:r w:rsidR="003E69F3" w:rsidRPr="00B41BE6">
              <w:rPr>
                <w:color w:val="FF0000"/>
              </w:rPr>
              <w:t xml:space="preserve"> </w:t>
            </w:r>
            <w:r w:rsidR="003E69F3" w:rsidRPr="008A6BFE">
              <w:t>43</w:t>
            </w:r>
            <w:r w:rsidR="008A6BFE" w:rsidRPr="008A6BFE">
              <w:t>36</w:t>
            </w:r>
            <w:r w:rsidR="00C91C19" w:rsidRPr="008A6BFE">
              <w:t>,</w:t>
            </w:r>
            <w:r w:rsidR="008A6BFE" w:rsidRPr="008A6BFE">
              <w:t>1</w:t>
            </w:r>
            <w:r w:rsidR="00813A70" w:rsidRPr="008A6BFE">
              <w:t xml:space="preserve"> tis. o</w:t>
            </w:r>
            <w:r w:rsidR="00CE21C7" w:rsidRPr="008A6BFE">
              <w:t>sob).</w:t>
            </w:r>
          </w:p>
          <w:p w:rsidR="00C84CE3" w:rsidRPr="008746E6" w:rsidRDefault="00C84CE3" w:rsidP="00C84CE3">
            <w:pPr>
              <w:pStyle w:val="Textpoznpodarou"/>
              <w:jc w:val="both"/>
              <w:rPr>
                <w:sz w:val="16"/>
                <w:szCs w:val="16"/>
              </w:rPr>
            </w:pPr>
          </w:p>
        </w:tc>
      </w:tr>
      <w:tr w:rsidR="0088733A" w:rsidRPr="007D44C3" w:rsidTr="00ED2CA5">
        <w:tc>
          <w:tcPr>
            <w:tcW w:w="1054" w:type="pct"/>
            <w:gridSpan w:val="3"/>
          </w:tcPr>
          <w:p w:rsidR="0088733A" w:rsidRPr="000B3F02" w:rsidRDefault="009E048A" w:rsidP="009F5846">
            <w:pPr>
              <w:spacing w:line="240" w:lineRule="auto"/>
              <w:rPr>
                <w:sz w:val="16"/>
                <w:szCs w:val="16"/>
              </w:rPr>
            </w:pPr>
            <w:r w:rsidRPr="00C84CE3">
              <w:rPr>
                <w:color w:val="000000" w:themeColor="text1"/>
                <w:sz w:val="16"/>
                <w:szCs w:val="16"/>
              </w:rPr>
              <w:lastRenderedPageBreak/>
              <w:t>Zvýšený počet zaměstnaných osob byl zjištěn především v</w:t>
            </w:r>
            <w:r w:rsidR="002D0562">
              <w:rPr>
                <w:color w:val="000000" w:themeColor="text1"/>
                <w:sz w:val="16"/>
                <w:szCs w:val="16"/>
              </w:rPr>
              <w:t xml:space="preserve"> odvětví </w:t>
            </w:r>
            <w:r w:rsidR="009F5846">
              <w:rPr>
                <w:color w:val="000000" w:themeColor="text1"/>
                <w:sz w:val="16"/>
                <w:szCs w:val="16"/>
              </w:rPr>
              <w:t>p</w:t>
            </w:r>
            <w:r w:rsidR="002D0562">
              <w:rPr>
                <w:color w:val="000000" w:themeColor="text1"/>
                <w:sz w:val="16"/>
                <w:szCs w:val="16"/>
              </w:rPr>
              <w:t>rofesní, vědecké, techn</w:t>
            </w:r>
            <w:r w:rsidR="004C00A6">
              <w:rPr>
                <w:color w:val="000000" w:themeColor="text1"/>
                <w:sz w:val="16"/>
                <w:szCs w:val="16"/>
              </w:rPr>
              <w:t>ické a administrativní činnosti</w:t>
            </w:r>
            <w:r w:rsidR="00940F1F">
              <w:rPr>
                <w:color w:val="000000" w:themeColor="text1"/>
                <w:sz w:val="16"/>
                <w:szCs w:val="16"/>
              </w:rPr>
              <w:t>,</w:t>
            </w:r>
            <w:r w:rsidR="004C00A6">
              <w:rPr>
                <w:color w:val="000000" w:themeColor="text1"/>
                <w:sz w:val="16"/>
                <w:szCs w:val="16"/>
              </w:rPr>
              <w:t xml:space="preserve"> </w:t>
            </w:r>
            <w:r w:rsidR="002D0562">
              <w:rPr>
                <w:color w:val="000000" w:themeColor="text1"/>
                <w:sz w:val="16"/>
                <w:szCs w:val="16"/>
              </w:rPr>
              <w:t>vliv agenturních zaměstnanců</w:t>
            </w:r>
          </w:p>
        </w:tc>
        <w:tc>
          <w:tcPr>
            <w:tcW w:w="143" w:type="pct"/>
          </w:tcPr>
          <w:p w:rsidR="0088733A" w:rsidRPr="007D44C3" w:rsidRDefault="0088733A" w:rsidP="00173642">
            <w:pPr>
              <w:pStyle w:val="Textpoznpodarou"/>
              <w:jc w:val="both"/>
            </w:pPr>
          </w:p>
        </w:tc>
        <w:tc>
          <w:tcPr>
            <w:tcW w:w="3803" w:type="pct"/>
            <w:gridSpan w:val="4"/>
          </w:tcPr>
          <w:p w:rsidR="001E23E3" w:rsidRDefault="00F172BE" w:rsidP="00C84CE3">
            <w:pPr>
              <w:pStyle w:val="Textpoznpodarou"/>
              <w:jc w:val="both"/>
              <w:rPr>
                <w:color w:val="000000" w:themeColor="text1"/>
              </w:rPr>
            </w:pPr>
            <w:r>
              <w:rPr>
                <w:color w:val="000000" w:themeColor="text1"/>
              </w:rPr>
              <w:t>Na z</w:t>
            </w:r>
            <w:r w:rsidR="003B2E63" w:rsidRPr="00C84CE3">
              <w:rPr>
                <w:color w:val="000000" w:themeColor="text1"/>
              </w:rPr>
              <w:t>výšen</w:t>
            </w:r>
            <w:r>
              <w:rPr>
                <w:color w:val="000000" w:themeColor="text1"/>
              </w:rPr>
              <w:t>í</w:t>
            </w:r>
            <w:r w:rsidR="003B2E63" w:rsidRPr="00C84CE3">
              <w:rPr>
                <w:color w:val="000000" w:themeColor="text1"/>
              </w:rPr>
              <w:t xml:space="preserve"> počt</w:t>
            </w:r>
            <w:r>
              <w:rPr>
                <w:color w:val="000000" w:themeColor="text1"/>
              </w:rPr>
              <w:t>u</w:t>
            </w:r>
            <w:r w:rsidR="003B2E63" w:rsidRPr="00C84CE3">
              <w:rPr>
                <w:color w:val="000000" w:themeColor="text1"/>
              </w:rPr>
              <w:t xml:space="preserve"> zaměstnaných osob o </w:t>
            </w:r>
            <w:r w:rsidR="003E7A0B" w:rsidRPr="00C84CE3">
              <w:rPr>
                <w:color w:val="000000" w:themeColor="text1"/>
              </w:rPr>
              <w:t>21</w:t>
            </w:r>
            <w:r w:rsidR="00C91C19">
              <w:rPr>
                <w:color w:val="000000" w:themeColor="text1"/>
              </w:rPr>
              <w:t>,1</w:t>
            </w:r>
            <w:r w:rsidR="00170F47" w:rsidRPr="00C84CE3">
              <w:rPr>
                <w:color w:val="000000" w:themeColor="text1"/>
              </w:rPr>
              <w:t xml:space="preserve"> tis. </w:t>
            </w:r>
            <w:r w:rsidR="003B2E63" w:rsidRPr="00C84CE3">
              <w:rPr>
                <w:color w:val="000000" w:themeColor="text1"/>
              </w:rPr>
              <w:t>proti roku 2013</w:t>
            </w:r>
            <w:r>
              <w:rPr>
                <w:color w:val="000000" w:themeColor="text1"/>
              </w:rPr>
              <w:t xml:space="preserve"> </w:t>
            </w:r>
            <w:r w:rsidR="002D0562">
              <w:rPr>
                <w:color w:val="000000" w:themeColor="text1"/>
              </w:rPr>
              <w:t xml:space="preserve">se </w:t>
            </w:r>
            <w:r>
              <w:rPr>
                <w:color w:val="000000" w:themeColor="text1"/>
              </w:rPr>
              <w:t>podílel</w:t>
            </w:r>
            <w:r w:rsidR="001707DE">
              <w:rPr>
                <w:color w:val="000000" w:themeColor="text1"/>
              </w:rPr>
              <w:t xml:space="preserve">a </w:t>
            </w:r>
            <w:r w:rsidR="002D0562">
              <w:rPr>
                <w:color w:val="000000" w:themeColor="text1"/>
              </w:rPr>
              <w:t xml:space="preserve">zejména </w:t>
            </w:r>
            <w:r w:rsidR="001707DE">
              <w:rPr>
                <w:color w:val="000000" w:themeColor="text1"/>
              </w:rPr>
              <w:t>odvětví</w:t>
            </w:r>
            <w:r w:rsidR="00491218" w:rsidRPr="00C84CE3">
              <w:rPr>
                <w:color w:val="000000" w:themeColor="text1"/>
              </w:rPr>
              <w:t xml:space="preserve"> </w:t>
            </w:r>
            <w:r w:rsidR="009F5846">
              <w:rPr>
                <w:color w:val="000000" w:themeColor="text1"/>
              </w:rPr>
              <w:t>p</w:t>
            </w:r>
            <w:r w:rsidR="001874CF" w:rsidRPr="00C84CE3">
              <w:rPr>
                <w:color w:val="000000" w:themeColor="text1"/>
              </w:rPr>
              <w:t>rofesní, vědecké, technické a administrativní činnosti (o 15 tis. osob)</w:t>
            </w:r>
            <w:r w:rsidR="001874CF">
              <w:rPr>
                <w:color w:val="000000" w:themeColor="text1"/>
              </w:rPr>
              <w:t>,</w:t>
            </w:r>
            <w:r w:rsidR="001874CF" w:rsidRPr="00C84CE3">
              <w:rPr>
                <w:color w:val="000000" w:themeColor="text1"/>
              </w:rPr>
              <w:t xml:space="preserve"> </w:t>
            </w:r>
            <w:r w:rsidR="009F5846">
              <w:rPr>
                <w:color w:val="000000" w:themeColor="text1"/>
              </w:rPr>
              <w:t>v</w:t>
            </w:r>
            <w:r w:rsidR="001874CF" w:rsidRPr="00C84CE3">
              <w:rPr>
                <w:color w:val="000000" w:themeColor="text1"/>
              </w:rPr>
              <w:t>eřejn</w:t>
            </w:r>
            <w:r w:rsidR="001707DE">
              <w:rPr>
                <w:color w:val="000000" w:themeColor="text1"/>
              </w:rPr>
              <w:t>á</w:t>
            </w:r>
            <w:r w:rsidR="001874CF" w:rsidRPr="00C84CE3">
              <w:rPr>
                <w:color w:val="000000" w:themeColor="text1"/>
              </w:rPr>
              <w:t xml:space="preserve"> správ</w:t>
            </w:r>
            <w:r w:rsidR="001707DE">
              <w:rPr>
                <w:color w:val="000000" w:themeColor="text1"/>
              </w:rPr>
              <w:t>a</w:t>
            </w:r>
            <w:r w:rsidR="001874CF" w:rsidRPr="00C84CE3">
              <w:rPr>
                <w:color w:val="000000" w:themeColor="text1"/>
              </w:rPr>
              <w:t xml:space="preserve"> a obran</w:t>
            </w:r>
            <w:r w:rsidR="001707DE">
              <w:rPr>
                <w:color w:val="000000" w:themeColor="text1"/>
              </w:rPr>
              <w:t>a</w:t>
            </w:r>
            <w:r w:rsidR="001874CF" w:rsidRPr="00C84CE3">
              <w:rPr>
                <w:color w:val="000000" w:themeColor="text1"/>
              </w:rPr>
              <w:t>, vzdělávání, zdravotní a sociální péč</w:t>
            </w:r>
            <w:r w:rsidR="001707DE">
              <w:rPr>
                <w:color w:val="000000" w:themeColor="text1"/>
              </w:rPr>
              <w:t>e</w:t>
            </w:r>
            <w:r w:rsidR="001874CF" w:rsidRPr="00C84CE3">
              <w:rPr>
                <w:color w:val="000000" w:themeColor="text1"/>
              </w:rPr>
              <w:t xml:space="preserve"> (o </w:t>
            </w:r>
            <w:r w:rsidR="00C91C19">
              <w:rPr>
                <w:color w:val="000000" w:themeColor="text1"/>
              </w:rPr>
              <w:t>7,9</w:t>
            </w:r>
            <w:r w:rsidR="001874CF" w:rsidRPr="00C84CE3">
              <w:rPr>
                <w:color w:val="000000" w:themeColor="text1"/>
              </w:rPr>
              <w:t xml:space="preserve"> tis. osob)</w:t>
            </w:r>
            <w:r w:rsidR="001874CF">
              <w:rPr>
                <w:color w:val="000000" w:themeColor="text1"/>
              </w:rPr>
              <w:t xml:space="preserve">, </w:t>
            </w:r>
            <w:r w:rsidR="009F5846">
              <w:rPr>
                <w:color w:val="000000" w:themeColor="text1"/>
              </w:rPr>
              <w:t>z</w:t>
            </w:r>
            <w:r w:rsidR="00491218" w:rsidRPr="00C84CE3">
              <w:rPr>
                <w:color w:val="000000" w:themeColor="text1"/>
              </w:rPr>
              <w:t>pracovatelsk</w:t>
            </w:r>
            <w:r>
              <w:rPr>
                <w:color w:val="000000" w:themeColor="text1"/>
              </w:rPr>
              <w:t>ý</w:t>
            </w:r>
            <w:r w:rsidR="00491218" w:rsidRPr="00C84CE3">
              <w:rPr>
                <w:color w:val="000000" w:themeColor="text1"/>
              </w:rPr>
              <w:t xml:space="preserve"> průmysl</w:t>
            </w:r>
            <w:r w:rsidR="00170F47" w:rsidRPr="00C84CE3">
              <w:rPr>
                <w:color w:val="000000" w:themeColor="text1"/>
              </w:rPr>
              <w:t xml:space="preserve"> (</w:t>
            </w:r>
            <w:r w:rsidR="00BE0DB0" w:rsidRPr="00C84CE3">
              <w:rPr>
                <w:color w:val="000000" w:themeColor="text1"/>
              </w:rPr>
              <w:t xml:space="preserve">o </w:t>
            </w:r>
            <w:r w:rsidR="00C91C19">
              <w:rPr>
                <w:color w:val="000000" w:themeColor="text1"/>
              </w:rPr>
              <w:t>6,9</w:t>
            </w:r>
            <w:r w:rsidR="00170F47" w:rsidRPr="00C84CE3">
              <w:rPr>
                <w:color w:val="000000" w:themeColor="text1"/>
              </w:rPr>
              <w:t xml:space="preserve"> tis. osob)</w:t>
            </w:r>
            <w:r w:rsidR="001874CF">
              <w:rPr>
                <w:color w:val="000000" w:themeColor="text1"/>
              </w:rPr>
              <w:t xml:space="preserve"> a</w:t>
            </w:r>
            <w:r w:rsidR="00491218" w:rsidRPr="00C84CE3">
              <w:rPr>
                <w:color w:val="000000" w:themeColor="text1"/>
              </w:rPr>
              <w:t xml:space="preserve"> </w:t>
            </w:r>
            <w:r w:rsidR="009F5846">
              <w:rPr>
                <w:color w:val="000000" w:themeColor="text1"/>
              </w:rPr>
              <w:t>č</w:t>
            </w:r>
            <w:r w:rsidR="00491218" w:rsidRPr="00C84CE3">
              <w:rPr>
                <w:color w:val="000000" w:themeColor="text1"/>
              </w:rPr>
              <w:t>innost</w:t>
            </w:r>
            <w:r w:rsidR="001707DE">
              <w:rPr>
                <w:color w:val="000000" w:themeColor="text1"/>
              </w:rPr>
              <w:t xml:space="preserve">i </w:t>
            </w:r>
            <w:r w:rsidR="00491218" w:rsidRPr="00C84CE3">
              <w:rPr>
                <w:color w:val="000000" w:themeColor="text1"/>
              </w:rPr>
              <w:t>v oblasti nemovitostí (</w:t>
            </w:r>
            <w:r w:rsidR="00BE0DB0" w:rsidRPr="00C84CE3">
              <w:rPr>
                <w:color w:val="000000" w:themeColor="text1"/>
              </w:rPr>
              <w:t xml:space="preserve">o </w:t>
            </w:r>
            <w:r w:rsidR="003E7A0B" w:rsidRPr="00C84CE3">
              <w:rPr>
                <w:color w:val="000000" w:themeColor="text1"/>
              </w:rPr>
              <w:t>4</w:t>
            </w:r>
            <w:r w:rsidR="00C91C19">
              <w:rPr>
                <w:color w:val="000000" w:themeColor="text1"/>
              </w:rPr>
              <w:t>,3</w:t>
            </w:r>
            <w:r w:rsidR="00491218" w:rsidRPr="00C84CE3">
              <w:rPr>
                <w:color w:val="000000" w:themeColor="text1"/>
              </w:rPr>
              <w:t xml:space="preserve"> tis. osob)</w:t>
            </w:r>
            <w:r w:rsidR="001874CF">
              <w:rPr>
                <w:color w:val="000000" w:themeColor="text1"/>
              </w:rPr>
              <w:t>.</w:t>
            </w:r>
            <w:r w:rsidR="001707DE">
              <w:rPr>
                <w:color w:val="000000" w:themeColor="text1"/>
              </w:rPr>
              <w:t xml:space="preserve"> </w:t>
            </w:r>
            <w:r w:rsidR="00F84E18" w:rsidRPr="00C84CE3">
              <w:rPr>
                <w:color w:val="000000" w:themeColor="text1"/>
              </w:rPr>
              <w:t xml:space="preserve">Meziroční úbytek zaměstnaných byl </w:t>
            </w:r>
            <w:r w:rsidR="002D0562">
              <w:rPr>
                <w:color w:val="000000" w:themeColor="text1"/>
              </w:rPr>
              <w:t xml:space="preserve">v největší míře </w:t>
            </w:r>
            <w:r w:rsidR="00F84E18" w:rsidRPr="00C84CE3">
              <w:rPr>
                <w:color w:val="000000" w:themeColor="text1"/>
              </w:rPr>
              <w:t xml:space="preserve">pozorován v </w:t>
            </w:r>
            <w:r w:rsidR="00170F47" w:rsidRPr="00C84CE3">
              <w:rPr>
                <w:color w:val="000000" w:themeColor="text1"/>
              </w:rPr>
              <w:t xml:space="preserve">odvětví </w:t>
            </w:r>
            <w:r w:rsidR="009F5846">
              <w:rPr>
                <w:color w:val="000000" w:themeColor="text1"/>
              </w:rPr>
              <w:t>p</w:t>
            </w:r>
            <w:r w:rsidR="001E23E3" w:rsidRPr="00C84CE3">
              <w:rPr>
                <w:color w:val="000000" w:themeColor="text1"/>
              </w:rPr>
              <w:t xml:space="preserve">eněžnictví a pojišťovnictví (o </w:t>
            </w:r>
            <w:r w:rsidR="00C91C19">
              <w:rPr>
                <w:color w:val="000000" w:themeColor="text1"/>
              </w:rPr>
              <w:t>3,7</w:t>
            </w:r>
            <w:r w:rsidR="001E23E3" w:rsidRPr="00C84CE3">
              <w:rPr>
                <w:color w:val="000000" w:themeColor="text1"/>
              </w:rPr>
              <w:t xml:space="preserve"> tis. osob)</w:t>
            </w:r>
            <w:r w:rsidR="001E23E3">
              <w:rPr>
                <w:color w:val="000000" w:themeColor="text1"/>
              </w:rPr>
              <w:t>,</w:t>
            </w:r>
            <w:r w:rsidR="001E23E3" w:rsidRPr="00C84CE3">
              <w:rPr>
                <w:color w:val="000000" w:themeColor="text1"/>
              </w:rPr>
              <w:t xml:space="preserve"> </w:t>
            </w:r>
            <w:r w:rsidR="009F5846">
              <w:rPr>
                <w:color w:val="000000" w:themeColor="text1"/>
              </w:rPr>
              <w:t>o</w:t>
            </w:r>
            <w:r w:rsidR="001E23E3" w:rsidRPr="00C84CE3">
              <w:rPr>
                <w:color w:val="000000" w:themeColor="text1"/>
              </w:rPr>
              <w:t>statní činnost</w:t>
            </w:r>
            <w:r w:rsidR="001E23E3">
              <w:rPr>
                <w:color w:val="000000" w:themeColor="text1"/>
              </w:rPr>
              <w:t>i</w:t>
            </w:r>
            <w:r w:rsidR="001E23E3" w:rsidRPr="00C84CE3">
              <w:rPr>
                <w:color w:val="000000" w:themeColor="text1"/>
              </w:rPr>
              <w:t xml:space="preserve"> (o 3</w:t>
            </w:r>
            <w:r w:rsidR="00C91C19">
              <w:rPr>
                <w:color w:val="000000" w:themeColor="text1"/>
              </w:rPr>
              <w:t>,2</w:t>
            </w:r>
            <w:r w:rsidR="001E23E3" w:rsidRPr="00C84CE3">
              <w:rPr>
                <w:color w:val="000000" w:themeColor="text1"/>
              </w:rPr>
              <w:t xml:space="preserve"> tis. osob)</w:t>
            </w:r>
            <w:r w:rsidR="001E23E3">
              <w:rPr>
                <w:color w:val="000000" w:themeColor="text1"/>
              </w:rPr>
              <w:t xml:space="preserve">, </w:t>
            </w:r>
            <w:r w:rsidR="009F5846">
              <w:rPr>
                <w:color w:val="000000" w:themeColor="text1"/>
              </w:rPr>
              <w:t>o</w:t>
            </w:r>
            <w:r w:rsidR="00F84E18" w:rsidRPr="00C84CE3">
              <w:rPr>
                <w:color w:val="000000" w:themeColor="text1"/>
              </w:rPr>
              <w:t>bchod, dopr</w:t>
            </w:r>
            <w:r w:rsidR="00BE0DB0" w:rsidRPr="00C84CE3">
              <w:rPr>
                <w:color w:val="000000" w:themeColor="text1"/>
              </w:rPr>
              <w:t>av</w:t>
            </w:r>
            <w:r w:rsidR="001E23E3">
              <w:rPr>
                <w:color w:val="000000" w:themeColor="text1"/>
              </w:rPr>
              <w:t>a</w:t>
            </w:r>
            <w:r w:rsidR="00BE0DB0" w:rsidRPr="00C84CE3">
              <w:rPr>
                <w:color w:val="000000" w:themeColor="text1"/>
              </w:rPr>
              <w:t xml:space="preserve">, ubytování a pohostinství (o </w:t>
            </w:r>
            <w:r w:rsidR="003E7A0B" w:rsidRPr="00C84CE3">
              <w:rPr>
                <w:color w:val="000000" w:themeColor="text1"/>
              </w:rPr>
              <w:t>2</w:t>
            </w:r>
            <w:r w:rsidR="00C91C19">
              <w:rPr>
                <w:color w:val="000000" w:themeColor="text1"/>
              </w:rPr>
              <w:t>,4</w:t>
            </w:r>
            <w:r w:rsidR="00F84E18" w:rsidRPr="00C84CE3">
              <w:rPr>
                <w:color w:val="000000" w:themeColor="text1"/>
              </w:rPr>
              <w:t xml:space="preserve"> tis. osob)</w:t>
            </w:r>
            <w:r w:rsidR="00C91C19">
              <w:rPr>
                <w:color w:val="000000" w:themeColor="text1"/>
              </w:rPr>
              <w:t xml:space="preserve"> a </w:t>
            </w:r>
            <w:r w:rsidR="009F5846">
              <w:rPr>
                <w:color w:val="000000" w:themeColor="text1"/>
              </w:rPr>
              <w:t>z</w:t>
            </w:r>
            <w:r w:rsidR="00C91C19" w:rsidRPr="00C84CE3">
              <w:rPr>
                <w:color w:val="000000" w:themeColor="text1"/>
              </w:rPr>
              <w:t>emědělství</w:t>
            </w:r>
            <w:r w:rsidR="00C91C19" w:rsidRPr="001E23E3">
              <w:rPr>
                <w:color w:val="000000" w:themeColor="text1"/>
              </w:rPr>
              <w:t>, lesnictví a rybářství</w:t>
            </w:r>
            <w:r w:rsidR="00C91C19">
              <w:rPr>
                <w:color w:val="000000" w:themeColor="text1"/>
              </w:rPr>
              <w:t xml:space="preserve"> (o 1,5 tis. osob).</w:t>
            </w:r>
          </w:p>
          <w:p w:rsidR="00C84CE3" w:rsidRPr="008746E6" w:rsidRDefault="00C84CE3" w:rsidP="001E23E3">
            <w:pPr>
              <w:pStyle w:val="Textpoznpodarou"/>
              <w:jc w:val="both"/>
              <w:rPr>
                <w:sz w:val="16"/>
                <w:szCs w:val="16"/>
              </w:rPr>
            </w:pPr>
          </w:p>
        </w:tc>
      </w:tr>
      <w:tr w:rsidR="0088733A" w:rsidRPr="007D44C3" w:rsidTr="00ED2CA5">
        <w:tc>
          <w:tcPr>
            <w:tcW w:w="1054" w:type="pct"/>
            <w:gridSpan w:val="3"/>
          </w:tcPr>
          <w:p w:rsidR="0088733A" w:rsidRPr="00F72F44" w:rsidRDefault="00E92995" w:rsidP="00867E29">
            <w:pPr>
              <w:spacing w:line="240" w:lineRule="auto"/>
              <w:rPr>
                <w:sz w:val="16"/>
                <w:szCs w:val="16"/>
              </w:rPr>
            </w:pPr>
            <w:r w:rsidRPr="00F72F44">
              <w:rPr>
                <w:sz w:val="16"/>
                <w:szCs w:val="16"/>
              </w:rPr>
              <w:t>Po dvou letech m</w:t>
            </w:r>
            <w:r w:rsidR="0016081D" w:rsidRPr="00F72F44">
              <w:rPr>
                <w:sz w:val="16"/>
                <w:szCs w:val="16"/>
              </w:rPr>
              <w:t xml:space="preserve">eziročně rostl počet osob nepracujících na zaměstnanecké smlouvy </w:t>
            </w:r>
          </w:p>
          <w:p w:rsidR="00293441" w:rsidRPr="00293441" w:rsidRDefault="00293441" w:rsidP="00867E29">
            <w:pPr>
              <w:spacing w:line="240" w:lineRule="auto"/>
              <w:rPr>
                <w:color w:val="FF0000"/>
                <w:sz w:val="16"/>
                <w:szCs w:val="16"/>
              </w:rPr>
            </w:pPr>
          </w:p>
        </w:tc>
        <w:tc>
          <w:tcPr>
            <w:tcW w:w="143" w:type="pct"/>
          </w:tcPr>
          <w:p w:rsidR="0088733A" w:rsidRPr="007D44C3" w:rsidRDefault="0088733A" w:rsidP="00173642">
            <w:pPr>
              <w:pStyle w:val="Textpoznpodarou"/>
              <w:jc w:val="both"/>
            </w:pPr>
          </w:p>
        </w:tc>
        <w:tc>
          <w:tcPr>
            <w:tcW w:w="3803" w:type="pct"/>
            <w:gridSpan w:val="4"/>
          </w:tcPr>
          <w:p w:rsidR="00D27856" w:rsidRDefault="00143E03" w:rsidP="00C84CE3">
            <w:pPr>
              <w:pStyle w:val="Textpoznpodarou"/>
              <w:jc w:val="both"/>
              <w:rPr>
                <w:color w:val="000000" w:themeColor="text1"/>
              </w:rPr>
            </w:pPr>
            <w:r>
              <w:rPr>
                <w:color w:val="000000" w:themeColor="text1"/>
              </w:rPr>
              <w:t xml:space="preserve">V roce </w:t>
            </w:r>
            <w:r w:rsidR="00170F47" w:rsidRPr="00C84CE3">
              <w:rPr>
                <w:color w:val="000000" w:themeColor="text1"/>
              </w:rPr>
              <w:t>2014</w:t>
            </w:r>
            <w:r>
              <w:rPr>
                <w:color w:val="000000" w:themeColor="text1"/>
              </w:rPr>
              <w:t xml:space="preserve"> rostl rychleji </w:t>
            </w:r>
            <w:r w:rsidR="00DC78DF" w:rsidRPr="00C84CE3">
              <w:rPr>
                <w:color w:val="000000" w:themeColor="text1"/>
              </w:rPr>
              <w:t>celkov</w:t>
            </w:r>
            <w:r>
              <w:rPr>
                <w:color w:val="000000" w:themeColor="text1"/>
              </w:rPr>
              <w:t>ý</w:t>
            </w:r>
            <w:r w:rsidR="00DC78DF" w:rsidRPr="00C84CE3">
              <w:rPr>
                <w:color w:val="000000" w:themeColor="text1"/>
              </w:rPr>
              <w:t xml:space="preserve"> poč</w:t>
            </w:r>
            <w:r>
              <w:rPr>
                <w:color w:val="000000" w:themeColor="text1"/>
              </w:rPr>
              <w:t>e</w:t>
            </w:r>
            <w:r w:rsidR="00DC78DF" w:rsidRPr="00C84CE3">
              <w:rPr>
                <w:color w:val="000000" w:themeColor="text1"/>
              </w:rPr>
              <w:t xml:space="preserve">t zaměstnaných než osob zaměstnanců. </w:t>
            </w:r>
            <w:r w:rsidR="00170F47" w:rsidRPr="00C84CE3">
              <w:rPr>
                <w:color w:val="000000" w:themeColor="text1"/>
              </w:rPr>
              <w:t xml:space="preserve">Počet </w:t>
            </w:r>
            <w:proofErr w:type="spellStart"/>
            <w:r w:rsidR="00170F47" w:rsidRPr="00C84CE3">
              <w:rPr>
                <w:color w:val="000000" w:themeColor="text1"/>
              </w:rPr>
              <w:t>sebezaměstnaných</w:t>
            </w:r>
            <w:proofErr w:type="spellEnd"/>
            <w:r w:rsidR="00170F47" w:rsidRPr="00C84CE3">
              <w:rPr>
                <w:color w:val="000000" w:themeColor="text1"/>
              </w:rPr>
              <w:t xml:space="preserve"> se v</w:t>
            </w:r>
            <w:r w:rsidR="00DC78DF" w:rsidRPr="00C84CE3">
              <w:rPr>
                <w:color w:val="000000" w:themeColor="text1"/>
              </w:rPr>
              <w:t> roce 2014 zvýšil o 1</w:t>
            </w:r>
            <w:r w:rsidR="0033627B">
              <w:rPr>
                <w:color w:val="000000" w:themeColor="text1"/>
              </w:rPr>
              <w:t>2,8</w:t>
            </w:r>
            <w:r w:rsidR="00DC78DF" w:rsidRPr="00C84CE3">
              <w:rPr>
                <w:color w:val="000000" w:themeColor="text1"/>
              </w:rPr>
              <w:t xml:space="preserve"> tis. osob, zatímco v roce 2013 pokles </w:t>
            </w:r>
            <w:r w:rsidR="00E92995">
              <w:rPr>
                <w:color w:val="000000" w:themeColor="text1"/>
              </w:rPr>
              <w:t>činil</w:t>
            </w:r>
            <w:r w:rsidR="00DC78DF" w:rsidRPr="00C84CE3">
              <w:rPr>
                <w:color w:val="000000" w:themeColor="text1"/>
              </w:rPr>
              <w:t xml:space="preserve"> </w:t>
            </w:r>
            <w:r w:rsidR="0033627B">
              <w:rPr>
                <w:color w:val="000000" w:themeColor="text1"/>
              </w:rPr>
              <w:t>7,7</w:t>
            </w:r>
            <w:r w:rsidR="00DC78DF" w:rsidRPr="00C84CE3">
              <w:rPr>
                <w:color w:val="000000" w:themeColor="text1"/>
              </w:rPr>
              <w:t xml:space="preserve"> tis. osob</w:t>
            </w:r>
            <w:r w:rsidR="002E2CE4" w:rsidRPr="00C84CE3">
              <w:rPr>
                <w:color w:val="000000" w:themeColor="text1"/>
              </w:rPr>
              <w:t xml:space="preserve"> a</w:t>
            </w:r>
            <w:r w:rsidR="00DC78DF" w:rsidRPr="00C84CE3">
              <w:rPr>
                <w:color w:val="000000" w:themeColor="text1"/>
              </w:rPr>
              <w:t xml:space="preserve"> v roce 2012 4 tis. osob. V</w:t>
            </w:r>
            <w:r w:rsidR="00170F47" w:rsidRPr="00C84CE3">
              <w:rPr>
                <w:color w:val="000000" w:themeColor="text1"/>
              </w:rPr>
              <w:t xml:space="preserve">ývoj byl </w:t>
            </w:r>
            <w:r w:rsidR="002E2CE4" w:rsidRPr="00C84CE3">
              <w:rPr>
                <w:color w:val="000000" w:themeColor="text1"/>
              </w:rPr>
              <w:t xml:space="preserve">především </w:t>
            </w:r>
            <w:r w:rsidR="00170F47" w:rsidRPr="00C84CE3">
              <w:rPr>
                <w:color w:val="000000" w:themeColor="text1"/>
              </w:rPr>
              <w:t xml:space="preserve">důsledkem situace ve </w:t>
            </w:r>
            <w:r w:rsidR="009F5846">
              <w:rPr>
                <w:color w:val="000000" w:themeColor="text1"/>
              </w:rPr>
              <w:t>s</w:t>
            </w:r>
            <w:r w:rsidR="00DC78DF" w:rsidRPr="00C84CE3">
              <w:rPr>
                <w:color w:val="000000" w:themeColor="text1"/>
              </w:rPr>
              <w:t xml:space="preserve">tavebnictví </w:t>
            </w:r>
            <w:r w:rsidR="00170F47" w:rsidRPr="00C84CE3">
              <w:rPr>
                <w:color w:val="000000" w:themeColor="text1"/>
              </w:rPr>
              <w:t>(</w:t>
            </w:r>
            <w:r w:rsidR="00DC78DF" w:rsidRPr="00C84CE3">
              <w:rPr>
                <w:color w:val="000000" w:themeColor="text1"/>
              </w:rPr>
              <w:t>+10</w:t>
            </w:r>
            <w:r w:rsidR="0033627B">
              <w:rPr>
                <w:color w:val="000000" w:themeColor="text1"/>
              </w:rPr>
              <w:t>,4</w:t>
            </w:r>
            <w:r w:rsidR="00DC78DF" w:rsidRPr="00C84CE3">
              <w:rPr>
                <w:color w:val="000000" w:themeColor="text1"/>
              </w:rPr>
              <w:t xml:space="preserve"> tis. osob), </w:t>
            </w:r>
            <w:r w:rsidR="007014C7">
              <w:rPr>
                <w:color w:val="000000" w:themeColor="text1"/>
              </w:rPr>
              <w:t>kde</w:t>
            </w:r>
            <w:r w:rsidR="0033627B">
              <w:rPr>
                <w:color w:val="000000" w:themeColor="text1"/>
              </w:rPr>
              <w:t xml:space="preserve"> stavební firmy s růstem aktivity </w:t>
            </w:r>
            <w:r w:rsidR="00D547BA">
              <w:rPr>
                <w:color w:val="000000" w:themeColor="text1"/>
              </w:rPr>
              <w:t xml:space="preserve">s </w:t>
            </w:r>
            <w:r w:rsidR="0033627B">
              <w:rPr>
                <w:color w:val="000000" w:themeColor="text1"/>
              </w:rPr>
              <w:t xml:space="preserve">velkou pravděpodobností </w:t>
            </w:r>
            <w:r w:rsidR="00D547BA">
              <w:rPr>
                <w:color w:val="000000" w:themeColor="text1"/>
              </w:rPr>
              <w:t>častěji saha</w:t>
            </w:r>
            <w:r w:rsidR="001B1D89">
              <w:rPr>
                <w:color w:val="000000" w:themeColor="text1"/>
              </w:rPr>
              <w:t>ly</w:t>
            </w:r>
            <w:r w:rsidR="00D547BA">
              <w:rPr>
                <w:color w:val="000000" w:themeColor="text1"/>
              </w:rPr>
              <w:t xml:space="preserve"> po </w:t>
            </w:r>
            <w:r w:rsidR="0033627B">
              <w:rPr>
                <w:color w:val="000000" w:themeColor="text1"/>
              </w:rPr>
              <w:t>„</w:t>
            </w:r>
            <w:proofErr w:type="spellStart"/>
            <w:r w:rsidR="0033627B">
              <w:rPr>
                <w:color w:val="000000" w:themeColor="text1"/>
              </w:rPr>
              <w:t>švarcsystém</w:t>
            </w:r>
            <w:r w:rsidR="00D547BA">
              <w:rPr>
                <w:color w:val="000000" w:themeColor="text1"/>
              </w:rPr>
              <w:t>u</w:t>
            </w:r>
            <w:proofErr w:type="spellEnd"/>
            <w:r w:rsidR="0033627B">
              <w:rPr>
                <w:color w:val="000000" w:themeColor="text1"/>
              </w:rPr>
              <w:t>“</w:t>
            </w:r>
            <w:r w:rsidR="00D547BA">
              <w:rPr>
                <w:color w:val="000000" w:themeColor="text1"/>
              </w:rPr>
              <w:t xml:space="preserve"> místo po najímání do zaměstnaneckého poměru.</w:t>
            </w:r>
            <w:r w:rsidR="007014C7">
              <w:rPr>
                <w:color w:val="000000" w:themeColor="text1"/>
              </w:rPr>
              <w:t xml:space="preserve"> </w:t>
            </w:r>
            <w:r w:rsidR="00D547BA">
              <w:rPr>
                <w:color w:val="000000" w:themeColor="text1"/>
              </w:rPr>
              <w:t xml:space="preserve">Dále se jedná o </w:t>
            </w:r>
            <w:r w:rsidR="009F5846">
              <w:rPr>
                <w:color w:val="000000" w:themeColor="text1"/>
              </w:rPr>
              <w:t>p</w:t>
            </w:r>
            <w:r w:rsidR="002E2CE4" w:rsidRPr="00C84CE3">
              <w:rPr>
                <w:color w:val="000000" w:themeColor="text1"/>
              </w:rPr>
              <w:t>rofesní, vědecké, technické a administrativní činnosti (+7</w:t>
            </w:r>
            <w:r w:rsidR="001B1D89">
              <w:rPr>
                <w:color w:val="000000" w:themeColor="text1"/>
              </w:rPr>
              <w:t>,3</w:t>
            </w:r>
            <w:r w:rsidR="002E2CE4" w:rsidRPr="00C84CE3">
              <w:rPr>
                <w:color w:val="000000" w:themeColor="text1"/>
              </w:rPr>
              <w:t xml:space="preserve"> tis. osob), </w:t>
            </w:r>
            <w:r w:rsidR="009F5846">
              <w:rPr>
                <w:color w:val="000000" w:themeColor="text1"/>
              </w:rPr>
              <w:t>č</w:t>
            </w:r>
            <w:r w:rsidR="002E2CE4" w:rsidRPr="00C84CE3">
              <w:rPr>
                <w:color w:val="000000" w:themeColor="text1"/>
              </w:rPr>
              <w:t xml:space="preserve">innosti v oblasti nemovitostí </w:t>
            </w:r>
            <w:r w:rsidR="001B1D89">
              <w:rPr>
                <w:color w:val="000000" w:themeColor="text1"/>
              </w:rPr>
              <w:t xml:space="preserve">(+1,9 tis. osob) </w:t>
            </w:r>
            <w:r w:rsidR="002E2CE4" w:rsidRPr="00C84CE3">
              <w:rPr>
                <w:color w:val="000000" w:themeColor="text1"/>
              </w:rPr>
              <w:t xml:space="preserve">a </w:t>
            </w:r>
            <w:r w:rsidR="009F5846">
              <w:rPr>
                <w:color w:val="000000" w:themeColor="text1"/>
              </w:rPr>
              <w:t>i</w:t>
            </w:r>
            <w:r w:rsidR="002E2CE4" w:rsidRPr="00C84CE3">
              <w:rPr>
                <w:color w:val="000000" w:themeColor="text1"/>
              </w:rPr>
              <w:t>nformační a komunikační činnosti (+</w:t>
            </w:r>
            <w:r w:rsidR="001B1D89">
              <w:rPr>
                <w:color w:val="000000" w:themeColor="text1"/>
              </w:rPr>
              <w:t>1,8</w:t>
            </w:r>
            <w:r w:rsidR="002E2CE4" w:rsidRPr="00C84CE3">
              <w:rPr>
                <w:color w:val="000000" w:themeColor="text1"/>
              </w:rPr>
              <w:t xml:space="preserve"> tis. osob).</w:t>
            </w:r>
            <w:r w:rsidR="00305736" w:rsidRPr="00C84CE3">
              <w:rPr>
                <w:color w:val="000000" w:themeColor="text1"/>
              </w:rPr>
              <w:t xml:space="preserve"> </w:t>
            </w:r>
            <w:r w:rsidR="004C00A6">
              <w:rPr>
                <w:color w:val="000000" w:themeColor="text1"/>
              </w:rPr>
              <w:t>Zcela jiný vývoj</w:t>
            </w:r>
            <w:r w:rsidR="00305736" w:rsidRPr="00C84CE3">
              <w:rPr>
                <w:color w:val="000000" w:themeColor="text1"/>
              </w:rPr>
              <w:t xml:space="preserve"> byl zjištěn zejména ve </w:t>
            </w:r>
            <w:r w:rsidR="009F5846">
              <w:rPr>
                <w:color w:val="000000" w:themeColor="text1"/>
              </w:rPr>
              <w:t>z</w:t>
            </w:r>
            <w:r w:rsidR="00305736" w:rsidRPr="00C84CE3">
              <w:rPr>
                <w:color w:val="000000" w:themeColor="text1"/>
              </w:rPr>
              <w:t>pracovatelském průmyslu (-4</w:t>
            </w:r>
            <w:r w:rsidR="001B1D89">
              <w:rPr>
                <w:color w:val="000000" w:themeColor="text1"/>
              </w:rPr>
              <w:t>,4</w:t>
            </w:r>
            <w:r w:rsidR="00305736" w:rsidRPr="00C84CE3">
              <w:rPr>
                <w:color w:val="000000" w:themeColor="text1"/>
              </w:rPr>
              <w:t xml:space="preserve"> tis. osob)</w:t>
            </w:r>
            <w:r w:rsidR="001B1D89">
              <w:rPr>
                <w:color w:val="000000" w:themeColor="text1"/>
              </w:rPr>
              <w:t xml:space="preserve">, </w:t>
            </w:r>
            <w:r w:rsidR="004C00A6">
              <w:rPr>
                <w:color w:val="000000" w:themeColor="text1"/>
              </w:rPr>
              <w:t xml:space="preserve">kde zřejmě dochází k opačným tendencím než ve </w:t>
            </w:r>
            <w:r w:rsidR="009F5846">
              <w:rPr>
                <w:color w:val="000000" w:themeColor="text1"/>
              </w:rPr>
              <w:t>s</w:t>
            </w:r>
            <w:r w:rsidR="004C00A6">
              <w:rPr>
                <w:color w:val="000000" w:themeColor="text1"/>
              </w:rPr>
              <w:t>tave</w:t>
            </w:r>
            <w:r w:rsidR="001B1D89">
              <w:rPr>
                <w:color w:val="000000" w:themeColor="text1"/>
              </w:rPr>
              <w:t>b</w:t>
            </w:r>
            <w:r w:rsidR="004C00A6">
              <w:rPr>
                <w:color w:val="000000" w:themeColor="text1"/>
              </w:rPr>
              <w:t>nictví</w:t>
            </w:r>
            <w:r w:rsidR="00305736" w:rsidRPr="00C84CE3">
              <w:rPr>
                <w:color w:val="000000" w:themeColor="text1"/>
              </w:rPr>
              <w:t xml:space="preserve">. </w:t>
            </w:r>
          </w:p>
          <w:p w:rsidR="00C84CE3" w:rsidRPr="008746E6" w:rsidRDefault="00C84CE3" w:rsidP="00C84CE3">
            <w:pPr>
              <w:pStyle w:val="Textpoznpodarou"/>
              <w:jc w:val="both"/>
              <w:rPr>
                <w:sz w:val="16"/>
                <w:szCs w:val="16"/>
              </w:rPr>
            </w:pPr>
          </w:p>
        </w:tc>
      </w:tr>
      <w:tr w:rsidR="0088733A" w:rsidRPr="00026998" w:rsidTr="00ED2CA5">
        <w:tc>
          <w:tcPr>
            <w:tcW w:w="1054" w:type="pct"/>
            <w:gridSpan w:val="3"/>
          </w:tcPr>
          <w:p w:rsidR="0088733A" w:rsidRPr="000B3F02" w:rsidRDefault="006C58FA" w:rsidP="00DD57AD">
            <w:pPr>
              <w:spacing w:line="240" w:lineRule="auto"/>
              <w:rPr>
                <w:sz w:val="16"/>
                <w:szCs w:val="16"/>
              </w:rPr>
            </w:pPr>
            <w:r w:rsidRPr="00C84CE3">
              <w:rPr>
                <w:color w:val="000000" w:themeColor="text1"/>
                <w:sz w:val="16"/>
                <w:szCs w:val="16"/>
              </w:rPr>
              <w:t xml:space="preserve">Meziročně poklesl podíl prací na jiné než „standardní“ pracovní úvazky </w:t>
            </w:r>
          </w:p>
        </w:tc>
        <w:tc>
          <w:tcPr>
            <w:tcW w:w="143" w:type="pct"/>
          </w:tcPr>
          <w:p w:rsidR="0088733A" w:rsidRPr="007D44C3" w:rsidRDefault="0088733A" w:rsidP="00173642">
            <w:pPr>
              <w:pStyle w:val="Textpoznpodarou"/>
              <w:jc w:val="both"/>
            </w:pPr>
          </w:p>
        </w:tc>
        <w:tc>
          <w:tcPr>
            <w:tcW w:w="3803" w:type="pct"/>
            <w:gridSpan w:val="4"/>
          </w:tcPr>
          <w:p w:rsidR="00210CC2" w:rsidRPr="000F401E" w:rsidRDefault="00D00DAF" w:rsidP="00C84CE3">
            <w:pPr>
              <w:pStyle w:val="Textpoznpodarou"/>
              <w:jc w:val="both"/>
              <w:rPr>
                <w:spacing w:val="-2"/>
              </w:rPr>
            </w:pPr>
            <w:r w:rsidRPr="000F401E">
              <w:rPr>
                <w:color w:val="000000" w:themeColor="text1"/>
                <w:spacing w:val="-2"/>
              </w:rPr>
              <w:t xml:space="preserve">V roce 2014 meziročně poklesl podíl prací na </w:t>
            </w:r>
            <w:r w:rsidR="00E25223" w:rsidRPr="000F401E">
              <w:rPr>
                <w:color w:val="000000" w:themeColor="text1"/>
                <w:spacing w:val="-2"/>
              </w:rPr>
              <w:t xml:space="preserve">částečné </w:t>
            </w:r>
            <w:r w:rsidRPr="000F401E">
              <w:rPr>
                <w:color w:val="000000" w:themeColor="text1"/>
                <w:spacing w:val="-2"/>
              </w:rPr>
              <w:t xml:space="preserve">pracovní úvazky, neboť růst </w:t>
            </w:r>
            <w:r w:rsidR="00416673" w:rsidRPr="000F401E">
              <w:rPr>
                <w:color w:val="000000" w:themeColor="text1"/>
                <w:spacing w:val="-2"/>
              </w:rPr>
              <w:t>osob</w:t>
            </w:r>
            <w:r w:rsidRPr="000F401E">
              <w:rPr>
                <w:color w:val="000000" w:themeColor="text1"/>
                <w:spacing w:val="-2"/>
              </w:rPr>
              <w:t xml:space="preserve"> zaměstnan</w:t>
            </w:r>
            <w:r w:rsidR="00416673" w:rsidRPr="000F401E">
              <w:rPr>
                <w:color w:val="000000" w:themeColor="text1"/>
                <w:spacing w:val="-2"/>
              </w:rPr>
              <w:t>ců</w:t>
            </w:r>
            <w:r w:rsidRPr="000F401E">
              <w:rPr>
                <w:color w:val="000000" w:themeColor="text1"/>
                <w:spacing w:val="-2"/>
              </w:rPr>
              <w:t xml:space="preserve"> byl pomalejší než meziroční růst celkově odpracovaných hodin (0,</w:t>
            </w:r>
            <w:r w:rsidR="00416673" w:rsidRPr="000F401E">
              <w:rPr>
                <w:color w:val="000000" w:themeColor="text1"/>
                <w:spacing w:val="-2"/>
              </w:rPr>
              <w:t>2</w:t>
            </w:r>
            <w:r w:rsidRPr="000F401E">
              <w:rPr>
                <w:color w:val="000000" w:themeColor="text1"/>
                <w:spacing w:val="-2"/>
              </w:rPr>
              <w:t xml:space="preserve"> </w:t>
            </w:r>
            <w:r w:rsidR="005523B9" w:rsidRPr="000F401E">
              <w:rPr>
                <w:color w:val="000000" w:themeColor="text1"/>
                <w:spacing w:val="-2"/>
              </w:rPr>
              <w:t xml:space="preserve">% </w:t>
            </w:r>
            <w:r w:rsidRPr="000F401E">
              <w:rPr>
                <w:color w:val="000000" w:themeColor="text1"/>
                <w:spacing w:val="-2"/>
              </w:rPr>
              <w:t xml:space="preserve">vs. </w:t>
            </w:r>
            <w:r w:rsidR="00416673" w:rsidRPr="000F401E">
              <w:rPr>
                <w:color w:val="000000" w:themeColor="text1"/>
                <w:spacing w:val="-2"/>
              </w:rPr>
              <w:t>0</w:t>
            </w:r>
            <w:r w:rsidRPr="000F401E">
              <w:rPr>
                <w:color w:val="000000" w:themeColor="text1"/>
                <w:spacing w:val="-2"/>
              </w:rPr>
              <w:t>,</w:t>
            </w:r>
            <w:r w:rsidR="00416673" w:rsidRPr="000F401E">
              <w:rPr>
                <w:color w:val="000000" w:themeColor="text1"/>
                <w:spacing w:val="-2"/>
              </w:rPr>
              <w:t>5</w:t>
            </w:r>
            <w:r w:rsidRPr="000F401E">
              <w:rPr>
                <w:color w:val="000000" w:themeColor="text1"/>
                <w:spacing w:val="-2"/>
              </w:rPr>
              <w:t xml:space="preserve"> %). </w:t>
            </w:r>
            <w:r w:rsidR="00210CC2" w:rsidRPr="000F401E">
              <w:rPr>
                <w:spacing w:val="-2"/>
              </w:rPr>
              <w:t xml:space="preserve">Výjimku tvořila především odvětví </w:t>
            </w:r>
            <w:r w:rsidR="009F5846" w:rsidRPr="000F401E">
              <w:rPr>
                <w:spacing w:val="-2"/>
              </w:rPr>
              <w:t>p</w:t>
            </w:r>
            <w:r w:rsidR="00210CC2" w:rsidRPr="000F401E">
              <w:rPr>
                <w:spacing w:val="-2"/>
              </w:rPr>
              <w:t xml:space="preserve">eněžnictví a pojišťovnictví a </w:t>
            </w:r>
            <w:r w:rsidR="009F5846" w:rsidRPr="000F401E">
              <w:rPr>
                <w:spacing w:val="-2"/>
              </w:rPr>
              <w:t>o</w:t>
            </w:r>
            <w:r w:rsidR="00210CC2" w:rsidRPr="000F401E">
              <w:rPr>
                <w:spacing w:val="-2"/>
              </w:rPr>
              <w:t xml:space="preserve">statní činnosti, ve kterých byl pokles celkově odpracovaných hodin vyšší než pokles </w:t>
            </w:r>
            <w:r w:rsidR="009E7B1F" w:rsidRPr="000F401E">
              <w:rPr>
                <w:spacing w:val="-2"/>
              </w:rPr>
              <w:t>osob</w:t>
            </w:r>
            <w:r w:rsidR="00210CC2" w:rsidRPr="000F401E">
              <w:rPr>
                <w:spacing w:val="-2"/>
              </w:rPr>
              <w:t xml:space="preserve"> zaměstnan</w:t>
            </w:r>
            <w:r w:rsidR="009E7B1F" w:rsidRPr="000F401E">
              <w:rPr>
                <w:spacing w:val="-2"/>
              </w:rPr>
              <w:t>ců</w:t>
            </w:r>
            <w:r w:rsidR="00210CC2" w:rsidRPr="000F401E">
              <w:rPr>
                <w:spacing w:val="-2"/>
              </w:rPr>
              <w:t xml:space="preserve"> (o </w:t>
            </w:r>
            <w:r w:rsidR="009E7B1F" w:rsidRPr="000F401E">
              <w:rPr>
                <w:spacing w:val="-2"/>
              </w:rPr>
              <w:t>1</w:t>
            </w:r>
            <w:r w:rsidR="00210CC2" w:rsidRPr="000F401E">
              <w:rPr>
                <w:spacing w:val="-2"/>
              </w:rPr>
              <w:t>,</w:t>
            </w:r>
            <w:r w:rsidR="009E7B1F" w:rsidRPr="000F401E">
              <w:rPr>
                <w:spacing w:val="-2"/>
              </w:rPr>
              <w:t>9</w:t>
            </w:r>
            <w:r w:rsidR="00210CC2" w:rsidRPr="000F401E">
              <w:rPr>
                <w:spacing w:val="-2"/>
              </w:rPr>
              <w:t xml:space="preserve"> </w:t>
            </w:r>
            <w:proofErr w:type="spellStart"/>
            <w:r w:rsidR="00210CC2" w:rsidRPr="000F401E">
              <w:rPr>
                <w:spacing w:val="-2"/>
              </w:rPr>
              <w:t>pb</w:t>
            </w:r>
            <w:proofErr w:type="spellEnd"/>
            <w:r w:rsidR="00210CC2" w:rsidRPr="000F401E">
              <w:rPr>
                <w:spacing w:val="-2"/>
              </w:rPr>
              <w:t xml:space="preserve">., resp. o </w:t>
            </w:r>
            <w:r w:rsidR="009E7B1F" w:rsidRPr="000F401E">
              <w:rPr>
                <w:spacing w:val="-2"/>
              </w:rPr>
              <w:t>1</w:t>
            </w:r>
            <w:r w:rsidR="00210CC2" w:rsidRPr="000F401E">
              <w:rPr>
                <w:spacing w:val="-2"/>
              </w:rPr>
              <w:t>,</w:t>
            </w:r>
            <w:r w:rsidR="009E7B1F" w:rsidRPr="000F401E">
              <w:rPr>
                <w:spacing w:val="-2"/>
              </w:rPr>
              <w:t>2</w:t>
            </w:r>
            <w:r w:rsidR="00210CC2" w:rsidRPr="000F401E">
              <w:rPr>
                <w:spacing w:val="-2"/>
              </w:rPr>
              <w:t xml:space="preserve"> </w:t>
            </w:r>
            <w:proofErr w:type="spellStart"/>
            <w:r w:rsidR="00210CC2" w:rsidRPr="000F401E">
              <w:rPr>
                <w:spacing w:val="-2"/>
              </w:rPr>
              <w:t>pb</w:t>
            </w:r>
            <w:proofErr w:type="spellEnd"/>
            <w:r w:rsidR="00210CC2" w:rsidRPr="000F401E">
              <w:rPr>
                <w:spacing w:val="-2"/>
              </w:rPr>
              <w:t>.).</w:t>
            </w:r>
            <w:r w:rsidR="009E7B1F" w:rsidRPr="000F401E">
              <w:rPr>
                <w:spacing w:val="-2"/>
              </w:rPr>
              <w:t xml:space="preserve"> </w:t>
            </w:r>
            <w:r w:rsidRPr="000F401E">
              <w:rPr>
                <w:color w:val="000000" w:themeColor="text1"/>
                <w:spacing w:val="-2"/>
              </w:rPr>
              <w:t>V roce 201</w:t>
            </w:r>
            <w:r w:rsidR="009459C5" w:rsidRPr="000F401E">
              <w:rPr>
                <w:color w:val="000000" w:themeColor="text1"/>
                <w:spacing w:val="-2"/>
              </w:rPr>
              <w:t>3</w:t>
            </w:r>
            <w:r w:rsidRPr="000F401E">
              <w:rPr>
                <w:color w:val="000000" w:themeColor="text1"/>
                <w:spacing w:val="-2"/>
              </w:rPr>
              <w:t xml:space="preserve"> činilo převýšení dynamiky </w:t>
            </w:r>
            <w:r w:rsidR="00285CD3" w:rsidRPr="000F401E">
              <w:rPr>
                <w:color w:val="000000" w:themeColor="text1"/>
                <w:spacing w:val="-2"/>
              </w:rPr>
              <w:t xml:space="preserve">osob </w:t>
            </w:r>
            <w:r w:rsidRPr="000F401E">
              <w:rPr>
                <w:color w:val="000000" w:themeColor="text1"/>
                <w:spacing w:val="-2"/>
              </w:rPr>
              <w:t>zaměstnan</w:t>
            </w:r>
            <w:r w:rsidR="00285CD3" w:rsidRPr="000F401E">
              <w:rPr>
                <w:color w:val="000000" w:themeColor="text1"/>
                <w:spacing w:val="-2"/>
              </w:rPr>
              <w:t>ců</w:t>
            </w:r>
            <w:r w:rsidRPr="000F401E">
              <w:rPr>
                <w:color w:val="000000" w:themeColor="text1"/>
                <w:spacing w:val="-2"/>
              </w:rPr>
              <w:t xml:space="preserve"> nad dynamikou odpracovaných hodin 0,</w:t>
            </w:r>
            <w:r w:rsidR="00416673" w:rsidRPr="000F401E">
              <w:rPr>
                <w:color w:val="000000" w:themeColor="text1"/>
                <w:spacing w:val="-2"/>
              </w:rPr>
              <w:t>3</w:t>
            </w:r>
            <w:r w:rsidRPr="000F401E">
              <w:rPr>
                <w:color w:val="000000" w:themeColor="text1"/>
                <w:spacing w:val="-2"/>
              </w:rPr>
              <w:t xml:space="preserve"> </w:t>
            </w:r>
            <w:proofErr w:type="spellStart"/>
            <w:r w:rsidRPr="000F401E">
              <w:rPr>
                <w:color w:val="000000" w:themeColor="text1"/>
                <w:spacing w:val="-2"/>
              </w:rPr>
              <w:t>pb</w:t>
            </w:r>
            <w:proofErr w:type="spellEnd"/>
            <w:r w:rsidRPr="000F401E">
              <w:rPr>
                <w:color w:val="000000" w:themeColor="text1"/>
                <w:spacing w:val="-2"/>
              </w:rPr>
              <w:t xml:space="preserve">. </w:t>
            </w:r>
            <w:r w:rsidR="009459C5" w:rsidRPr="000F401E">
              <w:rPr>
                <w:color w:val="000000" w:themeColor="text1"/>
                <w:spacing w:val="-2"/>
              </w:rPr>
              <w:t>Opa</w:t>
            </w:r>
            <w:r w:rsidR="00537AFD" w:rsidRPr="000F401E">
              <w:rPr>
                <w:color w:val="000000" w:themeColor="text1"/>
                <w:spacing w:val="-2"/>
              </w:rPr>
              <w:t xml:space="preserve">čná tendence </w:t>
            </w:r>
            <w:r w:rsidR="009459C5" w:rsidRPr="000F401E">
              <w:rPr>
                <w:color w:val="000000" w:themeColor="text1"/>
                <w:spacing w:val="-2"/>
              </w:rPr>
              <w:t xml:space="preserve">se </w:t>
            </w:r>
            <w:r w:rsidR="00537AFD" w:rsidRPr="000F401E">
              <w:rPr>
                <w:color w:val="000000" w:themeColor="text1"/>
                <w:spacing w:val="-2"/>
              </w:rPr>
              <w:t>vyskytla pouze v</w:t>
            </w:r>
            <w:r w:rsidR="00285CD3" w:rsidRPr="000F401E">
              <w:rPr>
                <w:color w:val="000000" w:themeColor="text1"/>
                <w:spacing w:val="-2"/>
              </w:rPr>
              <w:t> </w:t>
            </w:r>
            <w:r w:rsidR="00537AFD" w:rsidRPr="000F401E">
              <w:rPr>
                <w:color w:val="000000" w:themeColor="text1"/>
                <w:spacing w:val="-2"/>
              </w:rPr>
              <w:t>odvětví</w:t>
            </w:r>
            <w:r w:rsidR="00285CD3" w:rsidRPr="000F401E">
              <w:rPr>
                <w:color w:val="000000" w:themeColor="text1"/>
                <w:spacing w:val="-2"/>
              </w:rPr>
              <w:t xml:space="preserve">ch </w:t>
            </w:r>
            <w:r w:rsidR="009F5846" w:rsidRPr="000F401E">
              <w:rPr>
                <w:color w:val="000000" w:themeColor="text1"/>
                <w:spacing w:val="-2"/>
              </w:rPr>
              <w:t>o</w:t>
            </w:r>
            <w:r w:rsidR="00285CD3" w:rsidRPr="000F401E">
              <w:rPr>
                <w:color w:val="000000" w:themeColor="text1"/>
                <w:spacing w:val="-2"/>
              </w:rPr>
              <w:t xml:space="preserve">bchod, doprava, ubytování a pohostinství a </w:t>
            </w:r>
            <w:r w:rsidR="009F5846" w:rsidRPr="000F401E">
              <w:rPr>
                <w:color w:val="000000" w:themeColor="text1"/>
                <w:spacing w:val="-2"/>
              </w:rPr>
              <w:t>o</w:t>
            </w:r>
            <w:r w:rsidR="00285CD3" w:rsidRPr="000F401E">
              <w:rPr>
                <w:color w:val="000000" w:themeColor="text1"/>
                <w:spacing w:val="-2"/>
              </w:rPr>
              <w:t>statní činnosti</w:t>
            </w:r>
            <w:r w:rsidR="00537AFD" w:rsidRPr="000F401E">
              <w:rPr>
                <w:color w:val="000000" w:themeColor="text1"/>
                <w:spacing w:val="-2"/>
              </w:rPr>
              <w:t>, kd</w:t>
            </w:r>
            <w:r w:rsidR="00496C2F" w:rsidRPr="000F401E">
              <w:rPr>
                <w:color w:val="000000" w:themeColor="text1"/>
                <w:spacing w:val="-2"/>
              </w:rPr>
              <w:t>e</w:t>
            </w:r>
            <w:r w:rsidR="00537AFD" w:rsidRPr="000F401E">
              <w:rPr>
                <w:color w:val="000000" w:themeColor="text1"/>
                <w:spacing w:val="-2"/>
              </w:rPr>
              <w:t xml:space="preserve"> </w:t>
            </w:r>
            <w:r w:rsidR="00285CD3" w:rsidRPr="000F401E">
              <w:rPr>
                <w:color w:val="000000" w:themeColor="text1"/>
                <w:spacing w:val="-2"/>
              </w:rPr>
              <w:t>osoby zaměstnanců</w:t>
            </w:r>
            <w:r w:rsidR="0082409A" w:rsidRPr="000F401E">
              <w:rPr>
                <w:color w:val="000000" w:themeColor="text1"/>
                <w:spacing w:val="-2"/>
              </w:rPr>
              <w:t xml:space="preserve"> </w:t>
            </w:r>
            <w:r w:rsidR="00210CC2" w:rsidRPr="000F401E">
              <w:rPr>
                <w:color w:val="000000" w:themeColor="text1"/>
                <w:spacing w:val="-2"/>
              </w:rPr>
              <w:t>vzrostly méně než</w:t>
            </w:r>
            <w:r w:rsidR="0082409A" w:rsidRPr="000F401E">
              <w:rPr>
                <w:color w:val="000000" w:themeColor="text1"/>
                <w:spacing w:val="-2"/>
              </w:rPr>
              <w:t xml:space="preserve"> celkově odpracované hodiny o </w:t>
            </w:r>
            <w:r w:rsidR="00123255" w:rsidRPr="000F401E">
              <w:rPr>
                <w:color w:val="000000" w:themeColor="text1"/>
                <w:spacing w:val="-2"/>
              </w:rPr>
              <w:t xml:space="preserve">0,4 </w:t>
            </w:r>
            <w:proofErr w:type="spellStart"/>
            <w:r w:rsidR="00123255" w:rsidRPr="000F401E">
              <w:rPr>
                <w:color w:val="000000" w:themeColor="text1"/>
                <w:spacing w:val="-2"/>
              </w:rPr>
              <w:t>pb</w:t>
            </w:r>
            <w:proofErr w:type="spellEnd"/>
            <w:r w:rsidR="00123255" w:rsidRPr="000F401E">
              <w:rPr>
                <w:color w:val="000000" w:themeColor="text1"/>
                <w:spacing w:val="-2"/>
              </w:rPr>
              <w:t xml:space="preserve">., </w:t>
            </w:r>
            <w:proofErr w:type="gramStart"/>
            <w:r w:rsidR="00123255" w:rsidRPr="000F401E">
              <w:rPr>
                <w:color w:val="000000" w:themeColor="text1"/>
                <w:spacing w:val="-2"/>
              </w:rPr>
              <w:t>resp.</w:t>
            </w:r>
            <w:r w:rsidR="0082409A" w:rsidRPr="000F401E">
              <w:rPr>
                <w:color w:val="000000" w:themeColor="text1"/>
                <w:spacing w:val="-2"/>
              </w:rPr>
              <w:t>0,</w:t>
            </w:r>
            <w:r w:rsidR="00210CC2" w:rsidRPr="000F401E">
              <w:rPr>
                <w:color w:val="000000" w:themeColor="text1"/>
                <w:spacing w:val="-2"/>
              </w:rPr>
              <w:t>5</w:t>
            </w:r>
            <w:proofErr w:type="gramEnd"/>
            <w:r w:rsidR="0082409A" w:rsidRPr="000F401E">
              <w:rPr>
                <w:color w:val="000000" w:themeColor="text1"/>
                <w:spacing w:val="-2"/>
              </w:rPr>
              <w:t xml:space="preserve"> </w:t>
            </w:r>
            <w:proofErr w:type="spellStart"/>
            <w:r w:rsidR="00210CC2" w:rsidRPr="000F401E">
              <w:rPr>
                <w:color w:val="000000" w:themeColor="text1"/>
                <w:spacing w:val="-2"/>
              </w:rPr>
              <w:t>pb</w:t>
            </w:r>
            <w:proofErr w:type="spellEnd"/>
            <w:r w:rsidR="0082409A" w:rsidRPr="000F401E">
              <w:rPr>
                <w:color w:val="000000" w:themeColor="text1"/>
                <w:spacing w:val="-2"/>
              </w:rPr>
              <w:t>.</w:t>
            </w:r>
            <w:r w:rsidR="00210CC2" w:rsidRPr="000F401E">
              <w:rPr>
                <w:color w:val="000000" w:themeColor="text1"/>
                <w:spacing w:val="-2"/>
              </w:rPr>
              <w:t xml:space="preserve"> </w:t>
            </w:r>
          </w:p>
          <w:p w:rsidR="00C84CE3" w:rsidRPr="008746E6" w:rsidRDefault="00C84CE3" w:rsidP="00210CC2">
            <w:pPr>
              <w:pStyle w:val="Textpoznpodarou"/>
              <w:jc w:val="both"/>
              <w:rPr>
                <w:color w:val="0000FF"/>
                <w:sz w:val="16"/>
                <w:szCs w:val="16"/>
              </w:rPr>
            </w:pPr>
          </w:p>
        </w:tc>
      </w:tr>
      <w:tr w:rsidR="00AF3225" w:rsidRPr="007D44C3" w:rsidTr="00ED2CA5">
        <w:tc>
          <w:tcPr>
            <w:tcW w:w="1054" w:type="pct"/>
            <w:gridSpan w:val="3"/>
          </w:tcPr>
          <w:p w:rsidR="00AF3225" w:rsidRPr="00670FAC" w:rsidRDefault="001C65FF" w:rsidP="009F5846">
            <w:pPr>
              <w:spacing w:line="240" w:lineRule="auto"/>
              <w:rPr>
                <w:sz w:val="16"/>
                <w:szCs w:val="16"/>
              </w:rPr>
            </w:pPr>
            <w:r w:rsidRPr="00C84CE3">
              <w:rPr>
                <w:color w:val="000000" w:themeColor="text1"/>
                <w:sz w:val="16"/>
                <w:szCs w:val="16"/>
              </w:rPr>
              <w:t xml:space="preserve">Hodinová produktivita práce již meziročně vzrostla, opačný vývoj byl v odvětvích </w:t>
            </w:r>
            <w:r w:rsidR="009F5846">
              <w:rPr>
                <w:color w:val="000000" w:themeColor="text1"/>
                <w:sz w:val="16"/>
                <w:szCs w:val="16"/>
              </w:rPr>
              <w:t>č</w:t>
            </w:r>
            <w:r w:rsidRPr="00C84CE3">
              <w:rPr>
                <w:color w:val="000000" w:themeColor="text1"/>
                <w:sz w:val="16"/>
                <w:szCs w:val="16"/>
              </w:rPr>
              <w:t xml:space="preserve">inností v oblasti nemovitostí a </w:t>
            </w:r>
            <w:r w:rsidR="009F5846">
              <w:rPr>
                <w:color w:val="000000" w:themeColor="text1"/>
                <w:sz w:val="16"/>
                <w:szCs w:val="16"/>
              </w:rPr>
              <w:t>p</w:t>
            </w:r>
            <w:r w:rsidRPr="00C84CE3">
              <w:rPr>
                <w:color w:val="000000" w:themeColor="text1"/>
                <w:sz w:val="16"/>
                <w:szCs w:val="16"/>
              </w:rPr>
              <w:t>rofesní, vědecké, technické a administrativní činnosti</w:t>
            </w:r>
          </w:p>
        </w:tc>
        <w:tc>
          <w:tcPr>
            <w:tcW w:w="143" w:type="pct"/>
          </w:tcPr>
          <w:p w:rsidR="00AF3225" w:rsidRPr="007D44C3" w:rsidRDefault="00AF3225" w:rsidP="00173642">
            <w:pPr>
              <w:pStyle w:val="Textpoznpodarou"/>
              <w:jc w:val="both"/>
            </w:pPr>
          </w:p>
        </w:tc>
        <w:tc>
          <w:tcPr>
            <w:tcW w:w="3803" w:type="pct"/>
            <w:gridSpan w:val="4"/>
          </w:tcPr>
          <w:p w:rsidR="00AF3225" w:rsidRDefault="00D00DAF" w:rsidP="00C84CE3">
            <w:pPr>
              <w:pStyle w:val="Textpoznpodarou"/>
              <w:jc w:val="both"/>
              <w:rPr>
                <w:color w:val="000000" w:themeColor="text1"/>
              </w:rPr>
            </w:pPr>
            <w:r w:rsidRPr="00C84CE3">
              <w:rPr>
                <w:color w:val="000000" w:themeColor="text1"/>
              </w:rPr>
              <w:t>Hodinová produktivita práce (poměr mezi hrubou přidanou hodnotou v ekonomice a počtem hodin potřebných k j</w:t>
            </w:r>
            <w:r w:rsidR="00024CBA" w:rsidRPr="00C84CE3">
              <w:rPr>
                <w:color w:val="000000" w:themeColor="text1"/>
              </w:rPr>
              <w:t>ejí</w:t>
            </w:r>
            <w:r w:rsidRPr="00C84CE3">
              <w:rPr>
                <w:color w:val="000000" w:themeColor="text1"/>
              </w:rPr>
              <w:t xml:space="preserve"> tvorbě) v roce 2014 meziročně vzrostla o 1,6 %, zatímco v roce 2013 byl zaznamenán její mírný meziroční pokles (-0,2 %). V roce 2013 hodinová produktivita práce vzrostla hlavně v </w:t>
            </w:r>
            <w:r w:rsidR="009F5846">
              <w:rPr>
                <w:color w:val="000000" w:themeColor="text1"/>
              </w:rPr>
              <w:t>p</w:t>
            </w:r>
            <w:r w:rsidRPr="00C84CE3">
              <w:rPr>
                <w:color w:val="000000" w:themeColor="text1"/>
              </w:rPr>
              <w:t xml:space="preserve">eněžnictví a pojišťovnictví (+17,1 %) a v </w:t>
            </w:r>
            <w:r w:rsidR="009F5846">
              <w:rPr>
                <w:color w:val="000000" w:themeColor="text1"/>
              </w:rPr>
              <w:t>č</w:t>
            </w:r>
            <w:r w:rsidRPr="00C84CE3">
              <w:rPr>
                <w:color w:val="000000" w:themeColor="text1"/>
              </w:rPr>
              <w:t xml:space="preserve">innostech v oblasti nemovitostí (+6,3 %). </w:t>
            </w:r>
            <w:r w:rsidR="00B96BD9" w:rsidRPr="00C84CE3">
              <w:rPr>
                <w:color w:val="000000" w:themeColor="text1"/>
              </w:rPr>
              <w:t>M</w:t>
            </w:r>
            <w:r w:rsidRPr="00C84CE3">
              <w:rPr>
                <w:color w:val="000000" w:themeColor="text1"/>
              </w:rPr>
              <w:t xml:space="preserve">eziroční pokles v roce 2014 byl </w:t>
            </w:r>
            <w:r w:rsidR="00B96BD9" w:rsidRPr="00C84CE3">
              <w:rPr>
                <w:color w:val="000000" w:themeColor="text1"/>
              </w:rPr>
              <w:t xml:space="preserve">zjištěn </w:t>
            </w:r>
            <w:r w:rsidRPr="00C84CE3">
              <w:rPr>
                <w:color w:val="000000" w:themeColor="text1"/>
              </w:rPr>
              <w:t xml:space="preserve">v odvětví </w:t>
            </w:r>
            <w:r w:rsidR="009F5846">
              <w:rPr>
                <w:color w:val="000000" w:themeColor="text1"/>
              </w:rPr>
              <w:t>č</w:t>
            </w:r>
            <w:r w:rsidRPr="00C84CE3">
              <w:rPr>
                <w:color w:val="000000" w:themeColor="text1"/>
              </w:rPr>
              <w:t xml:space="preserve">inností v oblasti nemovitostí (-4,0 %) a </w:t>
            </w:r>
            <w:r w:rsidR="009F5846">
              <w:rPr>
                <w:color w:val="000000" w:themeColor="text1"/>
              </w:rPr>
              <w:t>p</w:t>
            </w:r>
            <w:r w:rsidRPr="00C84CE3">
              <w:rPr>
                <w:color w:val="000000" w:themeColor="text1"/>
              </w:rPr>
              <w:t>rofesní, vědecké, technické činnosti (-1,5 %).</w:t>
            </w:r>
          </w:p>
          <w:p w:rsidR="00C84CE3" w:rsidRPr="008746E6" w:rsidRDefault="00C84CE3" w:rsidP="00C84CE3">
            <w:pPr>
              <w:pStyle w:val="Textpoznpodarou"/>
              <w:jc w:val="both"/>
              <w:rPr>
                <w:color w:val="0000FF"/>
                <w:sz w:val="16"/>
                <w:szCs w:val="16"/>
              </w:rPr>
            </w:pPr>
          </w:p>
        </w:tc>
      </w:tr>
      <w:tr w:rsidR="00AF3225" w:rsidRPr="007D44C3" w:rsidTr="00ED2CA5">
        <w:tc>
          <w:tcPr>
            <w:tcW w:w="1054" w:type="pct"/>
            <w:gridSpan w:val="3"/>
          </w:tcPr>
          <w:p w:rsidR="00AF3225" w:rsidRPr="000B3F02" w:rsidRDefault="001C65FF" w:rsidP="009F5846">
            <w:pPr>
              <w:spacing w:line="240" w:lineRule="auto"/>
              <w:rPr>
                <w:sz w:val="16"/>
                <w:szCs w:val="16"/>
              </w:rPr>
            </w:pPr>
            <w:r w:rsidRPr="00C84CE3">
              <w:rPr>
                <w:color w:val="000000" w:themeColor="text1"/>
                <w:sz w:val="16"/>
                <w:szCs w:val="16"/>
              </w:rPr>
              <w:t xml:space="preserve">Produktivita práce na jednoho pracovníka meziročně poklesla pouze v odvětví </w:t>
            </w:r>
            <w:r w:rsidR="009F5846">
              <w:rPr>
                <w:color w:val="000000" w:themeColor="text1"/>
                <w:sz w:val="16"/>
                <w:szCs w:val="16"/>
              </w:rPr>
              <w:t>č</w:t>
            </w:r>
            <w:r w:rsidRPr="00C84CE3">
              <w:rPr>
                <w:color w:val="000000" w:themeColor="text1"/>
                <w:sz w:val="16"/>
                <w:szCs w:val="16"/>
              </w:rPr>
              <w:t>innosti v oblasti nemovitostí</w:t>
            </w:r>
          </w:p>
        </w:tc>
        <w:tc>
          <w:tcPr>
            <w:tcW w:w="143" w:type="pct"/>
          </w:tcPr>
          <w:p w:rsidR="00AF3225" w:rsidRPr="007D44C3" w:rsidRDefault="00AF3225" w:rsidP="00173642">
            <w:pPr>
              <w:pStyle w:val="Textpoznpodarou"/>
              <w:jc w:val="both"/>
            </w:pPr>
          </w:p>
        </w:tc>
        <w:tc>
          <w:tcPr>
            <w:tcW w:w="3803" w:type="pct"/>
            <w:gridSpan w:val="4"/>
          </w:tcPr>
          <w:p w:rsidR="00301D04" w:rsidRPr="00162853" w:rsidRDefault="00D00DAF" w:rsidP="00CB43A7">
            <w:pPr>
              <w:pStyle w:val="Textpoznpodarou"/>
              <w:jc w:val="both"/>
              <w:rPr>
                <w:color w:val="000000" w:themeColor="text1"/>
                <w:spacing w:val="-4"/>
              </w:rPr>
            </w:pPr>
            <w:r w:rsidRPr="00162853">
              <w:rPr>
                <w:color w:val="000000" w:themeColor="text1"/>
                <w:spacing w:val="-4"/>
              </w:rPr>
              <w:t xml:space="preserve">Produktivita práce na pracovníka v roce 2014 meziročně vzrostla dokonce o 2,2 % díky nižšímu růstu počtu zaměstnaných osob než hrubé přidané hodnoty. </w:t>
            </w:r>
            <w:r w:rsidR="00052172" w:rsidRPr="00162853">
              <w:rPr>
                <w:color w:val="000000" w:themeColor="text1"/>
                <w:spacing w:val="-4"/>
              </w:rPr>
              <w:t xml:space="preserve">Pokles produktivity práce na pracovníka byl detekován </w:t>
            </w:r>
            <w:r w:rsidR="00162853">
              <w:rPr>
                <w:color w:val="000000" w:themeColor="text1"/>
                <w:spacing w:val="-4"/>
              </w:rPr>
              <w:t xml:space="preserve">jen </w:t>
            </w:r>
            <w:r w:rsidR="00052172" w:rsidRPr="00162853">
              <w:rPr>
                <w:color w:val="000000" w:themeColor="text1"/>
                <w:spacing w:val="-4"/>
              </w:rPr>
              <w:t xml:space="preserve">v </w:t>
            </w:r>
            <w:r w:rsidR="009F5846" w:rsidRPr="00162853">
              <w:rPr>
                <w:color w:val="000000" w:themeColor="text1"/>
                <w:spacing w:val="-4"/>
              </w:rPr>
              <w:t>č</w:t>
            </w:r>
            <w:r w:rsidR="00052172" w:rsidRPr="00162853">
              <w:rPr>
                <w:color w:val="000000" w:themeColor="text1"/>
                <w:spacing w:val="-4"/>
              </w:rPr>
              <w:t xml:space="preserve">innostech v oblasti nemovitostí (o 4,6 %). </w:t>
            </w:r>
            <w:r w:rsidRPr="00162853">
              <w:rPr>
                <w:color w:val="000000" w:themeColor="text1"/>
                <w:spacing w:val="-4"/>
              </w:rPr>
              <w:t xml:space="preserve">V roce 2013 </w:t>
            </w:r>
            <w:r w:rsidR="00052172" w:rsidRPr="00162853">
              <w:rPr>
                <w:color w:val="000000" w:themeColor="text1"/>
                <w:spacing w:val="-4"/>
              </w:rPr>
              <w:t>byl zjištěn</w:t>
            </w:r>
            <w:r w:rsidRPr="00162853">
              <w:rPr>
                <w:color w:val="000000" w:themeColor="text1"/>
                <w:spacing w:val="-4"/>
              </w:rPr>
              <w:t xml:space="preserve"> pokles</w:t>
            </w:r>
            <w:r w:rsidR="00052172" w:rsidRPr="00162853">
              <w:rPr>
                <w:color w:val="000000" w:themeColor="text1"/>
                <w:spacing w:val="-4"/>
              </w:rPr>
              <w:t xml:space="preserve"> tohoto indikátoru</w:t>
            </w:r>
            <w:r w:rsidRPr="00162853">
              <w:rPr>
                <w:color w:val="000000" w:themeColor="text1"/>
                <w:spacing w:val="-4"/>
              </w:rPr>
              <w:t xml:space="preserve"> o 0,9 %. </w:t>
            </w:r>
            <w:r w:rsidR="00052172" w:rsidRPr="00162853">
              <w:rPr>
                <w:color w:val="000000" w:themeColor="text1"/>
                <w:spacing w:val="-4"/>
              </w:rPr>
              <w:t>O</w:t>
            </w:r>
            <w:r w:rsidRPr="00162853">
              <w:rPr>
                <w:color w:val="000000" w:themeColor="text1"/>
                <w:spacing w:val="-4"/>
              </w:rPr>
              <w:t xml:space="preserve">pačný </w:t>
            </w:r>
            <w:r w:rsidR="00052172" w:rsidRPr="00162853">
              <w:rPr>
                <w:color w:val="000000" w:themeColor="text1"/>
                <w:spacing w:val="-4"/>
              </w:rPr>
              <w:t xml:space="preserve">trend </w:t>
            </w:r>
            <w:r w:rsidRPr="00162853">
              <w:rPr>
                <w:color w:val="000000" w:themeColor="text1"/>
                <w:spacing w:val="-4"/>
              </w:rPr>
              <w:t>v</w:t>
            </w:r>
            <w:r w:rsidR="00052172" w:rsidRPr="00162853">
              <w:rPr>
                <w:color w:val="000000" w:themeColor="text1"/>
                <w:spacing w:val="-4"/>
              </w:rPr>
              <w:t> tomto roce nastal v o</w:t>
            </w:r>
            <w:r w:rsidRPr="00162853">
              <w:rPr>
                <w:color w:val="000000" w:themeColor="text1"/>
                <w:spacing w:val="-4"/>
              </w:rPr>
              <w:t xml:space="preserve">dvětví v </w:t>
            </w:r>
            <w:r w:rsidR="009F5846" w:rsidRPr="00162853">
              <w:rPr>
                <w:color w:val="000000" w:themeColor="text1"/>
                <w:spacing w:val="-4"/>
              </w:rPr>
              <w:t>p</w:t>
            </w:r>
            <w:r w:rsidRPr="00162853">
              <w:rPr>
                <w:color w:val="000000" w:themeColor="text1"/>
                <w:spacing w:val="-4"/>
              </w:rPr>
              <w:t xml:space="preserve">eněžnictví a pojišťovnictví (+16,7 %), </w:t>
            </w:r>
            <w:r w:rsidR="00987109" w:rsidRPr="00162853">
              <w:rPr>
                <w:color w:val="000000" w:themeColor="text1"/>
                <w:spacing w:val="-4"/>
              </w:rPr>
              <w:t xml:space="preserve">stavebnictví (+2,8 %), </w:t>
            </w:r>
            <w:r w:rsidR="00024CBA" w:rsidRPr="00162853">
              <w:rPr>
                <w:color w:val="000000" w:themeColor="text1"/>
                <w:spacing w:val="-4"/>
              </w:rPr>
              <w:t xml:space="preserve">v </w:t>
            </w:r>
            <w:r w:rsidR="009F5846" w:rsidRPr="00162853">
              <w:rPr>
                <w:color w:val="000000" w:themeColor="text1"/>
                <w:spacing w:val="-4"/>
              </w:rPr>
              <w:t>č</w:t>
            </w:r>
            <w:r w:rsidRPr="00162853">
              <w:rPr>
                <w:color w:val="000000" w:themeColor="text1"/>
                <w:spacing w:val="-4"/>
              </w:rPr>
              <w:t xml:space="preserve">innosti v oblasti nemovitostí (+2,7 %) a </w:t>
            </w:r>
            <w:r w:rsidR="009F5846" w:rsidRPr="00162853">
              <w:rPr>
                <w:color w:val="000000" w:themeColor="text1"/>
                <w:spacing w:val="-4"/>
              </w:rPr>
              <w:t>o</w:t>
            </w:r>
            <w:r w:rsidRPr="00162853">
              <w:rPr>
                <w:color w:val="000000" w:themeColor="text1"/>
                <w:spacing w:val="-4"/>
              </w:rPr>
              <w:t>statní činnosti (+0,8 %).</w:t>
            </w:r>
          </w:p>
          <w:p w:rsidR="00C84CE3" w:rsidRPr="00973AAE" w:rsidRDefault="00D00DAF" w:rsidP="00CB43A7">
            <w:pPr>
              <w:pStyle w:val="Textpoznpodarou"/>
              <w:jc w:val="both"/>
            </w:pPr>
            <w:r w:rsidRPr="00CB43A7">
              <w:rPr>
                <w:color w:val="000000" w:themeColor="text1"/>
                <w:spacing w:val="-6"/>
              </w:rPr>
              <w:t xml:space="preserve"> </w:t>
            </w:r>
          </w:p>
        </w:tc>
      </w:tr>
      <w:tr w:rsidR="00AF3225" w:rsidRPr="007D44C3" w:rsidTr="00ED2CA5">
        <w:tc>
          <w:tcPr>
            <w:tcW w:w="1054" w:type="pct"/>
            <w:gridSpan w:val="3"/>
          </w:tcPr>
          <w:p w:rsidR="00AF3225" w:rsidRPr="000B3F02" w:rsidRDefault="00F10A33" w:rsidP="00867E29">
            <w:pPr>
              <w:spacing w:line="240" w:lineRule="auto"/>
              <w:rPr>
                <w:sz w:val="16"/>
                <w:szCs w:val="16"/>
              </w:rPr>
            </w:pPr>
            <w:r w:rsidRPr="00C84CE3">
              <w:rPr>
                <w:color w:val="000000" w:themeColor="text1"/>
                <w:sz w:val="16"/>
                <w:szCs w:val="16"/>
              </w:rPr>
              <w:t>Počet volných prac</w:t>
            </w:r>
            <w:r w:rsidR="000B3F02" w:rsidRPr="00C84CE3">
              <w:rPr>
                <w:color w:val="000000" w:themeColor="text1"/>
                <w:sz w:val="16"/>
                <w:szCs w:val="16"/>
              </w:rPr>
              <w:t>ovních</w:t>
            </w:r>
            <w:r w:rsidRPr="00C84CE3">
              <w:rPr>
                <w:color w:val="000000" w:themeColor="text1"/>
                <w:sz w:val="16"/>
                <w:szCs w:val="16"/>
              </w:rPr>
              <w:t xml:space="preserve"> míst převýšil úroveň roku 2009</w:t>
            </w:r>
            <w:r w:rsidRPr="000B3F02">
              <w:rPr>
                <w:sz w:val="16"/>
                <w:szCs w:val="16"/>
              </w:rPr>
              <w:t xml:space="preserve">   </w:t>
            </w:r>
          </w:p>
        </w:tc>
        <w:tc>
          <w:tcPr>
            <w:tcW w:w="143" w:type="pct"/>
          </w:tcPr>
          <w:p w:rsidR="00AF3225" w:rsidRPr="007D44C3" w:rsidRDefault="00AF3225" w:rsidP="00173642">
            <w:pPr>
              <w:pStyle w:val="Textpoznpodarou"/>
              <w:jc w:val="both"/>
            </w:pPr>
          </w:p>
        </w:tc>
        <w:tc>
          <w:tcPr>
            <w:tcW w:w="3803" w:type="pct"/>
            <w:gridSpan w:val="4"/>
          </w:tcPr>
          <w:p w:rsidR="00AF3225" w:rsidRPr="00E30BEA" w:rsidRDefault="00E30BEA" w:rsidP="00C84CE3">
            <w:pPr>
              <w:pStyle w:val="Textpoznpodarou"/>
              <w:jc w:val="both"/>
              <w:rPr>
                <w:color w:val="000000" w:themeColor="text1"/>
                <w:spacing w:val="-4"/>
              </w:rPr>
            </w:pPr>
            <w:r w:rsidRPr="00E30BEA">
              <w:rPr>
                <w:color w:val="000000" w:themeColor="text1"/>
                <w:spacing w:val="-4"/>
              </w:rPr>
              <w:t xml:space="preserve">V roce 2014 počet volných pracovních míst již nenavázal na vývoj v letech 2010 až 2013, kdy se jejich počet pohyboval v intervalu od 33,1 do 39,0 tisíc (průměr příslušného roku). V roce 2014 bylo podle MPSV díky oživení ekonomiky a vlivem </w:t>
            </w:r>
            <w:proofErr w:type="spellStart"/>
            <w:r w:rsidRPr="00E30BEA">
              <w:rPr>
                <w:color w:val="000000" w:themeColor="text1"/>
                <w:spacing w:val="-4"/>
              </w:rPr>
              <w:t>proaktivní</w:t>
            </w:r>
            <w:proofErr w:type="spellEnd"/>
            <w:r w:rsidRPr="00E30BEA">
              <w:rPr>
                <w:color w:val="000000" w:themeColor="text1"/>
                <w:spacing w:val="-4"/>
              </w:rPr>
              <w:t xml:space="preserve"> politiky zaměstnanosti v průměru k dispozici 48,7 tisíc volných pracovních míst. Ke konci roku 2014 jich již bylo 58,7 tis., přičemž se jednalo o 13 měsíců v řadě trvající meziroční růst jejich počtu.</w:t>
            </w:r>
            <w:r w:rsidR="00D00DAF" w:rsidRPr="00E30BEA">
              <w:rPr>
                <w:color w:val="000000" w:themeColor="text1"/>
                <w:spacing w:val="-4"/>
              </w:rPr>
              <w:t xml:space="preserve">   </w:t>
            </w:r>
          </w:p>
          <w:p w:rsidR="00C84CE3" w:rsidRPr="00F10A33" w:rsidRDefault="00C84CE3" w:rsidP="00C84CE3">
            <w:pPr>
              <w:pStyle w:val="Textpoznpodarou"/>
              <w:jc w:val="both"/>
            </w:pPr>
          </w:p>
        </w:tc>
      </w:tr>
      <w:tr w:rsidR="00AF3225" w:rsidRPr="007D44C3" w:rsidTr="00ED2CA5">
        <w:tc>
          <w:tcPr>
            <w:tcW w:w="1054" w:type="pct"/>
            <w:gridSpan w:val="3"/>
          </w:tcPr>
          <w:p w:rsidR="00AF3225" w:rsidRPr="000B3F02" w:rsidRDefault="00274291" w:rsidP="00867E29">
            <w:pPr>
              <w:spacing w:line="240" w:lineRule="auto"/>
              <w:rPr>
                <w:sz w:val="16"/>
                <w:szCs w:val="16"/>
              </w:rPr>
            </w:pPr>
            <w:r w:rsidRPr="00C84CE3">
              <w:rPr>
                <w:color w:val="000000" w:themeColor="text1"/>
                <w:sz w:val="16"/>
                <w:szCs w:val="16"/>
              </w:rPr>
              <w:t xml:space="preserve">V ekonomice byl pozorován souběžný meziroční růst počtu zaměstnaných a pokles </w:t>
            </w:r>
            <w:r w:rsidR="00210F5B">
              <w:rPr>
                <w:color w:val="000000" w:themeColor="text1"/>
                <w:sz w:val="16"/>
                <w:szCs w:val="16"/>
              </w:rPr>
              <w:t>počtu nezaměstnaných osob</w:t>
            </w:r>
            <w:r w:rsidRPr="000B3F02">
              <w:rPr>
                <w:spacing w:val="-4"/>
                <w:sz w:val="16"/>
                <w:szCs w:val="16"/>
              </w:rPr>
              <w:t xml:space="preserve"> </w:t>
            </w:r>
          </w:p>
        </w:tc>
        <w:tc>
          <w:tcPr>
            <w:tcW w:w="143" w:type="pct"/>
          </w:tcPr>
          <w:p w:rsidR="00AF3225" w:rsidRPr="007D44C3" w:rsidRDefault="00AF3225" w:rsidP="00173642">
            <w:pPr>
              <w:pStyle w:val="Textpoznpodarou"/>
              <w:jc w:val="both"/>
            </w:pPr>
          </w:p>
        </w:tc>
        <w:tc>
          <w:tcPr>
            <w:tcW w:w="3803" w:type="pct"/>
            <w:gridSpan w:val="4"/>
          </w:tcPr>
          <w:p w:rsidR="00C84CE3" w:rsidRPr="00CF6CD7" w:rsidRDefault="00E450CE" w:rsidP="00ED2CA5">
            <w:pPr>
              <w:pStyle w:val="Textpoznpodarou"/>
              <w:jc w:val="both"/>
            </w:pPr>
            <w:r w:rsidRPr="00E450CE">
              <w:t xml:space="preserve">Zatímco v roce </w:t>
            </w:r>
            <w:r w:rsidR="00D00DAF" w:rsidRPr="00E450CE">
              <w:t>2011 poč</w:t>
            </w:r>
            <w:r w:rsidRPr="00E450CE">
              <w:t>e</w:t>
            </w:r>
            <w:r w:rsidR="00D00DAF" w:rsidRPr="00E450CE">
              <w:t xml:space="preserve">t zaměstnaných </w:t>
            </w:r>
            <w:r w:rsidRPr="00E450CE">
              <w:t>a</w:t>
            </w:r>
            <w:r w:rsidR="00C35C16" w:rsidRPr="00E450CE">
              <w:t xml:space="preserve"> nezaměstnaných </w:t>
            </w:r>
            <w:r w:rsidRPr="00E450CE">
              <w:t xml:space="preserve">osob </w:t>
            </w:r>
            <w:r w:rsidR="00C35C16" w:rsidRPr="00E450CE">
              <w:t>(VŠPS) ve věkové kategorii 15 a více</w:t>
            </w:r>
            <w:r w:rsidRPr="00E450CE">
              <w:t xml:space="preserve"> společně meziročně klesl a v letech</w:t>
            </w:r>
            <w:r w:rsidR="00D00DAF" w:rsidRPr="00E450CE">
              <w:t xml:space="preserve"> </w:t>
            </w:r>
            <w:r w:rsidRPr="00E450CE">
              <w:t>2012 a 2013 současně meziročně vzrostl, v</w:t>
            </w:r>
            <w:r w:rsidR="00D00DAF" w:rsidRPr="00E450CE">
              <w:t xml:space="preserve"> roce</w:t>
            </w:r>
            <w:r w:rsidR="00D00DAF" w:rsidRPr="00C84CE3">
              <w:rPr>
                <w:color w:val="000000" w:themeColor="text1"/>
              </w:rPr>
              <w:t xml:space="preserve"> 2014 </w:t>
            </w:r>
            <w:r w:rsidR="00B91EC9">
              <w:rPr>
                <w:color w:val="000000" w:themeColor="text1"/>
              </w:rPr>
              <w:t xml:space="preserve">již </w:t>
            </w:r>
            <w:r w:rsidR="00D00DAF" w:rsidRPr="00C84CE3">
              <w:rPr>
                <w:color w:val="000000" w:themeColor="text1"/>
              </w:rPr>
              <w:t>počet zaměstnaných osob</w:t>
            </w:r>
            <w:r>
              <w:rPr>
                <w:color w:val="000000" w:themeColor="text1"/>
              </w:rPr>
              <w:t xml:space="preserve"> </w:t>
            </w:r>
            <w:r w:rsidR="00D00DAF" w:rsidRPr="00C84CE3">
              <w:rPr>
                <w:color w:val="000000" w:themeColor="text1"/>
              </w:rPr>
              <w:t>meziročn</w:t>
            </w:r>
            <w:r>
              <w:rPr>
                <w:color w:val="000000" w:themeColor="text1"/>
              </w:rPr>
              <w:t>ě</w:t>
            </w:r>
            <w:r w:rsidR="00D00DAF" w:rsidRPr="00C84CE3">
              <w:rPr>
                <w:color w:val="000000" w:themeColor="text1"/>
              </w:rPr>
              <w:t xml:space="preserve"> r</w:t>
            </w:r>
            <w:r>
              <w:rPr>
                <w:color w:val="000000" w:themeColor="text1"/>
              </w:rPr>
              <w:t>o</w:t>
            </w:r>
            <w:r w:rsidR="00D00DAF" w:rsidRPr="00C84CE3">
              <w:rPr>
                <w:color w:val="000000" w:themeColor="text1"/>
              </w:rPr>
              <w:t>st</w:t>
            </w:r>
            <w:r>
              <w:rPr>
                <w:color w:val="000000" w:themeColor="text1"/>
              </w:rPr>
              <w:t>l</w:t>
            </w:r>
            <w:r w:rsidR="00D00DAF" w:rsidRPr="00C84CE3">
              <w:rPr>
                <w:color w:val="000000" w:themeColor="text1"/>
              </w:rPr>
              <w:t xml:space="preserve"> </w:t>
            </w:r>
            <w:r>
              <w:rPr>
                <w:color w:val="000000" w:themeColor="text1"/>
              </w:rPr>
              <w:t>(</w:t>
            </w:r>
            <w:r w:rsidR="00D00DAF" w:rsidRPr="00C84CE3">
              <w:rPr>
                <w:color w:val="000000" w:themeColor="text1"/>
              </w:rPr>
              <w:t>o 0,8 %</w:t>
            </w:r>
            <w:r>
              <w:rPr>
                <w:color w:val="000000" w:themeColor="text1"/>
              </w:rPr>
              <w:t>)</w:t>
            </w:r>
            <w:r w:rsidR="00D00DAF" w:rsidRPr="00C84CE3">
              <w:rPr>
                <w:color w:val="000000" w:themeColor="text1"/>
              </w:rPr>
              <w:t xml:space="preserve"> </w:t>
            </w:r>
            <w:r w:rsidR="00210F5B">
              <w:rPr>
                <w:color w:val="000000" w:themeColor="text1"/>
              </w:rPr>
              <w:t>při</w:t>
            </w:r>
            <w:r w:rsidR="00D00DAF" w:rsidRPr="00C84CE3">
              <w:rPr>
                <w:color w:val="000000" w:themeColor="text1"/>
              </w:rPr>
              <w:t xml:space="preserve"> </w:t>
            </w:r>
            <w:r w:rsidR="00210F5B">
              <w:rPr>
                <w:color w:val="000000" w:themeColor="text1"/>
              </w:rPr>
              <w:t xml:space="preserve">meziročním poklesu počtu nezaměstnaných </w:t>
            </w:r>
            <w:r>
              <w:rPr>
                <w:color w:val="000000" w:themeColor="text1"/>
              </w:rPr>
              <w:t>(</w:t>
            </w:r>
            <w:r w:rsidR="00D00DAF" w:rsidRPr="00C84CE3">
              <w:rPr>
                <w:color w:val="000000" w:themeColor="text1"/>
              </w:rPr>
              <w:t xml:space="preserve">o </w:t>
            </w:r>
            <w:r w:rsidR="00210F5B">
              <w:rPr>
                <w:color w:val="000000" w:themeColor="text1"/>
              </w:rPr>
              <w:t>12</w:t>
            </w:r>
            <w:r w:rsidR="00D00DAF" w:rsidRPr="00C84CE3">
              <w:rPr>
                <w:color w:val="000000" w:themeColor="text1"/>
              </w:rPr>
              <w:t>,</w:t>
            </w:r>
            <w:r w:rsidR="00210F5B">
              <w:rPr>
                <w:color w:val="000000" w:themeColor="text1"/>
              </w:rPr>
              <w:t>3 %</w:t>
            </w:r>
            <w:r>
              <w:rPr>
                <w:color w:val="000000" w:themeColor="text1"/>
              </w:rPr>
              <w:t>)</w:t>
            </w:r>
            <w:r w:rsidR="00024CBA" w:rsidRPr="00C84CE3">
              <w:rPr>
                <w:color w:val="000000" w:themeColor="text1"/>
              </w:rPr>
              <w:t xml:space="preserve">. </w:t>
            </w:r>
            <w:r w:rsidR="00210F5B">
              <w:rPr>
                <w:color w:val="000000" w:themeColor="text1"/>
              </w:rPr>
              <w:t>Obecná míra nezaměstnanosti z</w:t>
            </w:r>
            <w:r w:rsidR="00D00DAF" w:rsidRPr="00C84CE3">
              <w:rPr>
                <w:color w:val="000000" w:themeColor="text1"/>
              </w:rPr>
              <w:t xml:space="preserve"> populace 15-64 let byl</w:t>
            </w:r>
            <w:r w:rsidR="00210F5B">
              <w:rPr>
                <w:color w:val="000000" w:themeColor="text1"/>
              </w:rPr>
              <w:t>a</w:t>
            </w:r>
            <w:r w:rsidR="00D00DAF" w:rsidRPr="00C84CE3">
              <w:rPr>
                <w:color w:val="000000" w:themeColor="text1"/>
              </w:rPr>
              <w:t xml:space="preserve"> </w:t>
            </w:r>
            <w:r w:rsidR="00024CBA" w:rsidRPr="00C84CE3">
              <w:rPr>
                <w:color w:val="000000" w:themeColor="text1"/>
              </w:rPr>
              <w:t xml:space="preserve">v roce 2013 </w:t>
            </w:r>
            <w:r w:rsidR="00210F5B">
              <w:rPr>
                <w:color w:val="000000" w:themeColor="text1"/>
              </w:rPr>
              <w:t xml:space="preserve">ve výši </w:t>
            </w:r>
            <w:r w:rsidR="00D00DAF" w:rsidRPr="00C84CE3">
              <w:rPr>
                <w:color w:val="000000" w:themeColor="text1"/>
              </w:rPr>
              <w:t xml:space="preserve">7,0 % a v roce 2014 se jednalo o hodnotu 6,2 %. </w:t>
            </w:r>
            <w:r w:rsidR="00210F5B">
              <w:rPr>
                <w:color w:val="000000" w:themeColor="text1"/>
              </w:rPr>
              <w:t>Stejný ukazatel ve věkové kategorii nad 15 let</w:t>
            </w:r>
            <w:r w:rsidR="00D00DAF" w:rsidRPr="00C84CE3">
              <w:rPr>
                <w:color w:val="000000" w:themeColor="text1"/>
              </w:rPr>
              <w:t xml:space="preserve"> činil v roce 2013 také 7,0 % a v roce následujícím </w:t>
            </w:r>
            <w:r w:rsidR="00210F5B">
              <w:rPr>
                <w:color w:val="000000" w:themeColor="text1"/>
              </w:rPr>
              <w:t xml:space="preserve">dokonce již jen </w:t>
            </w:r>
            <w:r w:rsidR="00D00DAF" w:rsidRPr="00C84CE3">
              <w:rPr>
                <w:color w:val="000000" w:themeColor="text1"/>
              </w:rPr>
              <w:t xml:space="preserve">6,1 %. </w:t>
            </w:r>
          </w:p>
        </w:tc>
      </w:tr>
      <w:tr w:rsidR="00AF3225" w:rsidRPr="007D44C3" w:rsidTr="00ED2CA5">
        <w:tc>
          <w:tcPr>
            <w:tcW w:w="1054" w:type="pct"/>
            <w:gridSpan w:val="3"/>
          </w:tcPr>
          <w:p w:rsidR="00AF3225" w:rsidRPr="000B3F02" w:rsidRDefault="00274291" w:rsidP="00162853">
            <w:pPr>
              <w:spacing w:line="240" w:lineRule="auto"/>
              <w:rPr>
                <w:sz w:val="16"/>
                <w:szCs w:val="16"/>
              </w:rPr>
            </w:pPr>
            <w:r w:rsidRPr="00C84CE3">
              <w:rPr>
                <w:color w:val="000000" w:themeColor="text1"/>
                <w:sz w:val="16"/>
                <w:szCs w:val="16"/>
              </w:rPr>
              <w:lastRenderedPageBreak/>
              <w:t>Obecná míra nezaměstnanosti (15-64 let) se postupně snižovala až do října</w:t>
            </w:r>
            <w:r w:rsidR="00162853">
              <w:rPr>
                <w:color w:val="000000" w:themeColor="text1"/>
                <w:sz w:val="16"/>
                <w:szCs w:val="16"/>
              </w:rPr>
              <w:t xml:space="preserve"> 2014</w:t>
            </w:r>
          </w:p>
        </w:tc>
        <w:tc>
          <w:tcPr>
            <w:tcW w:w="143" w:type="pct"/>
          </w:tcPr>
          <w:p w:rsidR="00AF3225" w:rsidRPr="007D44C3" w:rsidRDefault="00AF3225" w:rsidP="00173642">
            <w:pPr>
              <w:pStyle w:val="Textpoznpodarou"/>
              <w:jc w:val="both"/>
            </w:pPr>
          </w:p>
        </w:tc>
        <w:tc>
          <w:tcPr>
            <w:tcW w:w="3803" w:type="pct"/>
            <w:gridSpan w:val="4"/>
          </w:tcPr>
          <w:p w:rsidR="00C84CE3" w:rsidRDefault="00162853" w:rsidP="001118AF">
            <w:pPr>
              <w:pStyle w:val="Textpoznpodarou"/>
              <w:jc w:val="both"/>
              <w:rPr>
                <w:color w:val="000000" w:themeColor="text1"/>
              </w:rPr>
            </w:pPr>
            <w:r>
              <w:rPr>
                <w:color w:val="000000" w:themeColor="text1"/>
              </w:rPr>
              <w:t xml:space="preserve">Obecná míra nezaměstnanosti na základě měsíčních sezónně očištěných dat pro populaci ve věku 15-64 let se snížila z lednových 6,7 % na 5,8 % v říjnu, ve zbytku roku 2014 už jen prakticky stagnovala. Tento vývoj se dotýkal jak mužů, tak žen.  </w:t>
            </w:r>
          </w:p>
          <w:p w:rsidR="001118AF" w:rsidRPr="00A72D4B" w:rsidRDefault="001118AF" w:rsidP="001118AF">
            <w:pPr>
              <w:pStyle w:val="Textpoznpodarou"/>
              <w:jc w:val="both"/>
            </w:pPr>
          </w:p>
        </w:tc>
      </w:tr>
      <w:tr w:rsidR="00AF3225" w:rsidRPr="007D44C3" w:rsidTr="00ED2CA5">
        <w:tc>
          <w:tcPr>
            <w:tcW w:w="1054" w:type="pct"/>
            <w:gridSpan w:val="3"/>
          </w:tcPr>
          <w:p w:rsidR="00AF3225" w:rsidRPr="000B3F02" w:rsidRDefault="001C0422" w:rsidP="00867E29">
            <w:pPr>
              <w:spacing w:line="240" w:lineRule="auto"/>
              <w:rPr>
                <w:sz w:val="16"/>
                <w:szCs w:val="16"/>
              </w:rPr>
            </w:pPr>
            <w:r w:rsidRPr="00C84CE3">
              <w:rPr>
                <w:color w:val="000000" w:themeColor="text1"/>
                <w:sz w:val="16"/>
                <w:szCs w:val="16"/>
              </w:rPr>
              <w:t xml:space="preserve">Míra ekonomické aktivity </w:t>
            </w:r>
            <w:r w:rsidR="00E438CF" w:rsidRPr="00C84CE3">
              <w:rPr>
                <w:color w:val="000000" w:themeColor="text1"/>
                <w:sz w:val="16"/>
                <w:szCs w:val="16"/>
              </w:rPr>
              <w:t>pokračovala v růstu,</w:t>
            </w:r>
            <w:r w:rsidR="00184CF9" w:rsidRPr="00C84CE3">
              <w:rPr>
                <w:color w:val="000000" w:themeColor="text1"/>
                <w:sz w:val="16"/>
                <w:szCs w:val="16"/>
              </w:rPr>
              <w:t xml:space="preserve"> v</w:t>
            </w:r>
            <w:r w:rsidR="00E438CF" w:rsidRPr="00C84CE3">
              <w:rPr>
                <w:color w:val="000000" w:themeColor="text1"/>
                <w:sz w:val="16"/>
                <w:szCs w:val="16"/>
              </w:rPr>
              <w:t>e</w:t>
            </w:r>
            <w:r w:rsidR="00184CF9" w:rsidRPr="00C84CE3">
              <w:rPr>
                <w:color w:val="000000" w:themeColor="text1"/>
                <w:sz w:val="16"/>
                <w:szCs w:val="16"/>
              </w:rPr>
              <w:t xml:space="preserve"> dr</w:t>
            </w:r>
            <w:r w:rsidRPr="00C84CE3">
              <w:rPr>
                <w:color w:val="000000" w:themeColor="text1"/>
                <w:sz w:val="16"/>
                <w:szCs w:val="16"/>
              </w:rPr>
              <w:t xml:space="preserve">uhé </w:t>
            </w:r>
            <w:r w:rsidR="00E438CF" w:rsidRPr="00C84CE3">
              <w:rPr>
                <w:color w:val="000000" w:themeColor="text1"/>
                <w:sz w:val="16"/>
                <w:szCs w:val="16"/>
              </w:rPr>
              <w:t>části</w:t>
            </w:r>
            <w:r w:rsidRPr="00C84CE3">
              <w:rPr>
                <w:color w:val="000000" w:themeColor="text1"/>
                <w:sz w:val="16"/>
                <w:szCs w:val="16"/>
              </w:rPr>
              <w:t xml:space="preserve"> roku</w:t>
            </w:r>
            <w:r w:rsidR="00184CF9" w:rsidRPr="00C84CE3">
              <w:rPr>
                <w:color w:val="000000" w:themeColor="text1"/>
                <w:sz w:val="16"/>
                <w:szCs w:val="16"/>
              </w:rPr>
              <w:t xml:space="preserve"> </w:t>
            </w:r>
            <w:r w:rsidR="00E438CF" w:rsidRPr="00C84CE3">
              <w:rPr>
                <w:color w:val="000000" w:themeColor="text1"/>
                <w:sz w:val="16"/>
                <w:szCs w:val="16"/>
              </w:rPr>
              <w:t xml:space="preserve">byla nad </w:t>
            </w:r>
            <w:r w:rsidR="00EE10AA">
              <w:rPr>
                <w:color w:val="000000" w:themeColor="text1"/>
                <w:sz w:val="16"/>
                <w:szCs w:val="16"/>
              </w:rPr>
              <w:t>p</w:t>
            </w:r>
            <w:r w:rsidR="00E438CF" w:rsidRPr="00C84CE3">
              <w:rPr>
                <w:color w:val="000000" w:themeColor="text1"/>
                <w:sz w:val="16"/>
                <w:szCs w:val="16"/>
              </w:rPr>
              <w:t>růměrem</w:t>
            </w:r>
            <w:r w:rsidR="00EE10AA">
              <w:rPr>
                <w:color w:val="000000" w:themeColor="text1"/>
                <w:sz w:val="16"/>
                <w:szCs w:val="16"/>
              </w:rPr>
              <w:t xml:space="preserve"> roku</w:t>
            </w:r>
          </w:p>
        </w:tc>
        <w:tc>
          <w:tcPr>
            <w:tcW w:w="143" w:type="pct"/>
          </w:tcPr>
          <w:p w:rsidR="00AF3225" w:rsidRPr="007D44C3" w:rsidRDefault="00AF3225" w:rsidP="00173642">
            <w:pPr>
              <w:pStyle w:val="Textpoznpodarou"/>
              <w:jc w:val="both"/>
            </w:pPr>
          </w:p>
        </w:tc>
        <w:tc>
          <w:tcPr>
            <w:tcW w:w="3803" w:type="pct"/>
            <w:gridSpan w:val="4"/>
          </w:tcPr>
          <w:p w:rsidR="00C84CE3" w:rsidRDefault="00C476C5" w:rsidP="001118AF">
            <w:pPr>
              <w:pStyle w:val="Textpoznpodarou"/>
              <w:jc w:val="both"/>
              <w:rPr>
                <w:color w:val="000000" w:themeColor="text1"/>
              </w:rPr>
            </w:pPr>
            <w:r w:rsidRPr="00C84CE3">
              <w:rPr>
                <w:color w:val="000000" w:themeColor="text1"/>
              </w:rPr>
              <w:t>Nepřetržitý růst ukazatele míry ekonomické aktivity ve věkové kategorii 15-64 let</w:t>
            </w:r>
            <w:r w:rsidR="00A30336">
              <w:rPr>
                <w:color w:val="000000" w:themeColor="text1"/>
              </w:rPr>
              <w:t xml:space="preserve"> (VŠPS) </w:t>
            </w:r>
            <w:r w:rsidR="00D00DAF" w:rsidRPr="00C84CE3">
              <w:rPr>
                <w:color w:val="000000" w:themeColor="text1"/>
              </w:rPr>
              <w:t>od roku 2009 (70,1 %) až na 73,5 % v roce 2014</w:t>
            </w:r>
            <w:r w:rsidRPr="00C84CE3">
              <w:rPr>
                <w:color w:val="000000" w:themeColor="text1"/>
              </w:rPr>
              <w:t xml:space="preserve"> potvrzuje umístění ekonomicky neaktivních osob na trhu práce</w:t>
            </w:r>
            <w:r w:rsidR="00D00DAF" w:rsidRPr="00C84CE3">
              <w:rPr>
                <w:color w:val="000000" w:themeColor="text1"/>
              </w:rPr>
              <w:t>. Ve druhé polovině roku 2014 se její míra dostala nad průměr za celý rok (</w:t>
            </w:r>
            <w:r w:rsidR="00162853">
              <w:rPr>
                <w:color w:val="000000" w:themeColor="text1"/>
              </w:rPr>
              <w:t>zhruba 74 %</w:t>
            </w:r>
            <w:r w:rsidR="00D00DAF" w:rsidRPr="00C84CE3">
              <w:rPr>
                <w:color w:val="000000" w:themeColor="text1"/>
              </w:rPr>
              <w:t>).</w:t>
            </w:r>
          </w:p>
          <w:p w:rsidR="001118AF" w:rsidRPr="00DC257F" w:rsidRDefault="001118AF" w:rsidP="001118AF">
            <w:pPr>
              <w:pStyle w:val="Textpoznpodarou"/>
              <w:jc w:val="both"/>
              <w:rPr>
                <w:spacing w:val="-4"/>
              </w:rPr>
            </w:pPr>
          </w:p>
        </w:tc>
      </w:tr>
      <w:tr w:rsidR="00D00DAF" w:rsidRPr="007D44C3" w:rsidTr="00ED2CA5">
        <w:tc>
          <w:tcPr>
            <w:tcW w:w="1054" w:type="pct"/>
            <w:gridSpan w:val="3"/>
          </w:tcPr>
          <w:p w:rsidR="00D00DAF" w:rsidRPr="000104B9" w:rsidRDefault="00461977" w:rsidP="00867E29">
            <w:pPr>
              <w:spacing w:line="240" w:lineRule="auto"/>
              <w:rPr>
                <w:sz w:val="16"/>
                <w:szCs w:val="16"/>
              </w:rPr>
            </w:pPr>
            <w:r w:rsidRPr="000104B9">
              <w:rPr>
                <w:sz w:val="16"/>
                <w:szCs w:val="16"/>
              </w:rPr>
              <w:t xml:space="preserve">Reálná mzda po dvou letech poklesu meziročně vzrostla, </w:t>
            </w:r>
            <w:r w:rsidR="00827181" w:rsidRPr="000104B9">
              <w:rPr>
                <w:sz w:val="16"/>
                <w:szCs w:val="16"/>
              </w:rPr>
              <w:t xml:space="preserve">růst </w:t>
            </w:r>
            <w:r w:rsidRPr="000104B9">
              <w:rPr>
                <w:sz w:val="16"/>
                <w:szCs w:val="16"/>
              </w:rPr>
              <w:t>nominální</w:t>
            </w:r>
            <w:r w:rsidR="00827181" w:rsidRPr="000104B9">
              <w:rPr>
                <w:sz w:val="16"/>
                <w:szCs w:val="16"/>
              </w:rPr>
              <w:t xml:space="preserve"> </w:t>
            </w:r>
            <w:r w:rsidR="00A85729" w:rsidRPr="000104B9">
              <w:rPr>
                <w:sz w:val="16"/>
                <w:szCs w:val="16"/>
              </w:rPr>
              <w:t xml:space="preserve">mzdy </w:t>
            </w:r>
            <w:r w:rsidRPr="000104B9">
              <w:rPr>
                <w:sz w:val="16"/>
                <w:szCs w:val="16"/>
              </w:rPr>
              <w:t>byl</w:t>
            </w:r>
            <w:r w:rsidR="00827181" w:rsidRPr="000104B9">
              <w:rPr>
                <w:sz w:val="16"/>
                <w:szCs w:val="16"/>
              </w:rPr>
              <w:t xml:space="preserve"> </w:t>
            </w:r>
            <w:r w:rsidR="00A30336" w:rsidRPr="000104B9">
              <w:rPr>
                <w:sz w:val="16"/>
                <w:szCs w:val="16"/>
              </w:rPr>
              <w:t xml:space="preserve">jen mírně </w:t>
            </w:r>
            <w:r w:rsidRPr="000104B9">
              <w:rPr>
                <w:sz w:val="16"/>
                <w:szCs w:val="16"/>
              </w:rPr>
              <w:t>vyšší</w:t>
            </w:r>
            <w:r w:rsidR="00A30336" w:rsidRPr="000104B9">
              <w:rPr>
                <w:sz w:val="16"/>
                <w:szCs w:val="16"/>
              </w:rPr>
              <w:t xml:space="preserve"> než reálné</w:t>
            </w:r>
          </w:p>
        </w:tc>
        <w:tc>
          <w:tcPr>
            <w:tcW w:w="143" w:type="pct"/>
          </w:tcPr>
          <w:p w:rsidR="00D00DAF" w:rsidRPr="007D44C3" w:rsidRDefault="00D00DAF" w:rsidP="00173642">
            <w:pPr>
              <w:pStyle w:val="Textpoznpodarou"/>
              <w:jc w:val="both"/>
            </w:pPr>
          </w:p>
        </w:tc>
        <w:tc>
          <w:tcPr>
            <w:tcW w:w="3803" w:type="pct"/>
            <w:gridSpan w:val="4"/>
          </w:tcPr>
          <w:p w:rsidR="00870F2B" w:rsidRDefault="00D00DAF" w:rsidP="00870F2B">
            <w:pPr>
              <w:pStyle w:val="Textpoznpodarou"/>
              <w:jc w:val="both"/>
              <w:rPr>
                <w:rFonts w:cs="Arial"/>
                <w:bCs/>
              </w:rPr>
            </w:pPr>
            <w:r w:rsidRPr="000104B9">
              <w:t>Reálná mzda v roce 2014 vzrostla o 2,</w:t>
            </w:r>
            <w:r w:rsidR="002A5263" w:rsidRPr="000104B9">
              <w:t>0</w:t>
            </w:r>
            <w:r w:rsidRPr="000104B9">
              <w:t xml:space="preserve"> %</w:t>
            </w:r>
            <w:r w:rsidR="002A5263" w:rsidRPr="000104B9">
              <w:t>, a to jak v</w:t>
            </w:r>
            <w:r w:rsidRPr="000104B9">
              <w:t> celém národním hospodářství</w:t>
            </w:r>
            <w:r w:rsidR="002A5263" w:rsidRPr="000104B9">
              <w:t xml:space="preserve">, tak v podnikatelské a </w:t>
            </w:r>
            <w:proofErr w:type="spellStart"/>
            <w:r w:rsidR="002A5263" w:rsidRPr="000104B9">
              <w:t>nepodnikatelské</w:t>
            </w:r>
            <w:proofErr w:type="spellEnd"/>
            <w:r w:rsidR="002A5263" w:rsidRPr="000104B9">
              <w:t xml:space="preserve"> sféře.</w:t>
            </w:r>
            <w:r w:rsidRPr="00A30336">
              <w:rPr>
                <w:color w:val="FF0000"/>
              </w:rPr>
              <w:t xml:space="preserve"> </w:t>
            </w:r>
            <w:r w:rsidRPr="000104B9">
              <w:t>Nominálně však průměrná hrubá měsíční mzda v ČR vzrostla (na přepočtené počty zaměstnanců) jen o málo více než reálná (o 2,</w:t>
            </w:r>
            <w:r w:rsidR="002A5263" w:rsidRPr="000104B9">
              <w:t>4</w:t>
            </w:r>
            <w:r w:rsidRPr="000104B9">
              <w:t xml:space="preserve"> %)</w:t>
            </w:r>
            <w:r w:rsidR="00F37760" w:rsidRPr="000104B9">
              <w:t xml:space="preserve"> díky </w:t>
            </w:r>
            <w:r w:rsidR="00F37760" w:rsidRPr="000104B9">
              <w:rPr>
                <w:spacing w:val="-2"/>
              </w:rPr>
              <w:t xml:space="preserve">jen </w:t>
            </w:r>
            <w:r w:rsidR="000B249B">
              <w:rPr>
                <w:spacing w:val="-2"/>
              </w:rPr>
              <w:t>nízké</w:t>
            </w:r>
            <w:r w:rsidR="00F37760" w:rsidRPr="000104B9">
              <w:rPr>
                <w:spacing w:val="-2"/>
              </w:rPr>
              <w:t xml:space="preserve"> mí</w:t>
            </w:r>
            <w:r w:rsidR="002A5263" w:rsidRPr="000104B9">
              <w:rPr>
                <w:spacing w:val="-2"/>
              </w:rPr>
              <w:t>ře</w:t>
            </w:r>
            <w:r w:rsidR="00F37760" w:rsidRPr="000104B9">
              <w:rPr>
                <w:spacing w:val="-2"/>
              </w:rPr>
              <w:t xml:space="preserve"> inflace (+0,</w:t>
            </w:r>
            <w:r w:rsidR="000104B9" w:rsidRPr="000104B9">
              <w:rPr>
                <w:spacing w:val="-2"/>
              </w:rPr>
              <w:t>4</w:t>
            </w:r>
            <w:r w:rsidR="00F37760" w:rsidRPr="000104B9">
              <w:rPr>
                <w:spacing w:val="-2"/>
              </w:rPr>
              <w:t xml:space="preserve"> %).</w:t>
            </w:r>
            <w:r w:rsidR="00F37760">
              <w:rPr>
                <w:color w:val="0000FF"/>
              </w:rPr>
              <w:t xml:space="preserve"> </w:t>
            </w:r>
            <w:r w:rsidRPr="000104B9">
              <w:t>Zatímco v roce 201</w:t>
            </w:r>
            <w:r w:rsidR="000104B9" w:rsidRPr="000104B9">
              <w:t>2</w:t>
            </w:r>
            <w:r w:rsidRPr="000104B9">
              <w:t xml:space="preserve"> byla průměrná nominální mzda zaměstnanců firem </w:t>
            </w:r>
            <w:r w:rsidR="00162853">
              <w:t xml:space="preserve">mírně </w:t>
            </w:r>
            <w:r w:rsidR="000104B9" w:rsidRPr="000104B9">
              <w:t>vyšší</w:t>
            </w:r>
            <w:r w:rsidRPr="000104B9">
              <w:t xml:space="preserve"> n</w:t>
            </w:r>
            <w:r w:rsidR="00162853">
              <w:t>ež mzda v </w:t>
            </w:r>
            <w:proofErr w:type="spellStart"/>
            <w:r w:rsidR="00162853">
              <w:t>nepodnikatelské</w:t>
            </w:r>
            <w:proofErr w:type="spellEnd"/>
            <w:r w:rsidR="00162853">
              <w:t xml:space="preserve"> sféře</w:t>
            </w:r>
            <w:r w:rsidRPr="000104B9">
              <w:t>, v roce 201</w:t>
            </w:r>
            <w:r w:rsidR="000104B9" w:rsidRPr="000104B9">
              <w:t>3 a 2014</w:t>
            </w:r>
            <w:r w:rsidR="00162853">
              <w:t xml:space="preserve"> tomu bylo naopak</w:t>
            </w:r>
            <w:r w:rsidRPr="000B249B">
              <w:t>.</w:t>
            </w:r>
            <w:r w:rsidRPr="000B249B">
              <w:rPr>
                <w:rFonts w:cs="Arial"/>
                <w:bCs/>
              </w:rPr>
              <w:t xml:space="preserve"> </w:t>
            </w:r>
            <w:r w:rsidR="00870F2B">
              <w:rPr>
                <w:rFonts w:cs="Arial"/>
                <w:bCs/>
              </w:rPr>
              <w:t>K</w:t>
            </w:r>
            <w:r w:rsidR="00FC0D8A">
              <w:rPr>
                <w:rFonts w:cs="Arial"/>
                <w:bCs/>
              </w:rPr>
              <w:t> </w:t>
            </w:r>
            <w:r w:rsidR="00870F2B">
              <w:rPr>
                <w:rFonts w:cs="Arial"/>
                <w:bCs/>
              </w:rPr>
              <w:t>diferenciac</w:t>
            </w:r>
            <w:r w:rsidR="00FC0D8A">
              <w:rPr>
                <w:rFonts w:cs="Arial"/>
                <w:bCs/>
              </w:rPr>
              <w:t>i mezd</w:t>
            </w:r>
            <w:r w:rsidR="00870F2B">
              <w:rPr>
                <w:rFonts w:cs="Arial"/>
                <w:bCs/>
              </w:rPr>
              <w:t xml:space="preserve"> v</w:t>
            </w:r>
            <w:r w:rsidR="000D5E7A" w:rsidRPr="000B249B">
              <w:rPr>
                <w:rFonts w:cs="Arial"/>
                <w:bCs/>
              </w:rPr>
              <w:t xml:space="preserve"> roce 2014 </w:t>
            </w:r>
            <w:r w:rsidR="00870F2B">
              <w:rPr>
                <w:rFonts w:cs="Arial"/>
                <w:bCs/>
              </w:rPr>
              <w:t>přispělo</w:t>
            </w:r>
            <w:r w:rsidR="000B249B" w:rsidRPr="000B249B">
              <w:rPr>
                <w:rFonts w:cs="Arial"/>
                <w:bCs/>
              </w:rPr>
              <w:t xml:space="preserve"> vládní rozhodnutí o zvýšení platových tarifů v </w:t>
            </w:r>
            <w:proofErr w:type="spellStart"/>
            <w:r w:rsidR="000B249B" w:rsidRPr="000B249B">
              <w:rPr>
                <w:rFonts w:cs="Arial"/>
                <w:bCs/>
              </w:rPr>
              <w:t>nepodnikatelské</w:t>
            </w:r>
            <w:proofErr w:type="spellEnd"/>
            <w:r w:rsidR="000B249B" w:rsidRPr="000B249B">
              <w:rPr>
                <w:rFonts w:cs="Arial"/>
                <w:bCs/>
              </w:rPr>
              <w:t xml:space="preserve"> sféře </w:t>
            </w:r>
            <w:r w:rsidR="00133AAC">
              <w:rPr>
                <w:rFonts w:cs="Arial"/>
                <w:bCs/>
              </w:rPr>
              <w:t>od </w:t>
            </w:r>
            <w:r w:rsidR="00870F2B">
              <w:rPr>
                <w:rFonts w:cs="Arial"/>
                <w:bCs/>
              </w:rPr>
              <w:t>listopadu.</w:t>
            </w:r>
          </w:p>
          <w:p w:rsidR="00870F2B" w:rsidRPr="001F3C79" w:rsidRDefault="00870F2B" w:rsidP="00870F2B">
            <w:pPr>
              <w:pStyle w:val="Textpoznpodarou"/>
              <w:jc w:val="both"/>
              <w:rPr>
                <w:rFonts w:cs="Arial"/>
                <w:bCs/>
                <w:color w:val="FF0000"/>
              </w:rPr>
            </w:pPr>
          </w:p>
        </w:tc>
      </w:tr>
      <w:tr w:rsidR="00EB4FA4" w:rsidRPr="00EB4FA4" w:rsidTr="00380E04">
        <w:tblPrEx>
          <w:tblCellMar>
            <w:left w:w="70" w:type="dxa"/>
            <w:right w:w="70" w:type="dxa"/>
          </w:tblCellMar>
          <w:tblLook w:val="0000"/>
        </w:tblPrEx>
        <w:trPr>
          <w:gridBefore w:val="1"/>
          <w:gridAfter w:val="1"/>
          <w:wBefore w:w="19" w:type="pct"/>
          <w:wAfter w:w="19" w:type="pct"/>
        </w:trPr>
        <w:tc>
          <w:tcPr>
            <w:tcW w:w="401" w:type="pct"/>
          </w:tcPr>
          <w:p w:rsidR="00EB5146" w:rsidRPr="00CD4B29" w:rsidRDefault="00EB5146" w:rsidP="00055059">
            <w:pPr>
              <w:spacing w:line="240" w:lineRule="auto"/>
            </w:pPr>
            <w:r w:rsidRPr="00CD4B29">
              <w:t>Graf č. 15</w:t>
            </w:r>
          </w:p>
        </w:tc>
        <w:tc>
          <w:tcPr>
            <w:tcW w:w="2097" w:type="pct"/>
            <w:gridSpan w:val="3"/>
          </w:tcPr>
          <w:p w:rsidR="00EB5146" w:rsidRPr="009E3710" w:rsidRDefault="00EB5146" w:rsidP="00055059">
            <w:pPr>
              <w:spacing w:line="240" w:lineRule="auto"/>
              <w:rPr>
                <w:b/>
              </w:rPr>
            </w:pPr>
            <w:r w:rsidRPr="009E3710">
              <w:rPr>
                <w:b/>
                <w:bCs/>
              </w:rPr>
              <w:t xml:space="preserve">Celková zaměstnanost a počty zaměstnanců </w:t>
            </w:r>
            <w:r w:rsidRPr="009E3710">
              <w:rPr>
                <w:bCs/>
              </w:rPr>
              <w:t>(y/y v %, sezónně očištěno)</w:t>
            </w:r>
            <w:r w:rsidRPr="009E3710">
              <w:rPr>
                <w:b/>
                <w:bCs/>
              </w:rPr>
              <w:t xml:space="preserve"> </w:t>
            </w:r>
          </w:p>
        </w:tc>
        <w:tc>
          <w:tcPr>
            <w:tcW w:w="400" w:type="pct"/>
          </w:tcPr>
          <w:p w:rsidR="00EB5146" w:rsidRPr="00CD4B29" w:rsidRDefault="00EB5146" w:rsidP="00055059">
            <w:pPr>
              <w:spacing w:line="240" w:lineRule="auto"/>
              <w:rPr>
                <w:szCs w:val="20"/>
              </w:rPr>
            </w:pPr>
            <w:r w:rsidRPr="00CD4B29">
              <w:rPr>
                <w:szCs w:val="20"/>
              </w:rPr>
              <w:t>Graf č. 1</w:t>
            </w:r>
            <w:r w:rsidR="005215EF" w:rsidRPr="00CD4B29">
              <w:rPr>
                <w:szCs w:val="20"/>
              </w:rPr>
              <w:t>6</w:t>
            </w:r>
          </w:p>
        </w:tc>
        <w:tc>
          <w:tcPr>
            <w:tcW w:w="2064" w:type="pct"/>
          </w:tcPr>
          <w:p w:rsidR="00EB5146" w:rsidRPr="00EB4FA4" w:rsidRDefault="00EB5146" w:rsidP="00055059">
            <w:pPr>
              <w:spacing w:line="240" w:lineRule="auto"/>
              <w:rPr>
                <w:b/>
                <w:szCs w:val="20"/>
              </w:rPr>
            </w:pPr>
            <w:r w:rsidRPr="00EB4FA4">
              <w:rPr>
                <w:b/>
                <w:bCs/>
                <w:szCs w:val="20"/>
              </w:rPr>
              <w:t xml:space="preserve">Nominální a reálná mzda </w:t>
            </w:r>
            <w:r w:rsidRPr="00EB4FA4">
              <w:rPr>
                <w:bCs/>
                <w:szCs w:val="20"/>
              </w:rPr>
              <w:t>(y/y v %, na přepočtené počty)</w:t>
            </w:r>
          </w:p>
        </w:tc>
      </w:tr>
      <w:tr w:rsidR="00EB5146" w:rsidTr="00380E04">
        <w:tblPrEx>
          <w:tblCellMar>
            <w:left w:w="70" w:type="dxa"/>
            <w:right w:w="70" w:type="dxa"/>
          </w:tblCellMar>
          <w:tblLook w:val="0000"/>
        </w:tblPrEx>
        <w:trPr>
          <w:gridBefore w:val="1"/>
          <w:gridAfter w:val="1"/>
          <w:wBefore w:w="19" w:type="pct"/>
          <w:wAfter w:w="19" w:type="pct"/>
          <w:trHeight w:val="3256"/>
        </w:trPr>
        <w:tc>
          <w:tcPr>
            <w:tcW w:w="2498" w:type="pct"/>
            <w:gridSpan w:val="4"/>
          </w:tcPr>
          <w:p w:rsidR="00EB5146" w:rsidRDefault="00794E0A" w:rsidP="008B7306">
            <w:pPr>
              <w:pStyle w:val="Zhlav"/>
              <w:tabs>
                <w:tab w:val="clear" w:pos="4536"/>
                <w:tab w:val="clear" w:pos="9072"/>
              </w:tabs>
              <w:rPr>
                <w:rFonts w:ascii="Arial" w:hAnsi="Arial" w:cs="Arial"/>
                <w:sz w:val="20"/>
              </w:rPr>
            </w:pPr>
            <w:r>
              <w:rPr>
                <w:rFonts w:ascii="Arial" w:hAnsi="Arial" w:cs="Arial"/>
                <w:noProof/>
                <w:sz w:val="20"/>
                <w:lang w:eastAsia="cs-CZ"/>
              </w:rPr>
              <w:drawing>
                <wp:inline distT="0" distB="0" distL="0" distR="0">
                  <wp:extent cx="3009900" cy="260985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1481" cy="2611221"/>
                          </a:xfrm>
                          <a:prstGeom prst="rect">
                            <a:avLst/>
                          </a:prstGeom>
                          <a:noFill/>
                        </pic:spPr>
                      </pic:pic>
                    </a:graphicData>
                  </a:graphic>
                </wp:inline>
              </w:drawing>
            </w:r>
          </w:p>
        </w:tc>
        <w:tc>
          <w:tcPr>
            <w:tcW w:w="2464" w:type="pct"/>
            <w:gridSpan w:val="2"/>
          </w:tcPr>
          <w:p w:rsidR="00EB5146" w:rsidRDefault="008F0F14" w:rsidP="008B7306">
            <w:pPr>
              <w:pStyle w:val="Zhlav"/>
              <w:tabs>
                <w:tab w:val="clear" w:pos="4536"/>
                <w:tab w:val="clear" w:pos="9072"/>
              </w:tabs>
              <w:spacing w:line="235" w:lineRule="auto"/>
              <w:jc w:val="both"/>
              <w:rPr>
                <w:rFonts w:ascii="Arial" w:hAnsi="Arial" w:cs="Arial"/>
                <w:sz w:val="20"/>
              </w:rPr>
            </w:pPr>
            <w:r w:rsidRPr="008F0F14">
              <w:rPr>
                <w:rFonts w:ascii="Arial" w:hAnsi="Arial" w:cs="Arial"/>
                <w:noProof/>
                <w:sz w:val="20"/>
                <w:lang w:eastAsia="cs-CZ"/>
              </w:rPr>
              <w:drawing>
                <wp:inline distT="0" distB="0" distL="0" distR="0">
                  <wp:extent cx="3019425" cy="2609481"/>
                  <wp:effectExtent l="19050" t="0" r="9525" b="0"/>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3024796" cy="2614123"/>
                          </a:xfrm>
                          <a:prstGeom prst="rect">
                            <a:avLst/>
                          </a:prstGeom>
                          <a:noFill/>
                        </pic:spPr>
                      </pic:pic>
                    </a:graphicData>
                  </a:graphic>
                </wp:inline>
              </w:drawing>
            </w:r>
          </w:p>
        </w:tc>
      </w:tr>
      <w:tr w:rsidR="00EB5146" w:rsidRPr="005215EF" w:rsidTr="00380E04">
        <w:tblPrEx>
          <w:tblCellMar>
            <w:left w:w="70" w:type="dxa"/>
            <w:right w:w="70" w:type="dxa"/>
          </w:tblCellMar>
          <w:tblLook w:val="0000"/>
        </w:tblPrEx>
        <w:trPr>
          <w:gridBefore w:val="1"/>
          <w:gridAfter w:val="1"/>
          <w:wBefore w:w="19" w:type="pct"/>
          <w:wAfter w:w="19" w:type="pct"/>
        </w:trPr>
        <w:tc>
          <w:tcPr>
            <w:tcW w:w="401" w:type="pct"/>
          </w:tcPr>
          <w:p w:rsidR="00EB5146" w:rsidRPr="00953AEF" w:rsidRDefault="00EB5146" w:rsidP="008B7306">
            <w:pPr>
              <w:rPr>
                <w:color w:val="FF0000"/>
              </w:rPr>
            </w:pPr>
          </w:p>
        </w:tc>
        <w:tc>
          <w:tcPr>
            <w:tcW w:w="2097" w:type="pct"/>
            <w:gridSpan w:val="3"/>
          </w:tcPr>
          <w:p w:rsidR="00EB5146" w:rsidRPr="009E3710" w:rsidRDefault="00EB5146" w:rsidP="008B7306">
            <w:pPr>
              <w:rPr>
                <w:b/>
              </w:rPr>
            </w:pPr>
          </w:p>
        </w:tc>
        <w:tc>
          <w:tcPr>
            <w:tcW w:w="400" w:type="pct"/>
          </w:tcPr>
          <w:p w:rsidR="00EB5146" w:rsidRPr="00953AEF" w:rsidRDefault="00EB5146" w:rsidP="0095013A">
            <w:pPr>
              <w:rPr>
                <w:color w:val="FF0000"/>
              </w:rPr>
            </w:pPr>
          </w:p>
        </w:tc>
        <w:tc>
          <w:tcPr>
            <w:tcW w:w="2064" w:type="pct"/>
          </w:tcPr>
          <w:p w:rsidR="00380E04" w:rsidRPr="00801FDD" w:rsidRDefault="00380E04" w:rsidP="00380E04">
            <w:pPr>
              <w:jc w:val="right"/>
              <w:rPr>
                <w:sz w:val="18"/>
                <w:szCs w:val="18"/>
              </w:rPr>
            </w:pPr>
            <w:r>
              <w:rPr>
                <w:sz w:val="18"/>
                <w:szCs w:val="18"/>
              </w:rPr>
              <w:t>Zdroj: ČSÚ</w:t>
            </w:r>
          </w:p>
        </w:tc>
      </w:tr>
    </w:tbl>
    <w:p w:rsidR="00380E04" w:rsidRPr="00380E04" w:rsidRDefault="00380E04" w:rsidP="00380E04"/>
    <w:p w:rsidR="0075057A" w:rsidRPr="0075057A" w:rsidRDefault="0075057A" w:rsidP="0075057A">
      <w:pPr>
        <w:pStyle w:val="Nadpis1"/>
        <w:numPr>
          <w:ilvl w:val="0"/>
          <w:numId w:val="30"/>
        </w:numPr>
        <w:jc w:val="both"/>
      </w:pPr>
      <w:bookmarkStart w:id="9" w:name="_Toc414264326"/>
      <w:r>
        <w:t>Měnové podmínky</w:t>
      </w:r>
      <w:bookmarkEnd w:id="9"/>
    </w:p>
    <w:tbl>
      <w:tblPr>
        <w:tblW w:w="5000" w:type="pct"/>
        <w:tblLayout w:type="fixed"/>
        <w:tblLook w:val="00A0"/>
      </w:tblPr>
      <w:tblGrid>
        <w:gridCol w:w="38"/>
        <w:gridCol w:w="791"/>
        <w:gridCol w:w="275"/>
        <w:gridCol w:w="979"/>
        <w:gridCol w:w="282"/>
        <w:gridCol w:w="2599"/>
        <w:gridCol w:w="788"/>
        <w:gridCol w:w="453"/>
        <w:gridCol w:w="3614"/>
        <w:gridCol w:w="35"/>
      </w:tblGrid>
      <w:tr w:rsidR="00C53D82" w:rsidRPr="007D44C3" w:rsidTr="00ED2CA5">
        <w:tc>
          <w:tcPr>
            <w:tcW w:w="1056" w:type="pct"/>
            <w:gridSpan w:val="4"/>
          </w:tcPr>
          <w:p w:rsidR="00C53D82" w:rsidRDefault="00C53D82" w:rsidP="00D136D4">
            <w:pPr>
              <w:spacing w:line="240" w:lineRule="auto"/>
              <w:rPr>
                <w:sz w:val="16"/>
                <w:szCs w:val="16"/>
              </w:rPr>
            </w:pPr>
            <w:r>
              <w:rPr>
                <w:sz w:val="16"/>
                <w:szCs w:val="16"/>
              </w:rPr>
              <w:t xml:space="preserve">Česká ekonomika v roce 2014 ožila bez úvěrové expanze  </w:t>
            </w:r>
          </w:p>
        </w:tc>
        <w:tc>
          <w:tcPr>
            <w:tcW w:w="143" w:type="pct"/>
          </w:tcPr>
          <w:p w:rsidR="00C53D82" w:rsidRDefault="00C53D82" w:rsidP="008B1A8A">
            <w:pPr>
              <w:pStyle w:val="Textpoznpodarou"/>
              <w:jc w:val="both"/>
            </w:pPr>
          </w:p>
        </w:tc>
        <w:tc>
          <w:tcPr>
            <w:tcW w:w="3801" w:type="pct"/>
            <w:gridSpan w:val="5"/>
          </w:tcPr>
          <w:p w:rsidR="00C53D82" w:rsidRPr="00C53D82" w:rsidRDefault="00C53D82" w:rsidP="00C53D82">
            <w:pPr>
              <w:pStyle w:val="Textpoznpodarou"/>
              <w:jc w:val="both"/>
              <w:rPr>
                <w:color w:val="000000" w:themeColor="text1"/>
              </w:rPr>
            </w:pPr>
            <w:r w:rsidRPr="00C53D82">
              <w:rPr>
                <w:color w:val="000000" w:themeColor="text1"/>
              </w:rPr>
              <w:t>I když se česká ekonomika v roce 2014 opět vrátila k růstu, nebyl financován dluhem v takové míře jako obvykle. Až teprve v posledních třech měsících 2014 byla meziroční tempa úvěrů firmám nad ročním průměrem (+3,1 %). Zadlužování domácností však v posledním čtvrtletí ročního průměru (+3,4 %) nedosahovalo. Tempo domácích úvěrů (+4,1 %) tak bylo především v režii vládního sektor</w:t>
            </w:r>
            <w:r w:rsidR="0023229C">
              <w:rPr>
                <w:color w:val="000000" w:themeColor="text1"/>
              </w:rPr>
              <w:t>u, a to zejména centrální vlády</w:t>
            </w:r>
            <w:r w:rsidRPr="00C53D82">
              <w:rPr>
                <w:color w:val="000000" w:themeColor="text1"/>
              </w:rPr>
              <w:t xml:space="preserve">  - čistý úvěr vládnímu sektoru stoupl meziročně o 10,2 %, </w:t>
            </w:r>
            <w:r w:rsidR="0023229C">
              <w:rPr>
                <w:color w:val="000000" w:themeColor="text1"/>
              </w:rPr>
              <w:t xml:space="preserve">úvěr centrální vládě (státu) o </w:t>
            </w:r>
            <w:r w:rsidRPr="00C53D82">
              <w:rPr>
                <w:color w:val="000000" w:themeColor="text1"/>
              </w:rPr>
              <w:t xml:space="preserve">12,1 %.  </w:t>
            </w:r>
          </w:p>
          <w:p w:rsidR="00C53D82" w:rsidRPr="00C75C7E" w:rsidRDefault="00C53D82" w:rsidP="008B1A8A">
            <w:pPr>
              <w:rPr>
                <w:sz w:val="12"/>
                <w:szCs w:val="12"/>
              </w:rPr>
            </w:pPr>
          </w:p>
        </w:tc>
      </w:tr>
      <w:tr w:rsidR="00C53D82" w:rsidRPr="007D44C3" w:rsidTr="00ED2CA5">
        <w:tc>
          <w:tcPr>
            <w:tcW w:w="1056" w:type="pct"/>
            <w:gridSpan w:val="4"/>
          </w:tcPr>
          <w:p w:rsidR="00C53D82" w:rsidRDefault="00C53D82" w:rsidP="00D136D4">
            <w:pPr>
              <w:spacing w:line="240" w:lineRule="auto"/>
              <w:rPr>
                <w:sz w:val="16"/>
                <w:szCs w:val="16"/>
              </w:rPr>
            </w:pPr>
            <w:r>
              <w:rPr>
                <w:sz w:val="16"/>
                <w:szCs w:val="16"/>
              </w:rPr>
              <w:t>Uvolněnost měnových podmínek přetrvává</w:t>
            </w:r>
          </w:p>
        </w:tc>
        <w:tc>
          <w:tcPr>
            <w:tcW w:w="143" w:type="pct"/>
          </w:tcPr>
          <w:p w:rsidR="00C53D82" w:rsidRDefault="00C53D82" w:rsidP="008B1A8A">
            <w:pPr>
              <w:pStyle w:val="Textpoznpodarou"/>
              <w:jc w:val="both"/>
            </w:pPr>
          </w:p>
        </w:tc>
        <w:tc>
          <w:tcPr>
            <w:tcW w:w="3801" w:type="pct"/>
            <w:gridSpan w:val="5"/>
          </w:tcPr>
          <w:p w:rsidR="00C53D82" w:rsidRPr="0096650F" w:rsidRDefault="00C53D82" w:rsidP="00C53D82">
            <w:pPr>
              <w:pStyle w:val="Textpoznpodarou"/>
              <w:jc w:val="both"/>
              <w:rPr>
                <w:color w:val="000000" w:themeColor="text1"/>
                <w:spacing w:val="-2"/>
              </w:rPr>
            </w:pPr>
            <w:r w:rsidRPr="0096650F">
              <w:rPr>
                <w:color w:val="000000" w:themeColor="text1"/>
                <w:spacing w:val="-2"/>
              </w:rPr>
              <w:t xml:space="preserve">Zásoba peněz v ekonomice ČR (agregát M2) stoupla v roce 2014 proti roku 2013 o 4,6 % na 3 429,9 mld. korun, tedy mírně rychleji než o kolik vzrostl nominální HDP (+4,4 %). Expanzivita měnových podmínek v tomto směru tak byla relativně malá - patrná jen v prvním a posledním čtvrtletí, ve zbylých dvou kvartálech rostl HDP v běžných cenách oproti přírůstku peněžní zásoby meziročně rychleji. Pozitivní vliv na růst české ekonomiky měly stále velmi nízké úrokové sazby v ekonomice a úroveň směnného kurzu koruny ovlivněného měnovou intervencí ČNB - koruna k euru během roku 2014 kolísala v měsíčních průměrech mezi hodnotami 27,39-27,82 CZK/EUR, v roce 2013 (od ledna do října) mezi 25,48-25,95 CZK/EUR.     </w:t>
            </w:r>
          </w:p>
          <w:p w:rsidR="00C53D82" w:rsidRPr="0032214F" w:rsidRDefault="00C53D82" w:rsidP="008B1A8A">
            <w:pPr>
              <w:rPr>
                <w:sz w:val="12"/>
                <w:szCs w:val="12"/>
              </w:rPr>
            </w:pPr>
          </w:p>
        </w:tc>
      </w:tr>
      <w:tr w:rsidR="00C53D82" w:rsidRPr="007D44C3" w:rsidTr="00ED2CA5">
        <w:tc>
          <w:tcPr>
            <w:tcW w:w="1056" w:type="pct"/>
            <w:gridSpan w:val="4"/>
          </w:tcPr>
          <w:p w:rsidR="0023229C" w:rsidRDefault="00C53D82" w:rsidP="00D136D4">
            <w:pPr>
              <w:spacing w:line="240" w:lineRule="auto"/>
              <w:rPr>
                <w:color w:val="000000"/>
                <w:sz w:val="16"/>
                <w:szCs w:val="16"/>
              </w:rPr>
            </w:pPr>
            <w:r>
              <w:rPr>
                <w:color w:val="000000"/>
                <w:sz w:val="16"/>
                <w:szCs w:val="16"/>
              </w:rPr>
              <w:lastRenderedPageBreak/>
              <w:t xml:space="preserve">Termínovaných depozit firem i domácností (vkladů se splatností </w:t>
            </w:r>
            <w:r w:rsidR="003C4852">
              <w:rPr>
                <w:color w:val="000000"/>
                <w:sz w:val="16"/>
                <w:szCs w:val="16"/>
              </w:rPr>
              <w:t>a výpovědní lhůtou) v roce 2014</w:t>
            </w:r>
            <w:r>
              <w:rPr>
                <w:color w:val="000000"/>
                <w:sz w:val="16"/>
                <w:szCs w:val="16"/>
              </w:rPr>
              <w:t xml:space="preserve"> výrazně ubylo </w:t>
            </w:r>
          </w:p>
          <w:p w:rsidR="00C53D82" w:rsidRDefault="00C53D82" w:rsidP="00D136D4">
            <w:pPr>
              <w:spacing w:line="240" w:lineRule="auto"/>
              <w:rPr>
                <w:color w:val="000000"/>
                <w:sz w:val="16"/>
                <w:szCs w:val="16"/>
              </w:rPr>
            </w:pPr>
            <w:r>
              <w:rPr>
                <w:color w:val="000000"/>
                <w:sz w:val="16"/>
                <w:szCs w:val="16"/>
              </w:rPr>
              <w:t>(-108,1  mld. korun meziročně, tj. -12,6%) v největším poklesu od roku 2010;</w:t>
            </w:r>
          </w:p>
          <w:p w:rsidR="00C53D82" w:rsidRDefault="00C53D82" w:rsidP="00D136D4">
            <w:pPr>
              <w:spacing w:line="240" w:lineRule="auto"/>
              <w:rPr>
                <w:color w:val="000000"/>
                <w:sz w:val="16"/>
                <w:szCs w:val="16"/>
              </w:rPr>
            </w:pPr>
            <w:r>
              <w:rPr>
                <w:color w:val="000000"/>
                <w:sz w:val="16"/>
                <w:szCs w:val="16"/>
              </w:rPr>
              <w:t xml:space="preserve">šlo o třetí rok soustavného snižování </w:t>
            </w:r>
            <w:r w:rsidR="00CB43A7">
              <w:rPr>
                <w:color w:val="000000"/>
                <w:sz w:val="16"/>
                <w:szCs w:val="16"/>
              </w:rPr>
              <w:t xml:space="preserve">těchto </w:t>
            </w:r>
            <w:r>
              <w:rPr>
                <w:color w:val="000000"/>
                <w:sz w:val="16"/>
                <w:szCs w:val="16"/>
              </w:rPr>
              <w:t>vkladů v řadě</w:t>
            </w:r>
          </w:p>
        </w:tc>
        <w:tc>
          <w:tcPr>
            <w:tcW w:w="143" w:type="pct"/>
          </w:tcPr>
          <w:p w:rsidR="00C53D82" w:rsidRDefault="00C53D82" w:rsidP="008B1A8A">
            <w:pPr>
              <w:pStyle w:val="Textpoznpodarou"/>
              <w:jc w:val="both"/>
            </w:pPr>
          </w:p>
        </w:tc>
        <w:tc>
          <w:tcPr>
            <w:tcW w:w="3801" w:type="pct"/>
            <w:gridSpan w:val="5"/>
          </w:tcPr>
          <w:p w:rsidR="00C53D82" w:rsidRPr="00E127E1" w:rsidRDefault="00C53D82" w:rsidP="00C53D82">
            <w:pPr>
              <w:pStyle w:val="Textpoznpodarou"/>
              <w:jc w:val="both"/>
              <w:rPr>
                <w:color w:val="000000" w:themeColor="text1"/>
                <w:spacing w:val="-4"/>
              </w:rPr>
            </w:pPr>
            <w:r w:rsidRPr="00E127E1">
              <w:rPr>
                <w:color w:val="000000" w:themeColor="text1"/>
                <w:spacing w:val="-4"/>
              </w:rPr>
              <w:t>Lidé i firmy vybírají ze svých termínovaných vkladů (vkladů se splatností a výpovědní lhůtou) a rychlost úbytku těchto vkladů akceleruje (-5,1%, -4,9 % a -12,6 % v letech 2012,</w:t>
            </w:r>
            <w:r w:rsidR="00CB43A7">
              <w:rPr>
                <w:color w:val="000000" w:themeColor="text1"/>
                <w:spacing w:val="-4"/>
              </w:rPr>
              <w:t xml:space="preserve"> </w:t>
            </w:r>
            <w:r w:rsidRPr="00E127E1">
              <w:rPr>
                <w:color w:val="000000" w:themeColor="text1"/>
                <w:spacing w:val="-4"/>
              </w:rPr>
              <w:t>2013 a 2014). Hlavní</w:t>
            </w:r>
            <w:r w:rsidR="0023229C" w:rsidRPr="00E127E1">
              <w:rPr>
                <w:color w:val="000000" w:themeColor="text1"/>
                <w:spacing w:val="-4"/>
              </w:rPr>
              <w:t>m</w:t>
            </w:r>
            <w:r w:rsidRPr="00E127E1">
              <w:rPr>
                <w:color w:val="000000" w:themeColor="text1"/>
                <w:spacing w:val="-4"/>
              </w:rPr>
              <w:t xml:space="preserve"> důvodem jsou zřejmě nízké úrokové sazby nemotivující k úsporám na delší dobu, neboť jednodenní vklady naopak značně narůstají (ve zmíněných posledních třech letech +9,6 %, +8,3 % a +12,5 % meziročně).</w:t>
            </w:r>
          </w:p>
          <w:p w:rsidR="00C53D82" w:rsidRPr="00C53D82" w:rsidRDefault="00C53D82" w:rsidP="00C53D82">
            <w:pPr>
              <w:pStyle w:val="Textpoznpodarou"/>
              <w:jc w:val="both"/>
              <w:rPr>
                <w:color w:val="000000" w:themeColor="text1"/>
              </w:rPr>
            </w:pPr>
          </w:p>
          <w:p w:rsidR="00C53D82" w:rsidRPr="00C53D82" w:rsidRDefault="00C53D82" w:rsidP="00C53D82">
            <w:pPr>
              <w:pStyle w:val="Textpoznpodarou"/>
              <w:jc w:val="both"/>
              <w:rPr>
                <w:color w:val="000000" w:themeColor="text1"/>
              </w:rPr>
            </w:pPr>
            <w:r w:rsidRPr="00C53D82">
              <w:rPr>
                <w:color w:val="000000" w:themeColor="text1"/>
              </w:rPr>
              <w:t>Především chování českých domácnosti tak mělo v roce 2014 rozhodující vliv na to, že vklady (quasi peníze) v ekonomice v závěru roku proti stejnému období 2013 klesly. Šlo o jejich druhý největší meziroční pokles</w:t>
            </w:r>
            <w:r w:rsidR="0023229C">
              <w:rPr>
                <w:color w:val="000000" w:themeColor="text1"/>
              </w:rPr>
              <w:t xml:space="preserve"> </w:t>
            </w:r>
            <w:r w:rsidRPr="00C53D82">
              <w:rPr>
                <w:color w:val="000000" w:themeColor="text1"/>
              </w:rPr>
              <w:t xml:space="preserve">v časové řadě počínaje rokem 2002 – největší úbytek byl zaznamenán v roce 2010, který však byl charakteristický velmi špatnou situací na trhu práce v návaznosti na předchozí krizi. V roce 2013 byly meziročně nižší o 2 %. </w:t>
            </w:r>
          </w:p>
          <w:p w:rsidR="00C53D82" w:rsidRPr="0032214F" w:rsidRDefault="00C53D82" w:rsidP="008B1A8A">
            <w:pPr>
              <w:rPr>
                <w:color w:val="000000"/>
                <w:sz w:val="12"/>
                <w:szCs w:val="12"/>
              </w:rPr>
            </w:pPr>
          </w:p>
        </w:tc>
      </w:tr>
      <w:tr w:rsidR="00C53D82" w:rsidRPr="007D44C3" w:rsidTr="00ED2CA5">
        <w:tc>
          <w:tcPr>
            <w:tcW w:w="1056" w:type="pct"/>
            <w:gridSpan w:val="4"/>
          </w:tcPr>
          <w:p w:rsidR="00C53D82" w:rsidRDefault="00C53D82" w:rsidP="00D136D4">
            <w:pPr>
              <w:spacing w:line="240" w:lineRule="auto"/>
              <w:rPr>
                <w:color w:val="000000"/>
                <w:sz w:val="16"/>
                <w:szCs w:val="16"/>
              </w:rPr>
            </w:pPr>
            <w:r>
              <w:rPr>
                <w:color w:val="000000"/>
                <w:sz w:val="16"/>
                <w:szCs w:val="16"/>
              </w:rPr>
              <w:t>Vysoká kumulace peněz na běžných účtech firem vysvětluje jejich silnou investiční aktivitu, která byla zřejmě jen v menší míře financována úvěry</w:t>
            </w:r>
          </w:p>
        </w:tc>
        <w:tc>
          <w:tcPr>
            <w:tcW w:w="143" w:type="pct"/>
          </w:tcPr>
          <w:p w:rsidR="00C53D82" w:rsidRDefault="00C53D82" w:rsidP="008B1A8A">
            <w:pPr>
              <w:pStyle w:val="Textpoznpodarou"/>
              <w:jc w:val="both"/>
            </w:pPr>
          </w:p>
        </w:tc>
        <w:tc>
          <w:tcPr>
            <w:tcW w:w="3801" w:type="pct"/>
            <w:gridSpan w:val="5"/>
          </w:tcPr>
          <w:p w:rsidR="00C53D82" w:rsidRPr="00E127E1" w:rsidRDefault="00C53D82" w:rsidP="00C53D82">
            <w:pPr>
              <w:pStyle w:val="Textpoznpodarou"/>
              <w:jc w:val="both"/>
              <w:rPr>
                <w:color w:val="000000" w:themeColor="text1"/>
                <w:spacing w:val="-2"/>
              </w:rPr>
            </w:pPr>
            <w:r w:rsidRPr="00E127E1">
              <w:rPr>
                <w:color w:val="000000" w:themeColor="text1"/>
                <w:spacing w:val="-2"/>
              </w:rPr>
              <w:t>Naopak netermínované (jednodenní) vklady - vyznačující se podstatně vyšší likviditou oproti vkladům termínovaným – dále narůstaly (+12,5 % meziročně), a to zejména na žirových účtech domácností (+13,3 %). Silná kumulace peněz však pokračuje na běžných účtech firem (+11,2 %), když dvojcifernými tempy rostou tyto jednodenní vklady firem už třetí rok v řadě. Lze předpokládat, že tyto peníze představují – kromě obvyklého provozního financování - i  významný potenciál pro budoucí investice. Téměř pětiprocentní (+4,6 %) meziroční přírůstek fixních investic v české ekonomice v roce 2014, který byl největší za posledních sedm let, tak mohl být ze strany firem finan</w:t>
            </w:r>
            <w:r w:rsidR="0023229C" w:rsidRPr="00E127E1">
              <w:rPr>
                <w:color w:val="000000" w:themeColor="text1"/>
                <w:spacing w:val="-2"/>
              </w:rPr>
              <w:t>cován právě z peněz nashromážděn</w:t>
            </w:r>
            <w:r w:rsidRPr="00E127E1">
              <w:rPr>
                <w:color w:val="000000" w:themeColor="text1"/>
                <w:spacing w:val="-2"/>
              </w:rPr>
              <w:t>ý</w:t>
            </w:r>
            <w:r w:rsidR="0023229C" w:rsidRPr="00E127E1">
              <w:rPr>
                <w:color w:val="000000" w:themeColor="text1"/>
                <w:spacing w:val="-2"/>
              </w:rPr>
              <w:t>ch</w:t>
            </w:r>
            <w:r w:rsidRPr="00E127E1">
              <w:rPr>
                <w:color w:val="000000" w:themeColor="text1"/>
                <w:spacing w:val="-2"/>
              </w:rPr>
              <w:t xml:space="preserve"> na běžných účtech.  Vysvětluje to zřejmě silnou investiční aktivitu bez významnějšího zadlužení.   </w:t>
            </w:r>
          </w:p>
          <w:p w:rsidR="00C53D82" w:rsidRPr="00C53D82" w:rsidRDefault="00C53D82" w:rsidP="00C53D82">
            <w:pPr>
              <w:pStyle w:val="Textpoznpodarou"/>
              <w:jc w:val="both"/>
              <w:rPr>
                <w:color w:val="000000" w:themeColor="text1"/>
              </w:rPr>
            </w:pPr>
          </w:p>
          <w:p w:rsidR="00C53D82" w:rsidRPr="00C53D82" w:rsidRDefault="00C53D82" w:rsidP="00C53D82">
            <w:pPr>
              <w:pStyle w:val="Textpoznpodarou"/>
              <w:jc w:val="both"/>
              <w:rPr>
                <w:color w:val="000000" w:themeColor="text1"/>
              </w:rPr>
            </w:pPr>
            <w:r w:rsidRPr="00C53D82">
              <w:rPr>
                <w:color w:val="000000" w:themeColor="text1"/>
              </w:rPr>
              <w:t xml:space="preserve">Jak je však z vývoje </w:t>
            </w:r>
            <w:r w:rsidR="00CB43A7">
              <w:rPr>
                <w:color w:val="000000" w:themeColor="text1"/>
              </w:rPr>
              <w:t xml:space="preserve">ve </w:t>
            </w:r>
            <w:r w:rsidRPr="00C53D82">
              <w:rPr>
                <w:color w:val="000000" w:themeColor="text1"/>
              </w:rPr>
              <w:t xml:space="preserve">4. čtvrtletí patrné, situace se zřejmě „normalizuje“, neboť v něm již tempo růstu </w:t>
            </w:r>
            <w:proofErr w:type="spellStart"/>
            <w:r w:rsidRPr="00C53D82">
              <w:rPr>
                <w:color w:val="000000" w:themeColor="text1"/>
              </w:rPr>
              <w:t>korporátních</w:t>
            </w:r>
            <w:proofErr w:type="spellEnd"/>
            <w:r w:rsidRPr="00C53D82">
              <w:rPr>
                <w:color w:val="000000" w:themeColor="text1"/>
              </w:rPr>
              <w:t xml:space="preserve"> úvěrů zrychlilo a naopak vklady na běžných účtech firem významně stouply (+86 mld. korun). Zejména exportérům pak prakticky po celý rok 2014 plynuly z oslabení koruny po měnové intervenci ČNB dodatečné zisky, které firmy zřejmě kumulovaly na svých běžných účtech (v první polovině roku, v období konání valných hromad, na nichž se rozhodovalo o rozdělení zisků a u firem pod zahraniční kontrolou i o jejich repatriaci, se ale zůstatky na běžných účtech snižovaly). </w:t>
            </w:r>
          </w:p>
          <w:p w:rsidR="00C53D82" w:rsidRPr="0032214F" w:rsidRDefault="00C53D82" w:rsidP="008B1A8A">
            <w:pPr>
              <w:rPr>
                <w:color w:val="000000"/>
                <w:sz w:val="12"/>
                <w:szCs w:val="12"/>
              </w:rPr>
            </w:pPr>
          </w:p>
        </w:tc>
      </w:tr>
      <w:tr w:rsidR="00C53D82" w:rsidRPr="00026998" w:rsidTr="00ED2CA5">
        <w:tc>
          <w:tcPr>
            <w:tcW w:w="1056" w:type="pct"/>
            <w:gridSpan w:val="4"/>
          </w:tcPr>
          <w:p w:rsidR="00C53D82" w:rsidRDefault="00C53D82" w:rsidP="00D136D4">
            <w:pPr>
              <w:spacing w:line="240" w:lineRule="auto"/>
              <w:rPr>
                <w:color w:val="000000"/>
                <w:sz w:val="16"/>
                <w:szCs w:val="16"/>
              </w:rPr>
            </w:pPr>
            <w:r>
              <w:rPr>
                <w:color w:val="000000"/>
                <w:sz w:val="16"/>
                <w:szCs w:val="16"/>
              </w:rPr>
              <w:t>Úvěry obyvatelstvu na spotřebu a bydlení stouply v úhrnu meziročně stejně jako v roce 2013, ovšem objem jejich půjček na spotřebu se snížil …</w:t>
            </w:r>
          </w:p>
        </w:tc>
        <w:tc>
          <w:tcPr>
            <w:tcW w:w="143" w:type="pct"/>
          </w:tcPr>
          <w:p w:rsidR="00C53D82" w:rsidRDefault="00C53D82" w:rsidP="008B1A8A">
            <w:pPr>
              <w:pStyle w:val="Textpoznpodarou"/>
              <w:jc w:val="both"/>
            </w:pPr>
          </w:p>
        </w:tc>
        <w:tc>
          <w:tcPr>
            <w:tcW w:w="3801" w:type="pct"/>
            <w:gridSpan w:val="5"/>
          </w:tcPr>
          <w:p w:rsidR="00C53D82" w:rsidRDefault="00C53D82" w:rsidP="00E127E1">
            <w:pPr>
              <w:pStyle w:val="Textpoznpodarou"/>
              <w:jc w:val="both"/>
              <w:rPr>
                <w:color w:val="000000" w:themeColor="text1"/>
              </w:rPr>
            </w:pPr>
            <w:r w:rsidRPr="00C53D82">
              <w:rPr>
                <w:color w:val="000000" w:themeColor="text1"/>
              </w:rPr>
              <w:t>Lidé si od bank dále půjčují, ovšem s opatrností. Z bankovní statistiky vyplývá, že úhrn úvěrů obyvatelstvu na bydlení spolu s úvěry na spotřebu stoupl meziročně (+4,4 %) zhruba stejně jako v roce 2013 (+4,3 %) na 1,093 bil.</w:t>
            </w:r>
            <w:r w:rsidR="0023229C">
              <w:rPr>
                <w:color w:val="000000" w:themeColor="text1"/>
              </w:rPr>
              <w:t xml:space="preserve"> </w:t>
            </w:r>
            <w:r w:rsidRPr="00C53D82">
              <w:rPr>
                <w:color w:val="000000" w:themeColor="text1"/>
              </w:rPr>
              <w:t>korun. Zatímco však úvěry na bydlení vzrostly vlivem příznivých úrokových sazeb a v očekávání vyšších cen bytů v budoucnu o 47,7 mld. korun (tj. +5,6 %), objem úvěrů na spotřebu se o procento zmenšil (-1,9 mld. korun).</w:t>
            </w:r>
          </w:p>
          <w:p w:rsidR="0096650F" w:rsidRPr="00C53D82" w:rsidRDefault="0096650F" w:rsidP="00E127E1">
            <w:pPr>
              <w:pStyle w:val="Textpoznpodarou"/>
              <w:jc w:val="both"/>
              <w:rPr>
                <w:color w:val="000000" w:themeColor="text1"/>
              </w:rPr>
            </w:pPr>
          </w:p>
        </w:tc>
      </w:tr>
      <w:tr w:rsidR="00C53D82" w:rsidRPr="007D44C3" w:rsidTr="00ED2CA5">
        <w:tc>
          <w:tcPr>
            <w:tcW w:w="1056" w:type="pct"/>
            <w:gridSpan w:val="4"/>
          </w:tcPr>
          <w:p w:rsidR="00C53D82" w:rsidRDefault="003C4852" w:rsidP="00D136D4">
            <w:pPr>
              <w:spacing w:line="240" w:lineRule="auto"/>
              <w:rPr>
                <w:color w:val="000000"/>
                <w:sz w:val="16"/>
                <w:szCs w:val="16"/>
              </w:rPr>
            </w:pPr>
            <w:r>
              <w:rPr>
                <w:color w:val="000000"/>
                <w:sz w:val="16"/>
                <w:szCs w:val="16"/>
              </w:rPr>
              <w:t>…</w:t>
            </w:r>
            <w:r w:rsidR="00C53D82">
              <w:rPr>
                <w:color w:val="000000"/>
                <w:sz w:val="16"/>
                <w:szCs w:val="16"/>
              </w:rPr>
              <w:t>při udržování relativně značného podílu úvěrů v selhání na celkových úvěrech obyvatelstvu na spotřebu</w:t>
            </w:r>
          </w:p>
        </w:tc>
        <w:tc>
          <w:tcPr>
            <w:tcW w:w="143" w:type="pct"/>
          </w:tcPr>
          <w:p w:rsidR="00C53D82" w:rsidRDefault="00C53D82" w:rsidP="008B1A8A">
            <w:pPr>
              <w:pStyle w:val="Textpoznpodarou"/>
              <w:jc w:val="both"/>
            </w:pPr>
          </w:p>
        </w:tc>
        <w:tc>
          <w:tcPr>
            <w:tcW w:w="3801" w:type="pct"/>
            <w:gridSpan w:val="5"/>
          </w:tcPr>
          <w:p w:rsidR="00C53D82" w:rsidRPr="00C53D82" w:rsidRDefault="00C53D82" w:rsidP="00C53D82">
            <w:pPr>
              <w:pStyle w:val="Textpoznpodarou"/>
              <w:jc w:val="both"/>
              <w:rPr>
                <w:color w:val="000000" w:themeColor="text1"/>
              </w:rPr>
            </w:pPr>
            <w:r w:rsidRPr="00C53D82">
              <w:rPr>
                <w:color w:val="000000" w:themeColor="text1"/>
              </w:rPr>
              <w:t xml:space="preserve">Přitom procento úvěrů v selhání zůstává u půjček na spotřebu stále relativně vysoké (12,1 % těchto úvěrů proti 12,2 % v roce 2013). Klienti bank mají problém zejména s nesplácením svých debetních zůstatků na žirových účtech (9,9 % v selhání v roce 2013 a 12,7 % v roce 2014) a také na kreditních kartách. Oba tyto produkty jsou nejdražší z pohledu úrokových sazeb účtovaných bankami.     </w:t>
            </w:r>
          </w:p>
          <w:p w:rsidR="00C53D82" w:rsidRPr="00C53D82" w:rsidRDefault="00C53D82" w:rsidP="00C53D82">
            <w:pPr>
              <w:pStyle w:val="Textpoznpodarou"/>
              <w:jc w:val="both"/>
              <w:rPr>
                <w:color w:val="000000" w:themeColor="text1"/>
              </w:rPr>
            </w:pPr>
          </w:p>
        </w:tc>
      </w:tr>
      <w:tr w:rsidR="00C53D82" w:rsidRPr="007D44C3" w:rsidTr="00ED2CA5">
        <w:tc>
          <w:tcPr>
            <w:tcW w:w="1056" w:type="pct"/>
            <w:gridSpan w:val="4"/>
          </w:tcPr>
          <w:p w:rsidR="00C53D82" w:rsidRDefault="00C53D82" w:rsidP="00D136D4">
            <w:pPr>
              <w:spacing w:line="240" w:lineRule="auto"/>
              <w:rPr>
                <w:color w:val="000000"/>
                <w:sz w:val="16"/>
                <w:szCs w:val="16"/>
              </w:rPr>
            </w:pPr>
            <w:r>
              <w:rPr>
                <w:color w:val="000000"/>
                <w:sz w:val="16"/>
                <w:szCs w:val="16"/>
              </w:rPr>
              <w:t>Podíl úvěrů firem v selhání je</w:t>
            </w:r>
            <w:r w:rsidR="003C4852">
              <w:rPr>
                <w:color w:val="000000"/>
                <w:sz w:val="16"/>
                <w:szCs w:val="16"/>
              </w:rPr>
              <w:t xml:space="preserve"> nejnižší za posledních pět let</w:t>
            </w:r>
            <w:r>
              <w:rPr>
                <w:color w:val="000000"/>
                <w:sz w:val="16"/>
                <w:szCs w:val="16"/>
              </w:rPr>
              <w:t xml:space="preserve"> a dokládá dobré finanční zdraví firem posilované i dodatečnými zisky exportérů vyvolané oslabenou korunou </w:t>
            </w:r>
          </w:p>
        </w:tc>
        <w:tc>
          <w:tcPr>
            <w:tcW w:w="143" w:type="pct"/>
          </w:tcPr>
          <w:p w:rsidR="00C53D82" w:rsidRDefault="00C53D82" w:rsidP="008B1A8A">
            <w:pPr>
              <w:pStyle w:val="Textpoznpodarou"/>
              <w:jc w:val="both"/>
            </w:pPr>
          </w:p>
        </w:tc>
        <w:tc>
          <w:tcPr>
            <w:tcW w:w="3801" w:type="pct"/>
            <w:gridSpan w:val="5"/>
          </w:tcPr>
          <w:p w:rsidR="00C53D82" w:rsidRPr="00C53D82" w:rsidRDefault="00C53D82" w:rsidP="00C53D82">
            <w:pPr>
              <w:pStyle w:val="Textpoznpodarou"/>
              <w:jc w:val="both"/>
              <w:rPr>
                <w:color w:val="000000" w:themeColor="text1"/>
              </w:rPr>
            </w:pPr>
            <w:r w:rsidRPr="00C53D82">
              <w:rPr>
                <w:color w:val="000000" w:themeColor="text1"/>
              </w:rPr>
              <w:t xml:space="preserve">Úvěry v selhání u nefinančních podniků v poměru k celkovým úvěrům tohoto institucionálního sektoru činily v závěru roku 2014 jen 6,6 %, což bylo nejméně od roku 2009. Riziko se snížilo i meziročně (7,2 % v závěru roku 2013, od jeho poloviny klesalo). Vzhledem k relativně dobré kondici české ekonomiky, nakumulovaným ziskům a zatím dostatečné domácí i zahraniční poptávce nemusí zřejmě proporce úvěrů v selhání u nefinančních podniků představovat problém. </w:t>
            </w:r>
          </w:p>
          <w:p w:rsidR="00C53D82" w:rsidRPr="00C53D82" w:rsidRDefault="00C53D82" w:rsidP="00C53D82">
            <w:pPr>
              <w:pStyle w:val="Textpoznpodarou"/>
              <w:jc w:val="both"/>
              <w:rPr>
                <w:color w:val="000000" w:themeColor="text1"/>
              </w:rPr>
            </w:pPr>
          </w:p>
        </w:tc>
      </w:tr>
      <w:tr w:rsidR="00C53D82" w:rsidRPr="007D44C3" w:rsidTr="00ED2CA5">
        <w:tc>
          <w:tcPr>
            <w:tcW w:w="1056" w:type="pct"/>
            <w:gridSpan w:val="4"/>
          </w:tcPr>
          <w:p w:rsidR="00C53D82" w:rsidRDefault="00C53D82" w:rsidP="00D136D4">
            <w:pPr>
              <w:spacing w:line="240" w:lineRule="auto"/>
              <w:rPr>
                <w:color w:val="000000"/>
                <w:sz w:val="16"/>
                <w:szCs w:val="16"/>
              </w:rPr>
            </w:pPr>
          </w:p>
        </w:tc>
        <w:tc>
          <w:tcPr>
            <w:tcW w:w="143" w:type="pct"/>
          </w:tcPr>
          <w:p w:rsidR="00C53D82" w:rsidRDefault="00C53D82" w:rsidP="008B1A8A">
            <w:pPr>
              <w:pStyle w:val="Textpoznpodarou"/>
              <w:jc w:val="both"/>
            </w:pPr>
          </w:p>
        </w:tc>
        <w:tc>
          <w:tcPr>
            <w:tcW w:w="3801" w:type="pct"/>
            <w:gridSpan w:val="5"/>
          </w:tcPr>
          <w:p w:rsidR="00C53D82" w:rsidRPr="00C53D82" w:rsidRDefault="00C53D82" w:rsidP="00C53D82">
            <w:pPr>
              <w:pStyle w:val="Textpoznpodarou"/>
              <w:jc w:val="both"/>
              <w:rPr>
                <w:color w:val="000000" w:themeColor="text1"/>
              </w:rPr>
            </w:pPr>
            <w:r w:rsidRPr="00C53D82">
              <w:rPr>
                <w:color w:val="000000" w:themeColor="text1"/>
              </w:rPr>
              <w:t xml:space="preserve">Jen segment živnostníků, kteří dlužili v závěru roku 2014 meziročně méně o 4 % - v roce 2013 přitom </w:t>
            </w:r>
            <w:r w:rsidR="0023229C">
              <w:rPr>
                <w:color w:val="000000" w:themeColor="text1"/>
              </w:rPr>
              <w:t>už</w:t>
            </w:r>
            <w:r w:rsidRPr="00C53D82">
              <w:rPr>
                <w:color w:val="000000" w:themeColor="text1"/>
              </w:rPr>
              <w:t xml:space="preserve"> objem jejich úvěrů nepatrně stoup</w:t>
            </w:r>
            <w:r w:rsidR="0023229C">
              <w:rPr>
                <w:color w:val="000000" w:themeColor="text1"/>
              </w:rPr>
              <w:t>l</w:t>
            </w:r>
            <w:r w:rsidRPr="00C53D82">
              <w:rPr>
                <w:color w:val="000000" w:themeColor="text1"/>
              </w:rPr>
              <w:t xml:space="preserve"> (+0,9 %) –</w:t>
            </w:r>
            <w:r w:rsidR="00D26923">
              <w:rPr>
                <w:color w:val="000000" w:themeColor="text1"/>
              </w:rPr>
              <w:t xml:space="preserve"> </w:t>
            </w:r>
            <w:r w:rsidRPr="00C53D82">
              <w:rPr>
                <w:color w:val="000000" w:themeColor="text1"/>
              </w:rPr>
              <w:t>vykazuje relativně vysoký podíl úvěrů v selhání</w:t>
            </w:r>
            <w:r w:rsidR="0023229C" w:rsidRPr="00C53D82">
              <w:rPr>
                <w:color w:val="000000" w:themeColor="text1"/>
              </w:rPr>
              <w:t xml:space="preserve"> již čtyři roky</w:t>
            </w:r>
            <w:r w:rsidRPr="00C53D82">
              <w:rPr>
                <w:color w:val="000000" w:themeColor="text1"/>
              </w:rPr>
              <w:t xml:space="preserve">. Koncem roku 2014 to bylo 12,7 % z celkově poskytnutých úvěrů, což je zhruba průměr posledních čtyř let (13 %). Potvrzuje se tak známá skutečnost, že segment malých a středních firem je v ekonomice obecně pro věřitele více rizikový. </w:t>
            </w:r>
          </w:p>
          <w:p w:rsidR="00C53D82" w:rsidRPr="00C53D82" w:rsidRDefault="00C53D82" w:rsidP="00C53D82">
            <w:pPr>
              <w:pStyle w:val="Textpoznpodarou"/>
              <w:jc w:val="both"/>
              <w:rPr>
                <w:color w:val="000000" w:themeColor="text1"/>
              </w:rPr>
            </w:pPr>
          </w:p>
        </w:tc>
      </w:tr>
      <w:tr w:rsidR="00C53D82" w:rsidRPr="007D44C3" w:rsidTr="00ED2CA5">
        <w:tc>
          <w:tcPr>
            <w:tcW w:w="1056" w:type="pct"/>
            <w:gridSpan w:val="4"/>
          </w:tcPr>
          <w:p w:rsidR="00C53D82" w:rsidRDefault="00C53D82" w:rsidP="00D136D4">
            <w:pPr>
              <w:spacing w:line="240" w:lineRule="auto"/>
              <w:rPr>
                <w:color w:val="000000"/>
                <w:sz w:val="16"/>
                <w:szCs w:val="16"/>
              </w:rPr>
            </w:pPr>
            <w:r>
              <w:rPr>
                <w:color w:val="000000"/>
                <w:sz w:val="16"/>
                <w:szCs w:val="16"/>
              </w:rPr>
              <w:t xml:space="preserve">Už tak nízké depozitní úrokové sazby bank dále poklesly… </w:t>
            </w:r>
          </w:p>
        </w:tc>
        <w:tc>
          <w:tcPr>
            <w:tcW w:w="143" w:type="pct"/>
          </w:tcPr>
          <w:p w:rsidR="00C53D82" w:rsidRDefault="00C53D82" w:rsidP="008B1A8A">
            <w:pPr>
              <w:pStyle w:val="Textpoznpodarou"/>
              <w:jc w:val="both"/>
            </w:pPr>
          </w:p>
        </w:tc>
        <w:tc>
          <w:tcPr>
            <w:tcW w:w="3801" w:type="pct"/>
            <w:gridSpan w:val="5"/>
          </w:tcPr>
          <w:p w:rsidR="00C53D82" w:rsidRPr="00C53D82" w:rsidRDefault="00C53D82" w:rsidP="00C53D82">
            <w:pPr>
              <w:pStyle w:val="Textpoznpodarou"/>
              <w:jc w:val="both"/>
              <w:rPr>
                <w:color w:val="000000" w:themeColor="text1"/>
              </w:rPr>
            </w:pPr>
            <w:r w:rsidRPr="00C53D82">
              <w:rPr>
                <w:color w:val="000000" w:themeColor="text1"/>
              </w:rPr>
              <w:t xml:space="preserve">Úrokové sazby z netermínovaných vkladů klesají v případě nových obchodů soustavně již čtvrtý rok v řadě – u žirových účtů domácností z 0,72 % </w:t>
            </w:r>
            <w:proofErr w:type="spellStart"/>
            <w:proofErr w:type="gramStart"/>
            <w:r w:rsidRPr="00C53D82">
              <w:rPr>
                <w:color w:val="000000" w:themeColor="text1"/>
              </w:rPr>
              <w:t>p.a</w:t>
            </w:r>
            <w:proofErr w:type="spellEnd"/>
            <w:r w:rsidRPr="00C53D82">
              <w:rPr>
                <w:color w:val="000000" w:themeColor="text1"/>
              </w:rPr>
              <w:t>.</w:t>
            </w:r>
            <w:proofErr w:type="gramEnd"/>
            <w:r w:rsidRPr="00C53D82">
              <w:rPr>
                <w:color w:val="000000" w:themeColor="text1"/>
              </w:rPr>
              <w:t xml:space="preserve"> </w:t>
            </w:r>
            <w:r w:rsidRPr="00C53D82">
              <w:rPr>
                <w:color w:val="000000" w:themeColor="text1"/>
              </w:rPr>
              <w:lastRenderedPageBreak/>
              <w:t>v závěru roku 2011 na 0,31 % v prosinci 2014 (u firem z 0,35 % na 0,15 %). Meziročně jsou nižší i sazby termínovaných vkladů (u domácností vklady se splatností celkem z 1,65 % na 1,40 %, u firem byl pokles méně znatelný, ovšem při velmi nízkých úrovních, tj. z 0,31 % na 0,29 %). Úrokové míry z vkladů jsou neatraktivní a lidé zřejmě hledají alternativy úspor ke spoření v bankách – roste hodnota jejich majetku v podílových fondech i na penzijním připojištění. Vysoké výnosy zaznamenalo v loňském roce přímé investování do zahraničních akcií.</w:t>
            </w:r>
          </w:p>
          <w:p w:rsidR="00C53D82" w:rsidRPr="00C53D82" w:rsidRDefault="00C53D82" w:rsidP="00C53D82">
            <w:pPr>
              <w:pStyle w:val="Textpoznpodarou"/>
              <w:jc w:val="both"/>
              <w:rPr>
                <w:color w:val="000000" w:themeColor="text1"/>
              </w:rPr>
            </w:pPr>
            <w:r w:rsidRPr="00C53D82">
              <w:rPr>
                <w:color w:val="000000" w:themeColor="text1"/>
              </w:rPr>
              <w:t xml:space="preserve">    </w:t>
            </w:r>
          </w:p>
        </w:tc>
      </w:tr>
      <w:tr w:rsidR="00C53D82" w:rsidRPr="007D44C3" w:rsidTr="00ED2CA5">
        <w:tc>
          <w:tcPr>
            <w:tcW w:w="1056" w:type="pct"/>
            <w:gridSpan w:val="4"/>
          </w:tcPr>
          <w:p w:rsidR="00C53D82" w:rsidRDefault="00C53D82" w:rsidP="00D136D4">
            <w:pPr>
              <w:spacing w:line="240" w:lineRule="auto"/>
              <w:rPr>
                <w:rFonts w:cs="Arial"/>
                <w:bCs/>
                <w:iCs/>
                <w:color w:val="000000"/>
                <w:sz w:val="16"/>
                <w:szCs w:val="16"/>
              </w:rPr>
            </w:pPr>
            <w:r>
              <w:rPr>
                <w:rFonts w:cs="Arial"/>
                <w:bCs/>
                <w:iCs/>
                <w:color w:val="000000"/>
                <w:sz w:val="16"/>
                <w:szCs w:val="16"/>
              </w:rPr>
              <w:lastRenderedPageBreak/>
              <w:t xml:space="preserve">… u půjčovaných peněz zlevnily pouze sazby u hypotečních úvěrů  </w:t>
            </w:r>
          </w:p>
        </w:tc>
        <w:tc>
          <w:tcPr>
            <w:tcW w:w="143" w:type="pct"/>
          </w:tcPr>
          <w:p w:rsidR="00C53D82" w:rsidRDefault="00C53D82" w:rsidP="008B1A8A">
            <w:pPr>
              <w:pStyle w:val="Textpoznpodarou"/>
              <w:jc w:val="both"/>
            </w:pPr>
          </w:p>
        </w:tc>
        <w:tc>
          <w:tcPr>
            <w:tcW w:w="3801" w:type="pct"/>
            <w:gridSpan w:val="5"/>
          </w:tcPr>
          <w:p w:rsidR="0023229C" w:rsidRDefault="00C53D82" w:rsidP="0023229C">
            <w:pPr>
              <w:pStyle w:val="Textpoznpodarou"/>
              <w:jc w:val="both"/>
              <w:rPr>
                <w:color w:val="000000" w:themeColor="text1"/>
              </w:rPr>
            </w:pPr>
            <w:r w:rsidRPr="00C53D82">
              <w:rPr>
                <w:color w:val="000000" w:themeColor="text1"/>
              </w:rPr>
              <w:t>Úvěry na spotřebu nezlevnily tak jako úvěry na pořízení bytových nemovitostí. Zůstaly na 14 % (proti 14,1 % v závěru roku 2013), sazby úvěrů na bydlení klesly z 3,4 % na 2,9 %). Co se týká firem, rozdíl v ceně půjčovaných peněz byl nepatrný (z 2,45 % koncem roku 2013 na 2,22 % koncem 2014, u kontokorentu z 2,95 % na 2,9 %).</w:t>
            </w:r>
          </w:p>
          <w:p w:rsidR="00C53D82" w:rsidRPr="00E7724B" w:rsidRDefault="00C53D82" w:rsidP="0023229C">
            <w:pPr>
              <w:pStyle w:val="Textpoznpodarou"/>
              <w:jc w:val="both"/>
              <w:rPr>
                <w:rFonts w:cs="Arial"/>
                <w:bCs/>
              </w:rPr>
            </w:pPr>
            <w:r>
              <w:rPr>
                <w:rFonts w:cs="Arial"/>
                <w:bCs/>
              </w:rPr>
              <w:t xml:space="preserve">  </w:t>
            </w:r>
          </w:p>
        </w:tc>
      </w:tr>
      <w:tr w:rsidR="00C53D82" w:rsidRPr="00EB4FA4" w:rsidTr="00ED2CA5">
        <w:tblPrEx>
          <w:tblCellMar>
            <w:left w:w="70" w:type="dxa"/>
            <w:right w:w="70" w:type="dxa"/>
          </w:tblCellMar>
          <w:tblLook w:val="0000"/>
        </w:tblPrEx>
        <w:trPr>
          <w:gridBefore w:val="1"/>
          <w:gridAfter w:val="1"/>
          <w:wBefore w:w="19" w:type="pct"/>
          <w:wAfter w:w="19" w:type="pct"/>
        </w:trPr>
        <w:tc>
          <w:tcPr>
            <w:tcW w:w="540" w:type="pct"/>
            <w:gridSpan w:val="2"/>
          </w:tcPr>
          <w:p w:rsidR="00C53D82" w:rsidRPr="00CD4B29" w:rsidRDefault="00C53D82" w:rsidP="00AA23FB">
            <w:r w:rsidRPr="00CD4B29">
              <w:t>Graf č.</w:t>
            </w:r>
            <w:r w:rsidR="0023229C" w:rsidRPr="00CD4B29">
              <w:t xml:space="preserve"> 17</w:t>
            </w:r>
            <w:r w:rsidRPr="00CD4B29">
              <w:t xml:space="preserve"> </w:t>
            </w:r>
          </w:p>
        </w:tc>
        <w:tc>
          <w:tcPr>
            <w:tcW w:w="1959" w:type="pct"/>
            <w:gridSpan w:val="3"/>
          </w:tcPr>
          <w:p w:rsidR="00C53D82" w:rsidRPr="009E3710" w:rsidRDefault="00C53D82" w:rsidP="008B1A8A">
            <w:pPr>
              <w:rPr>
                <w:b/>
              </w:rPr>
            </w:pPr>
            <w:r>
              <w:rPr>
                <w:b/>
                <w:bCs/>
              </w:rPr>
              <w:t xml:space="preserve">Dynamika úvěrů </w:t>
            </w:r>
            <w:r>
              <w:rPr>
                <w:bCs/>
              </w:rPr>
              <w:t>(y/y v %)</w:t>
            </w:r>
            <w:r>
              <w:rPr>
                <w:b/>
                <w:bCs/>
              </w:rPr>
              <w:t xml:space="preserve"> </w:t>
            </w:r>
            <w:r w:rsidRPr="009E3710">
              <w:rPr>
                <w:b/>
                <w:bCs/>
              </w:rPr>
              <w:t xml:space="preserve"> </w:t>
            </w:r>
          </w:p>
        </w:tc>
        <w:tc>
          <w:tcPr>
            <w:tcW w:w="630" w:type="pct"/>
            <w:gridSpan w:val="2"/>
          </w:tcPr>
          <w:p w:rsidR="00C53D82" w:rsidRPr="00CD4B29" w:rsidRDefault="00C53D82" w:rsidP="00AA23FB">
            <w:pPr>
              <w:rPr>
                <w:szCs w:val="20"/>
              </w:rPr>
            </w:pPr>
            <w:r w:rsidRPr="00CD4B29">
              <w:rPr>
                <w:szCs w:val="20"/>
              </w:rPr>
              <w:t>Graf č. 1</w:t>
            </w:r>
            <w:r w:rsidR="00AA23FB" w:rsidRPr="00CD4B29">
              <w:rPr>
                <w:szCs w:val="20"/>
              </w:rPr>
              <w:t>8</w:t>
            </w:r>
          </w:p>
        </w:tc>
        <w:tc>
          <w:tcPr>
            <w:tcW w:w="1834" w:type="pct"/>
          </w:tcPr>
          <w:p w:rsidR="00C53D82" w:rsidRPr="00EB4FA4" w:rsidRDefault="00C53D82" w:rsidP="00055059">
            <w:pPr>
              <w:spacing w:line="240" w:lineRule="auto"/>
              <w:rPr>
                <w:b/>
                <w:szCs w:val="20"/>
              </w:rPr>
            </w:pPr>
            <w:r>
              <w:rPr>
                <w:b/>
                <w:bCs/>
              </w:rPr>
              <w:t xml:space="preserve">Úvěry obyvatelstvu v selhání </w:t>
            </w:r>
            <w:r w:rsidRPr="00F54FD3">
              <w:rPr>
                <w:bCs/>
              </w:rPr>
              <w:t>(</w:t>
            </w:r>
            <w:r>
              <w:rPr>
                <w:bCs/>
              </w:rPr>
              <w:t>v</w:t>
            </w:r>
            <w:r w:rsidR="00055059">
              <w:rPr>
                <w:bCs/>
              </w:rPr>
              <w:t> </w:t>
            </w:r>
            <w:r>
              <w:rPr>
                <w:bCs/>
              </w:rPr>
              <w:t>%</w:t>
            </w:r>
            <w:r w:rsidR="00055059">
              <w:rPr>
                <w:bCs/>
              </w:rPr>
              <w:t> </w:t>
            </w:r>
            <w:r>
              <w:rPr>
                <w:bCs/>
              </w:rPr>
              <w:t xml:space="preserve">celkových </w:t>
            </w:r>
            <w:proofErr w:type="gramStart"/>
            <w:r>
              <w:rPr>
                <w:bCs/>
              </w:rPr>
              <w:t>úvěrů</w:t>
            </w:r>
            <w:proofErr w:type="gramEnd"/>
            <w:r>
              <w:rPr>
                <w:bCs/>
              </w:rPr>
              <w:t xml:space="preserve"> obyvatelstvu)</w:t>
            </w:r>
          </w:p>
        </w:tc>
      </w:tr>
      <w:tr w:rsidR="00C53D82" w:rsidTr="00ED2CA5">
        <w:tblPrEx>
          <w:tblCellMar>
            <w:left w:w="70" w:type="dxa"/>
            <w:right w:w="70" w:type="dxa"/>
          </w:tblCellMar>
          <w:tblLook w:val="0000"/>
        </w:tblPrEx>
        <w:trPr>
          <w:gridBefore w:val="1"/>
          <w:gridAfter w:val="1"/>
          <w:wBefore w:w="19" w:type="pct"/>
          <w:wAfter w:w="19" w:type="pct"/>
          <w:trHeight w:val="3256"/>
        </w:trPr>
        <w:tc>
          <w:tcPr>
            <w:tcW w:w="2498" w:type="pct"/>
            <w:gridSpan w:val="5"/>
          </w:tcPr>
          <w:p w:rsidR="00C53D82" w:rsidRDefault="00C53D82" w:rsidP="008B1A8A">
            <w:pPr>
              <w:pStyle w:val="Zhlav"/>
              <w:tabs>
                <w:tab w:val="clear" w:pos="4536"/>
                <w:tab w:val="clear" w:pos="9072"/>
              </w:tabs>
              <w:rPr>
                <w:rFonts w:ascii="Arial" w:hAnsi="Arial" w:cs="Arial"/>
                <w:sz w:val="20"/>
              </w:rPr>
            </w:pPr>
            <w:r>
              <w:rPr>
                <w:rFonts w:ascii="Arial" w:hAnsi="Arial" w:cs="Arial"/>
                <w:noProof/>
                <w:sz w:val="20"/>
                <w:lang w:eastAsia="cs-CZ"/>
              </w:rPr>
              <w:drawing>
                <wp:inline distT="0" distB="0" distL="0" distR="0">
                  <wp:extent cx="3010299" cy="2330824"/>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1805" cy="2331990"/>
                          </a:xfrm>
                          <a:prstGeom prst="rect">
                            <a:avLst/>
                          </a:prstGeom>
                          <a:noFill/>
                        </pic:spPr>
                      </pic:pic>
                    </a:graphicData>
                  </a:graphic>
                </wp:inline>
              </w:drawing>
            </w:r>
          </w:p>
        </w:tc>
        <w:tc>
          <w:tcPr>
            <w:tcW w:w="2463" w:type="pct"/>
            <w:gridSpan w:val="3"/>
          </w:tcPr>
          <w:p w:rsidR="00C53D82" w:rsidRDefault="00C53D82" w:rsidP="008B1A8A">
            <w:pPr>
              <w:pStyle w:val="Zhlav"/>
              <w:tabs>
                <w:tab w:val="clear" w:pos="4536"/>
                <w:tab w:val="clear" w:pos="9072"/>
              </w:tabs>
              <w:spacing w:line="235" w:lineRule="auto"/>
              <w:jc w:val="both"/>
              <w:rPr>
                <w:rFonts w:ascii="Arial" w:hAnsi="Arial" w:cs="Arial"/>
                <w:sz w:val="20"/>
              </w:rPr>
            </w:pPr>
            <w:r>
              <w:rPr>
                <w:rFonts w:ascii="Arial" w:hAnsi="Arial" w:cs="Arial"/>
                <w:noProof/>
                <w:sz w:val="20"/>
                <w:lang w:eastAsia="cs-CZ"/>
              </w:rPr>
              <w:drawing>
                <wp:inline distT="0" distB="0" distL="0" distR="0">
                  <wp:extent cx="3003176" cy="2330824"/>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5455" cy="2332593"/>
                          </a:xfrm>
                          <a:prstGeom prst="rect">
                            <a:avLst/>
                          </a:prstGeom>
                          <a:noFill/>
                        </pic:spPr>
                      </pic:pic>
                    </a:graphicData>
                  </a:graphic>
                </wp:inline>
              </w:drawing>
            </w:r>
          </w:p>
        </w:tc>
      </w:tr>
      <w:tr w:rsidR="00C53D82" w:rsidRPr="005215EF" w:rsidTr="00ED2CA5">
        <w:tblPrEx>
          <w:tblCellMar>
            <w:left w:w="70" w:type="dxa"/>
            <w:right w:w="70" w:type="dxa"/>
          </w:tblCellMar>
          <w:tblLook w:val="0000"/>
        </w:tblPrEx>
        <w:trPr>
          <w:gridBefore w:val="1"/>
          <w:gridAfter w:val="1"/>
          <w:wBefore w:w="19" w:type="pct"/>
          <w:wAfter w:w="19" w:type="pct"/>
        </w:trPr>
        <w:tc>
          <w:tcPr>
            <w:tcW w:w="401" w:type="pct"/>
          </w:tcPr>
          <w:p w:rsidR="00C53D82" w:rsidRPr="00953AEF" w:rsidRDefault="00C53D82" w:rsidP="008B1A8A">
            <w:pPr>
              <w:rPr>
                <w:color w:val="FF0000"/>
              </w:rPr>
            </w:pPr>
          </w:p>
        </w:tc>
        <w:tc>
          <w:tcPr>
            <w:tcW w:w="2097" w:type="pct"/>
            <w:gridSpan w:val="4"/>
          </w:tcPr>
          <w:p w:rsidR="00C53D82" w:rsidRPr="009E3710" w:rsidRDefault="00C53D82" w:rsidP="008B1A8A">
            <w:pPr>
              <w:rPr>
                <w:b/>
              </w:rPr>
            </w:pPr>
          </w:p>
        </w:tc>
        <w:tc>
          <w:tcPr>
            <w:tcW w:w="400" w:type="pct"/>
          </w:tcPr>
          <w:p w:rsidR="00C53D82" w:rsidRPr="00953AEF" w:rsidRDefault="00C53D82" w:rsidP="008B1A8A">
            <w:pPr>
              <w:rPr>
                <w:color w:val="FF0000"/>
              </w:rPr>
            </w:pPr>
          </w:p>
        </w:tc>
        <w:tc>
          <w:tcPr>
            <w:tcW w:w="2064" w:type="pct"/>
            <w:gridSpan w:val="2"/>
          </w:tcPr>
          <w:p w:rsidR="00C53D82" w:rsidRPr="00801FDD" w:rsidRDefault="00C53D82" w:rsidP="00463F4D">
            <w:pPr>
              <w:rPr>
                <w:sz w:val="18"/>
                <w:szCs w:val="18"/>
              </w:rPr>
            </w:pPr>
            <w:r w:rsidRPr="005215EF">
              <w:rPr>
                <w:b/>
                <w:sz w:val="18"/>
                <w:szCs w:val="18"/>
              </w:rPr>
              <w:t xml:space="preserve">                                              </w:t>
            </w:r>
            <w:r>
              <w:rPr>
                <w:b/>
                <w:sz w:val="18"/>
                <w:szCs w:val="18"/>
              </w:rPr>
              <w:t xml:space="preserve">        </w:t>
            </w:r>
            <w:r w:rsidRPr="005215EF">
              <w:rPr>
                <w:b/>
                <w:sz w:val="18"/>
                <w:szCs w:val="18"/>
              </w:rPr>
              <w:t xml:space="preserve"> </w:t>
            </w:r>
            <w:r w:rsidRPr="00801FDD">
              <w:rPr>
                <w:sz w:val="18"/>
                <w:szCs w:val="18"/>
              </w:rPr>
              <w:t>Zdroj: ČSÚ</w:t>
            </w:r>
          </w:p>
        </w:tc>
      </w:tr>
    </w:tbl>
    <w:p w:rsidR="00463F4D" w:rsidRDefault="00463F4D" w:rsidP="005513D5"/>
    <w:p w:rsidR="00BF3DF1" w:rsidRPr="00FA1C6C" w:rsidRDefault="0088733A" w:rsidP="00F4591F">
      <w:pPr>
        <w:pStyle w:val="Nadpis1"/>
        <w:numPr>
          <w:ilvl w:val="0"/>
          <w:numId w:val="30"/>
        </w:numPr>
        <w:jc w:val="both"/>
      </w:pPr>
      <w:bookmarkStart w:id="10" w:name="_Toc414264327"/>
      <w:r>
        <w:t>Státní rozpočet</w:t>
      </w:r>
      <w:bookmarkEnd w:id="10"/>
    </w:p>
    <w:tbl>
      <w:tblPr>
        <w:tblW w:w="5021" w:type="pct"/>
        <w:tblLayout w:type="fixed"/>
        <w:tblLook w:val="00A0"/>
      </w:tblPr>
      <w:tblGrid>
        <w:gridCol w:w="79"/>
        <w:gridCol w:w="738"/>
        <w:gridCol w:w="1259"/>
        <w:gridCol w:w="281"/>
        <w:gridCol w:w="2549"/>
        <w:gridCol w:w="22"/>
        <w:gridCol w:w="710"/>
        <w:gridCol w:w="4213"/>
        <w:gridCol w:w="38"/>
        <w:gridCol w:w="6"/>
      </w:tblGrid>
      <w:tr w:rsidR="000B3F02" w:rsidRPr="007D44C3" w:rsidTr="0072704A">
        <w:trPr>
          <w:gridAfter w:val="2"/>
          <w:wAfter w:w="22" w:type="pct"/>
        </w:trPr>
        <w:tc>
          <w:tcPr>
            <w:tcW w:w="1049" w:type="pct"/>
            <w:gridSpan w:val="3"/>
          </w:tcPr>
          <w:p w:rsidR="000B3F02" w:rsidRDefault="000B3F02" w:rsidP="006C559A">
            <w:pPr>
              <w:spacing w:line="240" w:lineRule="auto"/>
              <w:rPr>
                <w:spacing w:val="-2"/>
                <w:sz w:val="16"/>
                <w:szCs w:val="16"/>
              </w:rPr>
            </w:pPr>
            <w:r>
              <w:rPr>
                <w:spacing w:val="-2"/>
                <w:sz w:val="16"/>
                <w:szCs w:val="16"/>
              </w:rPr>
              <w:t xml:space="preserve">Hloubka deficitu státního rozpočtu se snížila již popáté v řadě. Absolutní výše schodku byla v roce 2014 čtvrtá </w:t>
            </w:r>
            <w:r w:rsidRPr="0032109A">
              <w:rPr>
                <w:spacing w:val="-2"/>
                <w:sz w:val="16"/>
                <w:szCs w:val="16"/>
              </w:rPr>
              <w:t xml:space="preserve">nejnižší od </w:t>
            </w:r>
            <w:r w:rsidR="008336D8">
              <w:rPr>
                <w:spacing w:val="-2"/>
                <w:sz w:val="16"/>
                <w:szCs w:val="16"/>
              </w:rPr>
              <w:t>roku 2003</w:t>
            </w:r>
          </w:p>
          <w:p w:rsidR="000B3F02" w:rsidRDefault="000B3F02" w:rsidP="006C559A">
            <w:pPr>
              <w:spacing w:line="240" w:lineRule="auto"/>
              <w:rPr>
                <w:spacing w:val="-2"/>
                <w:sz w:val="16"/>
                <w:szCs w:val="16"/>
              </w:rPr>
            </w:pPr>
          </w:p>
          <w:p w:rsidR="000B3F02" w:rsidRDefault="000B3F02" w:rsidP="006C559A">
            <w:pPr>
              <w:spacing w:line="240" w:lineRule="auto"/>
              <w:rPr>
                <w:spacing w:val="-2"/>
                <w:sz w:val="16"/>
                <w:szCs w:val="16"/>
              </w:rPr>
            </w:pPr>
          </w:p>
          <w:p w:rsidR="000B3F02" w:rsidRDefault="000B3F02" w:rsidP="006C559A">
            <w:pPr>
              <w:spacing w:line="240" w:lineRule="auto"/>
              <w:rPr>
                <w:spacing w:val="-2"/>
                <w:sz w:val="16"/>
                <w:szCs w:val="16"/>
              </w:rPr>
            </w:pPr>
          </w:p>
          <w:p w:rsidR="000B3F02" w:rsidRDefault="000B3F02" w:rsidP="006C559A">
            <w:pPr>
              <w:spacing w:line="240" w:lineRule="auto"/>
              <w:rPr>
                <w:spacing w:val="-2"/>
                <w:sz w:val="16"/>
                <w:szCs w:val="16"/>
              </w:rPr>
            </w:pPr>
          </w:p>
          <w:p w:rsidR="000B3F02" w:rsidRDefault="000B3F02" w:rsidP="006C559A">
            <w:pPr>
              <w:spacing w:line="240" w:lineRule="auto"/>
              <w:rPr>
                <w:spacing w:val="-2"/>
                <w:sz w:val="16"/>
                <w:szCs w:val="16"/>
              </w:rPr>
            </w:pPr>
            <w:r>
              <w:rPr>
                <w:spacing w:val="-2"/>
                <w:sz w:val="16"/>
                <w:szCs w:val="16"/>
              </w:rPr>
              <w:t>Větší rozkolísanost příjmů</w:t>
            </w:r>
          </w:p>
          <w:p w:rsidR="000B3F02" w:rsidRDefault="000B3F02" w:rsidP="006C559A">
            <w:pPr>
              <w:spacing w:line="240" w:lineRule="auto"/>
              <w:rPr>
                <w:spacing w:val="-2"/>
                <w:sz w:val="16"/>
                <w:szCs w:val="16"/>
              </w:rPr>
            </w:pPr>
            <w:r>
              <w:rPr>
                <w:spacing w:val="-2"/>
                <w:sz w:val="16"/>
                <w:szCs w:val="16"/>
              </w:rPr>
              <w:t>i výdajů v průběhu roku vlivem toku nepřímých daní a také investičních výdajů</w:t>
            </w:r>
          </w:p>
          <w:p w:rsidR="000B3F02" w:rsidRDefault="000B3F02" w:rsidP="006C559A">
            <w:pPr>
              <w:spacing w:line="240" w:lineRule="auto"/>
              <w:rPr>
                <w:spacing w:val="-2"/>
                <w:sz w:val="16"/>
                <w:szCs w:val="16"/>
              </w:rPr>
            </w:pPr>
          </w:p>
        </w:tc>
        <w:tc>
          <w:tcPr>
            <w:tcW w:w="142" w:type="pct"/>
          </w:tcPr>
          <w:p w:rsidR="000B3F02" w:rsidRDefault="000B3F02" w:rsidP="008B7306">
            <w:pPr>
              <w:pStyle w:val="Textpoznpodarou"/>
              <w:jc w:val="both"/>
            </w:pPr>
          </w:p>
        </w:tc>
        <w:tc>
          <w:tcPr>
            <w:tcW w:w="3787" w:type="pct"/>
            <w:gridSpan w:val="4"/>
          </w:tcPr>
          <w:p w:rsidR="000B3F02" w:rsidRDefault="000B3F02" w:rsidP="00ED2CA5">
            <w:pPr>
              <w:pStyle w:val="Textpoznpodarou"/>
              <w:jc w:val="both"/>
              <w:rPr>
                <w:rFonts w:cs="Arial"/>
                <w:color w:val="000000" w:themeColor="text1"/>
                <w:spacing w:val="-4"/>
              </w:rPr>
            </w:pPr>
            <w:r w:rsidRPr="00ED2CA5">
              <w:rPr>
                <w:rFonts w:cs="Arial"/>
                <w:spacing w:val="-4"/>
              </w:rPr>
              <w:t>Výsledky hospodaření státu během roku 2014 ovlivnily vedle dlouhodobějších snah</w:t>
            </w:r>
            <w:r w:rsidR="008336D8" w:rsidRPr="00ED2CA5">
              <w:rPr>
                <w:rFonts w:cs="Arial"/>
                <w:spacing w:val="-4"/>
              </w:rPr>
              <w:t xml:space="preserve"> o</w:t>
            </w:r>
            <w:r w:rsidRPr="00ED2CA5">
              <w:rPr>
                <w:rFonts w:cs="Arial"/>
                <w:spacing w:val="-4"/>
              </w:rPr>
              <w:t xml:space="preserve"> fiskální konsolidaci zejména postupné oživování ekonomiky a významně též rekordní čerpání z rozpočtu EU (v souvislosti s končícím programovacím obdobím). Hospodaření státu v roce 2014 skončilo (dle pokladního plnění) nejnižším schodkem (-77,8 mld. korun) od počátku hluboké hospodářské recese. Výše deficitu byla sice meziročně příznivější „jen“ o 3,5 mld. korun, avšak proti schválenému schodku na rok 2014 byla nižší bezmála o třetinu (v předchozím roce o pětinu). O</w:t>
            </w:r>
            <w:r w:rsidR="008336D8" w:rsidRPr="00ED2CA5">
              <w:rPr>
                <w:rFonts w:cs="Arial"/>
                <w:spacing w:val="-4"/>
              </w:rPr>
              <w:t> </w:t>
            </w:r>
            <w:r w:rsidRPr="00ED2CA5">
              <w:rPr>
                <w:rFonts w:cs="Arial"/>
                <w:spacing w:val="-4"/>
              </w:rPr>
              <w:t>meziročně mělčí deficit se zasloužil vývoj v první polovině roku, kdy stát hospodařil dokonce s mírným přebytkem. Větší rozkolísanost během roku způsobily nejen kumulace investičních výdajů na konci roku či nepravidelnosti v čerpání prostředků z rozpočtu EU, ale i vysoké inkaso nepřímých daní na počátku roku</w:t>
            </w:r>
            <w:r w:rsidRPr="00ED2CA5">
              <w:rPr>
                <w:rStyle w:val="Znakapoznpodarou"/>
                <w:rFonts w:cs="Arial"/>
                <w:spacing w:val="-4"/>
              </w:rPr>
              <w:footnoteReference w:id="9"/>
            </w:r>
            <w:r w:rsidRPr="00ED2CA5">
              <w:rPr>
                <w:rFonts w:cs="Arial"/>
                <w:spacing w:val="-4"/>
              </w:rPr>
              <w:t>.</w:t>
            </w:r>
            <w:r w:rsidRPr="00ED2CA5">
              <w:rPr>
                <w:rFonts w:cs="Arial"/>
                <w:color w:val="000000" w:themeColor="text1"/>
                <w:spacing w:val="-4"/>
              </w:rPr>
              <w:t xml:space="preserve"> Schodek státního rozpočtu</w:t>
            </w:r>
            <w:r w:rsidR="008336D8" w:rsidRPr="00ED2CA5">
              <w:rPr>
                <w:rFonts w:cs="Arial"/>
                <w:color w:val="000000" w:themeColor="text1"/>
                <w:spacing w:val="-4"/>
              </w:rPr>
              <w:t xml:space="preserve"> (SR)</w:t>
            </w:r>
            <w:r w:rsidRPr="00ED2CA5">
              <w:rPr>
                <w:rFonts w:cs="Arial"/>
                <w:color w:val="000000" w:themeColor="text1"/>
                <w:spacing w:val="-4"/>
              </w:rPr>
              <w:t xml:space="preserve"> v poměru k nominálnímu HDP se v roce 2014 zlepšil na 1,8 % (z loňských 2,0 %). Významně příznivější výsledek se od roku 2000 objevil jen v roce 2008 (-0,5 %).</w:t>
            </w:r>
          </w:p>
          <w:p w:rsidR="00055059" w:rsidRDefault="00055059" w:rsidP="00ED2CA5">
            <w:pPr>
              <w:pStyle w:val="Textpoznpodarou"/>
              <w:jc w:val="both"/>
              <w:rPr>
                <w:rFonts w:cs="Arial"/>
                <w:spacing w:val="-2"/>
                <w:sz w:val="16"/>
                <w:szCs w:val="14"/>
              </w:rPr>
            </w:pPr>
          </w:p>
        </w:tc>
      </w:tr>
      <w:tr w:rsidR="000B3F02" w:rsidRPr="007D44C3" w:rsidTr="0072704A">
        <w:trPr>
          <w:gridAfter w:val="2"/>
          <w:wAfter w:w="22" w:type="pct"/>
        </w:trPr>
        <w:tc>
          <w:tcPr>
            <w:tcW w:w="1049" w:type="pct"/>
            <w:gridSpan w:val="3"/>
          </w:tcPr>
          <w:p w:rsidR="000B3F02" w:rsidRPr="0072704A" w:rsidRDefault="0072704A" w:rsidP="006C559A">
            <w:pPr>
              <w:spacing w:line="240" w:lineRule="auto"/>
              <w:rPr>
                <w:spacing w:val="-4"/>
                <w:sz w:val="16"/>
                <w:szCs w:val="16"/>
              </w:rPr>
            </w:pPr>
            <w:r w:rsidRPr="0072704A">
              <w:rPr>
                <w:spacing w:val="-4"/>
                <w:sz w:val="16"/>
                <w:szCs w:val="16"/>
              </w:rPr>
              <w:t>Menší schodek b</w:t>
            </w:r>
            <w:r w:rsidR="00C60696" w:rsidRPr="0072704A">
              <w:rPr>
                <w:spacing w:val="-4"/>
                <w:sz w:val="16"/>
                <w:szCs w:val="16"/>
              </w:rPr>
              <w:t>yl</w:t>
            </w:r>
            <w:r w:rsidR="000B3F02" w:rsidRPr="0072704A">
              <w:rPr>
                <w:spacing w:val="-4"/>
                <w:sz w:val="16"/>
                <w:szCs w:val="16"/>
              </w:rPr>
              <w:t xml:space="preserve"> zajištěn nižším než rozpočtem očekávaným čerpáním sociálních dávek i úsporami u neinvestičních nákupů a vyšším inkasem DPH i </w:t>
            </w:r>
            <w:proofErr w:type="spellStart"/>
            <w:r w:rsidR="000B3F02" w:rsidRPr="0072704A">
              <w:rPr>
                <w:spacing w:val="-4"/>
                <w:sz w:val="16"/>
                <w:szCs w:val="16"/>
              </w:rPr>
              <w:t>korporátních</w:t>
            </w:r>
            <w:proofErr w:type="spellEnd"/>
            <w:r w:rsidR="000B3F02" w:rsidRPr="0072704A">
              <w:rPr>
                <w:spacing w:val="-4"/>
                <w:sz w:val="16"/>
                <w:szCs w:val="16"/>
              </w:rPr>
              <w:t xml:space="preserve"> daní</w:t>
            </w:r>
          </w:p>
        </w:tc>
        <w:tc>
          <w:tcPr>
            <w:tcW w:w="142" w:type="pct"/>
          </w:tcPr>
          <w:p w:rsidR="000B3F02" w:rsidRDefault="000B3F02" w:rsidP="008B7306">
            <w:pPr>
              <w:pStyle w:val="Textpoznpodarou"/>
              <w:jc w:val="both"/>
            </w:pPr>
          </w:p>
        </w:tc>
        <w:tc>
          <w:tcPr>
            <w:tcW w:w="3787" w:type="pct"/>
            <w:gridSpan w:val="4"/>
          </w:tcPr>
          <w:p w:rsidR="000B3F02" w:rsidRDefault="000B3F02" w:rsidP="008B7306">
            <w:pPr>
              <w:pStyle w:val="Textpoznpodarou"/>
              <w:jc w:val="both"/>
              <w:rPr>
                <w:rFonts w:cs="Arial"/>
                <w:spacing w:val="-2"/>
              </w:rPr>
            </w:pPr>
            <w:r>
              <w:rPr>
                <w:rFonts w:cs="Arial"/>
                <w:spacing w:val="-2"/>
              </w:rPr>
              <w:t>Meziročně příznivější výsledek</w:t>
            </w:r>
            <w:r w:rsidR="008336D8">
              <w:rPr>
                <w:rFonts w:cs="Arial"/>
                <w:spacing w:val="-2"/>
              </w:rPr>
              <w:t xml:space="preserve"> deficitu státního rozpočtu</w:t>
            </w:r>
            <w:r>
              <w:rPr>
                <w:rFonts w:cs="Arial"/>
                <w:spacing w:val="-2"/>
              </w:rPr>
              <w:t xml:space="preserve"> se zasloužil předstih růstu příjmů (meziročně +3,8</w:t>
            </w:r>
            <w:r>
              <w:rPr>
                <w:spacing w:val="-2"/>
              </w:rPr>
              <w:t> </w:t>
            </w:r>
            <w:r>
              <w:rPr>
                <w:rFonts w:cs="Arial"/>
                <w:spacing w:val="-2"/>
              </w:rPr>
              <w:t xml:space="preserve">%) nad výdaji (+3,3 %). Na nižším než plánovaném schodku se podílely zejména inkaso DPH (překročení rozpočtu o 11,5 </w:t>
            </w:r>
            <w:proofErr w:type="spellStart"/>
            <w:r>
              <w:rPr>
                <w:rFonts w:cs="Arial"/>
                <w:spacing w:val="-2"/>
              </w:rPr>
              <w:t>mld</w:t>
            </w:r>
            <w:proofErr w:type="spellEnd"/>
            <w:r>
              <w:rPr>
                <w:rFonts w:cs="Arial"/>
                <w:spacing w:val="-2"/>
              </w:rPr>
              <w:t xml:space="preserve">,. </w:t>
            </w:r>
            <w:proofErr w:type="gramStart"/>
            <w:r>
              <w:rPr>
                <w:rFonts w:cs="Arial"/>
                <w:spacing w:val="-2"/>
              </w:rPr>
              <w:t>korun</w:t>
            </w:r>
            <w:proofErr w:type="gramEnd"/>
            <w:r>
              <w:rPr>
                <w:rFonts w:cs="Arial"/>
                <w:spacing w:val="-2"/>
              </w:rPr>
              <w:t xml:space="preserve">) a daně od korporací (+7,0 mld. korun), na výdajové straně pak úspora neinvestičních nákupů (vč. výdajů na státní dluh), nenaplněny zůstaly i očekávané výdaje na sociální dávky (-7,5 mld. korun). </w:t>
            </w:r>
          </w:p>
          <w:p w:rsidR="000B3F02" w:rsidRPr="0039066E" w:rsidRDefault="000B3F02" w:rsidP="008B7306">
            <w:pPr>
              <w:pStyle w:val="Textpoznpodarou"/>
              <w:spacing w:line="216" w:lineRule="auto"/>
              <w:jc w:val="both"/>
              <w:rPr>
                <w:rFonts w:cs="Arial"/>
                <w:spacing w:val="-2"/>
                <w:sz w:val="10"/>
                <w:szCs w:val="10"/>
              </w:rPr>
            </w:pPr>
          </w:p>
        </w:tc>
      </w:tr>
      <w:tr w:rsidR="000B3F02" w:rsidRPr="007D44C3" w:rsidTr="0072704A">
        <w:trPr>
          <w:gridAfter w:val="2"/>
          <w:wAfter w:w="22" w:type="pct"/>
        </w:trPr>
        <w:tc>
          <w:tcPr>
            <w:tcW w:w="1049" w:type="pct"/>
            <w:gridSpan w:val="3"/>
          </w:tcPr>
          <w:p w:rsidR="000B3F02" w:rsidRDefault="000B3F02" w:rsidP="006C559A">
            <w:pPr>
              <w:spacing w:line="240" w:lineRule="auto"/>
              <w:rPr>
                <w:sz w:val="16"/>
                <w:szCs w:val="16"/>
              </w:rPr>
            </w:pPr>
            <w:r>
              <w:rPr>
                <w:sz w:val="16"/>
                <w:szCs w:val="16"/>
              </w:rPr>
              <w:lastRenderedPageBreak/>
              <w:t>Inkaso DPH meziročně vzrostlo více než dvojnásobným tempem oproti růstu celkové spotřeby v ekonomice</w:t>
            </w:r>
          </w:p>
          <w:p w:rsidR="000B3F02" w:rsidRDefault="000B3F02" w:rsidP="006C559A">
            <w:pPr>
              <w:spacing w:line="240" w:lineRule="auto"/>
              <w:rPr>
                <w:sz w:val="16"/>
                <w:szCs w:val="16"/>
              </w:rPr>
            </w:pPr>
          </w:p>
          <w:p w:rsidR="000B3F02" w:rsidRDefault="000B3F02" w:rsidP="006C559A">
            <w:pPr>
              <w:spacing w:line="240" w:lineRule="auto"/>
              <w:rPr>
                <w:sz w:val="16"/>
                <w:szCs w:val="16"/>
              </w:rPr>
            </w:pPr>
          </w:p>
          <w:p w:rsidR="000B3F02" w:rsidRDefault="000B3F02" w:rsidP="006C559A">
            <w:pPr>
              <w:spacing w:line="240" w:lineRule="auto"/>
              <w:rPr>
                <w:sz w:val="16"/>
                <w:szCs w:val="16"/>
              </w:rPr>
            </w:pPr>
            <w:r>
              <w:rPr>
                <w:sz w:val="16"/>
                <w:szCs w:val="16"/>
              </w:rPr>
              <w:t>U hlavních druhů spotřebních daní zůstal výběr za rozpočtovým očekáváním</w:t>
            </w:r>
          </w:p>
        </w:tc>
        <w:tc>
          <w:tcPr>
            <w:tcW w:w="142" w:type="pct"/>
          </w:tcPr>
          <w:p w:rsidR="000B3F02" w:rsidRDefault="000B3F02" w:rsidP="008B7306">
            <w:pPr>
              <w:pStyle w:val="Textpoznpodarou"/>
              <w:jc w:val="both"/>
            </w:pPr>
          </w:p>
        </w:tc>
        <w:tc>
          <w:tcPr>
            <w:tcW w:w="3787" w:type="pct"/>
            <w:gridSpan w:val="4"/>
          </w:tcPr>
          <w:p w:rsidR="000B3F02" w:rsidRPr="00955E5F" w:rsidRDefault="000B3F02" w:rsidP="008B7306">
            <w:pPr>
              <w:pStyle w:val="Textpoznpodarou"/>
              <w:jc w:val="both"/>
              <w:rPr>
                <w:rFonts w:cs="Arial"/>
                <w:spacing w:val="-2"/>
              </w:rPr>
            </w:pPr>
            <w:r w:rsidRPr="004745D9">
              <w:rPr>
                <w:rFonts w:cs="Arial"/>
                <w:spacing w:val="-2"/>
              </w:rPr>
              <w:t>K vyšším meziročním</w:t>
            </w:r>
            <w:r>
              <w:rPr>
                <w:rFonts w:cs="Arial"/>
                <w:spacing w:val="-2"/>
              </w:rPr>
              <w:t xml:space="preserve"> </w:t>
            </w:r>
            <w:r w:rsidRPr="004745D9">
              <w:rPr>
                <w:rFonts w:cs="Arial"/>
                <w:spacing w:val="-2"/>
              </w:rPr>
              <w:t xml:space="preserve">příjmům </w:t>
            </w:r>
            <w:r>
              <w:rPr>
                <w:rFonts w:cs="Arial"/>
                <w:spacing w:val="-2"/>
              </w:rPr>
              <w:t xml:space="preserve">SR téměř polovinou přispěly váhově dominantní daňové příjmy (+18,8 mld. korun). Pozitivně působil i výběr pojistného na sociální zabezpečení (+10,6 mld. korun), jakož i příjmy mimo daňovou oblast (+12,6 mld. korun) podpořené intenzivním čerpáním </w:t>
            </w:r>
            <w:r w:rsidRPr="00483053">
              <w:rPr>
                <w:rFonts w:cs="Arial"/>
                <w:spacing w:val="-4"/>
              </w:rPr>
              <w:t>z rozpočtu EU a též některými</w:t>
            </w:r>
            <w:r>
              <w:rPr>
                <w:rFonts w:cs="Arial"/>
                <w:spacing w:val="-2"/>
              </w:rPr>
              <w:t xml:space="preserve"> mimořádnými příjmy</w:t>
            </w:r>
            <w:r>
              <w:rPr>
                <w:rStyle w:val="Znakapoznpodarou"/>
                <w:rFonts w:cs="Arial"/>
                <w:spacing w:val="-2"/>
              </w:rPr>
              <w:footnoteReference w:id="10"/>
            </w:r>
            <w:r>
              <w:rPr>
                <w:rFonts w:cs="Arial"/>
                <w:spacing w:val="-2"/>
              </w:rPr>
              <w:t>. Klíčovou položkou pro růst příjmů SR byla v roce 2014 DPH, jejíž celostátní výběr meziročně posílil o 4,7 %, čemuž vedle oživení ekonomiky přispěla i některá opatření v boji s daňovými úniky. Legislativními vlivy bylo naopak ovlivněno inkaso spotřebních daní</w:t>
            </w:r>
            <w:r>
              <w:rPr>
                <w:rStyle w:val="Znakapoznpodarou"/>
                <w:rFonts w:cs="Arial"/>
                <w:spacing w:val="-2"/>
              </w:rPr>
              <w:footnoteReference w:id="11"/>
            </w:r>
            <w:r>
              <w:rPr>
                <w:rFonts w:cs="Arial"/>
                <w:spacing w:val="-2"/>
              </w:rPr>
              <w:t>, které zejména v jejich důsledku zůstalo u všech hlavních položek za rozpočtovým očekáváním. SR získal ze spotřební daně u tabákových výrobků meziročně o 4,5 % méně, u váhově nejvýznamnější daně z minerálníc</w:t>
            </w:r>
            <w:r w:rsidR="00C60696">
              <w:rPr>
                <w:rFonts w:cs="Arial"/>
                <w:spacing w:val="-2"/>
              </w:rPr>
              <w:t xml:space="preserve">h olejů inkaso posílilo o 4,7 % </w:t>
            </w:r>
            <w:r>
              <w:rPr>
                <w:rFonts w:cs="Arial"/>
                <w:spacing w:val="-2"/>
              </w:rPr>
              <w:t>(tržby samotných prodejců PHM vzrostly nominálně o 2,1 %).</w:t>
            </w:r>
          </w:p>
          <w:p w:rsidR="000B3F02" w:rsidRDefault="000B3F02" w:rsidP="008B7306">
            <w:pPr>
              <w:pStyle w:val="Textpoznpodarou"/>
              <w:spacing w:line="216" w:lineRule="auto"/>
              <w:jc w:val="both"/>
              <w:rPr>
                <w:rFonts w:cs="Arial"/>
                <w:spacing w:val="-2"/>
                <w:sz w:val="16"/>
              </w:rPr>
            </w:pPr>
          </w:p>
        </w:tc>
      </w:tr>
      <w:tr w:rsidR="000B3F02" w:rsidRPr="007D44C3" w:rsidTr="0072704A">
        <w:trPr>
          <w:gridAfter w:val="2"/>
          <w:wAfter w:w="22" w:type="pct"/>
        </w:trPr>
        <w:tc>
          <w:tcPr>
            <w:tcW w:w="1049" w:type="pct"/>
            <w:gridSpan w:val="3"/>
          </w:tcPr>
          <w:p w:rsidR="000B3F02" w:rsidRDefault="000B3F02" w:rsidP="006C559A">
            <w:pPr>
              <w:spacing w:line="240" w:lineRule="auto"/>
              <w:rPr>
                <w:sz w:val="16"/>
                <w:szCs w:val="16"/>
              </w:rPr>
            </w:pPr>
            <w:r>
              <w:rPr>
                <w:sz w:val="16"/>
                <w:szCs w:val="16"/>
              </w:rPr>
              <w:t xml:space="preserve">Oživení ekonomiky se přetavilo do silného růstu inkasa </w:t>
            </w:r>
            <w:proofErr w:type="spellStart"/>
            <w:r>
              <w:rPr>
                <w:sz w:val="16"/>
                <w:szCs w:val="16"/>
              </w:rPr>
              <w:t>korporátních</w:t>
            </w:r>
            <w:proofErr w:type="spellEnd"/>
            <w:r>
              <w:rPr>
                <w:sz w:val="16"/>
                <w:szCs w:val="16"/>
              </w:rPr>
              <w:t xml:space="preserve"> daní, daně z příjmů fyzických osob (DPFO) ze závislé činnosti nenaplnily navzdory mírnému růstu rozpočtová očekávání </w:t>
            </w:r>
          </w:p>
        </w:tc>
        <w:tc>
          <w:tcPr>
            <w:tcW w:w="142" w:type="pct"/>
          </w:tcPr>
          <w:p w:rsidR="000B3F02" w:rsidRDefault="000B3F02" w:rsidP="008B7306">
            <w:pPr>
              <w:pStyle w:val="Textpoznpodarou"/>
              <w:jc w:val="both"/>
            </w:pPr>
          </w:p>
        </w:tc>
        <w:tc>
          <w:tcPr>
            <w:tcW w:w="3787" w:type="pct"/>
            <w:gridSpan w:val="4"/>
          </w:tcPr>
          <w:p w:rsidR="000B3F02" w:rsidRDefault="000B3F02" w:rsidP="008B7306">
            <w:pPr>
              <w:pStyle w:val="Textpoznpodarou"/>
              <w:jc w:val="both"/>
              <w:rPr>
                <w:rFonts w:cs="Arial"/>
                <w:spacing w:val="-4"/>
              </w:rPr>
            </w:pPr>
            <w:r>
              <w:rPr>
                <w:rFonts w:cs="Arial"/>
                <w:spacing w:val="-4"/>
              </w:rPr>
              <w:t xml:space="preserve">Zlepšená ekonomická situace firem zvedla celostátní výběr </w:t>
            </w:r>
            <w:proofErr w:type="spellStart"/>
            <w:r>
              <w:rPr>
                <w:rFonts w:cs="Arial"/>
                <w:spacing w:val="-4"/>
              </w:rPr>
              <w:t>korporátních</w:t>
            </w:r>
            <w:proofErr w:type="spellEnd"/>
            <w:r>
              <w:rPr>
                <w:rFonts w:cs="Arial"/>
                <w:spacing w:val="-4"/>
              </w:rPr>
              <w:t xml:space="preserve"> daní meziročně o desetinu (nejrychlejší růst od roku 2008). Naopak výběr daně z příjmů fyzických osob</w:t>
            </w:r>
            <w:r w:rsidRPr="00FE3510">
              <w:rPr>
                <w:rFonts w:cs="Arial"/>
                <w:spacing w:val="-4"/>
              </w:rPr>
              <w:t xml:space="preserve"> ze závislé činnosti</w:t>
            </w:r>
            <w:r>
              <w:rPr>
                <w:rFonts w:cs="Arial"/>
                <w:spacing w:val="-4"/>
              </w:rPr>
              <w:t xml:space="preserve"> </w:t>
            </w:r>
            <w:r w:rsidRPr="0009191B">
              <w:rPr>
                <w:rFonts w:cs="Arial"/>
                <w:spacing w:val="-6"/>
              </w:rPr>
              <w:t>(+3,8 %)</w:t>
            </w:r>
            <w:r>
              <w:rPr>
                <w:rFonts w:cs="Arial"/>
                <w:spacing w:val="-4"/>
              </w:rPr>
              <w:t xml:space="preserve"> zaostal nejen za loňskou dynamikou </w:t>
            </w:r>
            <w:r w:rsidRPr="0009191B">
              <w:rPr>
                <w:rFonts w:cs="Arial"/>
                <w:spacing w:val="-6"/>
              </w:rPr>
              <w:t>(+5,3</w:t>
            </w:r>
            <w:r>
              <w:rPr>
                <w:rFonts w:cs="Arial"/>
                <w:spacing w:val="-2"/>
              </w:rPr>
              <w:t> </w:t>
            </w:r>
            <w:r w:rsidRPr="0009191B">
              <w:rPr>
                <w:rFonts w:cs="Arial"/>
                <w:spacing w:val="-6"/>
              </w:rPr>
              <w:t>%),</w:t>
            </w:r>
            <w:r>
              <w:rPr>
                <w:rFonts w:cs="Arial"/>
                <w:spacing w:val="-4"/>
              </w:rPr>
              <w:t xml:space="preserve"> ale i za rozpočtovým očekáváním. Do růstových temp inkasa se promítá dosud velmi umírněný růst mezd i</w:t>
            </w:r>
            <w:r w:rsidR="00C60696">
              <w:rPr>
                <w:rFonts w:cs="Arial"/>
                <w:spacing w:val="-4"/>
              </w:rPr>
              <w:t xml:space="preserve"> zaměstnanosti a také navrácení</w:t>
            </w:r>
            <w:r>
              <w:rPr>
                <w:rFonts w:cs="Arial"/>
                <w:spacing w:val="-4"/>
              </w:rPr>
              <w:t xml:space="preserve"> základní slevy na dani pro pracující důchodce. Přesto se celostátní výběr daní od zaměstnanců za </w:t>
            </w:r>
            <w:r w:rsidR="00A96463">
              <w:rPr>
                <w:rFonts w:cs="Arial"/>
                <w:spacing w:val="-4"/>
              </w:rPr>
              <w:t xml:space="preserve">celý rok 2014 </w:t>
            </w:r>
            <w:r>
              <w:rPr>
                <w:rFonts w:cs="Arial"/>
                <w:spacing w:val="-4"/>
              </w:rPr>
              <w:t>nacházel o sedminu nad úrovní vrcholu konjunktury (rok 2008), naopak u korporací byl o více než čtvrtinu nižší (vedle dopadů recese na zisky firem byl tlumen i opakovaným snižováním daňové sazby). O sedminu vyšší bylo v roce 2014 meziročně i inkaso z DPFO z kapitálových výnosů.</w:t>
            </w:r>
          </w:p>
          <w:p w:rsidR="000B3F02" w:rsidRDefault="000B3F02" w:rsidP="008B7306">
            <w:pPr>
              <w:pStyle w:val="Textpoznpodarou"/>
              <w:spacing w:line="216" w:lineRule="auto"/>
              <w:jc w:val="both"/>
              <w:rPr>
                <w:rFonts w:cs="Arial"/>
                <w:spacing w:val="-2"/>
                <w:sz w:val="16"/>
              </w:rPr>
            </w:pPr>
          </w:p>
        </w:tc>
      </w:tr>
      <w:tr w:rsidR="000B3F02" w:rsidRPr="007D44C3" w:rsidTr="0072704A">
        <w:trPr>
          <w:gridAfter w:val="2"/>
          <w:wAfter w:w="22" w:type="pct"/>
        </w:trPr>
        <w:tc>
          <w:tcPr>
            <w:tcW w:w="1049" w:type="pct"/>
            <w:gridSpan w:val="3"/>
          </w:tcPr>
          <w:p w:rsidR="000B3F02" w:rsidRDefault="00C60696" w:rsidP="006C559A">
            <w:pPr>
              <w:spacing w:line="240" w:lineRule="auto"/>
              <w:rPr>
                <w:sz w:val="16"/>
                <w:szCs w:val="16"/>
              </w:rPr>
            </w:pPr>
            <w:r>
              <w:rPr>
                <w:sz w:val="16"/>
                <w:szCs w:val="16"/>
              </w:rPr>
              <w:t>Celkové</w:t>
            </w:r>
            <w:r w:rsidR="000B3F02">
              <w:rPr>
                <w:sz w:val="16"/>
                <w:szCs w:val="16"/>
              </w:rPr>
              <w:t xml:space="preserve"> výdaje SR rostly meziročně nejvíce za posledních pět let, přesto zůstaly bezmála o 30 mld. pod rozpočtovým očekáváním</w:t>
            </w:r>
          </w:p>
        </w:tc>
        <w:tc>
          <w:tcPr>
            <w:tcW w:w="142" w:type="pct"/>
          </w:tcPr>
          <w:p w:rsidR="000B3F02" w:rsidRDefault="000B3F02" w:rsidP="008B7306">
            <w:pPr>
              <w:pStyle w:val="Textpoznpodarou"/>
              <w:jc w:val="both"/>
            </w:pPr>
          </w:p>
        </w:tc>
        <w:tc>
          <w:tcPr>
            <w:tcW w:w="3787" w:type="pct"/>
            <w:gridSpan w:val="4"/>
          </w:tcPr>
          <w:p w:rsidR="000B3F02" w:rsidRDefault="000B3F02" w:rsidP="008B7306">
            <w:pPr>
              <w:pStyle w:val="Textpoznpodarou"/>
              <w:jc w:val="both"/>
              <w:rPr>
                <w:rFonts w:cs="Arial"/>
                <w:spacing w:val="-4"/>
              </w:rPr>
            </w:pPr>
            <w:r>
              <w:rPr>
                <w:rFonts w:cs="Arial"/>
                <w:spacing w:val="-4"/>
              </w:rPr>
              <w:t>O meziroční růst celkových výdajů SR (+38,5 mld. korun) se ze tří čtvrtin zasloužily běžné výdaje (+2,7 %), soustavný pokles kapitálových výdajů se vlivem „finiše“ na sklonu roku 2014 po třech letech</w:t>
            </w:r>
            <w:r w:rsidR="00A96463">
              <w:rPr>
                <w:rFonts w:cs="Arial"/>
                <w:spacing w:val="-4"/>
              </w:rPr>
              <w:t xml:space="preserve"> zastavil (+9,8</w:t>
            </w:r>
            <w:r>
              <w:rPr>
                <w:rFonts w:cs="Arial"/>
                <w:spacing w:val="-4"/>
              </w:rPr>
              <w:t xml:space="preserve"> %). Čtyři pětiny investičních výdajů byly aloková</w:t>
            </w:r>
            <w:r w:rsidR="00C60696">
              <w:rPr>
                <w:rFonts w:cs="Arial"/>
                <w:spacing w:val="-4"/>
              </w:rPr>
              <w:t>ny na společné programy ČR a EU</w:t>
            </w:r>
            <w:r>
              <w:rPr>
                <w:rFonts w:cs="Arial"/>
                <w:spacing w:val="-4"/>
              </w:rPr>
              <w:t xml:space="preserve">. Na všech výdajích státu se </w:t>
            </w:r>
            <w:r w:rsidR="00C60696">
              <w:rPr>
                <w:rFonts w:cs="Arial"/>
                <w:spacing w:val="-4"/>
              </w:rPr>
              <w:t>v roce 2014</w:t>
            </w:r>
            <w:r>
              <w:rPr>
                <w:rFonts w:cs="Arial"/>
                <w:spacing w:val="-4"/>
              </w:rPr>
              <w:t xml:space="preserve"> investice podílely 9,3 %, o pětinu pod úrovní let 2009-10, ale stále více než v období těsně před vstupem ČR do EU</w:t>
            </w:r>
            <w:r>
              <w:rPr>
                <w:rFonts w:cs="Arial"/>
                <w:spacing w:val="-6"/>
              </w:rPr>
              <w:t xml:space="preserve"> (7-8</w:t>
            </w:r>
            <w:r w:rsidRPr="00012986">
              <w:rPr>
                <w:rFonts w:cs="Arial"/>
                <w:spacing w:val="-6"/>
              </w:rPr>
              <w:t xml:space="preserve"> %).</w:t>
            </w:r>
          </w:p>
          <w:p w:rsidR="000B3F02" w:rsidRDefault="000B3F02" w:rsidP="008B7306">
            <w:pPr>
              <w:pStyle w:val="Textpoznpodarou"/>
              <w:spacing w:line="216" w:lineRule="auto"/>
              <w:jc w:val="both"/>
              <w:rPr>
                <w:rFonts w:cs="Arial"/>
                <w:spacing w:val="-2"/>
                <w:sz w:val="16"/>
              </w:rPr>
            </w:pPr>
          </w:p>
        </w:tc>
      </w:tr>
      <w:tr w:rsidR="000B3F02" w:rsidRPr="007D44C3" w:rsidTr="0072704A">
        <w:trPr>
          <w:gridAfter w:val="2"/>
          <w:wAfter w:w="22" w:type="pct"/>
        </w:trPr>
        <w:tc>
          <w:tcPr>
            <w:tcW w:w="1049" w:type="pct"/>
            <w:gridSpan w:val="3"/>
          </w:tcPr>
          <w:p w:rsidR="000B3F02" w:rsidRDefault="000B3F02" w:rsidP="006C559A">
            <w:pPr>
              <w:spacing w:line="240" w:lineRule="auto"/>
              <w:rPr>
                <w:sz w:val="16"/>
                <w:szCs w:val="16"/>
              </w:rPr>
            </w:pPr>
            <w:r>
              <w:rPr>
                <w:sz w:val="16"/>
                <w:szCs w:val="16"/>
              </w:rPr>
              <w:t>Zastavení dalšího prohlubování schodku důchodového účtu zejména vlivem lepšího výběru pojistného (ten v roce 2014 poprvé po sedmi letech naplnil rozpočtová očekávání)</w:t>
            </w:r>
          </w:p>
        </w:tc>
        <w:tc>
          <w:tcPr>
            <w:tcW w:w="142" w:type="pct"/>
          </w:tcPr>
          <w:p w:rsidR="000B3F02" w:rsidRDefault="000B3F02" w:rsidP="008B7306">
            <w:pPr>
              <w:pStyle w:val="Textpoznpodarou"/>
              <w:jc w:val="both"/>
            </w:pPr>
          </w:p>
        </w:tc>
        <w:tc>
          <w:tcPr>
            <w:tcW w:w="3787" w:type="pct"/>
            <w:gridSpan w:val="4"/>
          </w:tcPr>
          <w:p w:rsidR="000B3F02" w:rsidRDefault="000B3F02" w:rsidP="008B7306">
            <w:pPr>
              <w:pStyle w:val="Textpoznpodarou"/>
              <w:jc w:val="both"/>
              <w:rPr>
                <w:rFonts w:cs="Arial"/>
                <w:spacing w:val="-4"/>
              </w:rPr>
            </w:pPr>
            <w:r>
              <w:rPr>
                <w:rFonts w:cs="Arial"/>
                <w:spacing w:val="-4"/>
              </w:rPr>
              <w:t>Objemově nejvýznamnější výdaje na důchody (v souladu s rozpočtovým očekáváním) meziročně mírně rostly (+0,8 %). Při nižším tempu valorizace ovlivňoval výši výdajů na důchody především počet jejich příjemců, jenž téměř deset čtvrtletí v řadě fakticky stagnuje. Zlepšení na trhu práce se odrazilo v růstu výběru sociálního pojištění na důchody, jehož dynamika během roku 2014 nadále posilovala. Deficit salda důchodového účtu (jako rozdíl mezi příjmy a výdaji na důchody ze SR) se dle předběžných údajů snížil na 45 mld. korun a zaznamenal meziročně největší pozitivní posun (snížení defic</w:t>
            </w:r>
            <w:r w:rsidR="00162853">
              <w:rPr>
                <w:rFonts w:cs="Arial"/>
                <w:spacing w:val="-4"/>
              </w:rPr>
              <w:t>itu o 5 mld. korun) od roku 2007</w:t>
            </w:r>
            <w:r>
              <w:rPr>
                <w:rFonts w:cs="Arial"/>
                <w:spacing w:val="-4"/>
              </w:rPr>
              <w:t>.</w:t>
            </w:r>
          </w:p>
          <w:p w:rsidR="000B3F02" w:rsidRDefault="000B3F02" w:rsidP="008B7306">
            <w:pPr>
              <w:pStyle w:val="Textpoznpodarou"/>
              <w:spacing w:line="216" w:lineRule="auto"/>
              <w:jc w:val="both"/>
              <w:rPr>
                <w:rFonts w:cs="Arial"/>
                <w:spacing w:val="-4"/>
                <w:sz w:val="16"/>
              </w:rPr>
            </w:pPr>
          </w:p>
        </w:tc>
      </w:tr>
      <w:tr w:rsidR="000B3F02" w:rsidRPr="007D44C3" w:rsidTr="0072704A">
        <w:trPr>
          <w:gridAfter w:val="2"/>
          <w:wAfter w:w="22" w:type="pct"/>
        </w:trPr>
        <w:tc>
          <w:tcPr>
            <w:tcW w:w="1049" w:type="pct"/>
            <w:gridSpan w:val="3"/>
          </w:tcPr>
          <w:p w:rsidR="000B3F02" w:rsidRDefault="000B3F02" w:rsidP="0072704A">
            <w:pPr>
              <w:spacing w:line="240" w:lineRule="auto"/>
              <w:rPr>
                <w:sz w:val="16"/>
                <w:szCs w:val="16"/>
              </w:rPr>
            </w:pPr>
            <w:r>
              <w:rPr>
                <w:sz w:val="16"/>
                <w:szCs w:val="16"/>
              </w:rPr>
              <w:t>Ostatní sociální dávky (bez důchodů) byly meziročně o 3,1 % vyšš</w:t>
            </w:r>
            <w:r w:rsidR="0072704A">
              <w:rPr>
                <w:sz w:val="16"/>
                <w:szCs w:val="16"/>
              </w:rPr>
              <w:t>í</w:t>
            </w:r>
          </w:p>
        </w:tc>
        <w:tc>
          <w:tcPr>
            <w:tcW w:w="142" w:type="pct"/>
          </w:tcPr>
          <w:p w:rsidR="000B3F02" w:rsidRDefault="000B3F02" w:rsidP="008B7306">
            <w:pPr>
              <w:pStyle w:val="Textpoznpodarou"/>
              <w:jc w:val="both"/>
            </w:pPr>
          </w:p>
        </w:tc>
        <w:tc>
          <w:tcPr>
            <w:tcW w:w="3787" w:type="pct"/>
            <w:gridSpan w:val="4"/>
          </w:tcPr>
          <w:p w:rsidR="000B3F02" w:rsidRDefault="000B3F02" w:rsidP="008B7306">
            <w:pPr>
              <w:pStyle w:val="Textpoznpodarou"/>
              <w:jc w:val="both"/>
              <w:rPr>
                <w:rFonts w:cs="Arial"/>
                <w:spacing w:val="-4"/>
              </w:rPr>
            </w:pPr>
            <w:r w:rsidRPr="00F00D0E">
              <w:rPr>
                <w:rFonts w:cs="Arial"/>
                <w:spacing w:val="-2"/>
              </w:rPr>
              <w:t xml:space="preserve">Výše všech sociálních dávek (bez důchodů) meziročně rostla (+3,1 %). Z významnějších položek poklesly </w:t>
            </w:r>
            <w:r>
              <w:rPr>
                <w:rFonts w:cs="Arial"/>
                <w:spacing w:val="-2"/>
              </w:rPr>
              <w:t>pouze</w:t>
            </w:r>
            <w:r w:rsidRPr="00F00D0E">
              <w:rPr>
                <w:rFonts w:cs="Arial"/>
                <w:spacing w:val="-2"/>
              </w:rPr>
              <w:t xml:space="preserve"> prostředky na podporu v nezaměstnanosti (-4 %),</w:t>
            </w:r>
            <w:r w:rsidRPr="00F00D0E">
              <w:rPr>
                <w:rFonts w:cs="Arial"/>
                <w:spacing w:val="-6"/>
              </w:rPr>
              <w:t xml:space="preserve"> </w:t>
            </w:r>
            <w:r>
              <w:rPr>
                <w:rFonts w:cs="Arial"/>
                <w:spacing w:val="-4"/>
              </w:rPr>
              <w:t xml:space="preserve">které na konci roku pobíral každý pátý registrovaný uchazeč. Na ostatních dávkách ale stát vydal více – zejména u dávek sociální péče (především pomoci v hmotné nouzi - za dva roky o </w:t>
            </w:r>
            <w:r w:rsidR="00A96463">
              <w:rPr>
                <w:rFonts w:cs="Arial"/>
                <w:spacing w:val="-4"/>
              </w:rPr>
              <w:t xml:space="preserve">téměř </w:t>
            </w:r>
            <w:r>
              <w:rPr>
                <w:rFonts w:cs="Arial"/>
                <w:spacing w:val="-4"/>
              </w:rPr>
              <w:t xml:space="preserve">polovinu více), </w:t>
            </w:r>
            <w:r w:rsidR="00A96463">
              <w:rPr>
                <w:rFonts w:cs="Arial"/>
                <w:spacing w:val="-4"/>
              </w:rPr>
              <w:t xml:space="preserve">dávek </w:t>
            </w:r>
            <w:r>
              <w:rPr>
                <w:rFonts w:cs="Arial"/>
                <w:spacing w:val="-4"/>
              </w:rPr>
              <w:t>nemocenské</w:t>
            </w:r>
            <w:r w:rsidR="00A96463">
              <w:rPr>
                <w:rFonts w:cs="Arial"/>
                <w:spacing w:val="-4"/>
              </w:rPr>
              <w:t>ho pojištění</w:t>
            </w:r>
            <w:r>
              <w:rPr>
                <w:rFonts w:cs="Arial"/>
                <w:spacing w:val="-4"/>
              </w:rPr>
              <w:t xml:space="preserve"> (+10 %), jakož i na objemově nejvýznamnější státní sociální podporu vč. pěstounské péče (+0,3 %), u níž rostly především příspěvky na bydlení (+19 %). Výdaje na všechny sociální dávky </w:t>
            </w:r>
            <w:r w:rsidR="00C60696">
              <w:rPr>
                <w:rFonts w:cs="Arial"/>
                <w:spacing w:val="-4"/>
              </w:rPr>
              <w:t>„</w:t>
            </w:r>
            <w:r>
              <w:rPr>
                <w:rFonts w:cs="Arial"/>
                <w:spacing w:val="-4"/>
              </w:rPr>
              <w:t>ukrojily</w:t>
            </w:r>
            <w:r w:rsidR="00C60696">
              <w:rPr>
                <w:rFonts w:cs="Arial"/>
                <w:spacing w:val="-4"/>
              </w:rPr>
              <w:t>“</w:t>
            </w:r>
            <w:r>
              <w:rPr>
                <w:rFonts w:cs="Arial"/>
                <w:spacing w:val="-4"/>
              </w:rPr>
              <w:t xml:space="preserve"> z rozpočtu 40,9 % (v roce 2013 o 0,8 </w:t>
            </w:r>
            <w:proofErr w:type="spellStart"/>
            <w:r>
              <w:rPr>
                <w:rFonts w:cs="Arial"/>
                <w:spacing w:val="-4"/>
              </w:rPr>
              <w:t>pb</w:t>
            </w:r>
            <w:proofErr w:type="spellEnd"/>
            <w:r>
              <w:rPr>
                <w:rFonts w:cs="Arial"/>
                <w:spacing w:val="-4"/>
              </w:rPr>
              <w:t xml:space="preserve">. více). </w:t>
            </w:r>
          </w:p>
          <w:p w:rsidR="000B3F02" w:rsidRDefault="000B3F02" w:rsidP="008B7306">
            <w:pPr>
              <w:pStyle w:val="Textpoznpodarou"/>
              <w:spacing w:line="216" w:lineRule="auto"/>
              <w:jc w:val="both"/>
              <w:rPr>
                <w:rFonts w:cs="Arial"/>
                <w:spacing w:val="-4"/>
                <w:sz w:val="16"/>
              </w:rPr>
            </w:pPr>
          </w:p>
        </w:tc>
      </w:tr>
      <w:tr w:rsidR="000B3F02" w:rsidRPr="0053017A" w:rsidTr="0072704A">
        <w:trPr>
          <w:gridAfter w:val="2"/>
          <w:wAfter w:w="22" w:type="pct"/>
        </w:trPr>
        <w:tc>
          <w:tcPr>
            <w:tcW w:w="1049" w:type="pct"/>
            <w:gridSpan w:val="3"/>
          </w:tcPr>
          <w:p w:rsidR="000B3F02" w:rsidRDefault="000B3F02" w:rsidP="006C559A">
            <w:pPr>
              <w:spacing w:line="240" w:lineRule="auto"/>
              <w:rPr>
                <w:sz w:val="16"/>
                <w:szCs w:val="16"/>
              </w:rPr>
            </w:pPr>
            <w:r>
              <w:rPr>
                <w:sz w:val="16"/>
                <w:szCs w:val="16"/>
              </w:rPr>
              <w:t>Od vstupu ČR do EU získala ČR doposud „v čistém“ 410 mld. korun, šestinu této částky v samotném roce 2014</w:t>
            </w:r>
          </w:p>
          <w:p w:rsidR="00593CA3" w:rsidRDefault="00593CA3" w:rsidP="006C559A">
            <w:pPr>
              <w:spacing w:line="240" w:lineRule="auto"/>
              <w:rPr>
                <w:sz w:val="16"/>
                <w:szCs w:val="16"/>
              </w:rPr>
            </w:pPr>
          </w:p>
          <w:p w:rsidR="00593CA3" w:rsidRDefault="00593CA3" w:rsidP="006C559A">
            <w:pPr>
              <w:spacing w:line="240" w:lineRule="auto"/>
              <w:rPr>
                <w:sz w:val="16"/>
                <w:szCs w:val="16"/>
              </w:rPr>
            </w:pPr>
          </w:p>
          <w:p w:rsidR="00593CA3" w:rsidRDefault="00593CA3" w:rsidP="006C559A">
            <w:pPr>
              <w:spacing w:line="240" w:lineRule="auto"/>
              <w:rPr>
                <w:sz w:val="16"/>
                <w:szCs w:val="16"/>
              </w:rPr>
            </w:pPr>
          </w:p>
          <w:p w:rsidR="0039066E" w:rsidRDefault="0039066E" w:rsidP="006C559A">
            <w:pPr>
              <w:spacing w:line="240" w:lineRule="auto"/>
              <w:rPr>
                <w:sz w:val="16"/>
                <w:szCs w:val="16"/>
              </w:rPr>
            </w:pPr>
          </w:p>
          <w:p w:rsidR="0039066E" w:rsidRDefault="0039066E" w:rsidP="006C559A">
            <w:pPr>
              <w:spacing w:line="240" w:lineRule="auto"/>
              <w:rPr>
                <w:sz w:val="16"/>
                <w:szCs w:val="16"/>
              </w:rPr>
            </w:pPr>
          </w:p>
          <w:p w:rsidR="00593CA3" w:rsidRDefault="00593CA3" w:rsidP="006C559A">
            <w:pPr>
              <w:spacing w:line="240" w:lineRule="auto"/>
              <w:rPr>
                <w:sz w:val="16"/>
                <w:szCs w:val="16"/>
              </w:rPr>
            </w:pPr>
            <w:r>
              <w:rPr>
                <w:sz w:val="16"/>
                <w:szCs w:val="16"/>
              </w:rPr>
              <w:lastRenderedPageBreak/>
              <w:t xml:space="preserve">Vlivem snížení zahraniční zadluženosti se státní dluh v roce 2014 snížil, poprvé od roku 1995 </w:t>
            </w:r>
          </w:p>
          <w:p w:rsidR="00593CA3" w:rsidRDefault="00593CA3" w:rsidP="006C559A">
            <w:pPr>
              <w:spacing w:line="240" w:lineRule="auto"/>
              <w:rPr>
                <w:sz w:val="16"/>
                <w:szCs w:val="16"/>
              </w:rPr>
            </w:pPr>
          </w:p>
          <w:p w:rsidR="000B3F02" w:rsidRDefault="000B3F02" w:rsidP="006C559A">
            <w:pPr>
              <w:spacing w:line="240" w:lineRule="auto"/>
              <w:rPr>
                <w:sz w:val="16"/>
                <w:szCs w:val="16"/>
              </w:rPr>
            </w:pPr>
          </w:p>
        </w:tc>
        <w:tc>
          <w:tcPr>
            <w:tcW w:w="142" w:type="pct"/>
          </w:tcPr>
          <w:p w:rsidR="000B3F02" w:rsidRDefault="000B3F02" w:rsidP="008B7306">
            <w:pPr>
              <w:pStyle w:val="Textpoznpodarou"/>
              <w:jc w:val="both"/>
            </w:pPr>
          </w:p>
        </w:tc>
        <w:tc>
          <w:tcPr>
            <w:tcW w:w="3787" w:type="pct"/>
            <w:gridSpan w:val="4"/>
          </w:tcPr>
          <w:p w:rsidR="000B3F02" w:rsidRDefault="000B3F02" w:rsidP="00C60696">
            <w:pPr>
              <w:pStyle w:val="Textpoznpodarou"/>
              <w:jc w:val="both"/>
              <w:rPr>
                <w:rFonts w:cs="Arial"/>
                <w:spacing w:val="-4"/>
              </w:rPr>
            </w:pPr>
            <w:r>
              <w:rPr>
                <w:rFonts w:cs="Arial"/>
                <w:spacing w:val="-4"/>
              </w:rPr>
              <w:t>Kladná čistá pozice ČR vůči rozpočtu EU dosáhla v roce 2014 výše 76 mld. korun a přiblížila se dosud rekordní úrovni roku 2013. Polovina příjmů pocházela z dlouhodobě nejvýznamnější skupiny - strukturálních fondů. Z pohledu příjmů ČR v minulých letech posiloval význam kohezní</w:t>
            </w:r>
            <w:r w:rsidR="00C60696">
              <w:rPr>
                <w:rFonts w:cs="Arial"/>
                <w:spacing w:val="-4"/>
              </w:rPr>
              <w:t>ch</w:t>
            </w:r>
            <w:r>
              <w:rPr>
                <w:rFonts w:cs="Arial"/>
                <w:spacing w:val="-4"/>
              </w:rPr>
              <w:t xml:space="preserve"> fondů na úkor prostředků na rozvoj venkova. Za roky 2004-2013 zaplatila ČR do rozpočtu EU 387 mld. korun a přijala z něj 798 mld. korun. </w:t>
            </w:r>
          </w:p>
          <w:p w:rsidR="0039066E" w:rsidRDefault="0039066E" w:rsidP="00C60696">
            <w:pPr>
              <w:pStyle w:val="Textpoznpodarou"/>
              <w:jc w:val="both"/>
              <w:rPr>
                <w:rFonts w:cs="Arial"/>
                <w:spacing w:val="-4"/>
              </w:rPr>
            </w:pPr>
          </w:p>
          <w:p w:rsidR="00593CA3" w:rsidRDefault="00593CA3" w:rsidP="00C60696">
            <w:pPr>
              <w:pStyle w:val="Textpoznpodarou"/>
              <w:jc w:val="both"/>
              <w:rPr>
                <w:rFonts w:cs="Arial"/>
                <w:spacing w:val="-4"/>
              </w:rPr>
            </w:pPr>
          </w:p>
          <w:p w:rsidR="008F7D28" w:rsidRPr="0032513D" w:rsidRDefault="00593CA3" w:rsidP="00CE617A">
            <w:pPr>
              <w:pStyle w:val="Textpoznpodarou"/>
              <w:jc w:val="both"/>
              <w:rPr>
                <w:rFonts w:cs="Arial"/>
                <w:spacing w:val="-4"/>
              </w:rPr>
            </w:pPr>
            <w:r>
              <w:rPr>
                <w:rFonts w:cs="Arial"/>
                <w:spacing w:val="-4"/>
              </w:rPr>
              <w:lastRenderedPageBreak/>
              <w:t>Celkový státní dluh se během roku 2014 mírně snížil (o 19,6 mld. korun) na 1 663 mld. korun. Šlo o první snížení zadlužení od roku 1995</w:t>
            </w:r>
            <w:r w:rsidR="00CE617A">
              <w:rPr>
                <w:rFonts w:cs="Arial"/>
                <w:spacing w:val="-4"/>
              </w:rPr>
              <w:t xml:space="preserve">. </w:t>
            </w:r>
            <w:r>
              <w:rPr>
                <w:rFonts w:cs="Arial"/>
                <w:spacing w:val="-4"/>
              </w:rPr>
              <w:t>Plných 82 % státního dluhu připadalo na konci roku 2014 na vnitřní zadluženost (jejíž výše meziročně vzrostla o 5,9 %)</w:t>
            </w:r>
            <w:r w:rsidR="00CE617A">
              <w:rPr>
                <w:rFonts w:cs="Arial"/>
                <w:spacing w:val="-4"/>
              </w:rPr>
              <w:t>.</w:t>
            </w:r>
          </w:p>
        </w:tc>
      </w:tr>
      <w:tr w:rsidR="0085281A" w:rsidTr="0072704A">
        <w:tblPrEx>
          <w:tblCellMar>
            <w:left w:w="28" w:type="dxa"/>
            <w:right w:w="28" w:type="dxa"/>
          </w:tblCellMar>
          <w:tblLook w:val="04A0"/>
        </w:tblPrEx>
        <w:trPr>
          <w:gridBefore w:val="1"/>
          <w:wBefore w:w="40" w:type="pct"/>
        </w:trPr>
        <w:tc>
          <w:tcPr>
            <w:tcW w:w="373" w:type="pct"/>
          </w:tcPr>
          <w:p w:rsidR="0085281A" w:rsidRDefault="0085281A" w:rsidP="00055059">
            <w:pPr>
              <w:spacing w:line="240" w:lineRule="auto"/>
            </w:pPr>
            <w:r>
              <w:lastRenderedPageBreak/>
              <w:t xml:space="preserve">Graf č. </w:t>
            </w:r>
            <w:r w:rsidR="00AA23FB">
              <w:t>19</w:t>
            </w:r>
          </w:p>
        </w:tc>
        <w:tc>
          <w:tcPr>
            <w:tcW w:w="2066" w:type="pct"/>
            <w:gridSpan w:val="3"/>
          </w:tcPr>
          <w:p w:rsidR="0085281A" w:rsidRDefault="0085281A" w:rsidP="00055059">
            <w:pPr>
              <w:spacing w:line="240" w:lineRule="auto"/>
              <w:rPr>
                <w:rFonts w:cs="Arial"/>
                <w:b/>
                <w:bCs/>
              </w:rPr>
            </w:pPr>
            <w:r>
              <w:rPr>
                <w:rFonts w:cs="Arial"/>
                <w:b/>
                <w:bCs/>
              </w:rPr>
              <w:t xml:space="preserve">Celostátní inkasa daňových příjmů </w:t>
            </w:r>
          </w:p>
          <w:p w:rsidR="0085281A" w:rsidRDefault="0085281A" w:rsidP="00055059">
            <w:pPr>
              <w:spacing w:line="240" w:lineRule="auto"/>
            </w:pPr>
            <w:r w:rsidRPr="008A3A85">
              <w:rPr>
                <w:rFonts w:cs="Arial"/>
                <w:bCs/>
              </w:rPr>
              <w:t>(y/y, v %)</w:t>
            </w:r>
            <w:r>
              <w:rPr>
                <w:rFonts w:cs="Arial"/>
                <w:bCs/>
              </w:rPr>
              <w:t xml:space="preserve"> </w:t>
            </w:r>
            <w:r>
              <w:rPr>
                <w:rFonts w:cs="Arial"/>
                <w:b/>
                <w:bCs/>
              </w:rPr>
              <w:t>a vývoj salda státního rozpočtu</w:t>
            </w:r>
            <w:r>
              <w:t xml:space="preserve"> </w:t>
            </w:r>
          </w:p>
          <w:p w:rsidR="0085281A" w:rsidRDefault="0085281A" w:rsidP="00055059">
            <w:pPr>
              <w:spacing w:line="240" w:lineRule="auto"/>
            </w:pPr>
            <w:r w:rsidRPr="00DB06E9">
              <w:rPr>
                <w:rFonts w:cs="Arial"/>
                <w:bCs/>
              </w:rPr>
              <w:t>(v mld. korun)</w:t>
            </w:r>
            <w:r>
              <w:rPr>
                <w:rFonts w:cs="Arial"/>
                <w:bCs/>
              </w:rPr>
              <w:t>, údaje za jednotlivá čtvrtletí</w:t>
            </w:r>
          </w:p>
        </w:tc>
        <w:tc>
          <w:tcPr>
            <w:tcW w:w="370" w:type="pct"/>
            <w:gridSpan w:val="2"/>
          </w:tcPr>
          <w:p w:rsidR="0085281A" w:rsidRDefault="0085281A" w:rsidP="00055059">
            <w:pPr>
              <w:spacing w:line="240" w:lineRule="auto"/>
            </w:pPr>
            <w:r>
              <w:t>Graf č. 2</w:t>
            </w:r>
            <w:r w:rsidR="00AA23FB">
              <w:t>0</w:t>
            </w:r>
          </w:p>
        </w:tc>
        <w:tc>
          <w:tcPr>
            <w:tcW w:w="2151" w:type="pct"/>
            <w:gridSpan w:val="3"/>
          </w:tcPr>
          <w:p w:rsidR="0085281A" w:rsidRPr="006F2BEE" w:rsidRDefault="0085281A" w:rsidP="00055059">
            <w:pPr>
              <w:spacing w:line="240" w:lineRule="auto"/>
              <w:rPr>
                <w:rFonts w:cs="Arial"/>
                <w:b/>
                <w:bCs/>
                <w:spacing w:val="-2"/>
              </w:rPr>
            </w:pPr>
            <w:r w:rsidRPr="006F2BEE">
              <w:rPr>
                <w:rFonts w:cs="Arial"/>
                <w:b/>
                <w:bCs/>
                <w:spacing w:val="-2"/>
              </w:rPr>
              <w:t xml:space="preserve">Počet všech příjemců důchodů, příjmy a výdaje na důchody ze státního rozpočtu </w:t>
            </w:r>
            <w:r w:rsidRPr="006F2BEE">
              <w:rPr>
                <w:rFonts w:cs="Arial"/>
                <w:bCs/>
                <w:spacing w:val="-2"/>
              </w:rPr>
              <w:t xml:space="preserve">(y/y, v %) </w:t>
            </w:r>
            <w:r w:rsidRPr="006F2BEE">
              <w:rPr>
                <w:rFonts w:cs="Arial"/>
                <w:b/>
                <w:bCs/>
                <w:spacing w:val="-2"/>
              </w:rPr>
              <w:t xml:space="preserve">a bilance důchod. </w:t>
            </w:r>
            <w:proofErr w:type="gramStart"/>
            <w:r w:rsidRPr="006F2BEE">
              <w:rPr>
                <w:rFonts w:cs="Arial"/>
                <w:b/>
                <w:bCs/>
                <w:spacing w:val="-2"/>
              </w:rPr>
              <w:t>účtu</w:t>
            </w:r>
            <w:proofErr w:type="gramEnd"/>
            <w:r w:rsidRPr="006F2BEE">
              <w:rPr>
                <w:rFonts w:cs="Arial"/>
                <w:b/>
                <w:bCs/>
                <w:spacing w:val="-2"/>
              </w:rPr>
              <w:t xml:space="preserve"> </w:t>
            </w:r>
            <w:r w:rsidRPr="006F2BEE">
              <w:rPr>
                <w:rFonts w:cs="Arial"/>
                <w:bCs/>
                <w:spacing w:val="-2"/>
              </w:rPr>
              <w:t>(v mld. korun)</w:t>
            </w:r>
          </w:p>
        </w:tc>
      </w:tr>
      <w:tr w:rsidR="0085281A" w:rsidTr="0072704A">
        <w:tblPrEx>
          <w:tblCellMar>
            <w:left w:w="28" w:type="dxa"/>
            <w:right w:w="28" w:type="dxa"/>
          </w:tblCellMar>
          <w:tblLook w:val="04A0"/>
        </w:tblPrEx>
        <w:trPr>
          <w:gridBefore w:val="1"/>
          <w:wBefore w:w="40" w:type="pct"/>
        </w:trPr>
        <w:tc>
          <w:tcPr>
            <w:tcW w:w="2439" w:type="pct"/>
            <w:gridSpan w:val="4"/>
          </w:tcPr>
          <w:p w:rsidR="0085281A" w:rsidRDefault="0085281A" w:rsidP="008B7306">
            <w:pPr>
              <w:pStyle w:val="Textpoznpodarou"/>
              <w:jc w:val="both"/>
            </w:pPr>
            <w:r>
              <w:rPr>
                <w:noProof/>
              </w:rPr>
              <w:drawing>
                <wp:inline distT="0" distB="0" distL="0" distR="0">
                  <wp:extent cx="3028950" cy="232410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2324100"/>
                          </a:xfrm>
                          <a:prstGeom prst="rect">
                            <a:avLst/>
                          </a:prstGeom>
                          <a:noFill/>
                          <a:ln>
                            <a:noFill/>
                          </a:ln>
                        </pic:spPr>
                      </pic:pic>
                    </a:graphicData>
                  </a:graphic>
                </wp:inline>
              </w:drawing>
            </w:r>
          </w:p>
        </w:tc>
        <w:tc>
          <w:tcPr>
            <w:tcW w:w="2521" w:type="pct"/>
            <w:gridSpan w:val="5"/>
          </w:tcPr>
          <w:p w:rsidR="0085281A" w:rsidRDefault="0085281A" w:rsidP="008B7306">
            <w:pPr>
              <w:pStyle w:val="Textpoznpodarou"/>
              <w:jc w:val="both"/>
            </w:pPr>
            <w:r>
              <w:rPr>
                <w:noProof/>
              </w:rPr>
              <w:drawing>
                <wp:inline distT="0" distB="0" distL="0" distR="0">
                  <wp:extent cx="3076575" cy="2324100"/>
                  <wp:effectExtent l="19050" t="0" r="9525"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6575" cy="2324100"/>
                          </a:xfrm>
                          <a:prstGeom prst="rect">
                            <a:avLst/>
                          </a:prstGeom>
                          <a:noFill/>
                          <a:ln>
                            <a:noFill/>
                          </a:ln>
                        </pic:spPr>
                      </pic:pic>
                    </a:graphicData>
                  </a:graphic>
                </wp:inline>
              </w:drawing>
            </w:r>
          </w:p>
        </w:tc>
      </w:tr>
      <w:tr w:rsidR="0085281A" w:rsidTr="0072704A">
        <w:tblPrEx>
          <w:tblCellMar>
            <w:left w:w="28" w:type="dxa"/>
            <w:right w:w="28" w:type="dxa"/>
          </w:tblCellMar>
          <w:tblLook w:val="04A0"/>
        </w:tblPrEx>
        <w:trPr>
          <w:gridBefore w:val="1"/>
          <w:wBefore w:w="40" w:type="pct"/>
          <w:trHeight w:val="74"/>
        </w:trPr>
        <w:tc>
          <w:tcPr>
            <w:tcW w:w="4960" w:type="pct"/>
            <w:gridSpan w:val="9"/>
          </w:tcPr>
          <w:p w:rsidR="0085281A" w:rsidRPr="0072704A" w:rsidRDefault="0085281A" w:rsidP="008B7306">
            <w:pPr>
              <w:pStyle w:val="Textpoznpodarou"/>
            </w:pPr>
          </w:p>
        </w:tc>
      </w:tr>
      <w:tr w:rsidR="0085281A" w:rsidTr="0072704A">
        <w:tblPrEx>
          <w:tblCellMar>
            <w:left w:w="28" w:type="dxa"/>
            <w:right w:w="28" w:type="dxa"/>
          </w:tblCellMar>
          <w:tblLook w:val="04A0"/>
        </w:tblPrEx>
        <w:trPr>
          <w:gridBefore w:val="1"/>
          <w:gridAfter w:val="1"/>
          <w:wBefore w:w="40" w:type="pct"/>
          <w:wAfter w:w="3" w:type="pct"/>
        </w:trPr>
        <w:tc>
          <w:tcPr>
            <w:tcW w:w="373" w:type="pct"/>
          </w:tcPr>
          <w:p w:rsidR="0085281A" w:rsidRDefault="0085281A" w:rsidP="00055059">
            <w:pPr>
              <w:spacing w:line="240" w:lineRule="auto"/>
            </w:pPr>
            <w:r>
              <w:t>Graf č. 2</w:t>
            </w:r>
            <w:r w:rsidR="00AA23FB">
              <w:t>1</w:t>
            </w:r>
          </w:p>
        </w:tc>
        <w:tc>
          <w:tcPr>
            <w:tcW w:w="2077" w:type="pct"/>
            <w:gridSpan w:val="4"/>
          </w:tcPr>
          <w:p w:rsidR="0085281A" w:rsidRDefault="0085281A" w:rsidP="00055059">
            <w:pPr>
              <w:pStyle w:val="Textpoznpodarou"/>
              <w:rPr>
                <w:rFonts w:cs="Arial"/>
                <w:szCs w:val="24"/>
              </w:rPr>
            </w:pPr>
            <w:r>
              <w:rPr>
                <w:rFonts w:cs="Arial"/>
                <w:b/>
                <w:bCs/>
              </w:rPr>
              <w:t xml:space="preserve">Skladba příjmů ČR z rozpočtu EU a čistá pozice ČR vůči rozpočtu EU </w:t>
            </w:r>
            <w:r w:rsidRPr="00DB06E9">
              <w:rPr>
                <w:rFonts w:cs="Arial"/>
                <w:bCs/>
              </w:rPr>
              <w:t>(v mld. korun)</w:t>
            </w:r>
          </w:p>
        </w:tc>
        <w:tc>
          <w:tcPr>
            <w:tcW w:w="359" w:type="pct"/>
          </w:tcPr>
          <w:p w:rsidR="0085281A" w:rsidRDefault="0085281A" w:rsidP="00055059">
            <w:pPr>
              <w:spacing w:line="240" w:lineRule="auto"/>
            </w:pPr>
            <w:r>
              <w:t>Graf č. 2</w:t>
            </w:r>
            <w:r w:rsidR="00AA23FB">
              <w:t>2</w:t>
            </w:r>
          </w:p>
        </w:tc>
        <w:tc>
          <w:tcPr>
            <w:tcW w:w="2148" w:type="pct"/>
            <w:gridSpan w:val="2"/>
          </w:tcPr>
          <w:p w:rsidR="0085281A" w:rsidRDefault="0085281A" w:rsidP="00055059">
            <w:pPr>
              <w:spacing w:line="240" w:lineRule="auto"/>
              <w:rPr>
                <w:rFonts w:cs="Arial"/>
                <w:b/>
                <w:bCs/>
              </w:rPr>
            </w:pPr>
            <w:r>
              <w:rPr>
                <w:rFonts w:cs="Arial"/>
                <w:b/>
                <w:bCs/>
              </w:rPr>
              <w:t xml:space="preserve">Vybrané výdaje státního rozpočtu </w:t>
            </w:r>
          </w:p>
          <w:p w:rsidR="0085281A" w:rsidRPr="00817C98" w:rsidRDefault="0085281A" w:rsidP="008B7306">
            <w:pPr>
              <w:rPr>
                <w:rFonts w:cs="Arial"/>
                <w:b/>
                <w:bCs/>
              </w:rPr>
            </w:pPr>
            <w:r w:rsidRPr="00DB06E9">
              <w:rPr>
                <w:rFonts w:cs="Arial"/>
                <w:bCs/>
              </w:rPr>
              <w:t>(v mld. korun)</w:t>
            </w:r>
          </w:p>
        </w:tc>
      </w:tr>
      <w:tr w:rsidR="0085281A" w:rsidTr="0072704A">
        <w:tblPrEx>
          <w:tblCellMar>
            <w:left w:w="28" w:type="dxa"/>
            <w:right w:w="28" w:type="dxa"/>
          </w:tblCellMar>
          <w:tblLook w:val="04A0"/>
        </w:tblPrEx>
        <w:trPr>
          <w:gridBefore w:val="1"/>
          <w:gridAfter w:val="1"/>
          <w:wBefore w:w="40" w:type="pct"/>
          <w:wAfter w:w="3" w:type="pct"/>
        </w:trPr>
        <w:tc>
          <w:tcPr>
            <w:tcW w:w="2450" w:type="pct"/>
            <w:gridSpan w:val="5"/>
          </w:tcPr>
          <w:p w:rsidR="0085281A" w:rsidRDefault="0085281A" w:rsidP="008B7306">
            <w:pPr>
              <w:pStyle w:val="Textpoznpodarou"/>
              <w:jc w:val="both"/>
            </w:pPr>
            <w:r>
              <w:rPr>
                <w:noProof/>
              </w:rPr>
              <w:drawing>
                <wp:inline distT="0" distB="0" distL="0" distR="0">
                  <wp:extent cx="3009900" cy="2362200"/>
                  <wp:effectExtent l="1905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9900" cy="2362200"/>
                          </a:xfrm>
                          <a:prstGeom prst="rect">
                            <a:avLst/>
                          </a:prstGeom>
                          <a:noFill/>
                          <a:ln>
                            <a:noFill/>
                          </a:ln>
                        </pic:spPr>
                      </pic:pic>
                    </a:graphicData>
                  </a:graphic>
                </wp:inline>
              </w:drawing>
            </w:r>
          </w:p>
        </w:tc>
        <w:tc>
          <w:tcPr>
            <w:tcW w:w="2507" w:type="pct"/>
            <w:gridSpan w:val="3"/>
          </w:tcPr>
          <w:p w:rsidR="0085281A" w:rsidRDefault="0085281A" w:rsidP="008B7306">
            <w:pPr>
              <w:pStyle w:val="Textpoznpodarou"/>
              <w:jc w:val="both"/>
            </w:pPr>
            <w:r>
              <w:rPr>
                <w:noProof/>
              </w:rPr>
              <w:drawing>
                <wp:inline distT="0" distB="0" distL="0" distR="0">
                  <wp:extent cx="3057525" cy="2362200"/>
                  <wp:effectExtent l="19050" t="0" r="9525"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7525" cy="2362200"/>
                          </a:xfrm>
                          <a:prstGeom prst="rect">
                            <a:avLst/>
                          </a:prstGeom>
                          <a:noFill/>
                          <a:ln>
                            <a:noFill/>
                          </a:ln>
                        </pic:spPr>
                      </pic:pic>
                    </a:graphicData>
                  </a:graphic>
                </wp:inline>
              </w:drawing>
            </w:r>
          </w:p>
        </w:tc>
      </w:tr>
      <w:tr w:rsidR="0085281A" w:rsidTr="0072704A">
        <w:tblPrEx>
          <w:tblCellMar>
            <w:left w:w="28" w:type="dxa"/>
            <w:right w:w="28" w:type="dxa"/>
          </w:tblCellMar>
          <w:tblLook w:val="04A0"/>
        </w:tblPrEx>
        <w:trPr>
          <w:gridBefore w:val="1"/>
          <w:gridAfter w:val="1"/>
          <w:wBefore w:w="40" w:type="pct"/>
          <w:wAfter w:w="3" w:type="pct"/>
        </w:trPr>
        <w:tc>
          <w:tcPr>
            <w:tcW w:w="2450" w:type="pct"/>
            <w:gridSpan w:val="5"/>
          </w:tcPr>
          <w:p w:rsidR="0085281A" w:rsidRPr="0085281A" w:rsidRDefault="0085281A" w:rsidP="008B7306">
            <w:pPr>
              <w:pStyle w:val="Textpoznpodarou"/>
              <w:jc w:val="both"/>
              <w:rPr>
                <w:sz w:val="18"/>
                <w:szCs w:val="18"/>
              </w:rPr>
            </w:pPr>
          </w:p>
        </w:tc>
        <w:tc>
          <w:tcPr>
            <w:tcW w:w="2507" w:type="pct"/>
            <w:gridSpan w:val="3"/>
          </w:tcPr>
          <w:p w:rsidR="0085281A" w:rsidRPr="0085281A" w:rsidRDefault="0085281A" w:rsidP="008B7306">
            <w:pPr>
              <w:pStyle w:val="Textpoznpodarou"/>
              <w:rPr>
                <w:sz w:val="18"/>
                <w:szCs w:val="18"/>
              </w:rPr>
            </w:pPr>
            <w:r w:rsidRPr="0085281A">
              <w:rPr>
                <w:sz w:val="18"/>
                <w:szCs w:val="18"/>
              </w:rPr>
              <w:t>*vč. dávek pěstounské péče</w:t>
            </w:r>
          </w:p>
          <w:p w:rsidR="0085281A" w:rsidRPr="0085281A" w:rsidRDefault="0085281A" w:rsidP="008B7306">
            <w:pPr>
              <w:pStyle w:val="Textpoznpodarou"/>
              <w:rPr>
                <w:rFonts w:cs="Arial"/>
                <w:sz w:val="18"/>
                <w:szCs w:val="18"/>
              </w:rPr>
            </w:pPr>
            <w:r w:rsidRPr="0085281A">
              <w:rPr>
                <w:sz w:val="18"/>
                <w:szCs w:val="18"/>
              </w:rPr>
              <w:t>**dávky pomoci v hmotné nouzi, dávky osobám se zdravotním postižením, příspěvek na péči podle zákona o sociálních službách</w:t>
            </w:r>
            <w:r w:rsidRPr="0085281A">
              <w:rPr>
                <w:rFonts w:cs="Arial"/>
                <w:sz w:val="18"/>
                <w:szCs w:val="18"/>
              </w:rPr>
              <w:t xml:space="preserve"> </w:t>
            </w:r>
          </w:p>
        </w:tc>
      </w:tr>
      <w:tr w:rsidR="0085281A" w:rsidTr="0072704A">
        <w:tblPrEx>
          <w:tblCellMar>
            <w:left w:w="28" w:type="dxa"/>
            <w:right w:w="28" w:type="dxa"/>
          </w:tblCellMar>
          <w:tblLook w:val="04A0"/>
        </w:tblPrEx>
        <w:trPr>
          <w:gridBefore w:val="1"/>
          <w:gridAfter w:val="1"/>
          <w:wBefore w:w="40" w:type="pct"/>
          <w:wAfter w:w="3" w:type="pct"/>
        </w:trPr>
        <w:tc>
          <w:tcPr>
            <w:tcW w:w="4957" w:type="pct"/>
            <w:gridSpan w:val="8"/>
          </w:tcPr>
          <w:p w:rsidR="0085281A" w:rsidRPr="0085281A" w:rsidRDefault="00801FDD" w:rsidP="00801FDD">
            <w:pPr>
              <w:jc w:val="right"/>
              <w:rPr>
                <w:rFonts w:cs="Arial"/>
                <w:noProof/>
                <w:sz w:val="18"/>
                <w:szCs w:val="18"/>
              </w:rPr>
            </w:pPr>
            <w:r>
              <w:rPr>
                <w:rFonts w:cs="Arial"/>
                <w:sz w:val="18"/>
                <w:szCs w:val="18"/>
              </w:rPr>
              <w:t>Zdroj</w:t>
            </w:r>
            <w:r w:rsidR="0085281A" w:rsidRPr="0085281A">
              <w:rPr>
                <w:rFonts w:cs="Arial"/>
                <w:sz w:val="18"/>
                <w:szCs w:val="18"/>
              </w:rPr>
              <w:t>: MF ČR, ČSSZ</w:t>
            </w:r>
          </w:p>
        </w:tc>
      </w:tr>
    </w:tbl>
    <w:p w:rsidR="0072704A" w:rsidRDefault="0072704A" w:rsidP="0085281A">
      <w:pPr>
        <w:pStyle w:val="Nadpis4"/>
        <w:rPr>
          <w:rFonts w:cs="Arial"/>
          <w:b w:val="0"/>
          <w:bCs w:val="0"/>
          <w:szCs w:val="20"/>
        </w:rPr>
      </w:pPr>
    </w:p>
    <w:p w:rsidR="0072704A" w:rsidRDefault="0072704A" w:rsidP="0085281A">
      <w:pPr>
        <w:pStyle w:val="Nadpis4"/>
        <w:rPr>
          <w:rFonts w:cs="Arial"/>
          <w:b w:val="0"/>
          <w:bCs w:val="0"/>
          <w:szCs w:val="20"/>
        </w:rPr>
      </w:pPr>
    </w:p>
    <w:p w:rsidR="0085281A" w:rsidRPr="0085281A" w:rsidRDefault="0085281A" w:rsidP="00C615F1">
      <w:pPr>
        <w:pStyle w:val="Nadpis4"/>
        <w:spacing w:line="240" w:lineRule="auto"/>
        <w:rPr>
          <w:rFonts w:cs="Arial"/>
          <w:b w:val="0"/>
          <w:bCs w:val="0"/>
          <w:szCs w:val="20"/>
        </w:rPr>
      </w:pPr>
      <w:r w:rsidRPr="0085281A">
        <w:rPr>
          <w:rFonts w:cs="Arial"/>
          <w:b w:val="0"/>
          <w:bCs w:val="0"/>
          <w:szCs w:val="20"/>
        </w:rPr>
        <w:t xml:space="preserve">Zdroje dat v celé analýze: ČSÚ, MF ČR, ČNB, ČSSZ, </w:t>
      </w:r>
      <w:proofErr w:type="spellStart"/>
      <w:r w:rsidRPr="0085281A">
        <w:rPr>
          <w:rFonts w:cs="Arial"/>
          <w:b w:val="0"/>
          <w:bCs w:val="0"/>
          <w:szCs w:val="20"/>
        </w:rPr>
        <w:t>Eurostat</w:t>
      </w:r>
      <w:proofErr w:type="spellEnd"/>
      <w:r w:rsidRPr="0085281A">
        <w:rPr>
          <w:rFonts w:cs="Arial"/>
          <w:b w:val="0"/>
          <w:bCs w:val="0"/>
          <w:szCs w:val="20"/>
        </w:rPr>
        <w:t>, propočty ČSÚ.</w:t>
      </w:r>
    </w:p>
    <w:p w:rsidR="00BF3DF1" w:rsidRPr="0043068A" w:rsidRDefault="0085281A" w:rsidP="00C615F1">
      <w:pPr>
        <w:spacing w:line="240" w:lineRule="auto"/>
        <w:rPr>
          <w:lang w:eastAsia="ar-SA"/>
        </w:rPr>
      </w:pPr>
      <w:r w:rsidRPr="0085281A">
        <w:rPr>
          <w:rFonts w:cs="Arial"/>
          <w:szCs w:val="20"/>
        </w:rPr>
        <w:t xml:space="preserve">Poslední informace ze zdrojů ČSÚ a ČNB uváděné v této zprávě pocházejí z 13. března 2015. </w:t>
      </w:r>
    </w:p>
    <w:sectPr w:rsidR="00BF3DF1" w:rsidRPr="0043068A" w:rsidSect="00D43998">
      <w:headerReference w:type="even" r:id="rId34"/>
      <w:headerReference w:type="default" r:id="rId35"/>
      <w:footerReference w:type="even" r:id="rId36"/>
      <w:footerReference w:type="default" r:id="rId37"/>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5D" w:rsidRDefault="0075315D" w:rsidP="00E71A58">
      <w:r>
        <w:separator/>
      </w:r>
    </w:p>
  </w:endnote>
  <w:endnote w:type="continuationSeparator" w:id="0">
    <w:p w:rsidR="0075315D" w:rsidRDefault="0075315D" w:rsidP="00E71A5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Default="0075315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9264"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10"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75315D" w:rsidRPr="00223E00" w:rsidRDefault="0075315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A631FA"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631FA" w:rsidRPr="00223E00">
      <w:rPr>
        <w:rFonts w:ascii="Arial" w:hAnsi="Arial" w:cs="Arial"/>
        <w:sz w:val="16"/>
        <w:szCs w:val="16"/>
      </w:rPr>
      <w:fldChar w:fldCharType="separate"/>
    </w:r>
    <w:r w:rsidR="00E30BEA">
      <w:rPr>
        <w:rFonts w:ascii="Arial" w:hAnsi="Arial" w:cs="Arial"/>
        <w:noProof/>
        <w:sz w:val="16"/>
        <w:szCs w:val="16"/>
      </w:rPr>
      <w:t>3</w:t>
    </w:r>
    <w:r w:rsidR="00A631FA"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Default="0075315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8588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8"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A631FA" w:rsidRPr="005A21E0">
      <w:rPr>
        <w:rFonts w:ascii="Arial" w:hAnsi="Arial" w:cs="Arial"/>
        <w:sz w:val="16"/>
        <w:szCs w:val="16"/>
      </w:rPr>
      <w:fldChar w:fldCharType="begin"/>
    </w:r>
    <w:r w:rsidRPr="005A21E0">
      <w:rPr>
        <w:rFonts w:ascii="Arial" w:hAnsi="Arial" w:cs="Arial"/>
        <w:sz w:val="16"/>
        <w:szCs w:val="16"/>
      </w:rPr>
      <w:instrText>PAGE   \* MERGEFORMAT</w:instrText>
    </w:r>
    <w:r w:rsidR="00A631FA" w:rsidRPr="005A21E0">
      <w:rPr>
        <w:rFonts w:ascii="Arial" w:hAnsi="Arial" w:cs="Arial"/>
        <w:sz w:val="16"/>
        <w:szCs w:val="16"/>
      </w:rPr>
      <w:fldChar w:fldCharType="separate"/>
    </w:r>
    <w:r w:rsidR="00E30BEA">
      <w:rPr>
        <w:rFonts w:ascii="Arial" w:hAnsi="Arial" w:cs="Arial"/>
        <w:noProof/>
        <w:sz w:val="16"/>
        <w:szCs w:val="16"/>
      </w:rPr>
      <w:t>18</w:t>
    </w:r>
    <w:r w:rsidR="00A631FA" w:rsidRPr="005A21E0">
      <w:rPr>
        <w:rFonts w:ascii="Arial" w:hAnsi="Arial" w:cs="Arial"/>
        <w:sz w:val="16"/>
        <w:szCs w:val="16"/>
      </w:rPr>
      <w:fldChar w:fldCharType="end"/>
    </w:r>
    <w:r>
      <w:rPr>
        <w:rFonts w:ascii="Arial" w:hAnsi="Arial" w:cs="Arial"/>
        <w:sz w:val="16"/>
        <w:szCs w:val="16"/>
      </w:rPr>
      <w:tab/>
      <w:t>2014</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Default="0075315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87936"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29"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75315D" w:rsidRPr="00223E00" w:rsidRDefault="0075315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A631FA"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631FA" w:rsidRPr="00223E00">
      <w:rPr>
        <w:rFonts w:ascii="Arial" w:hAnsi="Arial" w:cs="Arial"/>
        <w:sz w:val="16"/>
        <w:szCs w:val="16"/>
      </w:rPr>
      <w:fldChar w:fldCharType="separate"/>
    </w:r>
    <w:r w:rsidR="00E30BEA">
      <w:rPr>
        <w:rFonts w:ascii="Arial" w:hAnsi="Arial" w:cs="Arial"/>
        <w:noProof/>
        <w:sz w:val="16"/>
        <w:szCs w:val="16"/>
      </w:rPr>
      <w:t>17</w:t>
    </w:r>
    <w:r w:rsidR="00A631FA"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5D" w:rsidRDefault="0075315D" w:rsidP="00E71A58">
      <w:r>
        <w:separator/>
      </w:r>
    </w:p>
  </w:footnote>
  <w:footnote w:type="continuationSeparator" w:id="0">
    <w:p w:rsidR="0075315D" w:rsidRDefault="0075315D" w:rsidP="00E71A58">
      <w:r>
        <w:continuationSeparator/>
      </w:r>
    </w:p>
  </w:footnote>
  <w:footnote w:id="1">
    <w:p w:rsidR="0075315D" w:rsidRPr="00A5067F" w:rsidRDefault="0075315D" w:rsidP="001C3A37">
      <w:pPr>
        <w:pStyle w:val="Textpoznpodarou"/>
        <w:rPr>
          <w:sz w:val="16"/>
          <w:szCs w:val="16"/>
        </w:rPr>
      </w:pPr>
      <w:r w:rsidRPr="00A5067F">
        <w:rPr>
          <w:rStyle w:val="Znakapoznpodarou"/>
          <w:sz w:val="16"/>
          <w:szCs w:val="16"/>
        </w:rPr>
        <w:footnoteRef/>
      </w:r>
      <w:r w:rsidRPr="00A5067F">
        <w:rPr>
          <w:sz w:val="16"/>
          <w:szCs w:val="16"/>
        </w:rPr>
        <w:t xml:space="preserve"> Pokud není uvedeno jinak, jsou data o HDP a jeho složkách vyjádřena reálně a v očištění o sezónní a kalendářní vlivy.</w:t>
      </w:r>
    </w:p>
  </w:footnote>
  <w:footnote w:id="2">
    <w:p w:rsidR="00460164" w:rsidRPr="00460164" w:rsidRDefault="00460164" w:rsidP="00460164">
      <w:pPr>
        <w:pStyle w:val="Textpoznpodarou"/>
        <w:rPr>
          <w:sz w:val="16"/>
          <w:szCs w:val="16"/>
        </w:rPr>
      </w:pPr>
      <w:r w:rsidRPr="00460164">
        <w:rPr>
          <w:sz w:val="16"/>
          <w:szCs w:val="16"/>
          <w:vertAlign w:val="superscript"/>
        </w:rPr>
        <w:footnoteRef/>
      </w:r>
      <w:r w:rsidRPr="00460164">
        <w:rPr>
          <w:sz w:val="16"/>
          <w:szCs w:val="16"/>
          <w:vertAlign w:val="superscript"/>
        </w:rPr>
        <w:t xml:space="preserve"> </w:t>
      </w:r>
      <w:r w:rsidRPr="00A8574B">
        <w:rPr>
          <w:sz w:val="16"/>
          <w:szCs w:val="16"/>
        </w:rPr>
        <w:t>Reálně, očištěno od sezónnosti a vlivu nestejného počtu pracovních dní - pokud není uvedeno jinak.</w:t>
      </w:r>
    </w:p>
  </w:footnote>
  <w:footnote w:id="3">
    <w:p w:rsidR="00460164" w:rsidRDefault="00460164" w:rsidP="00460164">
      <w:pPr>
        <w:pStyle w:val="Textpoznpodarou"/>
      </w:pPr>
      <w:r w:rsidRPr="00460164">
        <w:rPr>
          <w:sz w:val="16"/>
          <w:szCs w:val="16"/>
          <w:vertAlign w:val="superscript"/>
        </w:rPr>
        <w:footnoteRef/>
      </w:r>
      <w:r w:rsidRPr="00460164">
        <w:rPr>
          <w:sz w:val="16"/>
          <w:szCs w:val="16"/>
        </w:rPr>
        <w:t xml:space="preserve"> </w:t>
      </w:r>
      <w:r w:rsidRPr="00A8574B">
        <w:rPr>
          <w:sz w:val="16"/>
          <w:szCs w:val="16"/>
        </w:rPr>
        <w:t>Příspěvky ke změně HDP bez vyloučení dovozu pro konečné užití.</w:t>
      </w:r>
    </w:p>
  </w:footnote>
  <w:footnote w:id="4">
    <w:p w:rsidR="0075315D" w:rsidRPr="00EF6BE3" w:rsidRDefault="0075315D" w:rsidP="000F401E">
      <w:pPr>
        <w:pStyle w:val="Textpoznpodarou"/>
        <w:rPr>
          <w:sz w:val="16"/>
          <w:szCs w:val="16"/>
        </w:rPr>
      </w:pPr>
      <w:r>
        <w:rPr>
          <w:rStyle w:val="Znakapoznpodarou"/>
        </w:rPr>
        <w:footnoteRef/>
      </w:r>
      <w:r>
        <w:t xml:space="preserve"> </w:t>
      </w:r>
      <w:r w:rsidRPr="00EF6BE3">
        <w:rPr>
          <w:sz w:val="16"/>
          <w:szCs w:val="16"/>
        </w:rPr>
        <w:t>Zahrnující odvětví dle CZ-NACE: B (Těžba a dobývání), C (Zpracovatelský průmysl), D (Energetika)</w:t>
      </w:r>
    </w:p>
  </w:footnote>
  <w:footnote w:id="5">
    <w:p w:rsidR="0075315D" w:rsidRDefault="0075315D" w:rsidP="000F401E">
      <w:pPr>
        <w:pStyle w:val="Textpoznpodarou"/>
        <w:rPr>
          <w:sz w:val="18"/>
        </w:rPr>
      </w:pPr>
      <w:r>
        <w:rPr>
          <w:rStyle w:val="Znakapoznpodarou"/>
          <w:sz w:val="18"/>
        </w:rPr>
        <w:footnoteRef/>
      </w:r>
      <w:r>
        <w:rPr>
          <w:sz w:val="18"/>
        </w:rPr>
        <w:t xml:space="preserve"> Nezahrnují odvětví obchodu, peněžnictví a pojišťovnictví, vědy a výzkumu a také veřejných služeb</w:t>
      </w:r>
    </w:p>
  </w:footnote>
  <w:footnote w:id="6">
    <w:p w:rsidR="0075315D" w:rsidRDefault="0075315D" w:rsidP="00602D1D">
      <w:pPr>
        <w:pStyle w:val="Textpoznpodarou"/>
        <w:jc w:val="both"/>
      </w:pPr>
      <w:r>
        <w:rPr>
          <w:rStyle w:val="Znakapoznpodarou"/>
        </w:rPr>
        <w:footnoteRef/>
      </w:r>
      <w:r>
        <w:t xml:space="preserve"> </w:t>
      </w:r>
      <w:r w:rsidRPr="00823AAF">
        <w:rPr>
          <w:sz w:val="16"/>
          <w:szCs w:val="16"/>
        </w:rPr>
        <w:t>Terminologicky tato kapitola u části platební bilance respektu</w:t>
      </w:r>
      <w:r>
        <w:rPr>
          <w:sz w:val="16"/>
          <w:szCs w:val="16"/>
        </w:rPr>
        <w:t xml:space="preserve">je přechod na BPM6, tedy šestý manuál k </w:t>
      </w:r>
      <w:r w:rsidRPr="00823AAF">
        <w:rPr>
          <w:sz w:val="16"/>
          <w:szCs w:val="16"/>
        </w:rPr>
        <w:t>platební bilanci, podle které</w:t>
      </w:r>
      <w:r>
        <w:rPr>
          <w:sz w:val="16"/>
          <w:szCs w:val="16"/>
        </w:rPr>
        <w:t xml:space="preserve">ho </w:t>
      </w:r>
      <w:r w:rsidRPr="00823AAF">
        <w:rPr>
          <w:sz w:val="16"/>
          <w:szCs w:val="16"/>
        </w:rPr>
        <w:t>ČNB zveřejnila výsledky</w:t>
      </w:r>
      <w:r>
        <w:rPr>
          <w:sz w:val="16"/>
          <w:szCs w:val="16"/>
        </w:rPr>
        <w:t xml:space="preserve"> </w:t>
      </w:r>
      <w:r w:rsidRPr="00823AAF">
        <w:rPr>
          <w:sz w:val="16"/>
          <w:szCs w:val="16"/>
        </w:rPr>
        <w:t>poprvé v prosinci 2014.</w:t>
      </w:r>
      <w:r>
        <w:t xml:space="preserve"> </w:t>
      </w:r>
    </w:p>
  </w:footnote>
  <w:footnote w:id="7">
    <w:p w:rsidR="0075315D" w:rsidRDefault="0075315D" w:rsidP="00602D1D">
      <w:pPr>
        <w:pStyle w:val="Textpoznpodarou"/>
      </w:pPr>
      <w:r>
        <w:rPr>
          <w:rStyle w:val="Znakapoznpodarou"/>
        </w:rPr>
        <w:footnoteRef/>
      </w:r>
      <w:r>
        <w:t xml:space="preserve"> </w:t>
      </w:r>
      <w:r w:rsidRPr="00731963">
        <w:rPr>
          <w:sz w:val="16"/>
          <w:szCs w:val="16"/>
        </w:rPr>
        <w:t>Dovoz i vývoz zboží v cenách FOB.</w:t>
      </w:r>
    </w:p>
  </w:footnote>
  <w:footnote w:id="8">
    <w:p w:rsidR="0075315D" w:rsidRPr="00862A7A" w:rsidRDefault="0075315D" w:rsidP="00602D1D">
      <w:pPr>
        <w:pStyle w:val="Textpoznpodarou"/>
        <w:rPr>
          <w:sz w:val="16"/>
          <w:szCs w:val="16"/>
        </w:rPr>
      </w:pPr>
      <w:r>
        <w:rPr>
          <w:rStyle w:val="Znakapoznpodarou"/>
        </w:rPr>
        <w:footnoteRef/>
      </w:r>
      <w:r>
        <w:t xml:space="preserve"> </w:t>
      </w:r>
      <w:r w:rsidRPr="005D6CFC">
        <w:rPr>
          <w:sz w:val="16"/>
          <w:szCs w:val="16"/>
        </w:rPr>
        <w:t>Bilance zboží podle CZ-CPA v národním pojetí.</w:t>
      </w:r>
      <w:r>
        <w:rPr>
          <w:sz w:val="16"/>
          <w:szCs w:val="16"/>
        </w:rPr>
        <w:t xml:space="preserve"> Vývoz v cenách FOB, dovoz v cenách CIF.</w:t>
      </w:r>
    </w:p>
  </w:footnote>
  <w:footnote w:id="9">
    <w:p w:rsidR="0075315D" w:rsidRPr="00007498" w:rsidRDefault="0075315D" w:rsidP="008B7306">
      <w:pPr>
        <w:pStyle w:val="Textpoznpodarou"/>
        <w:jc w:val="both"/>
      </w:pPr>
      <w:r>
        <w:rPr>
          <w:rStyle w:val="Znakapoznpodarou"/>
        </w:rPr>
        <w:footnoteRef/>
      </w:r>
      <w:r>
        <w:t xml:space="preserve"> </w:t>
      </w:r>
      <w:r>
        <w:rPr>
          <w:spacing w:val="-2"/>
          <w:sz w:val="16"/>
        </w:rPr>
        <w:t>U</w:t>
      </w:r>
      <w:r w:rsidRPr="00007498">
        <w:rPr>
          <w:spacing w:val="-2"/>
          <w:sz w:val="16"/>
        </w:rPr>
        <w:t xml:space="preserve"> </w:t>
      </w:r>
      <w:r>
        <w:rPr>
          <w:iCs/>
          <w:spacing w:val="-2"/>
          <w:sz w:val="16"/>
        </w:rPr>
        <w:t>spotřební daně</w:t>
      </w:r>
      <w:r w:rsidRPr="00007498">
        <w:rPr>
          <w:iCs/>
          <w:spacing w:val="-2"/>
          <w:sz w:val="16"/>
        </w:rPr>
        <w:t xml:space="preserve"> z tabákových výrobků</w:t>
      </w:r>
      <w:r>
        <w:rPr>
          <w:iCs/>
          <w:spacing w:val="-2"/>
          <w:sz w:val="16"/>
        </w:rPr>
        <w:t xml:space="preserve"> souviselo vyšší inkaso (plánovaný celoroční příjem byl jen za leden naplněn z 35 %) s </w:t>
      </w:r>
      <w:r w:rsidRPr="0032109A">
        <w:rPr>
          <w:spacing w:val="-2"/>
          <w:sz w:val="16"/>
        </w:rPr>
        <w:t xml:space="preserve">předzásobením obchodníků na konci roku 2013 z důvodu následného zvýšení sazeb tabákových výrobků od 1. ledna. U DPH lze vyšší výběr na počátku roku vysvětlit pozdržením </w:t>
      </w:r>
      <w:r w:rsidR="00A96463">
        <w:rPr>
          <w:spacing w:val="-2"/>
          <w:sz w:val="16"/>
        </w:rPr>
        <w:t>vyplacení</w:t>
      </w:r>
      <w:r w:rsidRPr="0032109A">
        <w:rPr>
          <w:spacing w:val="-2"/>
          <w:sz w:val="16"/>
        </w:rPr>
        <w:t xml:space="preserve"> nadměrných odpočtů DPH (v rámci zahájení postupu k odstranění pochybností správcem daně u některých daňových subjektů)</w:t>
      </w:r>
      <w:r>
        <w:rPr>
          <w:spacing w:val="-2"/>
          <w:sz w:val="16"/>
        </w:rPr>
        <w:t>, většina takto „pozdržených“ prostředků byla do konce roku 2014 vyplacena.</w:t>
      </w:r>
    </w:p>
  </w:footnote>
  <w:footnote w:id="10">
    <w:p w:rsidR="0075315D" w:rsidRDefault="0075315D" w:rsidP="008B7306">
      <w:pPr>
        <w:pStyle w:val="Textpoznpodarou"/>
      </w:pPr>
      <w:r>
        <w:rPr>
          <w:rStyle w:val="Znakapoznpodarou"/>
        </w:rPr>
        <w:footnoteRef/>
      </w:r>
      <w:r>
        <w:t xml:space="preserve"> </w:t>
      </w:r>
      <w:r w:rsidRPr="008020C2">
        <w:rPr>
          <w:spacing w:val="-2"/>
          <w:sz w:val="16"/>
        </w:rPr>
        <w:t xml:space="preserve">Zejména mimořádný příjem v souvislosti s aukcí kmitočtů </w:t>
      </w:r>
      <w:r>
        <w:rPr>
          <w:spacing w:val="-2"/>
          <w:sz w:val="16"/>
        </w:rPr>
        <w:t xml:space="preserve">pro </w:t>
      </w:r>
      <w:r w:rsidRPr="008020C2">
        <w:rPr>
          <w:spacing w:val="-2"/>
          <w:sz w:val="16"/>
        </w:rPr>
        <w:t>rychlé mobilní sítě LTE (+8,5 mld. korun).</w:t>
      </w:r>
    </w:p>
  </w:footnote>
  <w:footnote w:id="11">
    <w:p w:rsidR="0075315D" w:rsidRPr="00637180" w:rsidRDefault="0075315D" w:rsidP="008B7306">
      <w:pPr>
        <w:pStyle w:val="Textpoznpodarou"/>
        <w:jc w:val="both"/>
        <w:rPr>
          <w:spacing w:val="-2"/>
          <w:sz w:val="16"/>
        </w:rPr>
      </w:pPr>
      <w:r>
        <w:rPr>
          <w:rStyle w:val="Znakapoznpodarou"/>
        </w:rPr>
        <w:footnoteRef/>
      </w:r>
      <w:r>
        <w:t xml:space="preserve"> </w:t>
      </w:r>
      <w:r w:rsidRPr="00092208">
        <w:rPr>
          <w:spacing w:val="-2"/>
          <w:sz w:val="16"/>
        </w:rPr>
        <w:t xml:space="preserve">U daně z tabákových výrobků efekt předzásobení </w:t>
      </w:r>
      <w:r w:rsidR="00A96463">
        <w:rPr>
          <w:spacing w:val="-2"/>
          <w:sz w:val="16"/>
        </w:rPr>
        <w:t>(viz pozn. 9</w:t>
      </w:r>
      <w:r>
        <w:rPr>
          <w:spacing w:val="-2"/>
          <w:sz w:val="16"/>
        </w:rPr>
        <w:t xml:space="preserve">) </w:t>
      </w:r>
      <w:r w:rsidRPr="00092208">
        <w:rPr>
          <w:spacing w:val="-2"/>
          <w:sz w:val="16"/>
        </w:rPr>
        <w:t xml:space="preserve">během roku vyprchával a projevovaly se spíše dlouhodobější trendy </w:t>
      </w:r>
      <w:r>
        <w:rPr>
          <w:spacing w:val="-2"/>
          <w:sz w:val="16"/>
        </w:rPr>
        <w:t>ve spotřebě tabákových výrobků. Nebylo schváleno další plánované navýšení</w:t>
      </w:r>
      <w:r w:rsidR="00A96463">
        <w:rPr>
          <w:spacing w:val="-2"/>
          <w:sz w:val="16"/>
        </w:rPr>
        <w:t xml:space="preserve"> sazeb, </w:t>
      </w:r>
      <w:r w:rsidRPr="00191BAE">
        <w:rPr>
          <w:spacing w:val="-2"/>
          <w:sz w:val="16"/>
        </w:rPr>
        <w:t>se kterým se počítalo v návrhu státního rozpočtu 2014</w:t>
      </w:r>
      <w:r>
        <w:rPr>
          <w:spacing w:val="-2"/>
          <w:sz w:val="16"/>
        </w:rPr>
        <w:t xml:space="preserve">. Výběr daně </w:t>
      </w:r>
      <w:r w:rsidRPr="00092208">
        <w:rPr>
          <w:spacing w:val="-2"/>
          <w:sz w:val="16"/>
        </w:rPr>
        <w:t xml:space="preserve">z minerálních </w:t>
      </w:r>
      <w:r>
        <w:rPr>
          <w:spacing w:val="-2"/>
          <w:sz w:val="16"/>
        </w:rPr>
        <w:t>olejů negativně ovlivnilo opětovné zavedení</w:t>
      </w:r>
      <w:r w:rsidRPr="00092208">
        <w:rPr>
          <w:spacing w:val="-2"/>
          <w:sz w:val="16"/>
        </w:rPr>
        <w:t xml:space="preserve"> tzv. „zelené nafty</w:t>
      </w:r>
      <w:r>
        <w:rPr>
          <w:spacing w:val="-2"/>
          <w:sz w:val="16"/>
        </w:rPr>
        <w:t xml:space="preserve">“ od </w:t>
      </w:r>
      <w:proofErr w:type="gramStart"/>
      <w:r>
        <w:rPr>
          <w:spacing w:val="-2"/>
          <w:sz w:val="16"/>
        </w:rPr>
        <w:t>1.7.2014</w:t>
      </w:r>
      <w:proofErr w:type="gramEnd"/>
      <w:r>
        <w:rPr>
          <w:spacing w:val="-2"/>
          <w:sz w:val="16"/>
        </w:rPr>
        <w:t>.</w:t>
      </w:r>
      <w:r>
        <w:t xml:space="preserve"> </w:t>
      </w:r>
      <w:r>
        <w:rPr>
          <w:spacing w:val="-4"/>
          <w:sz w:val="16"/>
        </w:rPr>
        <w:t>U</w:t>
      </w:r>
      <w:r w:rsidRPr="00762EBA">
        <w:rPr>
          <w:spacing w:val="-4"/>
          <w:sz w:val="16"/>
        </w:rPr>
        <w:t xml:space="preserve"> odvodů z „</w:t>
      </w:r>
      <w:proofErr w:type="spellStart"/>
      <w:r w:rsidRPr="00762EBA">
        <w:rPr>
          <w:spacing w:val="-4"/>
          <w:sz w:val="16"/>
        </w:rPr>
        <w:t>fotovoltaiky</w:t>
      </w:r>
      <w:proofErr w:type="spellEnd"/>
      <w:r w:rsidRPr="00762EBA">
        <w:rPr>
          <w:spacing w:val="-4"/>
          <w:sz w:val="16"/>
        </w:rPr>
        <w:t xml:space="preserve">“ </w:t>
      </w:r>
      <w:r>
        <w:rPr>
          <w:spacing w:val="-4"/>
          <w:sz w:val="16"/>
        </w:rPr>
        <w:t xml:space="preserve">došlo </w:t>
      </w:r>
      <w:r w:rsidRPr="00762EBA">
        <w:rPr>
          <w:spacing w:val="-4"/>
          <w:sz w:val="16"/>
        </w:rPr>
        <w:t>snížení sazeb z 26 % na 10 % (resp. z 28 % na 11 %) při současném prodloužení odvodu pro zařízení uvedená do provozu v průběhu roku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Pr="00173642" w:rsidRDefault="0075315D"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Pr="00DC5B3B" w:rsidRDefault="0075315D"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Pr="00173642" w:rsidRDefault="0075315D"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Pr="00DC5B3B" w:rsidRDefault="0075315D"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E41B30"/>
    <w:lvl w:ilvl="0">
      <w:start w:val="1"/>
      <w:numFmt w:val="decimal"/>
      <w:lvlText w:val="%1."/>
      <w:lvlJc w:val="left"/>
      <w:pPr>
        <w:tabs>
          <w:tab w:val="num" w:pos="1492"/>
        </w:tabs>
        <w:ind w:left="1492" w:hanging="360"/>
      </w:pPr>
    </w:lvl>
  </w:abstractNum>
  <w:abstractNum w:abstractNumId="1">
    <w:nsid w:val="FFFFFF7D"/>
    <w:multiLevelType w:val="singleLevel"/>
    <w:tmpl w:val="30966A36"/>
    <w:lvl w:ilvl="0">
      <w:start w:val="1"/>
      <w:numFmt w:val="decimal"/>
      <w:lvlText w:val="%1."/>
      <w:lvlJc w:val="left"/>
      <w:pPr>
        <w:tabs>
          <w:tab w:val="num" w:pos="1209"/>
        </w:tabs>
        <w:ind w:left="1209" w:hanging="360"/>
      </w:pPr>
    </w:lvl>
  </w:abstractNum>
  <w:abstractNum w:abstractNumId="2">
    <w:nsid w:val="FFFFFF7E"/>
    <w:multiLevelType w:val="singleLevel"/>
    <w:tmpl w:val="C7463AA2"/>
    <w:lvl w:ilvl="0">
      <w:start w:val="1"/>
      <w:numFmt w:val="decimal"/>
      <w:lvlText w:val="%1."/>
      <w:lvlJc w:val="left"/>
      <w:pPr>
        <w:tabs>
          <w:tab w:val="num" w:pos="926"/>
        </w:tabs>
        <w:ind w:left="926" w:hanging="360"/>
      </w:pPr>
    </w:lvl>
  </w:abstractNum>
  <w:abstractNum w:abstractNumId="3">
    <w:nsid w:val="FFFFFF7F"/>
    <w:multiLevelType w:val="singleLevel"/>
    <w:tmpl w:val="105A984A"/>
    <w:lvl w:ilvl="0">
      <w:start w:val="1"/>
      <w:numFmt w:val="decimal"/>
      <w:lvlText w:val="%1."/>
      <w:lvlJc w:val="left"/>
      <w:pPr>
        <w:tabs>
          <w:tab w:val="num" w:pos="643"/>
        </w:tabs>
        <w:ind w:left="643" w:hanging="360"/>
      </w:pPr>
    </w:lvl>
  </w:abstractNum>
  <w:abstractNum w:abstractNumId="4">
    <w:nsid w:val="FFFFFF80"/>
    <w:multiLevelType w:val="singleLevel"/>
    <w:tmpl w:val="2F2898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98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96A3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F05C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DAB4D0"/>
    <w:lvl w:ilvl="0">
      <w:start w:val="1"/>
      <w:numFmt w:val="decimal"/>
      <w:lvlText w:val="%1."/>
      <w:lvlJc w:val="left"/>
      <w:pPr>
        <w:tabs>
          <w:tab w:val="num" w:pos="360"/>
        </w:tabs>
        <w:ind w:left="360" w:hanging="360"/>
      </w:pPr>
    </w:lvl>
  </w:abstractNum>
  <w:abstractNum w:abstractNumId="9">
    <w:nsid w:val="FFFFFF89"/>
    <w:multiLevelType w:val="singleLevel"/>
    <w:tmpl w:val="402C3AFA"/>
    <w:lvl w:ilvl="0">
      <w:start w:val="1"/>
      <w:numFmt w:val="bullet"/>
      <w:lvlText w:val=""/>
      <w:lvlJc w:val="left"/>
      <w:pPr>
        <w:tabs>
          <w:tab w:val="num" w:pos="360"/>
        </w:tabs>
        <w:ind w:left="360" w:hanging="360"/>
      </w:pPr>
      <w:rPr>
        <w:rFonts w:ascii="Symbol" w:hAnsi="Symbol" w:hint="default"/>
      </w:rPr>
    </w:lvl>
  </w:abstractNum>
  <w:abstractNum w:abstractNumId="10">
    <w:nsid w:val="0002014C"/>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041A7BF3"/>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60355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7EF1AE0"/>
    <w:multiLevelType w:val="hybridMultilevel"/>
    <w:tmpl w:val="844CEC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02814C7"/>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2521970"/>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29D4A3E"/>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5F91BEC"/>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A2125F6"/>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A2D63B1"/>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A135D43"/>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803D03"/>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D9031BA"/>
    <w:multiLevelType w:val="hybridMultilevel"/>
    <w:tmpl w:val="E22EB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2936DAC"/>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E686B04"/>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4E50C6"/>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80744D"/>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2FD6EFA"/>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550148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87323A"/>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B505424"/>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183E8F"/>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18B57C7"/>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4B07AE6"/>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67C7F3E"/>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6924CEA"/>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8F4261E"/>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6C66F9"/>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D103F7D"/>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0E96A1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0249E4"/>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6A6971"/>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BE609F0"/>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7">
    <w:nsid w:val="7E706D5E"/>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3"/>
  </w:num>
  <w:num w:numId="3">
    <w:abstractNumId w:val="27"/>
  </w:num>
  <w:num w:numId="4">
    <w:abstractNumId w:val="22"/>
  </w:num>
  <w:num w:numId="5">
    <w:abstractNumId w:val="35"/>
  </w:num>
  <w:num w:numId="6">
    <w:abstractNumId w:val="41"/>
  </w:num>
  <w:num w:numId="7">
    <w:abstractNumId w:val="14"/>
  </w:num>
  <w:num w:numId="8">
    <w:abstractNumId w:val="33"/>
  </w:num>
  <w:num w:numId="9">
    <w:abstractNumId w:val="40"/>
  </w:num>
  <w:num w:numId="10">
    <w:abstractNumId w:val="17"/>
  </w:num>
  <w:num w:numId="11">
    <w:abstractNumId w:val="45"/>
  </w:num>
  <w:num w:numId="12">
    <w:abstractNumId w:val="28"/>
  </w:num>
  <w:num w:numId="13">
    <w:abstractNumId w:val="4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3"/>
  </w:num>
  <w:num w:numId="25">
    <w:abstractNumId w:val="10"/>
  </w:num>
  <w:num w:numId="26">
    <w:abstractNumId w:val="36"/>
  </w:num>
  <w:num w:numId="27">
    <w:abstractNumId w:val="37"/>
  </w:num>
  <w:num w:numId="28">
    <w:abstractNumId w:val="16"/>
  </w:num>
  <w:num w:numId="29">
    <w:abstractNumId w:val="18"/>
  </w:num>
  <w:num w:numId="30">
    <w:abstractNumId w:val="39"/>
  </w:num>
  <w:num w:numId="31">
    <w:abstractNumId w:val="20"/>
  </w:num>
  <w:num w:numId="32">
    <w:abstractNumId w:val="47"/>
  </w:num>
  <w:num w:numId="33">
    <w:abstractNumId w:val="43"/>
  </w:num>
  <w:num w:numId="34">
    <w:abstractNumId w:val="19"/>
  </w:num>
  <w:num w:numId="35">
    <w:abstractNumId w:val="24"/>
  </w:num>
  <w:num w:numId="36">
    <w:abstractNumId w:val="31"/>
  </w:num>
  <w:num w:numId="37">
    <w:abstractNumId w:val="32"/>
  </w:num>
  <w:num w:numId="38">
    <w:abstractNumId w:val="15"/>
  </w:num>
  <w:num w:numId="39">
    <w:abstractNumId w:val="11"/>
  </w:num>
  <w:num w:numId="40">
    <w:abstractNumId w:val="42"/>
  </w:num>
  <w:num w:numId="41">
    <w:abstractNumId w:val="29"/>
  </w:num>
  <w:num w:numId="42">
    <w:abstractNumId w:val="25"/>
  </w:num>
  <w:num w:numId="43">
    <w:abstractNumId w:val="12"/>
  </w:num>
  <w:num w:numId="44">
    <w:abstractNumId w:val="30"/>
  </w:num>
  <w:num w:numId="45">
    <w:abstractNumId w:val="34"/>
  </w:num>
  <w:num w:numId="46">
    <w:abstractNumId w:val="21"/>
  </w:num>
  <w:num w:numId="47">
    <w:abstractNumId w:val="38"/>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02401">
      <o:colormru v:ext="edit" colors="#ecf4dd,#eaecee,#fcec0a,#fcecdb,#f1daf5"/>
    </o:shapedefaults>
  </w:hdrShapeDefaults>
  <w:footnotePr>
    <w:footnote w:id="-1"/>
    <w:footnote w:id="0"/>
  </w:footnotePr>
  <w:endnotePr>
    <w:endnote w:id="-1"/>
    <w:endnote w:id="0"/>
  </w:endnotePr>
  <w:compat/>
  <w:rsids>
    <w:rsidRoot w:val="009B70BD"/>
    <w:rsid w:val="00003687"/>
    <w:rsid w:val="00003C43"/>
    <w:rsid w:val="0000767A"/>
    <w:rsid w:val="000104B9"/>
    <w:rsid w:val="00010702"/>
    <w:rsid w:val="0001159B"/>
    <w:rsid w:val="0001573E"/>
    <w:rsid w:val="00017F05"/>
    <w:rsid w:val="000202C6"/>
    <w:rsid w:val="00020946"/>
    <w:rsid w:val="00024887"/>
    <w:rsid w:val="00024CBA"/>
    <w:rsid w:val="00026998"/>
    <w:rsid w:val="0003066A"/>
    <w:rsid w:val="00032838"/>
    <w:rsid w:val="00032C12"/>
    <w:rsid w:val="00035FC6"/>
    <w:rsid w:val="00037667"/>
    <w:rsid w:val="000411E1"/>
    <w:rsid w:val="0004694F"/>
    <w:rsid w:val="00052172"/>
    <w:rsid w:val="00055059"/>
    <w:rsid w:val="000553E4"/>
    <w:rsid w:val="00062EC5"/>
    <w:rsid w:val="00064256"/>
    <w:rsid w:val="000706A4"/>
    <w:rsid w:val="00072118"/>
    <w:rsid w:val="00073173"/>
    <w:rsid w:val="000779AC"/>
    <w:rsid w:val="00083803"/>
    <w:rsid w:val="0008716A"/>
    <w:rsid w:val="00087634"/>
    <w:rsid w:val="00091237"/>
    <w:rsid w:val="000920EC"/>
    <w:rsid w:val="00092505"/>
    <w:rsid w:val="000A1183"/>
    <w:rsid w:val="000A2121"/>
    <w:rsid w:val="000B1CFE"/>
    <w:rsid w:val="000B210A"/>
    <w:rsid w:val="000B249B"/>
    <w:rsid w:val="000B3DB9"/>
    <w:rsid w:val="000B3F02"/>
    <w:rsid w:val="000B48E7"/>
    <w:rsid w:val="000B7663"/>
    <w:rsid w:val="000C11D3"/>
    <w:rsid w:val="000C12F5"/>
    <w:rsid w:val="000C3408"/>
    <w:rsid w:val="000D2E41"/>
    <w:rsid w:val="000D5E7A"/>
    <w:rsid w:val="000D5FAA"/>
    <w:rsid w:val="000D65A4"/>
    <w:rsid w:val="000D6AEF"/>
    <w:rsid w:val="000E19A8"/>
    <w:rsid w:val="000E78D2"/>
    <w:rsid w:val="000F3332"/>
    <w:rsid w:val="000F33EE"/>
    <w:rsid w:val="000F401E"/>
    <w:rsid w:val="000F5445"/>
    <w:rsid w:val="000F67B2"/>
    <w:rsid w:val="00102F02"/>
    <w:rsid w:val="001041B6"/>
    <w:rsid w:val="001070EA"/>
    <w:rsid w:val="0011002A"/>
    <w:rsid w:val="0011110A"/>
    <w:rsid w:val="001118AF"/>
    <w:rsid w:val="0011256E"/>
    <w:rsid w:val="00116DB9"/>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51AC0"/>
    <w:rsid w:val="00152046"/>
    <w:rsid w:val="00156318"/>
    <w:rsid w:val="0015639A"/>
    <w:rsid w:val="0016081D"/>
    <w:rsid w:val="001620FA"/>
    <w:rsid w:val="00162853"/>
    <w:rsid w:val="00163793"/>
    <w:rsid w:val="001707DE"/>
    <w:rsid w:val="00170B04"/>
    <w:rsid w:val="00170F47"/>
    <w:rsid w:val="001714F2"/>
    <w:rsid w:val="00173642"/>
    <w:rsid w:val="00174CE8"/>
    <w:rsid w:val="001764D8"/>
    <w:rsid w:val="00176A8F"/>
    <w:rsid w:val="00182981"/>
    <w:rsid w:val="00184CF9"/>
    <w:rsid w:val="00185010"/>
    <w:rsid w:val="001874CF"/>
    <w:rsid w:val="00190D9B"/>
    <w:rsid w:val="00195444"/>
    <w:rsid w:val="001A2BDB"/>
    <w:rsid w:val="001A552F"/>
    <w:rsid w:val="001B1D89"/>
    <w:rsid w:val="001B3110"/>
    <w:rsid w:val="001B44BC"/>
    <w:rsid w:val="001B6545"/>
    <w:rsid w:val="001B681B"/>
    <w:rsid w:val="001B74FB"/>
    <w:rsid w:val="001B77A1"/>
    <w:rsid w:val="001C0422"/>
    <w:rsid w:val="001C0E0E"/>
    <w:rsid w:val="001C1219"/>
    <w:rsid w:val="001C357A"/>
    <w:rsid w:val="001C3A37"/>
    <w:rsid w:val="001C4384"/>
    <w:rsid w:val="001C65FF"/>
    <w:rsid w:val="001D584C"/>
    <w:rsid w:val="001D66C1"/>
    <w:rsid w:val="001E0C65"/>
    <w:rsid w:val="001E23E3"/>
    <w:rsid w:val="001E387A"/>
    <w:rsid w:val="001E3DA4"/>
    <w:rsid w:val="001E684C"/>
    <w:rsid w:val="001E701C"/>
    <w:rsid w:val="001E7C03"/>
    <w:rsid w:val="001F02AF"/>
    <w:rsid w:val="001F28F4"/>
    <w:rsid w:val="001F3C79"/>
    <w:rsid w:val="001F3E68"/>
    <w:rsid w:val="001F4597"/>
    <w:rsid w:val="00200D15"/>
    <w:rsid w:val="00203074"/>
    <w:rsid w:val="00210CC2"/>
    <w:rsid w:val="00210F5B"/>
    <w:rsid w:val="00211262"/>
    <w:rsid w:val="00211AC9"/>
    <w:rsid w:val="002205F2"/>
    <w:rsid w:val="0022080E"/>
    <w:rsid w:val="0022139E"/>
    <w:rsid w:val="0022272B"/>
    <w:rsid w:val="00222A99"/>
    <w:rsid w:val="00223678"/>
    <w:rsid w:val="00223E00"/>
    <w:rsid w:val="002252E0"/>
    <w:rsid w:val="002255F6"/>
    <w:rsid w:val="00226466"/>
    <w:rsid w:val="0023229C"/>
    <w:rsid w:val="00234280"/>
    <w:rsid w:val="002350E3"/>
    <w:rsid w:val="00236443"/>
    <w:rsid w:val="00240A5B"/>
    <w:rsid w:val="002436BA"/>
    <w:rsid w:val="002444ED"/>
    <w:rsid w:val="00244A15"/>
    <w:rsid w:val="00244D40"/>
    <w:rsid w:val="00246AE9"/>
    <w:rsid w:val="0024799E"/>
    <w:rsid w:val="00251D59"/>
    <w:rsid w:val="00252FDC"/>
    <w:rsid w:val="00261E5B"/>
    <w:rsid w:val="00263470"/>
    <w:rsid w:val="00263733"/>
    <w:rsid w:val="00265536"/>
    <w:rsid w:val="00266F3E"/>
    <w:rsid w:val="00272464"/>
    <w:rsid w:val="00273DCD"/>
    <w:rsid w:val="00274291"/>
    <w:rsid w:val="00276CFE"/>
    <w:rsid w:val="00277071"/>
    <w:rsid w:val="0027786C"/>
    <w:rsid w:val="00281416"/>
    <w:rsid w:val="00285CD3"/>
    <w:rsid w:val="0028686A"/>
    <w:rsid w:val="00286E66"/>
    <w:rsid w:val="002919B5"/>
    <w:rsid w:val="00293441"/>
    <w:rsid w:val="0029493E"/>
    <w:rsid w:val="00296C2E"/>
    <w:rsid w:val="002A1B05"/>
    <w:rsid w:val="002A3BD5"/>
    <w:rsid w:val="002A43A2"/>
    <w:rsid w:val="002A4612"/>
    <w:rsid w:val="002A5263"/>
    <w:rsid w:val="002A6821"/>
    <w:rsid w:val="002A74D2"/>
    <w:rsid w:val="002B36C8"/>
    <w:rsid w:val="002B7240"/>
    <w:rsid w:val="002C43BD"/>
    <w:rsid w:val="002C5261"/>
    <w:rsid w:val="002C6091"/>
    <w:rsid w:val="002D0562"/>
    <w:rsid w:val="002D1B5A"/>
    <w:rsid w:val="002D5E94"/>
    <w:rsid w:val="002D632D"/>
    <w:rsid w:val="002E02A1"/>
    <w:rsid w:val="002E2CE4"/>
    <w:rsid w:val="002F33FB"/>
    <w:rsid w:val="00301357"/>
    <w:rsid w:val="00301D04"/>
    <w:rsid w:val="00304771"/>
    <w:rsid w:val="00305736"/>
    <w:rsid w:val="00306C5B"/>
    <w:rsid w:val="00312C3D"/>
    <w:rsid w:val="00314331"/>
    <w:rsid w:val="003209D6"/>
    <w:rsid w:val="00322164"/>
    <w:rsid w:val="00326251"/>
    <w:rsid w:val="00327DEE"/>
    <w:rsid w:val="003329F3"/>
    <w:rsid w:val="0033352E"/>
    <w:rsid w:val="00333690"/>
    <w:rsid w:val="00333D20"/>
    <w:rsid w:val="003340EF"/>
    <w:rsid w:val="00334A49"/>
    <w:rsid w:val="00335BB0"/>
    <w:rsid w:val="0033627B"/>
    <w:rsid w:val="003406BD"/>
    <w:rsid w:val="00343F84"/>
    <w:rsid w:val="00344135"/>
    <w:rsid w:val="00351B63"/>
    <w:rsid w:val="00352E57"/>
    <w:rsid w:val="003541B0"/>
    <w:rsid w:val="00355885"/>
    <w:rsid w:val="0035605E"/>
    <w:rsid w:val="00357449"/>
    <w:rsid w:val="0036238B"/>
    <w:rsid w:val="00365680"/>
    <w:rsid w:val="003657F3"/>
    <w:rsid w:val="00374F1E"/>
    <w:rsid w:val="00376DEC"/>
    <w:rsid w:val="00380E04"/>
    <w:rsid w:val="00384D8F"/>
    <w:rsid w:val="00385D98"/>
    <w:rsid w:val="00385EC5"/>
    <w:rsid w:val="0039066E"/>
    <w:rsid w:val="00391C95"/>
    <w:rsid w:val="00396DAC"/>
    <w:rsid w:val="003A0214"/>
    <w:rsid w:val="003A1D74"/>
    <w:rsid w:val="003A2B4D"/>
    <w:rsid w:val="003A2D2B"/>
    <w:rsid w:val="003A3B1C"/>
    <w:rsid w:val="003A478C"/>
    <w:rsid w:val="003A4F82"/>
    <w:rsid w:val="003A5525"/>
    <w:rsid w:val="003A6B38"/>
    <w:rsid w:val="003B2E63"/>
    <w:rsid w:val="003B3189"/>
    <w:rsid w:val="003B3A9D"/>
    <w:rsid w:val="003B5031"/>
    <w:rsid w:val="003B5A32"/>
    <w:rsid w:val="003B6105"/>
    <w:rsid w:val="003C04C4"/>
    <w:rsid w:val="003C26F4"/>
    <w:rsid w:val="003C4852"/>
    <w:rsid w:val="003D3600"/>
    <w:rsid w:val="003D3825"/>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D19"/>
    <w:rsid w:val="004000D5"/>
    <w:rsid w:val="00401716"/>
    <w:rsid w:val="00402C25"/>
    <w:rsid w:val="004050D7"/>
    <w:rsid w:val="004078BD"/>
    <w:rsid w:val="00410132"/>
    <w:rsid w:val="004123BE"/>
    <w:rsid w:val="00414CE5"/>
    <w:rsid w:val="00416673"/>
    <w:rsid w:val="0042160D"/>
    <w:rsid w:val="0042681B"/>
    <w:rsid w:val="0043068A"/>
    <w:rsid w:val="004306E0"/>
    <w:rsid w:val="004329BE"/>
    <w:rsid w:val="00437C76"/>
    <w:rsid w:val="004441A0"/>
    <w:rsid w:val="004443BF"/>
    <w:rsid w:val="00446892"/>
    <w:rsid w:val="00450C30"/>
    <w:rsid w:val="00455ECA"/>
    <w:rsid w:val="00460164"/>
    <w:rsid w:val="0046039A"/>
    <w:rsid w:val="00461977"/>
    <w:rsid w:val="004629FD"/>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6C2F"/>
    <w:rsid w:val="0049740D"/>
    <w:rsid w:val="004A269A"/>
    <w:rsid w:val="004A30FB"/>
    <w:rsid w:val="004A35DD"/>
    <w:rsid w:val="004A37D3"/>
    <w:rsid w:val="004A5865"/>
    <w:rsid w:val="004A77DF"/>
    <w:rsid w:val="004B0295"/>
    <w:rsid w:val="004B3CB7"/>
    <w:rsid w:val="004B3D55"/>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4A75"/>
    <w:rsid w:val="004E541A"/>
    <w:rsid w:val="004E5A5C"/>
    <w:rsid w:val="004E76D6"/>
    <w:rsid w:val="004F06F5"/>
    <w:rsid w:val="004F191F"/>
    <w:rsid w:val="004F2A73"/>
    <w:rsid w:val="004F33A0"/>
    <w:rsid w:val="004F447D"/>
    <w:rsid w:val="004F4C28"/>
    <w:rsid w:val="004F5CC5"/>
    <w:rsid w:val="00510189"/>
    <w:rsid w:val="005108C0"/>
    <w:rsid w:val="00511873"/>
    <w:rsid w:val="00513B7E"/>
    <w:rsid w:val="00514474"/>
    <w:rsid w:val="005215EF"/>
    <w:rsid w:val="00525137"/>
    <w:rsid w:val="005251DD"/>
    <w:rsid w:val="0053017A"/>
    <w:rsid w:val="00530492"/>
    <w:rsid w:val="00535359"/>
    <w:rsid w:val="005357A2"/>
    <w:rsid w:val="00535EF0"/>
    <w:rsid w:val="0053734B"/>
    <w:rsid w:val="00537AFD"/>
    <w:rsid w:val="00537CB4"/>
    <w:rsid w:val="005513D5"/>
    <w:rsid w:val="005523B9"/>
    <w:rsid w:val="005545E0"/>
    <w:rsid w:val="00554865"/>
    <w:rsid w:val="00554E57"/>
    <w:rsid w:val="00562749"/>
    <w:rsid w:val="00562DE9"/>
    <w:rsid w:val="005638A5"/>
    <w:rsid w:val="00566381"/>
    <w:rsid w:val="00566A03"/>
    <w:rsid w:val="00574240"/>
    <w:rsid w:val="00575CDC"/>
    <w:rsid w:val="00583D5B"/>
    <w:rsid w:val="00583FFD"/>
    <w:rsid w:val="00587CCD"/>
    <w:rsid w:val="005908AE"/>
    <w:rsid w:val="0059176E"/>
    <w:rsid w:val="00593152"/>
    <w:rsid w:val="00593CA3"/>
    <w:rsid w:val="00594161"/>
    <w:rsid w:val="00594969"/>
    <w:rsid w:val="00596C5E"/>
    <w:rsid w:val="005A21E0"/>
    <w:rsid w:val="005A33A1"/>
    <w:rsid w:val="005A54EE"/>
    <w:rsid w:val="005A7500"/>
    <w:rsid w:val="005B1BDB"/>
    <w:rsid w:val="005B3247"/>
    <w:rsid w:val="005B3409"/>
    <w:rsid w:val="005B7B12"/>
    <w:rsid w:val="005C3F9F"/>
    <w:rsid w:val="005C7F1E"/>
    <w:rsid w:val="005D5802"/>
    <w:rsid w:val="005D73E2"/>
    <w:rsid w:val="005E1E4B"/>
    <w:rsid w:val="005E362D"/>
    <w:rsid w:val="005E492C"/>
    <w:rsid w:val="005E4BAA"/>
    <w:rsid w:val="005E5B56"/>
    <w:rsid w:val="005F4057"/>
    <w:rsid w:val="005F4088"/>
    <w:rsid w:val="005F6119"/>
    <w:rsid w:val="0060107A"/>
    <w:rsid w:val="00601AFF"/>
    <w:rsid w:val="00602D1D"/>
    <w:rsid w:val="00604307"/>
    <w:rsid w:val="0060487F"/>
    <w:rsid w:val="00606B93"/>
    <w:rsid w:val="006118AA"/>
    <w:rsid w:val="006153E3"/>
    <w:rsid w:val="00617D2D"/>
    <w:rsid w:val="00617D83"/>
    <w:rsid w:val="00620AC5"/>
    <w:rsid w:val="00621575"/>
    <w:rsid w:val="006215FC"/>
    <w:rsid w:val="00624093"/>
    <w:rsid w:val="00630F66"/>
    <w:rsid w:val="0063332A"/>
    <w:rsid w:val="006347F9"/>
    <w:rsid w:val="00634C90"/>
    <w:rsid w:val="00635E79"/>
    <w:rsid w:val="006404A7"/>
    <w:rsid w:val="006407F3"/>
    <w:rsid w:val="006451E4"/>
    <w:rsid w:val="006460B8"/>
    <w:rsid w:val="006520C7"/>
    <w:rsid w:val="006530B8"/>
    <w:rsid w:val="006535D6"/>
    <w:rsid w:val="00657E87"/>
    <w:rsid w:val="00660457"/>
    <w:rsid w:val="00660E1E"/>
    <w:rsid w:val="006637B1"/>
    <w:rsid w:val="00665D67"/>
    <w:rsid w:val="00665D77"/>
    <w:rsid w:val="006660CD"/>
    <w:rsid w:val="006676D0"/>
    <w:rsid w:val="006710C9"/>
    <w:rsid w:val="00675E37"/>
    <w:rsid w:val="0068260E"/>
    <w:rsid w:val="0068373D"/>
    <w:rsid w:val="00683BFE"/>
    <w:rsid w:val="00685E66"/>
    <w:rsid w:val="00686B72"/>
    <w:rsid w:val="00690A09"/>
    <w:rsid w:val="00693FEA"/>
    <w:rsid w:val="00695170"/>
    <w:rsid w:val="00695BEF"/>
    <w:rsid w:val="006960D6"/>
    <w:rsid w:val="00696AA5"/>
    <w:rsid w:val="006977F6"/>
    <w:rsid w:val="00697A13"/>
    <w:rsid w:val="006A109C"/>
    <w:rsid w:val="006A672B"/>
    <w:rsid w:val="006B3F8A"/>
    <w:rsid w:val="006B5CA3"/>
    <w:rsid w:val="006B78D8"/>
    <w:rsid w:val="006C090F"/>
    <w:rsid w:val="006C113F"/>
    <w:rsid w:val="006C38DD"/>
    <w:rsid w:val="006C559A"/>
    <w:rsid w:val="006C58FA"/>
    <w:rsid w:val="006D042D"/>
    <w:rsid w:val="006D06EF"/>
    <w:rsid w:val="006D61F6"/>
    <w:rsid w:val="006E1F4C"/>
    <w:rsid w:val="006E279A"/>
    <w:rsid w:val="006E2F3F"/>
    <w:rsid w:val="006E313B"/>
    <w:rsid w:val="006E442A"/>
    <w:rsid w:val="006E5CFD"/>
    <w:rsid w:val="006F3708"/>
    <w:rsid w:val="006F3E6B"/>
    <w:rsid w:val="006F4A59"/>
    <w:rsid w:val="007014C7"/>
    <w:rsid w:val="00702D6F"/>
    <w:rsid w:val="00705D98"/>
    <w:rsid w:val="00707891"/>
    <w:rsid w:val="00711EF1"/>
    <w:rsid w:val="00720FA2"/>
    <w:rsid w:val="007211F5"/>
    <w:rsid w:val="00724666"/>
    <w:rsid w:val="00726043"/>
    <w:rsid w:val="0072704A"/>
    <w:rsid w:val="00730AE8"/>
    <w:rsid w:val="00734321"/>
    <w:rsid w:val="00740652"/>
    <w:rsid w:val="00740F02"/>
    <w:rsid w:val="00740FEC"/>
    <w:rsid w:val="00741493"/>
    <w:rsid w:val="007426B3"/>
    <w:rsid w:val="007426FD"/>
    <w:rsid w:val="00744376"/>
    <w:rsid w:val="007449EA"/>
    <w:rsid w:val="00746DD9"/>
    <w:rsid w:val="0075057A"/>
    <w:rsid w:val="00751771"/>
    <w:rsid w:val="00752180"/>
    <w:rsid w:val="007521A1"/>
    <w:rsid w:val="0075315D"/>
    <w:rsid w:val="00754253"/>
    <w:rsid w:val="007558D3"/>
    <w:rsid w:val="00755D3A"/>
    <w:rsid w:val="007609C6"/>
    <w:rsid w:val="007610A0"/>
    <w:rsid w:val="007620F2"/>
    <w:rsid w:val="00774782"/>
    <w:rsid w:val="00776527"/>
    <w:rsid w:val="00781834"/>
    <w:rsid w:val="00782818"/>
    <w:rsid w:val="00784C4A"/>
    <w:rsid w:val="00787432"/>
    <w:rsid w:val="007879F2"/>
    <w:rsid w:val="00791CF8"/>
    <w:rsid w:val="00793BAE"/>
    <w:rsid w:val="00794E0A"/>
    <w:rsid w:val="00796642"/>
    <w:rsid w:val="007A327B"/>
    <w:rsid w:val="007A4606"/>
    <w:rsid w:val="007B3DCC"/>
    <w:rsid w:val="007B4518"/>
    <w:rsid w:val="007B5031"/>
    <w:rsid w:val="007B573F"/>
    <w:rsid w:val="007D2AD8"/>
    <w:rsid w:val="007D2C47"/>
    <w:rsid w:val="007E0F4B"/>
    <w:rsid w:val="007E7E61"/>
    <w:rsid w:val="007F0845"/>
    <w:rsid w:val="007F16F9"/>
    <w:rsid w:val="007F5F14"/>
    <w:rsid w:val="007F7B54"/>
    <w:rsid w:val="008005D7"/>
    <w:rsid w:val="00801FDD"/>
    <w:rsid w:val="0080255C"/>
    <w:rsid w:val="0081187C"/>
    <w:rsid w:val="00811E24"/>
    <w:rsid w:val="00812E2B"/>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42604"/>
    <w:rsid w:val="00843ECF"/>
    <w:rsid w:val="00846673"/>
    <w:rsid w:val="0085281A"/>
    <w:rsid w:val="008559FE"/>
    <w:rsid w:val="00857339"/>
    <w:rsid w:val="00863D9E"/>
    <w:rsid w:val="00867E29"/>
    <w:rsid w:val="00870F2B"/>
    <w:rsid w:val="008746E6"/>
    <w:rsid w:val="00876086"/>
    <w:rsid w:val="008768D6"/>
    <w:rsid w:val="008775D1"/>
    <w:rsid w:val="008777BB"/>
    <w:rsid w:val="0088733A"/>
    <w:rsid w:val="00891BE0"/>
    <w:rsid w:val="008945A1"/>
    <w:rsid w:val="00894A63"/>
    <w:rsid w:val="00896BDE"/>
    <w:rsid w:val="008A0861"/>
    <w:rsid w:val="008A0BB2"/>
    <w:rsid w:val="008A1AB3"/>
    <w:rsid w:val="008A1D5C"/>
    <w:rsid w:val="008A3292"/>
    <w:rsid w:val="008A43E9"/>
    <w:rsid w:val="008A4CB1"/>
    <w:rsid w:val="008A615E"/>
    <w:rsid w:val="008A632B"/>
    <w:rsid w:val="008A6BFE"/>
    <w:rsid w:val="008B190E"/>
    <w:rsid w:val="008B1A8A"/>
    <w:rsid w:val="008B7306"/>
    <w:rsid w:val="008B775F"/>
    <w:rsid w:val="008B7C02"/>
    <w:rsid w:val="008B7F9E"/>
    <w:rsid w:val="008C0E88"/>
    <w:rsid w:val="008C1AA8"/>
    <w:rsid w:val="008C6CB8"/>
    <w:rsid w:val="008C7815"/>
    <w:rsid w:val="008D0171"/>
    <w:rsid w:val="008D2A16"/>
    <w:rsid w:val="008D2ECF"/>
    <w:rsid w:val="008D3F3D"/>
    <w:rsid w:val="008E31FF"/>
    <w:rsid w:val="008E6AB3"/>
    <w:rsid w:val="008E6AD3"/>
    <w:rsid w:val="008E71A6"/>
    <w:rsid w:val="008E77B6"/>
    <w:rsid w:val="008F032E"/>
    <w:rsid w:val="008F0F14"/>
    <w:rsid w:val="008F4FCE"/>
    <w:rsid w:val="008F7D28"/>
    <w:rsid w:val="009003A8"/>
    <w:rsid w:val="00902CBE"/>
    <w:rsid w:val="00902EFF"/>
    <w:rsid w:val="00903E06"/>
    <w:rsid w:val="00910F93"/>
    <w:rsid w:val="00914426"/>
    <w:rsid w:val="0091675F"/>
    <w:rsid w:val="00917709"/>
    <w:rsid w:val="00917918"/>
    <w:rsid w:val="00921F14"/>
    <w:rsid w:val="009243A5"/>
    <w:rsid w:val="00926283"/>
    <w:rsid w:val="00937B11"/>
    <w:rsid w:val="00940F1F"/>
    <w:rsid w:val="00941250"/>
    <w:rsid w:val="0094427A"/>
    <w:rsid w:val="009459C5"/>
    <w:rsid w:val="0095013A"/>
    <w:rsid w:val="00953AEF"/>
    <w:rsid w:val="009551E2"/>
    <w:rsid w:val="00955783"/>
    <w:rsid w:val="009560B0"/>
    <w:rsid w:val="00957871"/>
    <w:rsid w:val="00964498"/>
    <w:rsid w:val="0096650F"/>
    <w:rsid w:val="009700DB"/>
    <w:rsid w:val="00972263"/>
    <w:rsid w:val="00972D8D"/>
    <w:rsid w:val="00973AAE"/>
    <w:rsid w:val="00974923"/>
    <w:rsid w:val="00974D48"/>
    <w:rsid w:val="00980621"/>
    <w:rsid w:val="00982072"/>
    <w:rsid w:val="00983ECF"/>
    <w:rsid w:val="00986745"/>
    <w:rsid w:val="00987109"/>
    <w:rsid w:val="0099012D"/>
    <w:rsid w:val="00996355"/>
    <w:rsid w:val="009A4E12"/>
    <w:rsid w:val="009B052C"/>
    <w:rsid w:val="009B0EF2"/>
    <w:rsid w:val="009B23A3"/>
    <w:rsid w:val="009B6FD3"/>
    <w:rsid w:val="009B70BD"/>
    <w:rsid w:val="009C7388"/>
    <w:rsid w:val="009D1551"/>
    <w:rsid w:val="009D2859"/>
    <w:rsid w:val="009D4173"/>
    <w:rsid w:val="009D6095"/>
    <w:rsid w:val="009D6306"/>
    <w:rsid w:val="009E048A"/>
    <w:rsid w:val="009E1FBA"/>
    <w:rsid w:val="009E2C54"/>
    <w:rsid w:val="009E3710"/>
    <w:rsid w:val="009E7B1F"/>
    <w:rsid w:val="009F41C4"/>
    <w:rsid w:val="009F5846"/>
    <w:rsid w:val="009F7D77"/>
    <w:rsid w:val="00A10D66"/>
    <w:rsid w:val="00A1420C"/>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6DE0"/>
    <w:rsid w:val="00A4778A"/>
    <w:rsid w:val="00A5067F"/>
    <w:rsid w:val="00A55301"/>
    <w:rsid w:val="00A57B3C"/>
    <w:rsid w:val="00A6128E"/>
    <w:rsid w:val="00A62CE1"/>
    <w:rsid w:val="00A631FA"/>
    <w:rsid w:val="00A64203"/>
    <w:rsid w:val="00A64348"/>
    <w:rsid w:val="00A721FB"/>
    <w:rsid w:val="00A727BA"/>
    <w:rsid w:val="00A72D4B"/>
    <w:rsid w:val="00A732AE"/>
    <w:rsid w:val="00A75E40"/>
    <w:rsid w:val="00A77EB2"/>
    <w:rsid w:val="00A82B66"/>
    <w:rsid w:val="00A83B58"/>
    <w:rsid w:val="00A851B6"/>
    <w:rsid w:val="00A85729"/>
    <w:rsid w:val="00A8574B"/>
    <w:rsid w:val="00A857C0"/>
    <w:rsid w:val="00A96463"/>
    <w:rsid w:val="00A97E3F"/>
    <w:rsid w:val="00AA23FB"/>
    <w:rsid w:val="00AA42AB"/>
    <w:rsid w:val="00AA559A"/>
    <w:rsid w:val="00AB2AF1"/>
    <w:rsid w:val="00AB440B"/>
    <w:rsid w:val="00AB74C5"/>
    <w:rsid w:val="00AB7DF2"/>
    <w:rsid w:val="00AC1E3F"/>
    <w:rsid w:val="00AC4F18"/>
    <w:rsid w:val="00AD0B46"/>
    <w:rsid w:val="00AD2565"/>
    <w:rsid w:val="00AD306C"/>
    <w:rsid w:val="00AD3424"/>
    <w:rsid w:val="00AD59BB"/>
    <w:rsid w:val="00AD5D68"/>
    <w:rsid w:val="00AD6C73"/>
    <w:rsid w:val="00AE06D0"/>
    <w:rsid w:val="00AE39DC"/>
    <w:rsid w:val="00AE7968"/>
    <w:rsid w:val="00AF128B"/>
    <w:rsid w:val="00AF3225"/>
    <w:rsid w:val="00AF518B"/>
    <w:rsid w:val="00AF5275"/>
    <w:rsid w:val="00AF6367"/>
    <w:rsid w:val="00AF6A79"/>
    <w:rsid w:val="00AF724E"/>
    <w:rsid w:val="00AF73A9"/>
    <w:rsid w:val="00B01C2C"/>
    <w:rsid w:val="00B0231C"/>
    <w:rsid w:val="00B15DCD"/>
    <w:rsid w:val="00B17E71"/>
    <w:rsid w:val="00B17FDE"/>
    <w:rsid w:val="00B208FC"/>
    <w:rsid w:val="00B20C65"/>
    <w:rsid w:val="00B3229E"/>
    <w:rsid w:val="00B32DDB"/>
    <w:rsid w:val="00B35BEA"/>
    <w:rsid w:val="00B41BE6"/>
    <w:rsid w:val="00B457E7"/>
    <w:rsid w:val="00B47430"/>
    <w:rsid w:val="00B52D2D"/>
    <w:rsid w:val="00B561A6"/>
    <w:rsid w:val="00B62960"/>
    <w:rsid w:val="00B63A11"/>
    <w:rsid w:val="00B63FD0"/>
    <w:rsid w:val="00B65C84"/>
    <w:rsid w:val="00B6608F"/>
    <w:rsid w:val="00B74317"/>
    <w:rsid w:val="00B76D1E"/>
    <w:rsid w:val="00B822D2"/>
    <w:rsid w:val="00B848B8"/>
    <w:rsid w:val="00B84A41"/>
    <w:rsid w:val="00B84D57"/>
    <w:rsid w:val="00B86748"/>
    <w:rsid w:val="00B91EC9"/>
    <w:rsid w:val="00B924CA"/>
    <w:rsid w:val="00B93384"/>
    <w:rsid w:val="00B94417"/>
    <w:rsid w:val="00B95940"/>
    <w:rsid w:val="00B95EF8"/>
    <w:rsid w:val="00B96BD9"/>
    <w:rsid w:val="00BB2C53"/>
    <w:rsid w:val="00BB32DA"/>
    <w:rsid w:val="00BB3A54"/>
    <w:rsid w:val="00BB4E21"/>
    <w:rsid w:val="00BC682B"/>
    <w:rsid w:val="00BC6B04"/>
    <w:rsid w:val="00BD3428"/>
    <w:rsid w:val="00BD366B"/>
    <w:rsid w:val="00BD56BC"/>
    <w:rsid w:val="00BD5D91"/>
    <w:rsid w:val="00BD6615"/>
    <w:rsid w:val="00BD6D50"/>
    <w:rsid w:val="00BE0DB0"/>
    <w:rsid w:val="00BE3F09"/>
    <w:rsid w:val="00BE670A"/>
    <w:rsid w:val="00BE6906"/>
    <w:rsid w:val="00BF18F4"/>
    <w:rsid w:val="00BF1A69"/>
    <w:rsid w:val="00BF3BC8"/>
    <w:rsid w:val="00BF3DF1"/>
    <w:rsid w:val="00BF4C31"/>
    <w:rsid w:val="00C00F20"/>
    <w:rsid w:val="00C034E6"/>
    <w:rsid w:val="00C0784A"/>
    <w:rsid w:val="00C10FAE"/>
    <w:rsid w:val="00C12A69"/>
    <w:rsid w:val="00C150BE"/>
    <w:rsid w:val="00C15A0C"/>
    <w:rsid w:val="00C15DCB"/>
    <w:rsid w:val="00C20744"/>
    <w:rsid w:val="00C20C4D"/>
    <w:rsid w:val="00C21D46"/>
    <w:rsid w:val="00C21F94"/>
    <w:rsid w:val="00C222A1"/>
    <w:rsid w:val="00C23D22"/>
    <w:rsid w:val="00C24E77"/>
    <w:rsid w:val="00C2732D"/>
    <w:rsid w:val="00C273C6"/>
    <w:rsid w:val="00C27913"/>
    <w:rsid w:val="00C300C6"/>
    <w:rsid w:val="00C34FDE"/>
    <w:rsid w:val="00C35C16"/>
    <w:rsid w:val="00C41463"/>
    <w:rsid w:val="00C41A72"/>
    <w:rsid w:val="00C476C5"/>
    <w:rsid w:val="00C503B0"/>
    <w:rsid w:val="00C511C2"/>
    <w:rsid w:val="00C53D82"/>
    <w:rsid w:val="00C60696"/>
    <w:rsid w:val="00C615F1"/>
    <w:rsid w:val="00C61627"/>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6BA1"/>
    <w:rsid w:val="00CA6CD5"/>
    <w:rsid w:val="00CB2150"/>
    <w:rsid w:val="00CB28EE"/>
    <w:rsid w:val="00CB43A7"/>
    <w:rsid w:val="00CB5996"/>
    <w:rsid w:val="00CB7452"/>
    <w:rsid w:val="00CC2642"/>
    <w:rsid w:val="00CC2E15"/>
    <w:rsid w:val="00CC3908"/>
    <w:rsid w:val="00CC62AD"/>
    <w:rsid w:val="00CD2B3C"/>
    <w:rsid w:val="00CD30F6"/>
    <w:rsid w:val="00CD4B29"/>
    <w:rsid w:val="00CD6EF1"/>
    <w:rsid w:val="00CE21C7"/>
    <w:rsid w:val="00CE57D8"/>
    <w:rsid w:val="00CE617A"/>
    <w:rsid w:val="00CF28C2"/>
    <w:rsid w:val="00CF42BD"/>
    <w:rsid w:val="00CF51EC"/>
    <w:rsid w:val="00CF6CD7"/>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78CC"/>
    <w:rsid w:val="00D4042C"/>
    <w:rsid w:val="00D42312"/>
    <w:rsid w:val="00D43998"/>
    <w:rsid w:val="00D4615E"/>
    <w:rsid w:val="00D478E2"/>
    <w:rsid w:val="00D5264C"/>
    <w:rsid w:val="00D547BA"/>
    <w:rsid w:val="00D55626"/>
    <w:rsid w:val="00D556BC"/>
    <w:rsid w:val="00D5626D"/>
    <w:rsid w:val="00D60277"/>
    <w:rsid w:val="00D62901"/>
    <w:rsid w:val="00D6470C"/>
    <w:rsid w:val="00D64853"/>
    <w:rsid w:val="00D64CB5"/>
    <w:rsid w:val="00D66D48"/>
    <w:rsid w:val="00D73256"/>
    <w:rsid w:val="00D73A30"/>
    <w:rsid w:val="00D74C65"/>
    <w:rsid w:val="00D75DC2"/>
    <w:rsid w:val="00D82462"/>
    <w:rsid w:val="00D868CE"/>
    <w:rsid w:val="00D90C1E"/>
    <w:rsid w:val="00D93F09"/>
    <w:rsid w:val="00D97BB8"/>
    <w:rsid w:val="00DA4AF6"/>
    <w:rsid w:val="00DB016E"/>
    <w:rsid w:val="00DB378E"/>
    <w:rsid w:val="00DB3E9D"/>
    <w:rsid w:val="00DB47B9"/>
    <w:rsid w:val="00DB53CE"/>
    <w:rsid w:val="00DB549D"/>
    <w:rsid w:val="00DC257F"/>
    <w:rsid w:val="00DC408A"/>
    <w:rsid w:val="00DC5B3B"/>
    <w:rsid w:val="00DC6796"/>
    <w:rsid w:val="00DC78DF"/>
    <w:rsid w:val="00DD0821"/>
    <w:rsid w:val="00DD0E32"/>
    <w:rsid w:val="00DD373E"/>
    <w:rsid w:val="00DD57AD"/>
    <w:rsid w:val="00DE009B"/>
    <w:rsid w:val="00DE2ED9"/>
    <w:rsid w:val="00DE319A"/>
    <w:rsid w:val="00DF0DC3"/>
    <w:rsid w:val="00DF5578"/>
    <w:rsid w:val="00DF7FEC"/>
    <w:rsid w:val="00E01C0E"/>
    <w:rsid w:val="00E03B27"/>
    <w:rsid w:val="00E04694"/>
    <w:rsid w:val="00E05B2B"/>
    <w:rsid w:val="00E07F05"/>
    <w:rsid w:val="00E127E1"/>
    <w:rsid w:val="00E144D2"/>
    <w:rsid w:val="00E15346"/>
    <w:rsid w:val="00E215EA"/>
    <w:rsid w:val="00E24619"/>
    <w:rsid w:val="00E25223"/>
    <w:rsid w:val="00E30BEA"/>
    <w:rsid w:val="00E31764"/>
    <w:rsid w:val="00E34E4A"/>
    <w:rsid w:val="00E365B3"/>
    <w:rsid w:val="00E37C45"/>
    <w:rsid w:val="00E40AAA"/>
    <w:rsid w:val="00E438CF"/>
    <w:rsid w:val="00E43C41"/>
    <w:rsid w:val="00E450CE"/>
    <w:rsid w:val="00E45A00"/>
    <w:rsid w:val="00E45CE7"/>
    <w:rsid w:val="00E4631F"/>
    <w:rsid w:val="00E522BB"/>
    <w:rsid w:val="00E571F2"/>
    <w:rsid w:val="00E57429"/>
    <w:rsid w:val="00E71A58"/>
    <w:rsid w:val="00E84F21"/>
    <w:rsid w:val="00E921C7"/>
    <w:rsid w:val="00E92995"/>
    <w:rsid w:val="00E94612"/>
    <w:rsid w:val="00E95797"/>
    <w:rsid w:val="00E9682F"/>
    <w:rsid w:val="00E96A8D"/>
    <w:rsid w:val="00E972BA"/>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54B"/>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F0E75"/>
    <w:rsid w:val="00EF1F5A"/>
    <w:rsid w:val="00EF4685"/>
    <w:rsid w:val="00EF5397"/>
    <w:rsid w:val="00F04811"/>
    <w:rsid w:val="00F0488C"/>
    <w:rsid w:val="00F0496E"/>
    <w:rsid w:val="00F04D10"/>
    <w:rsid w:val="00F0625B"/>
    <w:rsid w:val="00F101FF"/>
    <w:rsid w:val="00F10A33"/>
    <w:rsid w:val="00F15BEF"/>
    <w:rsid w:val="00F172BE"/>
    <w:rsid w:val="00F1776C"/>
    <w:rsid w:val="00F2037E"/>
    <w:rsid w:val="00F2103E"/>
    <w:rsid w:val="00F214FC"/>
    <w:rsid w:val="00F23FFF"/>
    <w:rsid w:val="00F2441D"/>
    <w:rsid w:val="00F24FAA"/>
    <w:rsid w:val="00F26197"/>
    <w:rsid w:val="00F31F76"/>
    <w:rsid w:val="00F3364D"/>
    <w:rsid w:val="00F35ACD"/>
    <w:rsid w:val="00F36BF8"/>
    <w:rsid w:val="00F37760"/>
    <w:rsid w:val="00F403D1"/>
    <w:rsid w:val="00F43921"/>
    <w:rsid w:val="00F4591F"/>
    <w:rsid w:val="00F4736B"/>
    <w:rsid w:val="00F47D05"/>
    <w:rsid w:val="00F50030"/>
    <w:rsid w:val="00F51FC9"/>
    <w:rsid w:val="00F54B31"/>
    <w:rsid w:val="00F63DDE"/>
    <w:rsid w:val="00F63FB7"/>
    <w:rsid w:val="00F64726"/>
    <w:rsid w:val="00F6561A"/>
    <w:rsid w:val="00F727D5"/>
    <w:rsid w:val="00F72F44"/>
    <w:rsid w:val="00F73A0C"/>
    <w:rsid w:val="00F771A5"/>
    <w:rsid w:val="00F81C3A"/>
    <w:rsid w:val="00F835FC"/>
    <w:rsid w:val="00F83E21"/>
    <w:rsid w:val="00F84E18"/>
    <w:rsid w:val="00F852E5"/>
    <w:rsid w:val="00F95117"/>
    <w:rsid w:val="00FA05D7"/>
    <w:rsid w:val="00FA1C6C"/>
    <w:rsid w:val="00FA309A"/>
    <w:rsid w:val="00FA7644"/>
    <w:rsid w:val="00FB56F1"/>
    <w:rsid w:val="00FB5FD4"/>
    <w:rsid w:val="00FB67F3"/>
    <w:rsid w:val="00FC0D8A"/>
    <w:rsid w:val="00FC0E5F"/>
    <w:rsid w:val="00FC4660"/>
    <w:rsid w:val="00FC56DE"/>
    <w:rsid w:val="00FD1627"/>
    <w:rsid w:val="00FD473D"/>
    <w:rsid w:val="00FD61C8"/>
    <w:rsid w:val="00FD63CE"/>
    <w:rsid w:val="00FD7D49"/>
    <w:rsid w:val="00FE1251"/>
    <w:rsid w:val="00FE2F78"/>
    <w:rsid w:val="00FE375F"/>
    <w:rsid w:val="00FE4FCB"/>
    <w:rsid w:val="00FF28E0"/>
    <w:rsid w:val="00FF2FB4"/>
    <w:rsid w:val="00FF30B3"/>
    <w:rsid w:val="00FF3DF3"/>
    <w:rsid w:val="00FF4027"/>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milie.jasova@czso.cz"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DC95A-1551-4172-8E8C-88C0B4A1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235</TotalTime>
  <Pages>22</Pages>
  <Words>11172</Words>
  <Characters>65915</Characters>
  <Application>Microsoft Office Word</Application>
  <DocSecurity>0</DocSecurity>
  <Lines>549</Lines>
  <Paragraphs>153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Emilie Jašová</cp:lastModifiedBy>
  <cp:revision>24</cp:revision>
  <cp:lastPrinted>2015-03-20T07:25:00Z</cp:lastPrinted>
  <dcterms:created xsi:type="dcterms:W3CDTF">2015-03-16T09:04:00Z</dcterms:created>
  <dcterms:modified xsi:type="dcterms:W3CDTF">2015-03-30T13:52:00Z</dcterms:modified>
</cp:coreProperties>
</file>