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F1" w:rsidRPr="00FA1C6C" w:rsidRDefault="0088733A" w:rsidP="0035536F">
      <w:pPr>
        <w:pStyle w:val="Nadpis1"/>
        <w:numPr>
          <w:ilvl w:val="0"/>
          <w:numId w:val="49"/>
        </w:numPr>
        <w:jc w:val="both"/>
      </w:pPr>
      <w:bookmarkStart w:id="0" w:name="_Toc414264327"/>
      <w:r>
        <w:t>Státní rozpočet</w:t>
      </w:r>
      <w:bookmarkEnd w:id="0"/>
    </w:p>
    <w:tbl>
      <w:tblPr>
        <w:tblW w:w="5021" w:type="pct"/>
        <w:tblLayout w:type="fixed"/>
        <w:tblLook w:val="00A0"/>
      </w:tblPr>
      <w:tblGrid>
        <w:gridCol w:w="79"/>
        <w:gridCol w:w="738"/>
        <w:gridCol w:w="1259"/>
        <w:gridCol w:w="281"/>
        <w:gridCol w:w="2549"/>
        <w:gridCol w:w="22"/>
        <w:gridCol w:w="710"/>
        <w:gridCol w:w="4213"/>
        <w:gridCol w:w="38"/>
        <w:gridCol w:w="6"/>
      </w:tblGrid>
      <w:tr w:rsidR="000B3F02" w:rsidRPr="007D44C3" w:rsidTr="0072704A">
        <w:trPr>
          <w:gridAfter w:val="2"/>
          <w:wAfter w:w="22" w:type="pct"/>
        </w:trPr>
        <w:tc>
          <w:tcPr>
            <w:tcW w:w="1049" w:type="pct"/>
            <w:gridSpan w:val="3"/>
          </w:tcPr>
          <w:p w:rsidR="000B3F02" w:rsidRDefault="000B3F02" w:rsidP="006C559A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Hloubka deficitu státního rozpočtu se snížila již popáté v řadě. Absolutní výše schodku byla v roce 2014 čtvrtá </w:t>
            </w:r>
            <w:r w:rsidRPr="0032109A">
              <w:rPr>
                <w:spacing w:val="-2"/>
                <w:sz w:val="16"/>
                <w:szCs w:val="16"/>
              </w:rPr>
              <w:t xml:space="preserve">nejnižší od </w:t>
            </w:r>
            <w:r w:rsidR="008336D8">
              <w:rPr>
                <w:spacing w:val="-2"/>
                <w:sz w:val="16"/>
                <w:szCs w:val="16"/>
              </w:rPr>
              <w:t>roku 2003</w:t>
            </w:r>
          </w:p>
          <w:p w:rsidR="000B3F02" w:rsidRDefault="000B3F02" w:rsidP="006C559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0B3F02" w:rsidRDefault="000B3F02" w:rsidP="006C559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0B3F02" w:rsidRDefault="000B3F02" w:rsidP="006C559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0B3F02" w:rsidRDefault="000B3F02" w:rsidP="006C559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0B3F02" w:rsidRDefault="000B3F02" w:rsidP="006C559A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Větší rozkolísanost příjmů</w:t>
            </w:r>
          </w:p>
          <w:p w:rsidR="000B3F02" w:rsidRDefault="000B3F02" w:rsidP="006C559A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 výdajů v průběhu roku vlivem toku nepřímých daní a také investičních výdajů</w:t>
            </w:r>
          </w:p>
          <w:p w:rsidR="000B3F02" w:rsidRDefault="000B3F02" w:rsidP="006C559A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42" w:type="pct"/>
          </w:tcPr>
          <w:p w:rsidR="000B3F02" w:rsidRDefault="000B3F02" w:rsidP="008B7306">
            <w:pPr>
              <w:pStyle w:val="Textpoznpodarou"/>
              <w:jc w:val="both"/>
            </w:pPr>
          </w:p>
        </w:tc>
        <w:tc>
          <w:tcPr>
            <w:tcW w:w="3787" w:type="pct"/>
            <w:gridSpan w:val="4"/>
          </w:tcPr>
          <w:p w:rsidR="000B3F02" w:rsidRDefault="000B3F02" w:rsidP="00ED2CA5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 w:rsidRPr="00ED2CA5">
              <w:rPr>
                <w:rFonts w:cs="Arial"/>
                <w:spacing w:val="-4"/>
              </w:rPr>
              <w:t>Výsledky hospodaření státu během roku 2014 ovlivnily vedle dlouhodobějších snah</w:t>
            </w:r>
            <w:r w:rsidR="008336D8" w:rsidRPr="00ED2CA5">
              <w:rPr>
                <w:rFonts w:cs="Arial"/>
                <w:spacing w:val="-4"/>
              </w:rPr>
              <w:t xml:space="preserve"> o</w:t>
            </w:r>
            <w:r w:rsidRPr="00ED2CA5">
              <w:rPr>
                <w:rFonts w:cs="Arial"/>
                <w:spacing w:val="-4"/>
              </w:rPr>
              <w:t xml:space="preserve"> fiskální konsolidaci zejména postupné oživování ekonomiky a významně též rekordní čerpání z rozpočtu EU (v souvislosti s končícím programovacím obdobím). Hospodaření státu v roce 2014 skončilo (dle pokladního plnění) nejnižším schodkem (-77,8 mld. korun) od počátku hluboké hospodářské recese. Výše deficitu byla sice meziročně příznivější „jen“ o 3,5 mld. korun, avšak proti schválenému schodku na rok 2014 byla nižší bezmála o třetinu (v předchozím roce o pětinu). O</w:t>
            </w:r>
            <w:r w:rsidR="008336D8" w:rsidRPr="00ED2CA5">
              <w:rPr>
                <w:rFonts w:cs="Arial"/>
                <w:spacing w:val="-4"/>
              </w:rPr>
              <w:t> </w:t>
            </w:r>
            <w:r w:rsidRPr="00ED2CA5">
              <w:rPr>
                <w:rFonts w:cs="Arial"/>
                <w:spacing w:val="-4"/>
              </w:rPr>
              <w:t>meziročně mělčí deficit se zasloužil vývoj v první polovině roku, kdy stát hospodařil dokonce s mírným přebytkem. Větší rozkolísanost během roku způsobily nejen kumulace investičních výdajů na konci roku či nepravidelnosti v čerpání prostředků z rozpočtu EU, ale i vysoké inkaso nepřímých daní na počátku roku</w:t>
            </w:r>
            <w:r w:rsidRPr="00ED2CA5">
              <w:rPr>
                <w:rStyle w:val="Znakapoznpodarou"/>
                <w:rFonts w:cs="Arial"/>
                <w:spacing w:val="-4"/>
              </w:rPr>
              <w:footnoteReference w:id="1"/>
            </w:r>
            <w:r w:rsidRPr="00ED2CA5">
              <w:rPr>
                <w:rFonts w:cs="Arial"/>
                <w:spacing w:val="-4"/>
              </w:rPr>
              <w:t>.</w:t>
            </w:r>
            <w:r w:rsidRPr="00ED2CA5">
              <w:rPr>
                <w:rFonts w:cs="Arial"/>
                <w:color w:val="000000" w:themeColor="text1"/>
                <w:spacing w:val="-4"/>
              </w:rPr>
              <w:t xml:space="preserve"> Schodek státního rozpočtu</w:t>
            </w:r>
            <w:r w:rsidR="008336D8" w:rsidRPr="00ED2CA5">
              <w:rPr>
                <w:rFonts w:cs="Arial"/>
                <w:color w:val="000000" w:themeColor="text1"/>
                <w:spacing w:val="-4"/>
              </w:rPr>
              <w:t xml:space="preserve"> (SR)</w:t>
            </w:r>
            <w:r w:rsidRPr="00ED2CA5">
              <w:rPr>
                <w:rFonts w:cs="Arial"/>
                <w:color w:val="000000" w:themeColor="text1"/>
                <w:spacing w:val="-4"/>
              </w:rPr>
              <w:t xml:space="preserve"> v poměru k nominálnímu HDP se v roce 2014 zlepšil na 1,8 % (z loňských 2,0 %). Významně příznivější výsledek se od roku 2000 objevil jen v roce 2008 (-0,5 %).</w:t>
            </w:r>
          </w:p>
          <w:p w:rsidR="00055059" w:rsidRDefault="00055059" w:rsidP="00ED2CA5">
            <w:pPr>
              <w:pStyle w:val="Textpoznpodarou"/>
              <w:jc w:val="both"/>
              <w:rPr>
                <w:rFonts w:cs="Arial"/>
                <w:spacing w:val="-2"/>
                <w:sz w:val="16"/>
                <w:szCs w:val="14"/>
              </w:rPr>
            </w:pPr>
          </w:p>
        </w:tc>
      </w:tr>
      <w:tr w:rsidR="000B3F02" w:rsidRPr="007D44C3" w:rsidTr="0072704A">
        <w:trPr>
          <w:gridAfter w:val="2"/>
          <w:wAfter w:w="22" w:type="pct"/>
        </w:trPr>
        <w:tc>
          <w:tcPr>
            <w:tcW w:w="1049" w:type="pct"/>
            <w:gridSpan w:val="3"/>
          </w:tcPr>
          <w:p w:rsidR="000B3F02" w:rsidRPr="0072704A" w:rsidRDefault="0072704A" w:rsidP="006C559A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72704A">
              <w:rPr>
                <w:spacing w:val="-4"/>
                <w:sz w:val="16"/>
                <w:szCs w:val="16"/>
              </w:rPr>
              <w:t>Menší schodek b</w:t>
            </w:r>
            <w:r w:rsidR="00C60696" w:rsidRPr="0072704A">
              <w:rPr>
                <w:spacing w:val="-4"/>
                <w:sz w:val="16"/>
                <w:szCs w:val="16"/>
              </w:rPr>
              <w:t>yl</w:t>
            </w:r>
            <w:r w:rsidR="000B3F02" w:rsidRPr="0072704A">
              <w:rPr>
                <w:spacing w:val="-4"/>
                <w:sz w:val="16"/>
                <w:szCs w:val="16"/>
              </w:rPr>
              <w:t xml:space="preserve"> zajištěn nižším než rozpočtem očekávaným čerpáním sociálních dávek i úsporami u neinvestičních nákupů a vyšším inkasem DPH i korporátních daní</w:t>
            </w:r>
          </w:p>
        </w:tc>
        <w:tc>
          <w:tcPr>
            <w:tcW w:w="142" w:type="pct"/>
          </w:tcPr>
          <w:p w:rsidR="000B3F02" w:rsidRDefault="000B3F02" w:rsidP="008B7306">
            <w:pPr>
              <w:pStyle w:val="Textpoznpodarou"/>
              <w:jc w:val="both"/>
            </w:pPr>
          </w:p>
        </w:tc>
        <w:tc>
          <w:tcPr>
            <w:tcW w:w="3787" w:type="pct"/>
            <w:gridSpan w:val="4"/>
          </w:tcPr>
          <w:p w:rsidR="000B3F02" w:rsidRDefault="000B3F02" w:rsidP="008B7306">
            <w:pPr>
              <w:pStyle w:val="Textpoznpodarou"/>
              <w:jc w:val="both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Meziročně příznivější výsledek</w:t>
            </w:r>
            <w:r w:rsidR="008336D8">
              <w:rPr>
                <w:rFonts w:cs="Arial"/>
                <w:spacing w:val="-2"/>
              </w:rPr>
              <w:t xml:space="preserve"> deficitu státního rozpočtu</w:t>
            </w:r>
            <w:r>
              <w:rPr>
                <w:rFonts w:cs="Arial"/>
                <w:spacing w:val="-2"/>
              </w:rPr>
              <w:t xml:space="preserve"> se zasloužil předstih růstu příjmů (meziročně +3,8</w:t>
            </w:r>
            <w:r>
              <w:rPr>
                <w:spacing w:val="-2"/>
              </w:rPr>
              <w:t> </w:t>
            </w:r>
            <w:r>
              <w:rPr>
                <w:rFonts w:cs="Arial"/>
                <w:spacing w:val="-2"/>
              </w:rPr>
              <w:t xml:space="preserve">%) nad výdaji (+3,3 %). Na nižším než plánovaném schodku se podílely zejména inkaso DPH (překročení rozpočtu o 11,5 </w:t>
            </w:r>
            <w:proofErr w:type="spellStart"/>
            <w:r>
              <w:rPr>
                <w:rFonts w:cs="Arial"/>
                <w:spacing w:val="-2"/>
              </w:rPr>
              <w:t>mld</w:t>
            </w:r>
            <w:proofErr w:type="spellEnd"/>
            <w:r>
              <w:rPr>
                <w:rFonts w:cs="Arial"/>
                <w:spacing w:val="-2"/>
              </w:rPr>
              <w:t xml:space="preserve">,. </w:t>
            </w:r>
            <w:proofErr w:type="gramStart"/>
            <w:r>
              <w:rPr>
                <w:rFonts w:cs="Arial"/>
                <w:spacing w:val="-2"/>
              </w:rPr>
              <w:t>korun</w:t>
            </w:r>
            <w:proofErr w:type="gramEnd"/>
            <w:r>
              <w:rPr>
                <w:rFonts w:cs="Arial"/>
                <w:spacing w:val="-2"/>
              </w:rPr>
              <w:t xml:space="preserve">) a daně od korporací (+7,0 mld. korun), na výdajové straně pak úspora neinvestičních nákupů (vč. výdajů na státní dluh), nenaplněny zůstaly i očekávané výdaje na sociální dávky (-7,5 mld. korun). </w:t>
            </w:r>
          </w:p>
          <w:p w:rsidR="000B3F02" w:rsidRPr="0039066E" w:rsidRDefault="000B3F02" w:rsidP="008B7306">
            <w:pPr>
              <w:pStyle w:val="Textpoznpodarou"/>
              <w:spacing w:line="216" w:lineRule="auto"/>
              <w:jc w:val="both"/>
              <w:rPr>
                <w:rFonts w:cs="Arial"/>
                <w:spacing w:val="-2"/>
                <w:sz w:val="10"/>
                <w:szCs w:val="10"/>
              </w:rPr>
            </w:pPr>
          </w:p>
        </w:tc>
      </w:tr>
      <w:tr w:rsidR="000B3F02" w:rsidRPr="007D44C3" w:rsidTr="0072704A">
        <w:trPr>
          <w:gridAfter w:val="2"/>
          <w:wAfter w:w="22" w:type="pct"/>
        </w:trPr>
        <w:tc>
          <w:tcPr>
            <w:tcW w:w="1049" w:type="pct"/>
            <w:gridSpan w:val="3"/>
          </w:tcPr>
          <w:p w:rsidR="000B3F02" w:rsidRDefault="000B3F02" w:rsidP="006C55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Inkaso DPH meziročně vzrostlo více než dvojnásobným tempem oproti růstu celkové spotřeby v ekonomice</w:t>
            </w:r>
          </w:p>
          <w:p w:rsidR="000B3F02" w:rsidRDefault="000B3F02" w:rsidP="006C559A">
            <w:pPr>
              <w:spacing w:line="240" w:lineRule="auto"/>
              <w:rPr>
                <w:sz w:val="16"/>
                <w:szCs w:val="16"/>
              </w:rPr>
            </w:pPr>
          </w:p>
          <w:p w:rsidR="000B3F02" w:rsidRDefault="000B3F02" w:rsidP="006C559A">
            <w:pPr>
              <w:spacing w:line="240" w:lineRule="auto"/>
              <w:rPr>
                <w:sz w:val="16"/>
                <w:szCs w:val="16"/>
              </w:rPr>
            </w:pPr>
          </w:p>
          <w:p w:rsidR="000B3F02" w:rsidRDefault="000B3F02" w:rsidP="006C55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hlavních druhů spotřebních daní zůstal výběr za rozpočtovým očekáváním</w:t>
            </w:r>
          </w:p>
        </w:tc>
        <w:tc>
          <w:tcPr>
            <w:tcW w:w="142" w:type="pct"/>
          </w:tcPr>
          <w:p w:rsidR="000B3F02" w:rsidRDefault="000B3F02" w:rsidP="008B7306">
            <w:pPr>
              <w:pStyle w:val="Textpoznpodarou"/>
              <w:jc w:val="both"/>
            </w:pPr>
          </w:p>
        </w:tc>
        <w:tc>
          <w:tcPr>
            <w:tcW w:w="3787" w:type="pct"/>
            <w:gridSpan w:val="4"/>
          </w:tcPr>
          <w:p w:rsidR="000B3F02" w:rsidRPr="00955E5F" w:rsidRDefault="000B3F02" w:rsidP="008B7306">
            <w:pPr>
              <w:pStyle w:val="Textpoznpodarou"/>
              <w:jc w:val="both"/>
              <w:rPr>
                <w:rFonts w:cs="Arial"/>
                <w:spacing w:val="-2"/>
              </w:rPr>
            </w:pPr>
            <w:r w:rsidRPr="004745D9">
              <w:rPr>
                <w:rFonts w:cs="Arial"/>
                <w:spacing w:val="-2"/>
              </w:rPr>
              <w:t>K vyšším meziročním</w:t>
            </w:r>
            <w:r>
              <w:rPr>
                <w:rFonts w:cs="Arial"/>
                <w:spacing w:val="-2"/>
              </w:rPr>
              <w:t xml:space="preserve"> </w:t>
            </w:r>
            <w:r w:rsidRPr="004745D9">
              <w:rPr>
                <w:rFonts w:cs="Arial"/>
                <w:spacing w:val="-2"/>
              </w:rPr>
              <w:t xml:space="preserve">příjmům </w:t>
            </w:r>
            <w:r>
              <w:rPr>
                <w:rFonts w:cs="Arial"/>
                <w:spacing w:val="-2"/>
              </w:rPr>
              <w:t xml:space="preserve">SR téměř polovinou přispěly váhově dominantní daňové příjmy (+18,8 mld. korun). Pozitivně působil i výběr pojistného na sociální zabezpečení (+10,6 mld. korun), jakož i příjmy mimo daňovou oblast (+12,6 mld. korun) podpořené intenzivním čerpáním </w:t>
            </w:r>
            <w:r w:rsidRPr="00483053">
              <w:rPr>
                <w:rFonts w:cs="Arial"/>
                <w:spacing w:val="-4"/>
              </w:rPr>
              <w:t>z rozpočtu EU a též některými</w:t>
            </w:r>
            <w:r>
              <w:rPr>
                <w:rFonts w:cs="Arial"/>
                <w:spacing w:val="-2"/>
              </w:rPr>
              <w:t xml:space="preserve"> mimořádnými příjmy</w:t>
            </w:r>
            <w:r>
              <w:rPr>
                <w:rStyle w:val="Znakapoznpodarou"/>
                <w:rFonts w:cs="Arial"/>
                <w:spacing w:val="-2"/>
              </w:rPr>
              <w:footnoteReference w:id="2"/>
            </w:r>
            <w:r>
              <w:rPr>
                <w:rFonts w:cs="Arial"/>
                <w:spacing w:val="-2"/>
              </w:rPr>
              <w:t>. Klíčovou položkou pro růst příjmů SR byla v roce 2014 DPH, jejíž celostátní výběr meziročně posílil o 4,7 %, čemuž vedle oživení ekonomiky přispěla i některá opatření v boji s daňovými úniky. Legislativními vlivy bylo naopak ovlivněno inkaso spotřebních daní</w:t>
            </w:r>
            <w:r>
              <w:rPr>
                <w:rStyle w:val="Znakapoznpodarou"/>
                <w:rFonts w:cs="Arial"/>
                <w:spacing w:val="-2"/>
              </w:rPr>
              <w:footnoteReference w:id="3"/>
            </w:r>
            <w:r>
              <w:rPr>
                <w:rFonts w:cs="Arial"/>
                <w:spacing w:val="-2"/>
              </w:rPr>
              <w:t>, které zejména v jejich důsledku zůstalo u všech hlavních položek za rozpočtovým očekáváním. SR získal ze spotřební daně u tabákových výrobků meziročně o 4,5 % méně, u váhově nejvýznamnější daně z minerálníc</w:t>
            </w:r>
            <w:r w:rsidR="00C60696">
              <w:rPr>
                <w:rFonts w:cs="Arial"/>
                <w:spacing w:val="-2"/>
              </w:rPr>
              <w:t xml:space="preserve">h olejů inkaso posílilo o 4,7 % </w:t>
            </w:r>
            <w:r>
              <w:rPr>
                <w:rFonts w:cs="Arial"/>
                <w:spacing w:val="-2"/>
              </w:rPr>
              <w:t>(tržby samotných prodejců PHM vzrostly nominálně o 2,1 %).</w:t>
            </w:r>
          </w:p>
          <w:p w:rsidR="000B3F02" w:rsidRDefault="000B3F02" w:rsidP="008B7306">
            <w:pPr>
              <w:pStyle w:val="Textpoznpodarou"/>
              <w:spacing w:line="216" w:lineRule="auto"/>
              <w:jc w:val="both"/>
              <w:rPr>
                <w:rFonts w:cs="Arial"/>
                <w:spacing w:val="-2"/>
                <w:sz w:val="16"/>
              </w:rPr>
            </w:pPr>
          </w:p>
        </w:tc>
      </w:tr>
      <w:tr w:rsidR="000B3F02" w:rsidRPr="007D44C3" w:rsidTr="0072704A">
        <w:trPr>
          <w:gridAfter w:val="2"/>
          <w:wAfter w:w="22" w:type="pct"/>
        </w:trPr>
        <w:tc>
          <w:tcPr>
            <w:tcW w:w="1049" w:type="pct"/>
            <w:gridSpan w:val="3"/>
          </w:tcPr>
          <w:p w:rsidR="000B3F02" w:rsidRDefault="000B3F02" w:rsidP="006C55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Oživení ekonomiky se přetavilo do silného růstu inkasa korporátních daní, daně z příjmů fyzických osob (DPFO) ze závislé činnosti nenaplnily navzdory mírnému růstu rozpočtová očekávání </w:t>
            </w:r>
          </w:p>
        </w:tc>
        <w:tc>
          <w:tcPr>
            <w:tcW w:w="142" w:type="pct"/>
          </w:tcPr>
          <w:p w:rsidR="000B3F02" w:rsidRDefault="000B3F02" w:rsidP="008B7306">
            <w:pPr>
              <w:pStyle w:val="Textpoznpodarou"/>
              <w:jc w:val="both"/>
            </w:pPr>
          </w:p>
        </w:tc>
        <w:tc>
          <w:tcPr>
            <w:tcW w:w="3787" w:type="pct"/>
            <w:gridSpan w:val="4"/>
          </w:tcPr>
          <w:p w:rsidR="000B3F02" w:rsidRDefault="000B3F02" w:rsidP="008B7306">
            <w:pPr>
              <w:pStyle w:val="Textpoznpodarou"/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Zlepšená ekonomická situace firem zvedla celostátní výběr korporátních daní meziročně o desetinu (nejrychlejší růst od roku 2008). Naopak výběr daně z příjmů fyzických osob</w:t>
            </w:r>
            <w:r w:rsidRPr="00FE3510">
              <w:rPr>
                <w:rFonts w:cs="Arial"/>
                <w:spacing w:val="-4"/>
              </w:rPr>
              <w:t xml:space="preserve"> ze závislé činnosti</w:t>
            </w:r>
            <w:r>
              <w:rPr>
                <w:rFonts w:cs="Arial"/>
                <w:spacing w:val="-4"/>
              </w:rPr>
              <w:t xml:space="preserve"> </w:t>
            </w:r>
            <w:r w:rsidRPr="0009191B">
              <w:rPr>
                <w:rFonts w:cs="Arial"/>
                <w:spacing w:val="-6"/>
              </w:rPr>
              <w:t>(+3,8 %)</w:t>
            </w:r>
            <w:r>
              <w:rPr>
                <w:rFonts w:cs="Arial"/>
                <w:spacing w:val="-4"/>
              </w:rPr>
              <w:t xml:space="preserve"> zaostal nejen za loňskou dynamikou </w:t>
            </w:r>
            <w:r w:rsidRPr="0009191B">
              <w:rPr>
                <w:rFonts w:cs="Arial"/>
                <w:spacing w:val="-6"/>
              </w:rPr>
              <w:t>(+5,3</w:t>
            </w:r>
            <w:r>
              <w:rPr>
                <w:rFonts w:cs="Arial"/>
                <w:spacing w:val="-2"/>
              </w:rPr>
              <w:t> </w:t>
            </w:r>
            <w:r w:rsidRPr="0009191B">
              <w:rPr>
                <w:rFonts w:cs="Arial"/>
                <w:spacing w:val="-6"/>
              </w:rPr>
              <w:t>%),</w:t>
            </w:r>
            <w:r>
              <w:rPr>
                <w:rFonts w:cs="Arial"/>
                <w:spacing w:val="-4"/>
              </w:rPr>
              <w:t xml:space="preserve"> ale i za rozpočtovým očekáváním. Do růstových temp inkasa se promítá dosud velmi umírněný růst mezd i</w:t>
            </w:r>
            <w:r w:rsidR="00C60696">
              <w:rPr>
                <w:rFonts w:cs="Arial"/>
                <w:spacing w:val="-4"/>
              </w:rPr>
              <w:t xml:space="preserve"> zaměstnanosti a také navrácení</w:t>
            </w:r>
            <w:r>
              <w:rPr>
                <w:rFonts w:cs="Arial"/>
                <w:spacing w:val="-4"/>
              </w:rPr>
              <w:t xml:space="preserve"> základní slevy na dani pro pracující důchodce. Přesto se celostátní výběr daní od zaměstnanců </w:t>
            </w:r>
            <w:r w:rsidR="00FD0DEB">
              <w:rPr>
                <w:rFonts w:cs="Arial"/>
                <w:spacing w:val="-4"/>
              </w:rPr>
              <w:t xml:space="preserve">za celý rok 2014 </w:t>
            </w:r>
            <w:r>
              <w:rPr>
                <w:rFonts w:cs="Arial"/>
                <w:spacing w:val="-4"/>
              </w:rPr>
              <w:t>nacházel o sedminu nad úrovní vrcholu konjunktury (rok 2008), naopak u korporací byl o více než čtvrtinu nižší (vedle dopadů recese na zisky firem byl tlumen i opakovaným snižováním daňové sazby). O sedminu vyšší bylo v roce 2014 meziročně i inkaso z DPFO z kapitálových výnosů.</w:t>
            </w:r>
          </w:p>
          <w:p w:rsidR="000B3F02" w:rsidRDefault="000B3F02" w:rsidP="008B7306">
            <w:pPr>
              <w:pStyle w:val="Textpoznpodarou"/>
              <w:spacing w:line="216" w:lineRule="auto"/>
              <w:jc w:val="both"/>
              <w:rPr>
                <w:rFonts w:cs="Arial"/>
                <w:spacing w:val="-2"/>
                <w:sz w:val="16"/>
              </w:rPr>
            </w:pPr>
          </w:p>
        </w:tc>
      </w:tr>
      <w:tr w:rsidR="000B3F02" w:rsidRPr="007D44C3" w:rsidTr="0072704A">
        <w:trPr>
          <w:gridAfter w:val="2"/>
          <w:wAfter w:w="22" w:type="pct"/>
        </w:trPr>
        <w:tc>
          <w:tcPr>
            <w:tcW w:w="1049" w:type="pct"/>
            <w:gridSpan w:val="3"/>
          </w:tcPr>
          <w:p w:rsidR="000B3F02" w:rsidRDefault="00C60696" w:rsidP="006C55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Celkové</w:t>
            </w:r>
            <w:r w:rsidR="000B3F02">
              <w:rPr>
                <w:sz w:val="16"/>
                <w:szCs w:val="16"/>
              </w:rPr>
              <w:t xml:space="preserve"> výdaje SR rostly meziročně nejvíce za posledních pět let, přesto zůstaly bezmála o 30 mld. pod rozpočtovým očekáváním</w:t>
            </w:r>
          </w:p>
        </w:tc>
        <w:tc>
          <w:tcPr>
            <w:tcW w:w="142" w:type="pct"/>
          </w:tcPr>
          <w:p w:rsidR="000B3F02" w:rsidRDefault="000B3F02" w:rsidP="008B7306">
            <w:pPr>
              <w:pStyle w:val="Textpoznpodarou"/>
              <w:jc w:val="both"/>
            </w:pPr>
          </w:p>
        </w:tc>
        <w:tc>
          <w:tcPr>
            <w:tcW w:w="3787" w:type="pct"/>
            <w:gridSpan w:val="4"/>
          </w:tcPr>
          <w:p w:rsidR="000B3F02" w:rsidRDefault="000B3F02" w:rsidP="008B7306">
            <w:pPr>
              <w:pStyle w:val="Textpoznpodarou"/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O meziroční růst celkových výdajů SR (+38,5 mld. korun) se ze tří čtvrtin zasloužily běžné výdaje (+2,7 %), soustavný pokles kapitálových výdajů se vlivem „finiše“ na sklonu roku 20</w:t>
            </w:r>
            <w:r w:rsidR="00FD0DEB">
              <w:rPr>
                <w:rFonts w:cs="Arial"/>
                <w:spacing w:val="-4"/>
              </w:rPr>
              <w:t>14 po třech letech zastavil (+9,8</w:t>
            </w:r>
            <w:r>
              <w:rPr>
                <w:rFonts w:cs="Arial"/>
                <w:spacing w:val="-4"/>
              </w:rPr>
              <w:t xml:space="preserve"> %). Čtyři pětiny investičních výdajů byly aloková</w:t>
            </w:r>
            <w:r w:rsidR="00C60696">
              <w:rPr>
                <w:rFonts w:cs="Arial"/>
                <w:spacing w:val="-4"/>
              </w:rPr>
              <w:t>ny na společné programy ČR a EU</w:t>
            </w:r>
            <w:r>
              <w:rPr>
                <w:rFonts w:cs="Arial"/>
                <w:spacing w:val="-4"/>
              </w:rPr>
              <w:t xml:space="preserve">. Na všech výdajích státu se </w:t>
            </w:r>
            <w:r w:rsidR="00C60696">
              <w:rPr>
                <w:rFonts w:cs="Arial"/>
                <w:spacing w:val="-4"/>
              </w:rPr>
              <w:t>v roce 2014</w:t>
            </w:r>
            <w:r>
              <w:rPr>
                <w:rFonts w:cs="Arial"/>
                <w:spacing w:val="-4"/>
              </w:rPr>
              <w:t xml:space="preserve"> investice podílely 9,3 %, o pětinu pod úrovní let 2009-10, ale stále více než v období těsně před vstupem ČR do EU</w:t>
            </w:r>
            <w:r>
              <w:rPr>
                <w:rFonts w:cs="Arial"/>
                <w:spacing w:val="-6"/>
              </w:rPr>
              <w:t xml:space="preserve"> (7-8</w:t>
            </w:r>
            <w:r w:rsidRPr="00012986">
              <w:rPr>
                <w:rFonts w:cs="Arial"/>
                <w:spacing w:val="-6"/>
              </w:rPr>
              <w:t xml:space="preserve"> %).</w:t>
            </w:r>
          </w:p>
          <w:p w:rsidR="000B3F02" w:rsidRDefault="000B3F02" w:rsidP="008B7306">
            <w:pPr>
              <w:pStyle w:val="Textpoznpodarou"/>
              <w:spacing w:line="216" w:lineRule="auto"/>
              <w:jc w:val="both"/>
              <w:rPr>
                <w:rFonts w:cs="Arial"/>
                <w:spacing w:val="-2"/>
                <w:sz w:val="16"/>
              </w:rPr>
            </w:pPr>
          </w:p>
        </w:tc>
      </w:tr>
      <w:tr w:rsidR="000B3F02" w:rsidRPr="007D44C3" w:rsidTr="0072704A">
        <w:trPr>
          <w:gridAfter w:val="2"/>
          <w:wAfter w:w="22" w:type="pct"/>
        </w:trPr>
        <w:tc>
          <w:tcPr>
            <w:tcW w:w="1049" w:type="pct"/>
            <w:gridSpan w:val="3"/>
          </w:tcPr>
          <w:p w:rsidR="000B3F02" w:rsidRDefault="000B3F02" w:rsidP="006C55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Zastavení dalšího prohlubování schodku důchodového účtu zejména vlivem lepšího výběru pojistného (ten v roce 2014 poprvé po sedmi letech naplnil rozpočtová očekávání)</w:t>
            </w:r>
          </w:p>
        </w:tc>
        <w:tc>
          <w:tcPr>
            <w:tcW w:w="142" w:type="pct"/>
          </w:tcPr>
          <w:p w:rsidR="000B3F02" w:rsidRDefault="000B3F02" w:rsidP="008B7306">
            <w:pPr>
              <w:pStyle w:val="Textpoznpodarou"/>
              <w:jc w:val="both"/>
            </w:pPr>
          </w:p>
        </w:tc>
        <w:tc>
          <w:tcPr>
            <w:tcW w:w="3787" w:type="pct"/>
            <w:gridSpan w:val="4"/>
          </w:tcPr>
          <w:p w:rsidR="000B3F02" w:rsidRDefault="000B3F02" w:rsidP="008B7306">
            <w:pPr>
              <w:pStyle w:val="Textpoznpodarou"/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Objemově nejvýznamnější výdaje na důchody (v souladu s rozpočtovým očekáváním) meziročně mírně rostly (+0,8 %). Při nižším tempu valorizace ovlivňoval výši výdajů na důchody především počet jejich příjemců, jenž téměř deset čtvrtletí v řadě fakticky stagnuje. Zlepšení na trhu práce se odrazilo v růstu výběru sociálního pojištění na důchody, jehož dynamika během roku 2014 nadále posilovala. Deficit salda důchodového účtu (jako rozdíl mezi příjmy a výdaji na důchody ze SR) se dle předběžných údajů snížil na 45 mld. korun a zaznamenal meziročně největší pozitivní posun (snížení defic</w:t>
            </w:r>
            <w:r w:rsidR="00162853">
              <w:rPr>
                <w:rFonts w:cs="Arial"/>
                <w:spacing w:val="-4"/>
              </w:rPr>
              <w:t>itu o 5 mld. korun) od roku 2007</w:t>
            </w:r>
            <w:r>
              <w:rPr>
                <w:rFonts w:cs="Arial"/>
                <w:spacing w:val="-4"/>
              </w:rPr>
              <w:t>.</w:t>
            </w:r>
          </w:p>
          <w:p w:rsidR="000B3F02" w:rsidRDefault="000B3F02" w:rsidP="008B7306">
            <w:pPr>
              <w:pStyle w:val="Textpoznpodarou"/>
              <w:spacing w:line="216" w:lineRule="auto"/>
              <w:jc w:val="both"/>
              <w:rPr>
                <w:rFonts w:cs="Arial"/>
                <w:spacing w:val="-4"/>
                <w:sz w:val="16"/>
              </w:rPr>
            </w:pPr>
          </w:p>
        </w:tc>
      </w:tr>
      <w:tr w:rsidR="000B3F02" w:rsidRPr="007D44C3" w:rsidTr="0072704A">
        <w:trPr>
          <w:gridAfter w:val="2"/>
          <w:wAfter w:w="22" w:type="pct"/>
        </w:trPr>
        <w:tc>
          <w:tcPr>
            <w:tcW w:w="1049" w:type="pct"/>
            <w:gridSpan w:val="3"/>
          </w:tcPr>
          <w:p w:rsidR="000B3F02" w:rsidRDefault="000B3F02" w:rsidP="0072704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sociální dávky (bez důchodů) byly meziročně o 3,1 % vyšš</w:t>
            </w:r>
            <w:r w:rsidR="0072704A">
              <w:rPr>
                <w:sz w:val="16"/>
                <w:szCs w:val="16"/>
              </w:rPr>
              <w:t>í</w:t>
            </w:r>
          </w:p>
        </w:tc>
        <w:tc>
          <w:tcPr>
            <w:tcW w:w="142" w:type="pct"/>
          </w:tcPr>
          <w:p w:rsidR="000B3F02" w:rsidRDefault="000B3F02" w:rsidP="008B7306">
            <w:pPr>
              <w:pStyle w:val="Textpoznpodarou"/>
              <w:jc w:val="both"/>
            </w:pPr>
          </w:p>
        </w:tc>
        <w:tc>
          <w:tcPr>
            <w:tcW w:w="3787" w:type="pct"/>
            <w:gridSpan w:val="4"/>
          </w:tcPr>
          <w:p w:rsidR="000B3F02" w:rsidRDefault="000B3F02" w:rsidP="008B7306">
            <w:pPr>
              <w:pStyle w:val="Textpoznpodarou"/>
              <w:jc w:val="both"/>
              <w:rPr>
                <w:rFonts w:cs="Arial"/>
                <w:spacing w:val="-4"/>
              </w:rPr>
            </w:pPr>
            <w:r w:rsidRPr="00F00D0E">
              <w:rPr>
                <w:rFonts w:cs="Arial"/>
                <w:spacing w:val="-2"/>
              </w:rPr>
              <w:t xml:space="preserve">Výše všech sociálních dávek (bez důchodů) meziročně rostla (+3,1 %). Z významnějších položek poklesly </w:t>
            </w:r>
            <w:r>
              <w:rPr>
                <w:rFonts w:cs="Arial"/>
                <w:spacing w:val="-2"/>
              </w:rPr>
              <w:t>pouze</w:t>
            </w:r>
            <w:r w:rsidRPr="00F00D0E">
              <w:rPr>
                <w:rFonts w:cs="Arial"/>
                <w:spacing w:val="-2"/>
              </w:rPr>
              <w:t xml:space="preserve"> prostředky na podporu v nezaměstnanosti (-4 %),</w:t>
            </w:r>
            <w:r w:rsidRPr="00F00D0E"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  <w:spacing w:val="-4"/>
              </w:rPr>
              <w:t xml:space="preserve">které na konci roku pobíral každý pátý registrovaný uchazeč. Na ostatních dávkách ale stát vydal více – zejména u dávek sociální péče (především pomoci v hmotné nouzi - za dva roky o </w:t>
            </w:r>
            <w:r w:rsidR="00FD0DEB">
              <w:rPr>
                <w:rFonts w:cs="Arial"/>
                <w:spacing w:val="-4"/>
              </w:rPr>
              <w:t xml:space="preserve">téměř </w:t>
            </w:r>
            <w:r>
              <w:rPr>
                <w:rFonts w:cs="Arial"/>
                <w:spacing w:val="-4"/>
              </w:rPr>
              <w:t xml:space="preserve">polovinu více), </w:t>
            </w:r>
            <w:r w:rsidR="00FD0DEB">
              <w:rPr>
                <w:rFonts w:cs="Arial"/>
                <w:spacing w:val="-4"/>
              </w:rPr>
              <w:t xml:space="preserve">dávek </w:t>
            </w:r>
            <w:r>
              <w:rPr>
                <w:rFonts w:cs="Arial"/>
                <w:spacing w:val="-4"/>
              </w:rPr>
              <w:t>nemocenské</w:t>
            </w:r>
            <w:r w:rsidR="00FD0DEB">
              <w:rPr>
                <w:rFonts w:cs="Arial"/>
                <w:spacing w:val="-4"/>
              </w:rPr>
              <w:t>ho pojištění</w:t>
            </w:r>
            <w:r>
              <w:rPr>
                <w:rFonts w:cs="Arial"/>
                <w:spacing w:val="-4"/>
              </w:rPr>
              <w:t xml:space="preserve"> (+10 %), jakož i na objemově nejvýznamnější státní sociální podporu vč. pěstounské péče (+0,3 %), u níž rostly především příspěvky na bydlení (+19 %). Výdaje na všechny sociální dávky </w:t>
            </w:r>
            <w:r w:rsidR="00C60696">
              <w:rPr>
                <w:rFonts w:cs="Arial"/>
                <w:spacing w:val="-4"/>
              </w:rPr>
              <w:t>„</w:t>
            </w:r>
            <w:r>
              <w:rPr>
                <w:rFonts w:cs="Arial"/>
                <w:spacing w:val="-4"/>
              </w:rPr>
              <w:t>ukrojily</w:t>
            </w:r>
            <w:r w:rsidR="00C60696">
              <w:rPr>
                <w:rFonts w:cs="Arial"/>
                <w:spacing w:val="-4"/>
              </w:rPr>
              <w:t>“</w:t>
            </w:r>
            <w:r>
              <w:rPr>
                <w:rFonts w:cs="Arial"/>
                <w:spacing w:val="-4"/>
              </w:rPr>
              <w:t xml:space="preserve"> z rozpočtu 40,9 % (v roce 2013 o 0,8 </w:t>
            </w:r>
            <w:proofErr w:type="spellStart"/>
            <w:r>
              <w:rPr>
                <w:rFonts w:cs="Arial"/>
                <w:spacing w:val="-4"/>
              </w:rPr>
              <w:t>pb</w:t>
            </w:r>
            <w:proofErr w:type="spellEnd"/>
            <w:r>
              <w:rPr>
                <w:rFonts w:cs="Arial"/>
                <w:spacing w:val="-4"/>
              </w:rPr>
              <w:t xml:space="preserve">. více). </w:t>
            </w:r>
          </w:p>
          <w:p w:rsidR="000B3F02" w:rsidRDefault="000B3F02" w:rsidP="008B7306">
            <w:pPr>
              <w:pStyle w:val="Textpoznpodarou"/>
              <w:spacing w:line="216" w:lineRule="auto"/>
              <w:jc w:val="both"/>
              <w:rPr>
                <w:rFonts w:cs="Arial"/>
                <w:spacing w:val="-4"/>
                <w:sz w:val="16"/>
              </w:rPr>
            </w:pPr>
          </w:p>
        </w:tc>
      </w:tr>
      <w:tr w:rsidR="000B3F02" w:rsidRPr="0053017A" w:rsidTr="0072704A">
        <w:trPr>
          <w:gridAfter w:val="2"/>
          <w:wAfter w:w="22" w:type="pct"/>
        </w:trPr>
        <w:tc>
          <w:tcPr>
            <w:tcW w:w="1049" w:type="pct"/>
            <w:gridSpan w:val="3"/>
          </w:tcPr>
          <w:p w:rsidR="000B3F02" w:rsidRDefault="000B3F02" w:rsidP="006C55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vstupu ČR do EU získala ČR doposud „v čistém“ 410 mld. korun, šestinu této částky v samotném roce 2014</w:t>
            </w:r>
          </w:p>
          <w:p w:rsidR="00593CA3" w:rsidRDefault="00593CA3" w:rsidP="006C559A">
            <w:pPr>
              <w:spacing w:line="240" w:lineRule="auto"/>
              <w:rPr>
                <w:sz w:val="16"/>
                <w:szCs w:val="16"/>
              </w:rPr>
            </w:pPr>
          </w:p>
          <w:p w:rsidR="00593CA3" w:rsidRDefault="00593CA3" w:rsidP="006C559A">
            <w:pPr>
              <w:spacing w:line="240" w:lineRule="auto"/>
              <w:rPr>
                <w:sz w:val="16"/>
                <w:szCs w:val="16"/>
              </w:rPr>
            </w:pPr>
          </w:p>
          <w:p w:rsidR="00593CA3" w:rsidRDefault="00593CA3" w:rsidP="006C559A">
            <w:pPr>
              <w:spacing w:line="240" w:lineRule="auto"/>
              <w:rPr>
                <w:sz w:val="16"/>
                <w:szCs w:val="16"/>
              </w:rPr>
            </w:pPr>
          </w:p>
          <w:p w:rsidR="0039066E" w:rsidRDefault="0039066E" w:rsidP="006C559A">
            <w:pPr>
              <w:spacing w:line="240" w:lineRule="auto"/>
              <w:rPr>
                <w:sz w:val="16"/>
                <w:szCs w:val="16"/>
              </w:rPr>
            </w:pPr>
          </w:p>
          <w:p w:rsidR="00593CA3" w:rsidRDefault="00593CA3" w:rsidP="006C559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Vlivem snížení zahraniční zadluženosti se státní dluh v roce 2014 snížil, poprvé od roku 1995 </w:t>
            </w:r>
          </w:p>
          <w:p w:rsidR="00593CA3" w:rsidRDefault="00593CA3" w:rsidP="006C559A">
            <w:pPr>
              <w:spacing w:line="240" w:lineRule="auto"/>
              <w:rPr>
                <w:sz w:val="16"/>
                <w:szCs w:val="16"/>
              </w:rPr>
            </w:pPr>
          </w:p>
          <w:p w:rsidR="000B3F02" w:rsidRDefault="000B3F02" w:rsidP="006C559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0B3F02" w:rsidRDefault="000B3F02" w:rsidP="008B7306">
            <w:pPr>
              <w:pStyle w:val="Textpoznpodarou"/>
              <w:jc w:val="both"/>
            </w:pPr>
          </w:p>
        </w:tc>
        <w:tc>
          <w:tcPr>
            <w:tcW w:w="3787" w:type="pct"/>
            <w:gridSpan w:val="4"/>
          </w:tcPr>
          <w:p w:rsidR="000B3F02" w:rsidRDefault="000B3F02" w:rsidP="00C60696">
            <w:pPr>
              <w:pStyle w:val="Textpoznpodarou"/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Kladná čistá pozice ČR vůči rozpočtu EU dosáhla v roce 2014 výše 76 mld. korun a přiblížila se dosud rekordní úrovni roku 2013. Polovina příjmů pocházela z dlouhodobě nejvýznamnější skupiny - strukturálních fondů. Z pohledu příjmů ČR v minulých letech posiloval význam kohezní</w:t>
            </w:r>
            <w:r w:rsidR="00C60696">
              <w:rPr>
                <w:rFonts w:cs="Arial"/>
                <w:spacing w:val="-4"/>
              </w:rPr>
              <w:t>ch</w:t>
            </w:r>
            <w:r>
              <w:rPr>
                <w:rFonts w:cs="Arial"/>
                <w:spacing w:val="-4"/>
              </w:rPr>
              <w:t xml:space="preserve"> fondů na úkor prostředků na rozvoj venkova. Za roky 2004-2013 zaplatila ČR do rozpočtu EU 387 mld. korun a přijala z něj 798 mld. korun. </w:t>
            </w:r>
          </w:p>
          <w:p w:rsidR="00593CA3" w:rsidRDefault="00593CA3" w:rsidP="00C60696">
            <w:pPr>
              <w:pStyle w:val="Textpoznpodarou"/>
              <w:jc w:val="both"/>
              <w:rPr>
                <w:rFonts w:cs="Arial"/>
                <w:spacing w:val="-4"/>
              </w:rPr>
            </w:pPr>
          </w:p>
          <w:p w:rsidR="008F7D28" w:rsidRPr="0032513D" w:rsidRDefault="00593CA3" w:rsidP="00CE617A">
            <w:pPr>
              <w:pStyle w:val="Textpoznpodarou"/>
              <w:jc w:val="both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Celkový státní dluh se během roku 2014 mírně snížil (o 19,6 mld. korun) na 1 663 mld. korun. Šlo o první snížení zadlužení od roku 1995</w:t>
            </w:r>
            <w:r w:rsidR="00CE617A">
              <w:rPr>
                <w:rFonts w:cs="Arial"/>
                <w:spacing w:val="-4"/>
              </w:rPr>
              <w:t xml:space="preserve">. </w:t>
            </w:r>
            <w:r>
              <w:rPr>
                <w:rFonts w:cs="Arial"/>
                <w:spacing w:val="-4"/>
              </w:rPr>
              <w:t>Plných 82 % státního dluhu připadalo na konci roku 2014 na vnitřní zadluženost (jejíž výše meziročně vzrostla o 5,9 %)</w:t>
            </w:r>
            <w:r w:rsidR="00CE617A">
              <w:rPr>
                <w:rFonts w:cs="Arial"/>
                <w:spacing w:val="-4"/>
              </w:rPr>
              <w:t>.</w:t>
            </w:r>
          </w:p>
        </w:tc>
      </w:tr>
      <w:tr w:rsidR="0085281A" w:rsidTr="0072704A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40" w:type="pct"/>
        </w:trPr>
        <w:tc>
          <w:tcPr>
            <w:tcW w:w="373" w:type="pct"/>
          </w:tcPr>
          <w:p w:rsidR="0085281A" w:rsidRDefault="0085281A" w:rsidP="00055059">
            <w:pPr>
              <w:spacing w:line="240" w:lineRule="auto"/>
            </w:pPr>
            <w:r>
              <w:t xml:space="preserve">Graf č. </w:t>
            </w:r>
            <w:r w:rsidR="00AA23FB">
              <w:t>19</w:t>
            </w:r>
          </w:p>
        </w:tc>
        <w:tc>
          <w:tcPr>
            <w:tcW w:w="2066" w:type="pct"/>
            <w:gridSpan w:val="3"/>
          </w:tcPr>
          <w:p w:rsidR="0085281A" w:rsidRDefault="0085281A" w:rsidP="00055059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Celostátní inkasa daňových příjmů </w:t>
            </w:r>
          </w:p>
          <w:p w:rsidR="0085281A" w:rsidRDefault="0085281A" w:rsidP="00055059">
            <w:pPr>
              <w:spacing w:line="240" w:lineRule="auto"/>
            </w:pPr>
            <w:r w:rsidRPr="008A3A85">
              <w:rPr>
                <w:rFonts w:cs="Arial"/>
                <w:bCs/>
              </w:rPr>
              <w:t>(y/y, v %)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 vývoj salda státního rozpočtu</w:t>
            </w:r>
            <w:r>
              <w:t xml:space="preserve"> </w:t>
            </w:r>
          </w:p>
          <w:p w:rsidR="0085281A" w:rsidRDefault="0085281A" w:rsidP="00055059">
            <w:pPr>
              <w:spacing w:line="240" w:lineRule="auto"/>
            </w:pPr>
            <w:r w:rsidRPr="00DB06E9">
              <w:rPr>
                <w:rFonts w:cs="Arial"/>
                <w:bCs/>
              </w:rPr>
              <w:t>(v mld. korun)</w:t>
            </w:r>
            <w:r>
              <w:rPr>
                <w:rFonts w:cs="Arial"/>
                <w:bCs/>
              </w:rPr>
              <w:t>, údaje za jednotlivá čtvrtletí</w:t>
            </w:r>
          </w:p>
        </w:tc>
        <w:tc>
          <w:tcPr>
            <w:tcW w:w="370" w:type="pct"/>
            <w:gridSpan w:val="2"/>
          </w:tcPr>
          <w:p w:rsidR="0085281A" w:rsidRDefault="0085281A" w:rsidP="00055059">
            <w:pPr>
              <w:spacing w:line="240" w:lineRule="auto"/>
            </w:pPr>
            <w:r>
              <w:t>Graf č. 2</w:t>
            </w:r>
            <w:r w:rsidR="00AA23FB">
              <w:t>0</w:t>
            </w:r>
          </w:p>
        </w:tc>
        <w:tc>
          <w:tcPr>
            <w:tcW w:w="2151" w:type="pct"/>
            <w:gridSpan w:val="3"/>
          </w:tcPr>
          <w:p w:rsidR="0085281A" w:rsidRPr="006F2BEE" w:rsidRDefault="0085281A" w:rsidP="00055059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 w:rsidRPr="006F2BEE">
              <w:rPr>
                <w:rFonts w:cs="Arial"/>
                <w:b/>
                <w:bCs/>
                <w:spacing w:val="-2"/>
              </w:rPr>
              <w:t xml:space="preserve">Počet všech příjemců důchodů, příjmy a výdaje na důchody ze státního rozpočtu </w:t>
            </w:r>
            <w:r w:rsidRPr="006F2BEE">
              <w:rPr>
                <w:rFonts w:cs="Arial"/>
                <w:bCs/>
                <w:spacing w:val="-2"/>
              </w:rPr>
              <w:t xml:space="preserve">(y/y, v %) </w:t>
            </w:r>
            <w:r w:rsidRPr="006F2BEE">
              <w:rPr>
                <w:rFonts w:cs="Arial"/>
                <w:b/>
                <w:bCs/>
                <w:spacing w:val="-2"/>
              </w:rPr>
              <w:t xml:space="preserve">a bilance důchod. </w:t>
            </w:r>
            <w:proofErr w:type="gramStart"/>
            <w:r w:rsidRPr="006F2BEE">
              <w:rPr>
                <w:rFonts w:cs="Arial"/>
                <w:b/>
                <w:bCs/>
                <w:spacing w:val="-2"/>
              </w:rPr>
              <w:t>účtu</w:t>
            </w:r>
            <w:proofErr w:type="gramEnd"/>
            <w:r w:rsidRPr="006F2BEE">
              <w:rPr>
                <w:rFonts w:cs="Arial"/>
                <w:b/>
                <w:bCs/>
                <w:spacing w:val="-2"/>
              </w:rPr>
              <w:t xml:space="preserve"> </w:t>
            </w:r>
            <w:r w:rsidRPr="006F2BEE">
              <w:rPr>
                <w:rFonts w:cs="Arial"/>
                <w:bCs/>
                <w:spacing w:val="-2"/>
              </w:rPr>
              <w:t>(v mld. korun)</w:t>
            </w:r>
          </w:p>
        </w:tc>
      </w:tr>
      <w:tr w:rsidR="0085281A" w:rsidTr="0072704A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40" w:type="pct"/>
        </w:trPr>
        <w:tc>
          <w:tcPr>
            <w:tcW w:w="2439" w:type="pct"/>
            <w:gridSpan w:val="4"/>
          </w:tcPr>
          <w:p w:rsidR="0085281A" w:rsidRDefault="0085281A" w:rsidP="008B7306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28950" cy="2324100"/>
                  <wp:effectExtent l="0" t="0" r="0" b="0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pct"/>
            <w:gridSpan w:val="5"/>
          </w:tcPr>
          <w:p w:rsidR="0085281A" w:rsidRDefault="0085281A" w:rsidP="008B7306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76575" cy="2324100"/>
                  <wp:effectExtent l="19050" t="0" r="9525" b="0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1A" w:rsidTr="0072704A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wBefore w:w="40" w:type="pct"/>
          <w:trHeight w:val="74"/>
        </w:trPr>
        <w:tc>
          <w:tcPr>
            <w:tcW w:w="4960" w:type="pct"/>
            <w:gridSpan w:val="9"/>
          </w:tcPr>
          <w:p w:rsidR="0085281A" w:rsidRDefault="0035536F" w:rsidP="0035536F">
            <w:pPr>
              <w:pStyle w:val="Textpoznpodarou"/>
              <w:jc w:val="right"/>
            </w:pPr>
            <w:r>
              <w:rPr>
                <w:rFonts w:cs="Arial"/>
                <w:sz w:val="18"/>
                <w:szCs w:val="18"/>
              </w:rPr>
              <w:t>Zdroj</w:t>
            </w:r>
            <w:r w:rsidRPr="0085281A">
              <w:rPr>
                <w:rFonts w:cs="Arial"/>
                <w:sz w:val="18"/>
                <w:szCs w:val="18"/>
              </w:rPr>
              <w:t>: MF ČR, ČSSZ</w:t>
            </w:r>
          </w:p>
          <w:p w:rsidR="0035536F" w:rsidRDefault="0035536F" w:rsidP="008B7306">
            <w:pPr>
              <w:pStyle w:val="Textpoznpodarou"/>
            </w:pPr>
          </w:p>
          <w:p w:rsidR="0035536F" w:rsidRDefault="0035536F" w:rsidP="008B7306">
            <w:pPr>
              <w:pStyle w:val="Textpoznpodarou"/>
            </w:pPr>
          </w:p>
          <w:p w:rsidR="0035536F" w:rsidRDefault="0035536F" w:rsidP="008B7306">
            <w:pPr>
              <w:pStyle w:val="Textpoznpodarou"/>
            </w:pPr>
          </w:p>
          <w:p w:rsidR="0035536F" w:rsidRDefault="0035536F" w:rsidP="008B7306">
            <w:pPr>
              <w:pStyle w:val="Textpoznpodarou"/>
            </w:pPr>
          </w:p>
          <w:p w:rsidR="0035536F" w:rsidRDefault="0035536F" w:rsidP="008B7306">
            <w:pPr>
              <w:pStyle w:val="Textpoznpodarou"/>
            </w:pPr>
          </w:p>
          <w:p w:rsidR="0035536F" w:rsidRDefault="0035536F" w:rsidP="008B7306">
            <w:pPr>
              <w:pStyle w:val="Textpoznpodarou"/>
            </w:pPr>
          </w:p>
          <w:p w:rsidR="0035536F" w:rsidRDefault="0035536F" w:rsidP="008B7306">
            <w:pPr>
              <w:pStyle w:val="Textpoznpodarou"/>
            </w:pPr>
          </w:p>
          <w:p w:rsidR="0035536F" w:rsidRDefault="0035536F" w:rsidP="008B7306">
            <w:pPr>
              <w:pStyle w:val="Textpoznpodarou"/>
            </w:pPr>
          </w:p>
          <w:p w:rsidR="0035536F" w:rsidRDefault="0035536F" w:rsidP="008B7306">
            <w:pPr>
              <w:pStyle w:val="Textpoznpodarou"/>
            </w:pPr>
          </w:p>
          <w:p w:rsidR="0035536F" w:rsidRDefault="0035536F" w:rsidP="008B7306">
            <w:pPr>
              <w:pStyle w:val="Textpoznpodarou"/>
            </w:pPr>
          </w:p>
          <w:p w:rsidR="0035536F" w:rsidRDefault="0035536F" w:rsidP="008B7306">
            <w:pPr>
              <w:pStyle w:val="Textpoznpodarou"/>
            </w:pPr>
          </w:p>
          <w:p w:rsidR="0035536F" w:rsidRPr="0072704A" w:rsidRDefault="0035536F" w:rsidP="008B7306">
            <w:pPr>
              <w:pStyle w:val="Textpoznpodarou"/>
            </w:pPr>
          </w:p>
        </w:tc>
      </w:tr>
      <w:tr w:rsidR="0085281A" w:rsidTr="0072704A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gridAfter w:val="1"/>
          <w:wBefore w:w="40" w:type="pct"/>
          <w:wAfter w:w="3" w:type="pct"/>
        </w:trPr>
        <w:tc>
          <w:tcPr>
            <w:tcW w:w="373" w:type="pct"/>
          </w:tcPr>
          <w:p w:rsidR="0085281A" w:rsidRDefault="0085281A" w:rsidP="00055059">
            <w:pPr>
              <w:spacing w:line="240" w:lineRule="auto"/>
            </w:pPr>
            <w:r>
              <w:lastRenderedPageBreak/>
              <w:t>Graf č. 2</w:t>
            </w:r>
            <w:r w:rsidR="00AA23FB">
              <w:t>1</w:t>
            </w:r>
          </w:p>
        </w:tc>
        <w:tc>
          <w:tcPr>
            <w:tcW w:w="2077" w:type="pct"/>
            <w:gridSpan w:val="4"/>
          </w:tcPr>
          <w:p w:rsidR="0085281A" w:rsidRDefault="0085281A" w:rsidP="00055059">
            <w:pPr>
              <w:pStyle w:val="Textpoznpodarou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</w:rPr>
              <w:t xml:space="preserve">Skladba příjmů ČR z rozpočtu EU a čistá pozice ČR vůči rozpočtu EU </w:t>
            </w:r>
            <w:r w:rsidRPr="00DB06E9">
              <w:rPr>
                <w:rFonts w:cs="Arial"/>
                <w:bCs/>
              </w:rPr>
              <w:t>(v mld. korun)</w:t>
            </w:r>
          </w:p>
        </w:tc>
        <w:tc>
          <w:tcPr>
            <w:tcW w:w="359" w:type="pct"/>
          </w:tcPr>
          <w:p w:rsidR="0085281A" w:rsidRDefault="0085281A" w:rsidP="00055059">
            <w:pPr>
              <w:spacing w:line="240" w:lineRule="auto"/>
            </w:pPr>
            <w:r>
              <w:t>Graf č. 2</w:t>
            </w:r>
            <w:r w:rsidR="00AA23FB">
              <w:t>2</w:t>
            </w:r>
          </w:p>
        </w:tc>
        <w:tc>
          <w:tcPr>
            <w:tcW w:w="2148" w:type="pct"/>
            <w:gridSpan w:val="2"/>
          </w:tcPr>
          <w:p w:rsidR="0085281A" w:rsidRDefault="0085281A" w:rsidP="00055059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Vybrané výdaje státního rozpočtu </w:t>
            </w:r>
          </w:p>
          <w:p w:rsidR="0085281A" w:rsidRPr="00817C98" w:rsidRDefault="0085281A" w:rsidP="008B7306">
            <w:pPr>
              <w:rPr>
                <w:rFonts w:cs="Arial"/>
                <w:b/>
                <w:bCs/>
              </w:rPr>
            </w:pPr>
            <w:r w:rsidRPr="00DB06E9">
              <w:rPr>
                <w:rFonts w:cs="Arial"/>
                <w:bCs/>
              </w:rPr>
              <w:t>(v mld. korun)</w:t>
            </w:r>
          </w:p>
        </w:tc>
      </w:tr>
      <w:tr w:rsidR="0085281A" w:rsidTr="0072704A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gridAfter w:val="1"/>
          <w:wBefore w:w="40" w:type="pct"/>
          <w:wAfter w:w="3" w:type="pct"/>
        </w:trPr>
        <w:tc>
          <w:tcPr>
            <w:tcW w:w="2450" w:type="pct"/>
            <w:gridSpan w:val="5"/>
          </w:tcPr>
          <w:p w:rsidR="0085281A" w:rsidRDefault="0085281A" w:rsidP="008B7306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09900" cy="2362200"/>
                  <wp:effectExtent l="19050" t="0" r="0" b="0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pct"/>
            <w:gridSpan w:val="3"/>
          </w:tcPr>
          <w:p w:rsidR="0085281A" w:rsidRDefault="0085281A" w:rsidP="008B7306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57525" cy="2362200"/>
                  <wp:effectExtent l="19050" t="0" r="9525" b="0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1A" w:rsidTr="0072704A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gridAfter w:val="1"/>
          <w:wBefore w:w="40" w:type="pct"/>
          <w:wAfter w:w="3" w:type="pct"/>
        </w:trPr>
        <w:tc>
          <w:tcPr>
            <w:tcW w:w="2450" w:type="pct"/>
            <w:gridSpan w:val="5"/>
          </w:tcPr>
          <w:p w:rsidR="0085281A" w:rsidRPr="0085281A" w:rsidRDefault="0085281A" w:rsidP="008B7306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pct"/>
            <w:gridSpan w:val="3"/>
          </w:tcPr>
          <w:p w:rsidR="0085281A" w:rsidRPr="0085281A" w:rsidRDefault="0085281A" w:rsidP="008B7306">
            <w:pPr>
              <w:pStyle w:val="Textpoznpodarou"/>
              <w:rPr>
                <w:sz w:val="18"/>
                <w:szCs w:val="18"/>
              </w:rPr>
            </w:pPr>
            <w:r w:rsidRPr="0085281A">
              <w:rPr>
                <w:sz w:val="18"/>
                <w:szCs w:val="18"/>
              </w:rPr>
              <w:t>*vč. dávek pěstounské péče</w:t>
            </w:r>
          </w:p>
          <w:p w:rsidR="0085281A" w:rsidRPr="0085281A" w:rsidRDefault="0085281A" w:rsidP="008B7306">
            <w:pPr>
              <w:pStyle w:val="Textpoznpodarou"/>
              <w:rPr>
                <w:rFonts w:cs="Arial"/>
                <w:sz w:val="18"/>
                <w:szCs w:val="18"/>
              </w:rPr>
            </w:pPr>
            <w:r w:rsidRPr="0085281A">
              <w:rPr>
                <w:sz w:val="18"/>
                <w:szCs w:val="18"/>
              </w:rPr>
              <w:t>**dávky pomoci v hmotné nouzi, dávky osobám se zdravotním postižením, příspěvek na péči podle zákona o sociálních službách</w:t>
            </w:r>
            <w:r w:rsidRPr="0085281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5281A" w:rsidTr="0072704A">
        <w:tblPrEx>
          <w:tblCellMar>
            <w:left w:w="28" w:type="dxa"/>
            <w:right w:w="28" w:type="dxa"/>
          </w:tblCellMar>
          <w:tblLook w:val="04A0"/>
        </w:tblPrEx>
        <w:trPr>
          <w:gridBefore w:val="1"/>
          <w:gridAfter w:val="1"/>
          <w:wBefore w:w="40" w:type="pct"/>
          <w:wAfter w:w="3" w:type="pct"/>
        </w:trPr>
        <w:tc>
          <w:tcPr>
            <w:tcW w:w="4957" w:type="pct"/>
            <w:gridSpan w:val="8"/>
          </w:tcPr>
          <w:p w:rsidR="0085281A" w:rsidRPr="0085281A" w:rsidRDefault="00801FDD" w:rsidP="00801FD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Zdroj</w:t>
            </w:r>
            <w:r w:rsidR="0085281A" w:rsidRPr="0085281A">
              <w:rPr>
                <w:rFonts w:cs="Arial"/>
                <w:sz w:val="18"/>
                <w:szCs w:val="18"/>
              </w:rPr>
              <w:t>: MF ČR</w:t>
            </w:r>
          </w:p>
        </w:tc>
      </w:tr>
    </w:tbl>
    <w:p w:rsidR="0072704A" w:rsidRDefault="0072704A" w:rsidP="0085281A">
      <w:pPr>
        <w:pStyle w:val="Nadpis4"/>
        <w:rPr>
          <w:rFonts w:cs="Arial"/>
          <w:b w:val="0"/>
          <w:bCs w:val="0"/>
          <w:szCs w:val="20"/>
        </w:rPr>
      </w:pPr>
    </w:p>
    <w:sectPr w:rsidR="0072704A" w:rsidSect="0035536F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5D" w:rsidRDefault="0075315D" w:rsidP="00E71A58">
      <w:r>
        <w:separator/>
      </w:r>
    </w:p>
  </w:endnote>
  <w:endnote w:type="continuationSeparator" w:id="0">
    <w:p w:rsidR="0075315D" w:rsidRDefault="0075315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26A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126AA" w:rsidRPr="005A21E0">
      <w:rPr>
        <w:rFonts w:ascii="Arial" w:hAnsi="Arial" w:cs="Arial"/>
        <w:sz w:val="16"/>
        <w:szCs w:val="16"/>
      </w:rPr>
      <w:fldChar w:fldCharType="separate"/>
    </w:r>
    <w:r w:rsidR="00F56B54">
      <w:rPr>
        <w:rFonts w:ascii="Arial" w:hAnsi="Arial" w:cs="Arial"/>
        <w:noProof/>
        <w:sz w:val="16"/>
        <w:szCs w:val="16"/>
      </w:rPr>
      <w:t>20</w:t>
    </w:r>
    <w:r w:rsidR="00A126A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29" name="obrázek 14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75315D" w:rsidRPr="00223E00" w:rsidRDefault="0075315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A126AA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A126AA" w:rsidRPr="00223E00">
      <w:rPr>
        <w:rFonts w:ascii="Arial" w:hAnsi="Arial" w:cs="Arial"/>
        <w:sz w:val="16"/>
        <w:szCs w:val="16"/>
      </w:rPr>
      <w:fldChar w:fldCharType="separate"/>
    </w:r>
    <w:r w:rsidR="00F56B54">
      <w:rPr>
        <w:rFonts w:ascii="Arial" w:hAnsi="Arial" w:cs="Arial"/>
        <w:noProof/>
        <w:sz w:val="16"/>
        <w:szCs w:val="16"/>
      </w:rPr>
      <w:t>21</w:t>
    </w:r>
    <w:r w:rsidR="00A126AA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5D" w:rsidRDefault="0075315D" w:rsidP="00E71A58">
      <w:r>
        <w:separator/>
      </w:r>
    </w:p>
  </w:footnote>
  <w:footnote w:type="continuationSeparator" w:id="0">
    <w:p w:rsidR="0075315D" w:rsidRDefault="0075315D" w:rsidP="00E71A58">
      <w:r>
        <w:continuationSeparator/>
      </w:r>
    </w:p>
  </w:footnote>
  <w:footnote w:id="1">
    <w:p w:rsidR="0075315D" w:rsidRPr="00007498" w:rsidRDefault="0075315D" w:rsidP="008B730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pacing w:val="-2"/>
          <w:sz w:val="16"/>
        </w:rPr>
        <w:t>U</w:t>
      </w:r>
      <w:r w:rsidRPr="00007498">
        <w:rPr>
          <w:spacing w:val="-2"/>
          <w:sz w:val="16"/>
        </w:rPr>
        <w:t xml:space="preserve"> </w:t>
      </w:r>
      <w:r>
        <w:rPr>
          <w:iCs/>
          <w:spacing w:val="-2"/>
          <w:sz w:val="16"/>
        </w:rPr>
        <w:t>spotřební daně</w:t>
      </w:r>
      <w:r w:rsidRPr="00007498">
        <w:rPr>
          <w:iCs/>
          <w:spacing w:val="-2"/>
          <w:sz w:val="16"/>
        </w:rPr>
        <w:t xml:space="preserve"> z tabákových výrobků</w:t>
      </w:r>
      <w:r>
        <w:rPr>
          <w:iCs/>
          <w:spacing w:val="-2"/>
          <w:sz w:val="16"/>
        </w:rPr>
        <w:t xml:space="preserve"> souviselo vyšší inkaso (plánovaný celoroční příjem byl jen za leden naplněn z 35 %) s </w:t>
      </w:r>
      <w:r w:rsidRPr="0032109A">
        <w:rPr>
          <w:spacing w:val="-2"/>
          <w:sz w:val="16"/>
        </w:rPr>
        <w:t xml:space="preserve">předzásobením obchodníků na konci roku 2013 z důvodu následného zvýšení sazeb tabákových výrobků od 1. ledna. U DPH lze vyšší výběr na počátku roku </w:t>
      </w:r>
      <w:r w:rsidR="00FD0DEB">
        <w:rPr>
          <w:spacing w:val="-2"/>
          <w:sz w:val="16"/>
        </w:rPr>
        <w:t xml:space="preserve">vysvětlit pozdržením vyplacení </w:t>
      </w:r>
      <w:r w:rsidRPr="0032109A">
        <w:rPr>
          <w:spacing w:val="-2"/>
          <w:sz w:val="16"/>
        </w:rPr>
        <w:t>nadměrných odpočtů DPH (v rámci zahájení postupu k odstranění pochybností správcem daně u některých daňových subjektů)</w:t>
      </w:r>
      <w:r>
        <w:rPr>
          <w:spacing w:val="-2"/>
          <w:sz w:val="16"/>
        </w:rPr>
        <w:t>, většina takto „pozdržených“ prostředků byla do konce roku 2014 vyplacena.</w:t>
      </w:r>
    </w:p>
  </w:footnote>
  <w:footnote w:id="2">
    <w:p w:rsidR="0075315D" w:rsidRDefault="0075315D" w:rsidP="008B73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020C2">
        <w:rPr>
          <w:spacing w:val="-2"/>
          <w:sz w:val="16"/>
        </w:rPr>
        <w:t xml:space="preserve">Zejména mimořádný příjem v souvislosti s aukcí kmitočtů </w:t>
      </w:r>
      <w:r>
        <w:rPr>
          <w:spacing w:val="-2"/>
          <w:sz w:val="16"/>
        </w:rPr>
        <w:t xml:space="preserve">pro </w:t>
      </w:r>
      <w:r w:rsidRPr="008020C2">
        <w:rPr>
          <w:spacing w:val="-2"/>
          <w:sz w:val="16"/>
        </w:rPr>
        <w:t>rychlé mobilní sítě LTE (+8,5 mld. korun).</w:t>
      </w:r>
    </w:p>
  </w:footnote>
  <w:footnote w:id="3">
    <w:p w:rsidR="0075315D" w:rsidRPr="00637180" w:rsidRDefault="0075315D" w:rsidP="008B7306">
      <w:pPr>
        <w:pStyle w:val="Textpoznpodarou"/>
        <w:jc w:val="both"/>
        <w:rPr>
          <w:spacing w:val="-2"/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092208">
        <w:rPr>
          <w:spacing w:val="-2"/>
          <w:sz w:val="16"/>
        </w:rPr>
        <w:t xml:space="preserve">U daně z tabákových výrobků efekt předzásobení </w:t>
      </w:r>
      <w:r w:rsidR="00FD0DEB">
        <w:rPr>
          <w:spacing w:val="-2"/>
          <w:sz w:val="16"/>
        </w:rPr>
        <w:t>(viz pozn. 1</w:t>
      </w:r>
      <w:r>
        <w:rPr>
          <w:spacing w:val="-2"/>
          <w:sz w:val="16"/>
        </w:rPr>
        <w:t xml:space="preserve">) </w:t>
      </w:r>
      <w:r w:rsidRPr="00092208">
        <w:rPr>
          <w:spacing w:val="-2"/>
          <w:sz w:val="16"/>
        </w:rPr>
        <w:t xml:space="preserve">během roku vyprchával a projevovaly se spíše dlouhodobější trendy </w:t>
      </w:r>
      <w:r>
        <w:rPr>
          <w:spacing w:val="-2"/>
          <w:sz w:val="16"/>
        </w:rPr>
        <w:t>ve spotřebě tabákových výrobků. Nebylo schváleno</w:t>
      </w:r>
      <w:r w:rsidR="00FD0DEB">
        <w:rPr>
          <w:spacing w:val="-2"/>
          <w:sz w:val="16"/>
        </w:rPr>
        <w:t xml:space="preserve"> další plánované navýšení sazeb, </w:t>
      </w:r>
      <w:r w:rsidRPr="00191BAE">
        <w:rPr>
          <w:spacing w:val="-2"/>
          <w:sz w:val="16"/>
        </w:rPr>
        <w:t>se kterým se počítalo v návrhu státního rozpočtu 2014</w:t>
      </w:r>
      <w:r>
        <w:rPr>
          <w:spacing w:val="-2"/>
          <w:sz w:val="16"/>
        </w:rPr>
        <w:t xml:space="preserve">. Výběr daně </w:t>
      </w:r>
      <w:r w:rsidRPr="00092208">
        <w:rPr>
          <w:spacing w:val="-2"/>
          <w:sz w:val="16"/>
        </w:rPr>
        <w:t xml:space="preserve">z minerálních </w:t>
      </w:r>
      <w:r>
        <w:rPr>
          <w:spacing w:val="-2"/>
          <w:sz w:val="16"/>
        </w:rPr>
        <w:t>olejů negativně ovlivnilo opětovné zavedení</w:t>
      </w:r>
      <w:r w:rsidRPr="00092208">
        <w:rPr>
          <w:spacing w:val="-2"/>
          <w:sz w:val="16"/>
        </w:rPr>
        <w:t xml:space="preserve"> tzv. „zelené nafty</w:t>
      </w:r>
      <w:r>
        <w:rPr>
          <w:spacing w:val="-2"/>
          <w:sz w:val="16"/>
        </w:rPr>
        <w:t xml:space="preserve">“ od </w:t>
      </w:r>
      <w:proofErr w:type="gramStart"/>
      <w:r>
        <w:rPr>
          <w:spacing w:val="-2"/>
          <w:sz w:val="16"/>
        </w:rPr>
        <w:t>1.7.2014</w:t>
      </w:r>
      <w:proofErr w:type="gramEnd"/>
      <w:r>
        <w:rPr>
          <w:spacing w:val="-2"/>
          <w:sz w:val="16"/>
        </w:rPr>
        <w:t>.</w:t>
      </w:r>
      <w:r>
        <w:t xml:space="preserve"> </w:t>
      </w:r>
      <w:r>
        <w:rPr>
          <w:spacing w:val="-4"/>
          <w:sz w:val="16"/>
        </w:rPr>
        <w:t>U</w:t>
      </w:r>
      <w:r w:rsidRPr="00762EBA">
        <w:rPr>
          <w:spacing w:val="-4"/>
          <w:sz w:val="16"/>
        </w:rPr>
        <w:t xml:space="preserve"> odvodů z „</w:t>
      </w:r>
      <w:proofErr w:type="spellStart"/>
      <w:r w:rsidRPr="00762EBA">
        <w:rPr>
          <w:spacing w:val="-4"/>
          <w:sz w:val="16"/>
        </w:rPr>
        <w:t>fotovoltaiky</w:t>
      </w:r>
      <w:proofErr w:type="spellEnd"/>
      <w:r w:rsidRPr="00762EBA">
        <w:rPr>
          <w:spacing w:val="-4"/>
          <w:sz w:val="16"/>
        </w:rPr>
        <w:t xml:space="preserve">“ </w:t>
      </w:r>
      <w:r>
        <w:rPr>
          <w:spacing w:val="-4"/>
          <w:sz w:val="16"/>
        </w:rPr>
        <w:t xml:space="preserve">došlo </w:t>
      </w:r>
      <w:r w:rsidRPr="00762EBA">
        <w:rPr>
          <w:spacing w:val="-4"/>
          <w:sz w:val="16"/>
        </w:rPr>
        <w:t>snížení sazeb z 26 % na 10 % (resp. z 28 % na 11 %) při současném prodloužení odvodu pro zařízení uvedená do provozu v průběhu roku 2010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173642" w:rsidRDefault="0075315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5D" w:rsidRPr="00DC5B3B" w:rsidRDefault="0075315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E41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966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463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5A9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89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709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96A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05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AB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2C3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014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41A7BF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355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F1AE0"/>
    <w:multiLevelType w:val="hybridMultilevel"/>
    <w:tmpl w:val="844CE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14C7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2521970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D4A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15F91BE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A2125F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A2D63B1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35D4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03D03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031BA"/>
    <w:multiLevelType w:val="hybridMultilevel"/>
    <w:tmpl w:val="E22EB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36DAC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E686B0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E50C6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0744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2FD6EF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0148B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7323A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0542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83E8F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8B57C7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07AE6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67C7F3E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6924CEA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8F4261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C66F9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D103F7D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06408E5"/>
    <w:multiLevelType w:val="hybridMultilevel"/>
    <w:tmpl w:val="652E150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96A1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249E4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A6971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BE609F0"/>
    <w:multiLevelType w:val="multilevel"/>
    <w:tmpl w:val="5A0C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E706D5E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22"/>
  </w:num>
  <w:num w:numId="5">
    <w:abstractNumId w:val="35"/>
  </w:num>
  <w:num w:numId="6">
    <w:abstractNumId w:val="41"/>
  </w:num>
  <w:num w:numId="7">
    <w:abstractNumId w:val="14"/>
  </w:num>
  <w:num w:numId="8">
    <w:abstractNumId w:val="33"/>
  </w:num>
  <w:num w:numId="9">
    <w:abstractNumId w:val="40"/>
  </w:num>
  <w:num w:numId="10">
    <w:abstractNumId w:val="17"/>
  </w:num>
  <w:num w:numId="11">
    <w:abstractNumId w:val="46"/>
  </w:num>
  <w:num w:numId="12">
    <w:abstractNumId w:val="28"/>
  </w:num>
  <w:num w:numId="13">
    <w:abstractNumId w:val="4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10"/>
  </w:num>
  <w:num w:numId="26">
    <w:abstractNumId w:val="36"/>
  </w:num>
  <w:num w:numId="27">
    <w:abstractNumId w:val="37"/>
  </w:num>
  <w:num w:numId="28">
    <w:abstractNumId w:val="16"/>
  </w:num>
  <w:num w:numId="29">
    <w:abstractNumId w:val="18"/>
  </w:num>
  <w:num w:numId="30">
    <w:abstractNumId w:val="39"/>
  </w:num>
  <w:num w:numId="31">
    <w:abstractNumId w:val="20"/>
  </w:num>
  <w:num w:numId="32">
    <w:abstractNumId w:val="48"/>
  </w:num>
  <w:num w:numId="33">
    <w:abstractNumId w:val="44"/>
  </w:num>
  <w:num w:numId="34">
    <w:abstractNumId w:val="19"/>
  </w:num>
  <w:num w:numId="35">
    <w:abstractNumId w:val="24"/>
  </w:num>
  <w:num w:numId="36">
    <w:abstractNumId w:val="31"/>
  </w:num>
  <w:num w:numId="37">
    <w:abstractNumId w:val="32"/>
  </w:num>
  <w:num w:numId="38">
    <w:abstractNumId w:val="15"/>
  </w:num>
  <w:num w:numId="39">
    <w:abstractNumId w:val="11"/>
  </w:num>
  <w:num w:numId="40">
    <w:abstractNumId w:val="43"/>
  </w:num>
  <w:num w:numId="41">
    <w:abstractNumId w:val="29"/>
  </w:num>
  <w:num w:numId="42">
    <w:abstractNumId w:val="25"/>
  </w:num>
  <w:num w:numId="43">
    <w:abstractNumId w:val="12"/>
  </w:num>
  <w:num w:numId="44">
    <w:abstractNumId w:val="30"/>
  </w:num>
  <w:num w:numId="45">
    <w:abstractNumId w:val="34"/>
  </w:num>
  <w:num w:numId="46">
    <w:abstractNumId w:val="21"/>
  </w:num>
  <w:num w:numId="47">
    <w:abstractNumId w:val="38"/>
  </w:num>
  <w:num w:numId="48">
    <w:abstractNumId w:val="47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0035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3687"/>
    <w:rsid w:val="00003C43"/>
    <w:rsid w:val="0000767A"/>
    <w:rsid w:val="000104B9"/>
    <w:rsid w:val="00010702"/>
    <w:rsid w:val="0001159B"/>
    <w:rsid w:val="0001573E"/>
    <w:rsid w:val="00017F05"/>
    <w:rsid w:val="000202C6"/>
    <w:rsid w:val="00020946"/>
    <w:rsid w:val="00024887"/>
    <w:rsid w:val="00024CBA"/>
    <w:rsid w:val="00026998"/>
    <w:rsid w:val="0003066A"/>
    <w:rsid w:val="00032838"/>
    <w:rsid w:val="00032C12"/>
    <w:rsid w:val="00035FC6"/>
    <w:rsid w:val="00037667"/>
    <w:rsid w:val="000411E1"/>
    <w:rsid w:val="0004694F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20EC"/>
    <w:rsid w:val="00092505"/>
    <w:rsid w:val="000A1183"/>
    <w:rsid w:val="000A2121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2E41"/>
    <w:rsid w:val="000D5E7A"/>
    <w:rsid w:val="000D5FAA"/>
    <w:rsid w:val="000D65A4"/>
    <w:rsid w:val="000D6AEF"/>
    <w:rsid w:val="000E19A8"/>
    <w:rsid w:val="000E78D2"/>
    <w:rsid w:val="000F3332"/>
    <w:rsid w:val="000F33EE"/>
    <w:rsid w:val="000F401E"/>
    <w:rsid w:val="000F5445"/>
    <w:rsid w:val="000F67B2"/>
    <w:rsid w:val="00102F02"/>
    <w:rsid w:val="001041B6"/>
    <w:rsid w:val="001070EA"/>
    <w:rsid w:val="0011002A"/>
    <w:rsid w:val="0011110A"/>
    <w:rsid w:val="001118AF"/>
    <w:rsid w:val="0011256E"/>
    <w:rsid w:val="00116DB9"/>
    <w:rsid w:val="00121C39"/>
    <w:rsid w:val="00123255"/>
    <w:rsid w:val="00124D2D"/>
    <w:rsid w:val="001307BE"/>
    <w:rsid w:val="00130C8F"/>
    <w:rsid w:val="001314F2"/>
    <w:rsid w:val="001317DA"/>
    <w:rsid w:val="0013254D"/>
    <w:rsid w:val="00133AAC"/>
    <w:rsid w:val="00136561"/>
    <w:rsid w:val="001400E1"/>
    <w:rsid w:val="001405FA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4D8"/>
    <w:rsid w:val="00176A8F"/>
    <w:rsid w:val="00182981"/>
    <w:rsid w:val="00184CF9"/>
    <w:rsid w:val="00185010"/>
    <w:rsid w:val="001874CF"/>
    <w:rsid w:val="00190D9B"/>
    <w:rsid w:val="00195444"/>
    <w:rsid w:val="001A2BDB"/>
    <w:rsid w:val="001A552F"/>
    <w:rsid w:val="001B1D89"/>
    <w:rsid w:val="001B3110"/>
    <w:rsid w:val="001B44BC"/>
    <w:rsid w:val="001B6545"/>
    <w:rsid w:val="001B681B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10CC2"/>
    <w:rsid w:val="00210F5B"/>
    <w:rsid w:val="00211262"/>
    <w:rsid w:val="00211AC9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FDC"/>
    <w:rsid w:val="00261E5B"/>
    <w:rsid w:val="00263470"/>
    <w:rsid w:val="00263733"/>
    <w:rsid w:val="00265536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BD5"/>
    <w:rsid w:val="002A43A2"/>
    <w:rsid w:val="002A4612"/>
    <w:rsid w:val="002A5263"/>
    <w:rsid w:val="002A6821"/>
    <w:rsid w:val="002A74D2"/>
    <w:rsid w:val="002B36C8"/>
    <w:rsid w:val="002B7240"/>
    <w:rsid w:val="002C43BD"/>
    <w:rsid w:val="002C5261"/>
    <w:rsid w:val="002C6091"/>
    <w:rsid w:val="002D0562"/>
    <w:rsid w:val="002D1B5A"/>
    <w:rsid w:val="002D5E94"/>
    <w:rsid w:val="002D632D"/>
    <w:rsid w:val="002E02A1"/>
    <w:rsid w:val="002E2CE4"/>
    <w:rsid w:val="00301357"/>
    <w:rsid w:val="00301D04"/>
    <w:rsid w:val="00304771"/>
    <w:rsid w:val="00305736"/>
    <w:rsid w:val="00306C5B"/>
    <w:rsid w:val="00312C3D"/>
    <w:rsid w:val="00314331"/>
    <w:rsid w:val="003209D6"/>
    <w:rsid w:val="00322164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36F"/>
    <w:rsid w:val="00355885"/>
    <w:rsid w:val="0035605E"/>
    <w:rsid w:val="00357449"/>
    <w:rsid w:val="0036238B"/>
    <w:rsid w:val="00365680"/>
    <w:rsid w:val="003657F3"/>
    <w:rsid w:val="00374F1E"/>
    <w:rsid w:val="00376DEC"/>
    <w:rsid w:val="00380E04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D3600"/>
    <w:rsid w:val="003D3825"/>
    <w:rsid w:val="003D4760"/>
    <w:rsid w:val="003E0663"/>
    <w:rsid w:val="003E133F"/>
    <w:rsid w:val="003E699C"/>
    <w:rsid w:val="003E69F3"/>
    <w:rsid w:val="003E782E"/>
    <w:rsid w:val="003E7A0B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C25"/>
    <w:rsid w:val="004050D7"/>
    <w:rsid w:val="004078BD"/>
    <w:rsid w:val="00410132"/>
    <w:rsid w:val="004123BE"/>
    <w:rsid w:val="00414CE5"/>
    <w:rsid w:val="00416673"/>
    <w:rsid w:val="0042160D"/>
    <w:rsid w:val="0042681B"/>
    <w:rsid w:val="0043068A"/>
    <w:rsid w:val="004306E0"/>
    <w:rsid w:val="004329BE"/>
    <w:rsid w:val="00437C76"/>
    <w:rsid w:val="004441A0"/>
    <w:rsid w:val="004443BF"/>
    <w:rsid w:val="00446892"/>
    <w:rsid w:val="00450C30"/>
    <w:rsid w:val="00455ECA"/>
    <w:rsid w:val="00460164"/>
    <w:rsid w:val="0046039A"/>
    <w:rsid w:val="00461977"/>
    <w:rsid w:val="004629FD"/>
    <w:rsid w:val="00463F4D"/>
    <w:rsid w:val="00465019"/>
    <w:rsid w:val="0046613F"/>
    <w:rsid w:val="0046655D"/>
    <w:rsid w:val="0046765E"/>
    <w:rsid w:val="004676E2"/>
    <w:rsid w:val="00471EDD"/>
    <w:rsid w:val="0047400C"/>
    <w:rsid w:val="00476D29"/>
    <w:rsid w:val="00477EAF"/>
    <w:rsid w:val="00477EE0"/>
    <w:rsid w:val="0048139F"/>
    <w:rsid w:val="004879E9"/>
    <w:rsid w:val="00491218"/>
    <w:rsid w:val="00493362"/>
    <w:rsid w:val="00496C2F"/>
    <w:rsid w:val="0049740D"/>
    <w:rsid w:val="004A269A"/>
    <w:rsid w:val="004A30FB"/>
    <w:rsid w:val="004A35DD"/>
    <w:rsid w:val="004A37D3"/>
    <w:rsid w:val="004A5865"/>
    <w:rsid w:val="004A77DF"/>
    <w:rsid w:val="004B0295"/>
    <w:rsid w:val="004B3CB7"/>
    <w:rsid w:val="004B3D55"/>
    <w:rsid w:val="004B55B7"/>
    <w:rsid w:val="004C00A6"/>
    <w:rsid w:val="004C0BBB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5359"/>
    <w:rsid w:val="005357A2"/>
    <w:rsid w:val="00535EF0"/>
    <w:rsid w:val="0053734B"/>
    <w:rsid w:val="00537AFD"/>
    <w:rsid w:val="00537CB4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4240"/>
    <w:rsid w:val="00575CDC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E0"/>
    <w:rsid w:val="005A33A1"/>
    <w:rsid w:val="005A54EE"/>
    <w:rsid w:val="005A7500"/>
    <w:rsid w:val="005B1BDB"/>
    <w:rsid w:val="005B3247"/>
    <w:rsid w:val="005B3409"/>
    <w:rsid w:val="005B7B12"/>
    <w:rsid w:val="005C3F9F"/>
    <w:rsid w:val="005C7F1E"/>
    <w:rsid w:val="005D5802"/>
    <w:rsid w:val="005D73E2"/>
    <w:rsid w:val="005E1E4B"/>
    <w:rsid w:val="005E362D"/>
    <w:rsid w:val="005E492C"/>
    <w:rsid w:val="005E4BAA"/>
    <w:rsid w:val="005E5B56"/>
    <w:rsid w:val="005F4057"/>
    <w:rsid w:val="005F4088"/>
    <w:rsid w:val="005F6119"/>
    <w:rsid w:val="0060107A"/>
    <w:rsid w:val="00601AFF"/>
    <w:rsid w:val="00602D1D"/>
    <w:rsid w:val="00604307"/>
    <w:rsid w:val="0060487F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332A"/>
    <w:rsid w:val="006347F9"/>
    <w:rsid w:val="00634C90"/>
    <w:rsid w:val="00635E79"/>
    <w:rsid w:val="006404A7"/>
    <w:rsid w:val="006407F3"/>
    <w:rsid w:val="006451E4"/>
    <w:rsid w:val="006460B8"/>
    <w:rsid w:val="006520C7"/>
    <w:rsid w:val="006530B8"/>
    <w:rsid w:val="006535D6"/>
    <w:rsid w:val="00657E87"/>
    <w:rsid w:val="00660457"/>
    <w:rsid w:val="00660E1E"/>
    <w:rsid w:val="006637B1"/>
    <w:rsid w:val="00665D67"/>
    <w:rsid w:val="00665D77"/>
    <w:rsid w:val="006660CD"/>
    <w:rsid w:val="006676D0"/>
    <w:rsid w:val="006710C9"/>
    <w:rsid w:val="00675E37"/>
    <w:rsid w:val="0068260E"/>
    <w:rsid w:val="0068373D"/>
    <w:rsid w:val="00683BFE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9A"/>
    <w:rsid w:val="006C58FA"/>
    <w:rsid w:val="006D042D"/>
    <w:rsid w:val="006D06EF"/>
    <w:rsid w:val="006D61F6"/>
    <w:rsid w:val="006E1F4C"/>
    <w:rsid w:val="006E279A"/>
    <w:rsid w:val="006E2F3F"/>
    <w:rsid w:val="006E313B"/>
    <w:rsid w:val="006E442A"/>
    <w:rsid w:val="006E5CFD"/>
    <w:rsid w:val="006F3708"/>
    <w:rsid w:val="006F3E6B"/>
    <w:rsid w:val="006F4A59"/>
    <w:rsid w:val="007014C7"/>
    <w:rsid w:val="00702D6F"/>
    <w:rsid w:val="00705D98"/>
    <w:rsid w:val="00707891"/>
    <w:rsid w:val="00711EF1"/>
    <w:rsid w:val="00720FA2"/>
    <w:rsid w:val="007211F5"/>
    <w:rsid w:val="00724666"/>
    <w:rsid w:val="00726043"/>
    <w:rsid w:val="0072704A"/>
    <w:rsid w:val="00730AE8"/>
    <w:rsid w:val="00734321"/>
    <w:rsid w:val="00740652"/>
    <w:rsid w:val="00740F02"/>
    <w:rsid w:val="00740FEC"/>
    <w:rsid w:val="00741493"/>
    <w:rsid w:val="007426B3"/>
    <w:rsid w:val="007426FD"/>
    <w:rsid w:val="00744376"/>
    <w:rsid w:val="007449EA"/>
    <w:rsid w:val="00746DD9"/>
    <w:rsid w:val="0075057A"/>
    <w:rsid w:val="00751771"/>
    <w:rsid w:val="00752180"/>
    <w:rsid w:val="007521A1"/>
    <w:rsid w:val="0075315D"/>
    <w:rsid w:val="00754253"/>
    <w:rsid w:val="007558D3"/>
    <w:rsid w:val="00755D3A"/>
    <w:rsid w:val="007609C6"/>
    <w:rsid w:val="007610A0"/>
    <w:rsid w:val="007620F2"/>
    <w:rsid w:val="00774782"/>
    <w:rsid w:val="00776527"/>
    <w:rsid w:val="00781834"/>
    <w:rsid w:val="00782818"/>
    <w:rsid w:val="00784C4A"/>
    <w:rsid w:val="00787432"/>
    <w:rsid w:val="007879F2"/>
    <w:rsid w:val="00791CF8"/>
    <w:rsid w:val="00793BAE"/>
    <w:rsid w:val="00794E0A"/>
    <w:rsid w:val="00796642"/>
    <w:rsid w:val="007A327B"/>
    <w:rsid w:val="007A4606"/>
    <w:rsid w:val="007B3DCC"/>
    <w:rsid w:val="007B4518"/>
    <w:rsid w:val="007B5031"/>
    <w:rsid w:val="007B573F"/>
    <w:rsid w:val="007D2AD8"/>
    <w:rsid w:val="007D2C47"/>
    <w:rsid w:val="007E0F4B"/>
    <w:rsid w:val="007E7E61"/>
    <w:rsid w:val="007F0845"/>
    <w:rsid w:val="007F16F9"/>
    <w:rsid w:val="007F5F14"/>
    <w:rsid w:val="008005D7"/>
    <w:rsid w:val="00801FDD"/>
    <w:rsid w:val="0080255C"/>
    <w:rsid w:val="0081187C"/>
    <w:rsid w:val="00811E24"/>
    <w:rsid w:val="00813A70"/>
    <w:rsid w:val="0081645F"/>
    <w:rsid w:val="008178C2"/>
    <w:rsid w:val="008178CF"/>
    <w:rsid w:val="00820C9F"/>
    <w:rsid w:val="00821FF6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2604"/>
    <w:rsid w:val="00843ECF"/>
    <w:rsid w:val="00846673"/>
    <w:rsid w:val="0085281A"/>
    <w:rsid w:val="008559FE"/>
    <w:rsid w:val="00857339"/>
    <w:rsid w:val="00863D9E"/>
    <w:rsid w:val="00867E29"/>
    <w:rsid w:val="00870F2B"/>
    <w:rsid w:val="008746E6"/>
    <w:rsid w:val="00876086"/>
    <w:rsid w:val="008768D6"/>
    <w:rsid w:val="008775D1"/>
    <w:rsid w:val="008777BB"/>
    <w:rsid w:val="0088733A"/>
    <w:rsid w:val="00891BE0"/>
    <w:rsid w:val="008945A1"/>
    <w:rsid w:val="00894A63"/>
    <w:rsid w:val="00896BDE"/>
    <w:rsid w:val="008A0861"/>
    <w:rsid w:val="008A0BB2"/>
    <w:rsid w:val="008A1AB3"/>
    <w:rsid w:val="008A1D5C"/>
    <w:rsid w:val="008A3292"/>
    <w:rsid w:val="008A43E9"/>
    <w:rsid w:val="008A4CB1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CB8"/>
    <w:rsid w:val="008C7815"/>
    <w:rsid w:val="008D0171"/>
    <w:rsid w:val="008D2A16"/>
    <w:rsid w:val="008D2ECF"/>
    <w:rsid w:val="008D3F3D"/>
    <w:rsid w:val="008E31FF"/>
    <w:rsid w:val="008E6AB3"/>
    <w:rsid w:val="008E6AD3"/>
    <w:rsid w:val="008E71A6"/>
    <w:rsid w:val="008E77B6"/>
    <w:rsid w:val="008F032E"/>
    <w:rsid w:val="008F0F14"/>
    <w:rsid w:val="008F4FCE"/>
    <w:rsid w:val="008F7D28"/>
    <w:rsid w:val="009003A8"/>
    <w:rsid w:val="00902CBE"/>
    <w:rsid w:val="00902EFF"/>
    <w:rsid w:val="00903E06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60B0"/>
    <w:rsid w:val="00957871"/>
    <w:rsid w:val="00964498"/>
    <w:rsid w:val="0096650F"/>
    <w:rsid w:val="009700DB"/>
    <w:rsid w:val="00972263"/>
    <w:rsid w:val="00972D8D"/>
    <w:rsid w:val="00973AAE"/>
    <w:rsid w:val="00974923"/>
    <w:rsid w:val="00974D48"/>
    <w:rsid w:val="00980621"/>
    <w:rsid w:val="00982072"/>
    <w:rsid w:val="00983ECF"/>
    <w:rsid w:val="00986745"/>
    <w:rsid w:val="00987109"/>
    <w:rsid w:val="0099012D"/>
    <w:rsid w:val="00996355"/>
    <w:rsid w:val="009A4E12"/>
    <w:rsid w:val="009B052C"/>
    <w:rsid w:val="009B0EF2"/>
    <w:rsid w:val="009B23A3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222"/>
    <w:rsid w:val="009E1FBA"/>
    <w:rsid w:val="009E2C54"/>
    <w:rsid w:val="009E3710"/>
    <w:rsid w:val="009E7B1F"/>
    <w:rsid w:val="009F41C4"/>
    <w:rsid w:val="009F5846"/>
    <w:rsid w:val="009F7D77"/>
    <w:rsid w:val="00A10D66"/>
    <w:rsid w:val="00A126AA"/>
    <w:rsid w:val="00A1420C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6DE0"/>
    <w:rsid w:val="00A4778A"/>
    <w:rsid w:val="00A5067F"/>
    <w:rsid w:val="00A55301"/>
    <w:rsid w:val="00A57B3C"/>
    <w:rsid w:val="00A6128E"/>
    <w:rsid w:val="00A62CE1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7E3F"/>
    <w:rsid w:val="00AA23FB"/>
    <w:rsid w:val="00AA42AB"/>
    <w:rsid w:val="00AA559A"/>
    <w:rsid w:val="00AB2AF1"/>
    <w:rsid w:val="00AB440B"/>
    <w:rsid w:val="00AB74C5"/>
    <w:rsid w:val="00AB7DF2"/>
    <w:rsid w:val="00AC1E3F"/>
    <w:rsid w:val="00AC4F18"/>
    <w:rsid w:val="00AD0B46"/>
    <w:rsid w:val="00AD2565"/>
    <w:rsid w:val="00AD306C"/>
    <w:rsid w:val="00AD3424"/>
    <w:rsid w:val="00AD59BB"/>
    <w:rsid w:val="00AD5D68"/>
    <w:rsid w:val="00AD6C73"/>
    <w:rsid w:val="00AE06D0"/>
    <w:rsid w:val="00AE39DC"/>
    <w:rsid w:val="00AE7968"/>
    <w:rsid w:val="00AF128B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3229E"/>
    <w:rsid w:val="00B32DDB"/>
    <w:rsid w:val="00B35BEA"/>
    <w:rsid w:val="00B41BE6"/>
    <w:rsid w:val="00B457E7"/>
    <w:rsid w:val="00B52D2D"/>
    <w:rsid w:val="00B561A6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6748"/>
    <w:rsid w:val="00B91EC9"/>
    <w:rsid w:val="00B924CA"/>
    <w:rsid w:val="00B93384"/>
    <w:rsid w:val="00B94417"/>
    <w:rsid w:val="00B95940"/>
    <w:rsid w:val="00B95EF8"/>
    <w:rsid w:val="00B96BD9"/>
    <w:rsid w:val="00BB2C53"/>
    <w:rsid w:val="00BB32DA"/>
    <w:rsid w:val="00BB3A54"/>
    <w:rsid w:val="00BB4E21"/>
    <w:rsid w:val="00BC682B"/>
    <w:rsid w:val="00BC6B04"/>
    <w:rsid w:val="00BD3428"/>
    <w:rsid w:val="00BD366B"/>
    <w:rsid w:val="00BD56BC"/>
    <w:rsid w:val="00BD5D91"/>
    <w:rsid w:val="00BD6615"/>
    <w:rsid w:val="00BD6D50"/>
    <w:rsid w:val="00BE0DB0"/>
    <w:rsid w:val="00BE3F09"/>
    <w:rsid w:val="00BE670A"/>
    <w:rsid w:val="00BE6906"/>
    <w:rsid w:val="00BF18F4"/>
    <w:rsid w:val="00BF1A69"/>
    <w:rsid w:val="00BF3BC8"/>
    <w:rsid w:val="00BF3DF1"/>
    <w:rsid w:val="00BF4C31"/>
    <w:rsid w:val="00C00F20"/>
    <w:rsid w:val="00C034E6"/>
    <w:rsid w:val="00C0784A"/>
    <w:rsid w:val="00C10FAE"/>
    <w:rsid w:val="00C12A69"/>
    <w:rsid w:val="00C150BE"/>
    <w:rsid w:val="00C15A0C"/>
    <w:rsid w:val="00C15DCB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6D8E"/>
    <w:rsid w:val="00C77833"/>
    <w:rsid w:val="00C80C9B"/>
    <w:rsid w:val="00C8335E"/>
    <w:rsid w:val="00C84CE3"/>
    <w:rsid w:val="00C90CF4"/>
    <w:rsid w:val="00C91C19"/>
    <w:rsid w:val="00C929A0"/>
    <w:rsid w:val="00C93389"/>
    <w:rsid w:val="00C937DB"/>
    <w:rsid w:val="00C94519"/>
    <w:rsid w:val="00C94E83"/>
    <w:rsid w:val="00CA140F"/>
    <w:rsid w:val="00CA37CA"/>
    <w:rsid w:val="00CA6BA1"/>
    <w:rsid w:val="00CA6CD5"/>
    <w:rsid w:val="00CB2150"/>
    <w:rsid w:val="00CB28EE"/>
    <w:rsid w:val="00CB43A7"/>
    <w:rsid w:val="00CB5996"/>
    <w:rsid w:val="00CB7452"/>
    <w:rsid w:val="00CC2642"/>
    <w:rsid w:val="00CC2E15"/>
    <w:rsid w:val="00CC3908"/>
    <w:rsid w:val="00CC62AD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1067C"/>
    <w:rsid w:val="00D136D4"/>
    <w:rsid w:val="00D13ECF"/>
    <w:rsid w:val="00D142E5"/>
    <w:rsid w:val="00D1611E"/>
    <w:rsid w:val="00D16E69"/>
    <w:rsid w:val="00D205A9"/>
    <w:rsid w:val="00D217EE"/>
    <w:rsid w:val="00D26923"/>
    <w:rsid w:val="00D27856"/>
    <w:rsid w:val="00D30740"/>
    <w:rsid w:val="00D3107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90C1E"/>
    <w:rsid w:val="00D93F09"/>
    <w:rsid w:val="00D97BB8"/>
    <w:rsid w:val="00DA4AF6"/>
    <w:rsid w:val="00DB016E"/>
    <w:rsid w:val="00DB378E"/>
    <w:rsid w:val="00DB3E9D"/>
    <w:rsid w:val="00DB47B9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5578"/>
    <w:rsid w:val="00DF7FEC"/>
    <w:rsid w:val="00E01C0E"/>
    <w:rsid w:val="00E03B27"/>
    <w:rsid w:val="00E04694"/>
    <w:rsid w:val="00E05B2B"/>
    <w:rsid w:val="00E07F05"/>
    <w:rsid w:val="00E127E1"/>
    <w:rsid w:val="00E144D2"/>
    <w:rsid w:val="00E15346"/>
    <w:rsid w:val="00E215EA"/>
    <w:rsid w:val="00E24619"/>
    <w:rsid w:val="00E25223"/>
    <w:rsid w:val="00E31764"/>
    <w:rsid w:val="00E34E4A"/>
    <w:rsid w:val="00E365B3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71F2"/>
    <w:rsid w:val="00E57429"/>
    <w:rsid w:val="00E71A58"/>
    <w:rsid w:val="00E84F21"/>
    <w:rsid w:val="00E921C7"/>
    <w:rsid w:val="00E92995"/>
    <w:rsid w:val="00E94612"/>
    <w:rsid w:val="00E95797"/>
    <w:rsid w:val="00E9682F"/>
    <w:rsid w:val="00E96A8D"/>
    <w:rsid w:val="00E972BA"/>
    <w:rsid w:val="00EA06CB"/>
    <w:rsid w:val="00EA0C68"/>
    <w:rsid w:val="00EA3EBE"/>
    <w:rsid w:val="00EA3FAC"/>
    <w:rsid w:val="00EA5CD6"/>
    <w:rsid w:val="00EB20A0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A79"/>
    <w:rsid w:val="00ED2CA5"/>
    <w:rsid w:val="00ED54D6"/>
    <w:rsid w:val="00ED5726"/>
    <w:rsid w:val="00EE0384"/>
    <w:rsid w:val="00EE10AA"/>
    <w:rsid w:val="00EE1637"/>
    <w:rsid w:val="00EE3E78"/>
    <w:rsid w:val="00EE5E02"/>
    <w:rsid w:val="00EE617D"/>
    <w:rsid w:val="00EE61BF"/>
    <w:rsid w:val="00EE6748"/>
    <w:rsid w:val="00EF0E75"/>
    <w:rsid w:val="00EF1F5A"/>
    <w:rsid w:val="00EF4685"/>
    <w:rsid w:val="00EF5397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103E"/>
    <w:rsid w:val="00F214FC"/>
    <w:rsid w:val="00F23FFF"/>
    <w:rsid w:val="00F2441D"/>
    <w:rsid w:val="00F24FAA"/>
    <w:rsid w:val="00F26197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6B54"/>
    <w:rsid w:val="00F63DDE"/>
    <w:rsid w:val="00F63FB7"/>
    <w:rsid w:val="00F64726"/>
    <w:rsid w:val="00F6561A"/>
    <w:rsid w:val="00F727D5"/>
    <w:rsid w:val="00F72F44"/>
    <w:rsid w:val="00F73A0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309A"/>
    <w:rsid w:val="00FA7644"/>
    <w:rsid w:val="00FB56F1"/>
    <w:rsid w:val="00FB5FD4"/>
    <w:rsid w:val="00FB67F3"/>
    <w:rsid w:val="00FC0D8A"/>
    <w:rsid w:val="00FC0E5F"/>
    <w:rsid w:val="00FC4660"/>
    <w:rsid w:val="00FC56DE"/>
    <w:rsid w:val="00FD0DEB"/>
    <w:rsid w:val="00FD1627"/>
    <w:rsid w:val="00FD473D"/>
    <w:rsid w:val="00FD61C8"/>
    <w:rsid w:val="00FD63CE"/>
    <w:rsid w:val="00FD7D49"/>
    <w:rsid w:val="00FE1251"/>
    <w:rsid w:val="00FE2F78"/>
    <w:rsid w:val="00FE375F"/>
    <w:rsid w:val="00FE4FCB"/>
    <w:rsid w:val="00FF28E0"/>
    <w:rsid w:val="00FF2FB4"/>
    <w:rsid w:val="00FF30B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5E492C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71818C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E492C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71818C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5E492C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71818C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E492C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5E492C"/>
    <w:pPr>
      <w:spacing w:line="288" w:lineRule="auto"/>
      <w:contextualSpacing/>
      <w:outlineLvl w:val="0"/>
    </w:pPr>
    <w:rPr>
      <w:rFonts w:ascii="Arial" w:eastAsia="MS Gothic" w:hAnsi="Arial"/>
      <w:b/>
      <w:caps/>
      <w:color w:val="71818C"/>
      <w:sz w:val="56"/>
      <w:szCs w:val="52"/>
    </w:rPr>
  </w:style>
  <w:style w:type="character" w:customStyle="1" w:styleId="NzevChar">
    <w:name w:val="Název Char"/>
    <w:link w:val="Nzev"/>
    <w:uiPriority w:val="10"/>
    <w:rsid w:val="005E492C"/>
    <w:rPr>
      <w:rFonts w:ascii="Arial" w:eastAsia="MS Gothic" w:hAnsi="Arial"/>
      <w:b/>
      <w:caps/>
      <w:color w:val="71818C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5E492C"/>
    <w:pPr>
      <w:numPr>
        <w:ilvl w:val="1"/>
      </w:numPr>
      <w:spacing w:line="288" w:lineRule="auto"/>
    </w:pPr>
    <w:rPr>
      <w:rFonts w:ascii="Arial" w:eastAsia="MS Gothic" w:hAnsi="Arial"/>
      <w:b/>
      <w:iCs/>
      <w:color w:val="71818C"/>
      <w:sz w:val="28"/>
      <w:szCs w:val="24"/>
    </w:rPr>
  </w:style>
  <w:style w:type="character" w:customStyle="1" w:styleId="PodtitulChar">
    <w:name w:val="Podtitul Char"/>
    <w:link w:val="Podtitul"/>
    <w:uiPriority w:val="11"/>
    <w:rsid w:val="005E492C"/>
    <w:rPr>
      <w:rFonts w:ascii="Arial" w:eastAsia="MS Gothic" w:hAnsi="Arial"/>
      <w:b/>
      <w:iCs/>
      <w:color w:val="71818C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5E492C"/>
    <w:rPr>
      <w:rFonts w:ascii="Arial" w:eastAsia="MS Gothic" w:hAnsi="Arial"/>
      <w:b/>
      <w:bCs/>
      <w:color w:val="71818C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E492C"/>
    <w:rPr>
      <w:rFonts w:ascii="Arial" w:eastAsia="MS Gothic" w:hAnsi="Arial"/>
      <w:b/>
      <w:bCs/>
      <w:color w:val="71818C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5E492C"/>
    <w:rPr>
      <w:rFonts w:ascii="Arial" w:eastAsia="MS Gothic" w:hAnsi="Arial"/>
      <w:b/>
      <w:bCs/>
      <w:color w:val="71818C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E492C"/>
    <w:rPr>
      <w:rFonts w:ascii="Arial" w:eastAsia="MS Gothic" w:hAnsi="Arial"/>
      <w:b/>
      <w:bCs/>
      <w:iCs/>
      <w:szCs w:val="24"/>
      <w:lang w:bidi="ar-SA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5E492C"/>
    <w:rPr>
      <w:rFonts w:ascii="Arial" w:hAnsi="Arial"/>
      <w:color w:val="000000"/>
      <w:sz w:val="24"/>
      <w:szCs w:val="24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5E492C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5E492C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rsid w:val="005E492C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5E492C"/>
    <w:rPr>
      <w:rFonts w:ascii="Arial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5E492C"/>
    <w:rPr>
      <w:rFonts w:ascii="Arial" w:hAnsi="Arial" w:cs="Arial"/>
      <w:lang w:eastAsia="ar-SA"/>
    </w:rPr>
  </w:style>
  <w:style w:type="paragraph" w:styleId="Nadpisobsahu">
    <w:name w:val="TOC Heading"/>
    <w:basedOn w:val="Nadpis1"/>
    <w:next w:val="Normln"/>
    <w:uiPriority w:val="71"/>
    <w:semiHidden/>
    <w:unhideWhenUsed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972263"/>
    <w:rPr>
      <w:rFonts w:ascii="Arial" w:eastAsia="Times New Roman" w:hAnsi="Arial"/>
    </w:rPr>
  </w:style>
  <w:style w:type="character" w:styleId="Znakapoznpodarou">
    <w:name w:val="footnote reference"/>
    <w:rsid w:val="00972263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5626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5626D"/>
    <w:rPr>
      <w:rFonts w:ascii="Tahoma" w:eastAsia="Times New Roman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21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21A1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Standardnpsmoodstavce"/>
    <w:uiPriority w:val="22"/>
    <w:qFormat/>
    <w:rsid w:val="00E921C7"/>
    <w:rPr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D47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3EF2-6CE7-4E94-B7B8-53F56212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</TotalTime>
  <Pages>3</Pages>
  <Words>1092</Words>
  <Characters>6449</Characters>
  <Application>Microsoft Office Word</Application>
  <DocSecurity>4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Jiří Kamenický</cp:lastModifiedBy>
  <cp:revision>2</cp:revision>
  <cp:lastPrinted>2015-03-20T13:33:00Z</cp:lastPrinted>
  <dcterms:created xsi:type="dcterms:W3CDTF">2015-03-20T14:49:00Z</dcterms:created>
  <dcterms:modified xsi:type="dcterms:W3CDTF">2015-03-20T14:49:00Z</dcterms:modified>
</cp:coreProperties>
</file>