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1C" w:rsidRPr="001941FA" w:rsidRDefault="00DE3F1C" w:rsidP="00654EB9">
      <w:pPr>
        <w:pStyle w:val="Nadpis1"/>
        <w:numPr>
          <w:ilvl w:val="0"/>
          <w:numId w:val="0"/>
        </w:numPr>
        <w:ind w:left="432"/>
        <w:rPr>
          <w:color w:val="BD1B21"/>
          <w:sz w:val="48"/>
          <w:szCs w:val="40"/>
        </w:rPr>
      </w:pPr>
      <w:bookmarkStart w:id="0" w:name="_Toc408832671"/>
      <w:r w:rsidRPr="001941FA">
        <w:rPr>
          <w:color w:val="BD1B21"/>
          <w:sz w:val="48"/>
          <w:szCs w:val="40"/>
        </w:rPr>
        <w:t xml:space="preserve">Vzdělání a životní podmínky domácností v datech </w:t>
      </w:r>
      <w:proofErr w:type="gramStart"/>
      <w:r w:rsidRPr="001941FA">
        <w:rPr>
          <w:color w:val="BD1B21"/>
          <w:sz w:val="48"/>
          <w:szCs w:val="40"/>
        </w:rPr>
        <w:t>EU</w:t>
      </w:r>
      <w:r w:rsidR="0014778A" w:rsidRPr="001941FA">
        <w:rPr>
          <w:color w:val="BD1B21"/>
          <w:sz w:val="48"/>
          <w:szCs w:val="40"/>
        </w:rPr>
        <w:t>–</w:t>
      </w:r>
      <w:r w:rsidRPr="001941FA">
        <w:rPr>
          <w:color w:val="BD1B21"/>
          <w:sz w:val="48"/>
          <w:szCs w:val="40"/>
        </w:rPr>
        <w:t>SILC</w:t>
      </w:r>
      <w:proofErr w:type="gramEnd"/>
    </w:p>
    <w:p w:rsidR="00FA0C75" w:rsidRPr="0083242E" w:rsidRDefault="00654EB9" w:rsidP="00654EB9">
      <w:pPr>
        <w:pStyle w:val="Nadpis1"/>
        <w:numPr>
          <w:ilvl w:val="0"/>
          <w:numId w:val="0"/>
        </w:numPr>
        <w:ind w:left="432"/>
        <w:rPr>
          <w:szCs w:val="40"/>
        </w:rPr>
      </w:pPr>
      <w:r w:rsidRPr="0083242E">
        <w:rPr>
          <w:szCs w:val="40"/>
        </w:rPr>
        <w:t xml:space="preserve">Kontextové informace: šetření </w:t>
      </w:r>
      <w:proofErr w:type="gramStart"/>
      <w:r w:rsidR="00FA0C75" w:rsidRPr="0083242E">
        <w:rPr>
          <w:szCs w:val="40"/>
        </w:rPr>
        <w:t>EU–SILC</w:t>
      </w:r>
      <w:proofErr w:type="gramEnd"/>
      <w:r w:rsidR="00FA0C75" w:rsidRPr="0083242E">
        <w:rPr>
          <w:szCs w:val="40"/>
        </w:rPr>
        <w:t>, příjmy domácností</w:t>
      </w:r>
      <w:bookmarkEnd w:id="0"/>
      <w:r w:rsidR="00FA0C75" w:rsidRPr="0083242E">
        <w:rPr>
          <w:szCs w:val="40"/>
        </w:rPr>
        <w:t xml:space="preserve"> a ohrožení chudobou v evropské statistice</w:t>
      </w:r>
    </w:p>
    <w:p w:rsidR="007C0574" w:rsidRPr="007C0574" w:rsidRDefault="007C0574" w:rsidP="00FA0C75">
      <w:pPr>
        <w:pStyle w:val="2Text0"/>
        <w:rPr>
          <w:b/>
        </w:rPr>
      </w:pPr>
      <w:r w:rsidRPr="007C0574">
        <w:rPr>
          <w:b/>
        </w:rPr>
        <w:t xml:space="preserve">Šetření </w:t>
      </w:r>
      <w:proofErr w:type="gramStart"/>
      <w:r w:rsidRPr="007C0574">
        <w:rPr>
          <w:b/>
        </w:rPr>
        <w:t>EU</w:t>
      </w:r>
      <w:r w:rsidR="000977C6">
        <w:rPr>
          <w:b/>
        </w:rPr>
        <w:t>–</w:t>
      </w:r>
      <w:r w:rsidRPr="007C0574">
        <w:rPr>
          <w:b/>
        </w:rPr>
        <w:t>SILC</w:t>
      </w:r>
      <w:proofErr w:type="gramEnd"/>
    </w:p>
    <w:p w:rsidR="00FA0C75" w:rsidRPr="009D31DA" w:rsidRDefault="00FA0C75" w:rsidP="009D31DA">
      <w:pPr>
        <w:spacing w:after="120" w:line="288" w:lineRule="auto"/>
        <w:ind w:firstLine="284"/>
        <w:jc w:val="both"/>
        <w:rPr>
          <w:rFonts w:ascii="Arial Narrow" w:hAnsi="Arial Narrow" w:cs="Times New Roman"/>
          <w:sz w:val="24"/>
          <w:szCs w:val="32"/>
        </w:rPr>
      </w:pPr>
      <w:proofErr w:type="gramStart"/>
      <w:r w:rsidRPr="009D31DA">
        <w:rPr>
          <w:rFonts w:ascii="Arial Narrow" w:hAnsi="Arial Narrow" w:cs="Times New Roman"/>
          <w:sz w:val="24"/>
          <w:szCs w:val="32"/>
        </w:rPr>
        <w:t>EU–SILC</w:t>
      </w:r>
      <w:proofErr w:type="gramEnd"/>
      <w:r w:rsidRPr="009D31DA">
        <w:rPr>
          <w:rFonts w:ascii="Arial Narrow" w:hAnsi="Arial Narrow" w:cs="Times New Roman"/>
          <w:sz w:val="24"/>
          <w:szCs w:val="32"/>
        </w:rPr>
        <w:t xml:space="preserve"> (</w:t>
      </w:r>
      <w:proofErr w:type="spellStart"/>
      <w:r w:rsidRPr="009D31DA">
        <w:rPr>
          <w:rFonts w:ascii="Arial Narrow" w:hAnsi="Arial Narrow" w:cs="Times New Roman"/>
          <w:sz w:val="24"/>
          <w:szCs w:val="32"/>
        </w:rPr>
        <w:t>European</w:t>
      </w:r>
      <w:proofErr w:type="spellEnd"/>
      <w:r w:rsidRPr="009D31DA">
        <w:rPr>
          <w:rFonts w:ascii="Arial Narrow" w:hAnsi="Arial Narrow" w:cs="Times New Roman"/>
          <w:sz w:val="24"/>
          <w:szCs w:val="32"/>
        </w:rPr>
        <w:t xml:space="preserve"> Union – </w:t>
      </w:r>
      <w:proofErr w:type="spellStart"/>
      <w:r w:rsidRPr="009D31DA">
        <w:rPr>
          <w:rFonts w:ascii="Arial Narrow" w:hAnsi="Arial Narrow" w:cs="Times New Roman"/>
          <w:sz w:val="24"/>
          <w:szCs w:val="32"/>
        </w:rPr>
        <w:t>Statistics</w:t>
      </w:r>
      <w:proofErr w:type="spellEnd"/>
      <w:r w:rsidRPr="009D31DA">
        <w:rPr>
          <w:rFonts w:ascii="Arial Narrow" w:hAnsi="Arial Narrow" w:cs="Times New Roman"/>
          <w:sz w:val="24"/>
          <w:szCs w:val="32"/>
        </w:rPr>
        <w:t xml:space="preserve"> on </w:t>
      </w:r>
      <w:proofErr w:type="spellStart"/>
      <w:r w:rsidRPr="009D31DA">
        <w:rPr>
          <w:rFonts w:ascii="Arial Narrow" w:hAnsi="Arial Narrow" w:cs="Times New Roman"/>
          <w:sz w:val="24"/>
          <w:szCs w:val="32"/>
        </w:rPr>
        <w:t>Income</w:t>
      </w:r>
      <w:proofErr w:type="spellEnd"/>
      <w:r w:rsidRPr="009D31DA">
        <w:rPr>
          <w:rFonts w:ascii="Arial Narrow" w:hAnsi="Arial Narrow" w:cs="Times New Roman"/>
          <w:sz w:val="24"/>
          <w:szCs w:val="32"/>
        </w:rPr>
        <w:t xml:space="preserve"> </w:t>
      </w:r>
      <w:proofErr w:type="spellStart"/>
      <w:r w:rsidRPr="009D31DA">
        <w:rPr>
          <w:rFonts w:ascii="Arial Narrow" w:hAnsi="Arial Narrow" w:cs="Times New Roman"/>
          <w:sz w:val="24"/>
          <w:szCs w:val="32"/>
        </w:rPr>
        <w:t>and</w:t>
      </w:r>
      <w:proofErr w:type="spellEnd"/>
      <w:r w:rsidRPr="009D31DA">
        <w:rPr>
          <w:rFonts w:ascii="Arial Narrow" w:hAnsi="Arial Narrow" w:cs="Times New Roman"/>
          <w:sz w:val="24"/>
          <w:szCs w:val="32"/>
        </w:rPr>
        <w:t xml:space="preserve"> </w:t>
      </w:r>
      <w:proofErr w:type="spellStart"/>
      <w:r w:rsidRPr="009D31DA">
        <w:rPr>
          <w:rFonts w:ascii="Arial Narrow" w:hAnsi="Arial Narrow" w:cs="Times New Roman"/>
          <w:sz w:val="24"/>
          <w:szCs w:val="32"/>
        </w:rPr>
        <w:t>Living</w:t>
      </w:r>
      <w:proofErr w:type="spellEnd"/>
      <w:r w:rsidRPr="009D31DA">
        <w:rPr>
          <w:rFonts w:ascii="Arial Narrow" w:hAnsi="Arial Narrow" w:cs="Times New Roman"/>
          <w:sz w:val="24"/>
          <w:szCs w:val="32"/>
        </w:rPr>
        <w:t xml:space="preserve"> </w:t>
      </w:r>
      <w:proofErr w:type="spellStart"/>
      <w:r w:rsidRPr="009D31DA">
        <w:rPr>
          <w:rFonts w:ascii="Arial Narrow" w:hAnsi="Arial Narrow" w:cs="Times New Roman"/>
          <w:sz w:val="24"/>
          <w:szCs w:val="32"/>
        </w:rPr>
        <w:t>Conditions</w:t>
      </w:r>
      <w:proofErr w:type="spellEnd"/>
      <w:r w:rsidRPr="009D31DA">
        <w:rPr>
          <w:rFonts w:ascii="Arial Narrow" w:hAnsi="Arial Narrow" w:cs="Times New Roman"/>
          <w:sz w:val="24"/>
          <w:szCs w:val="32"/>
        </w:rPr>
        <w:t>) je šetření zabývající se zjišťováním životních podmínek ve všech státech Evropské unie</w:t>
      </w:r>
      <w:r w:rsidR="007C7E15">
        <w:rPr>
          <w:rFonts w:ascii="Arial Narrow" w:hAnsi="Arial Narrow" w:cs="Times New Roman"/>
          <w:sz w:val="24"/>
          <w:szCs w:val="32"/>
        </w:rPr>
        <w:t>, Švýcarsku, Norsku</w:t>
      </w:r>
      <w:r w:rsidR="008576A9">
        <w:rPr>
          <w:rFonts w:ascii="Arial Narrow" w:hAnsi="Arial Narrow" w:cs="Times New Roman"/>
          <w:sz w:val="24"/>
          <w:szCs w:val="32"/>
        </w:rPr>
        <w:t>,</w:t>
      </w:r>
      <w:r w:rsidR="007C7E15">
        <w:rPr>
          <w:rFonts w:ascii="Arial Narrow" w:hAnsi="Arial Narrow" w:cs="Times New Roman"/>
          <w:sz w:val="24"/>
          <w:szCs w:val="32"/>
        </w:rPr>
        <w:t xml:space="preserve"> Islandu</w:t>
      </w:r>
      <w:r w:rsidR="008576A9">
        <w:rPr>
          <w:rFonts w:ascii="Arial Narrow" w:hAnsi="Arial Narrow" w:cs="Times New Roman"/>
          <w:sz w:val="24"/>
          <w:szCs w:val="32"/>
        </w:rPr>
        <w:t xml:space="preserve"> a skupině kandidátských zemí EU</w:t>
      </w:r>
      <w:r w:rsidRPr="009D31DA">
        <w:rPr>
          <w:rFonts w:ascii="Arial Narrow" w:hAnsi="Arial Narrow" w:cs="Times New Roman"/>
          <w:sz w:val="24"/>
          <w:szCs w:val="32"/>
        </w:rPr>
        <w:t>. Cílem tohoto šetření je získat data týkající se příjmů, sociální</w:t>
      </w:r>
      <w:r w:rsidR="008576A9">
        <w:rPr>
          <w:rFonts w:ascii="Arial Narrow" w:hAnsi="Arial Narrow" w:cs="Times New Roman"/>
          <w:sz w:val="24"/>
          <w:szCs w:val="32"/>
        </w:rPr>
        <w:t xml:space="preserve"> situace</w:t>
      </w:r>
      <w:r w:rsidRPr="009D31DA">
        <w:rPr>
          <w:rFonts w:ascii="Arial Narrow" w:hAnsi="Arial Narrow" w:cs="Times New Roman"/>
          <w:sz w:val="24"/>
          <w:szCs w:val="32"/>
        </w:rPr>
        <w:t xml:space="preserve"> a</w:t>
      </w:r>
      <w:r w:rsidR="004B23FE">
        <w:rPr>
          <w:rFonts w:ascii="Arial Narrow" w:hAnsi="Arial Narrow" w:cs="Times New Roman"/>
          <w:sz w:val="24"/>
          <w:szCs w:val="32"/>
        </w:rPr>
        <w:t> </w:t>
      </w:r>
      <w:r w:rsidRPr="009D31DA">
        <w:rPr>
          <w:rFonts w:ascii="Arial Narrow" w:hAnsi="Arial Narrow" w:cs="Times New Roman"/>
          <w:sz w:val="24"/>
          <w:szCs w:val="32"/>
        </w:rPr>
        <w:t>životních podmínek</w:t>
      </w:r>
      <w:r w:rsidR="007C0574" w:rsidRPr="009D31DA">
        <w:rPr>
          <w:rFonts w:ascii="Arial Narrow" w:hAnsi="Arial Narrow" w:cs="Times New Roman"/>
          <w:sz w:val="24"/>
          <w:szCs w:val="32"/>
        </w:rPr>
        <w:t xml:space="preserve"> domácností</w:t>
      </w:r>
      <w:r w:rsidRPr="009D31DA">
        <w:rPr>
          <w:rFonts w:ascii="Arial Narrow" w:hAnsi="Arial Narrow" w:cs="Times New Roman"/>
          <w:sz w:val="24"/>
          <w:szCs w:val="32"/>
        </w:rPr>
        <w:t xml:space="preserve">. U vybrané domácnosti </w:t>
      </w:r>
      <w:r w:rsidR="007C0574" w:rsidRPr="009D31DA">
        <w:rPr>
          <w:rFonts w:ascii="Arial Narrow" w:hAnsi="Arial Narrow" w:cs="Times New Roman"/>
          <w:sz w:val="24"/>
          <w:szCs w:val="32"/>
        </w:rPr>
        <w:t>se zjišťují</w:t>
      </w:r>
      <w:r w:rsidRPr="009D31DA">
        <w:rPr>
          <w:rFonts w:ascii="Arial Narrow" w:hAnsi="Arial Narrow" w:cs="Times New Roman"/>
          <w:sz w:val="24"/>
          <w:szCs w:val="32"/>
        </w:rPr>
        <w:t xml:space="preserve"> údaje o počtu členů</w:t>
      </w:r>
      <w:r w:rsidR="007C7E15">
        <w:rPr>
          <w:rFonts w:ascii="Arial Narrow" w:hAnsi="Arial Narrow" w:cs="Times New Roman"/>
          <w:sz w:val="24"/>
          <w:szCs w:val="32"/>
        </w:rPr>
        <w:t>,</w:t>
      </w:r>
      <w:r w:rsidRPr="009D31DA">
        <w:rPr>
          <w:rFonts w:ascii="Arial Narrow" w:hAnsi="Arial Narrow" w:cs="Times New Roman"/>
          <w:sz w:val="24"/>
          <w:szCs w:val="32"/>
        </w:rPr>
        <w:t xml:space="preserve"> </w:t>
      </w:r>
      <w:r w:rsidR="007C0574" w:rsidRPr="009D31DA">
        <w:rPr>
          <w:rFonts w:ascii="Arial Narrow" w:hAnsi="Arial Narrow" w:cs="Times New Roman"/>
          <w:sz w:val="24"/>
          <w:szCs w:val="32"/>
        </w:rPr>
        <w:t>věku</w:t>
      </w:r>
      <w:r w:rsidRPr="009D31DA">
        <w:rPr>
          <w:rFonts w:ascii="Arial Narrow" w:hAnsi="Arial Narrow" w:cs="Times New Roman"/>
          <w:sz w:val="24"/>
          <w:szCs w:val="32"/>
        </w:rPr>
        <w:t>, rodinn</w:t>
      </w:r>
      <w:r w:rsidR="007C0574" w:rsidRPr="009D31DA">
        <w:rPr>
          <w:rFonts w:ascii="Arial Narrow" w:hAnsi="Arial Narrow" w:cs="Times New Roman"/>
          <w:sz w:val="24"/>
          <w:szCs w:val="32"/>
        </w:rPr>
        <w:t>ém</w:t>
      </w:r>
      <w:r w:rsidRPr="009D31DA">
        <w:rPr>
          <w:rFonts w:ascii="Arial Narrow" w:hAnsi="Arial Narrow" w:cs="Times New Roman"/>
          <w:sz w:val="24"/>
          <w:szCs w:val="32"/>
        </w:rPr>
        <w:t xml:space="preserve"> stav</w:t>
      </w:r>
      <w:r w:rsidR="007C0574" w:rsidRPr="009D31DA">
        <w:rPr>
          <w:rFonts w:ascii="Arial Narrow" w:hAnsi="Arial Narrow" w:cs="Times New Roman"/>
          <w:sz w:val="24"/>
          <w:szCs w:val="32"/>
        </w:rPr>
        <w:t>u</w:t>
      </w:r>
      <w:r w:rsidRPr="009D31DA">
        <w:rPr>
          <w:rFonts w:ascii="Arial Narrow" w:hAnsi="Arial Narrow" w:cs="Times New Roman"/>
          <w:sz w:val="24"/>
          <w:szCs w:val="32"/>
        </w:rPr>
        <w:t xml:space="preserve"> či ekonomick</w:t>
      </w:r>
      <w:r w:rsidR="007C0574" w:rsidRPr="009D31DA">
        <w:rPr>
          <w:rFonts w:ascii="Arial Narrow" w:hAnsi="Arial Narrow" w:cs="Times New Roman"/>
          <w:sz w:val="24"/>
          <w:szCs w:val="32"/>
        </w:rPr>
        <w:t>é</w:t>
      </w:r>
      <w:r w:rsidRPr="009D31DA">
        <w:rPr>
          <w:rFonts w:ascii="Arial Narrow" w:hAnsi="Arial Narrow" w:cs="Times New Roman"/>
          <w:sz w:val="24"/>
          <w:szCs w:val="32"/>
        </w:rPr>
        <w:t xml:space="preserve"> aktivit</w:t>
      </w:r>
      <w:r w:rsidR="007C0574" w:rsidRPr="009D31DA">
        <w:rPr>
          <w:rFonts w:ascii="Arial Narrow" w:hAnsi="Arial Narrow" w:cs="Times New Roman"/>
          <w:sz w:val="24"/>
          <w:szCs w:val="32"/>
        </w:rPr>
        <w:t xml:space="preserve">ě </w:t>
      </w:r>
      <w:r w:rsidRPr="009D31DA">
        <w:rPr>
          <w:rFonts w:ascii="Arial Narrow" w:hAnsi="Arial Narrow" w:cs="Times New Roman"/>
          <w:sz w:val="24"/>
          <w:szCs w:val="32"/>
        </w:rPr>
        <w:t xml:space="preserve">a příjmech jednotlivých členů domácnosti. Šetření </w:t>
      </w:r>
      <w:r w:rsidR="007C0574" w:rsidRPr="009D31DA">
        <w:rPr>
          <w:rFonts w:ascii="Arial Narrow" w:hAnsi="Arial Narrow" w:cs="Times New Roman"/>
          <w:sz w:val="24"/>
          <w:szCs w:val="32"/>
        </w:rPr>
        <w:t xml:space="preserve">dále </w:t>
      </w:r>
      <w:r w:rsidRPr="009D31DA">
        <w:rPr>
          <w:rFonts w:ascii="Arial Narrow" w:hAnsi="Arial Narrow" w:cs="Times New Roman"/>
          <w:sz w:val="24"/>
          <w:szCs w:val="32"/>
        </w:rPr>
        <w:t>pokrývá i</w:t>
      </w:r>
      <w:r w:rsidR="004B23FE">
        <w:rPr>
          <w:rFonts w:ascii="Arial Narrow" w:hAnsi="Arial Narrow" w:cs="Times New Roman"/>
          <w:sz w:val="24"/>
          <w:szCs w:val="32"/>
        </w:rPr>
        <w:t> </w:t>
      </w:r>
      <w:r w:rsidRPr="009D31DA">
        <w:rPr>
          <w:rFonts w:ascii="Arial Narrow" w:hAnsi="Arial Narrow" w:cs="Times New Roman"/>
          <w:sz w:val="24"/>
          <w:szCs w:val="32"/>
        </w:rPr>
        <w:t>řadu dalších oblastí životních podmínek</w:t>
      </w:r>
      <w:r w:rsidR="007C7E15">
        <w:rPr>
          <w:rFonts w:ascii="Arial Narrow" w:hAnsi="Arial Narrow" w:cs="Times New Roman"/>
          <w:sz w:val="24"/>
          <w:szCs w:val="32"/>
        </w:rPr>
        <w:t xml:space="preserve"> </w:t>
      </w:r>
      <w:r w:rsidRPr="009D31DA">
        <w:rPr>
          <w:rFonts w:ascii="Arial Narrow" w:hAnsi="Arial Narrow" w:cs="Times New Roman"/>
          <w:sz w:val="24"/>
          <w:szCs w:val="32"/>
        </w:rPr>
        <w:t>jako je bydlení, účast na trhu práce či sledování materiální deprivace a sociálního vyloučení.</w:t>
      </w:r>
    </w:p>
    <w:p w:rsidR="009D31DA" w:rsidRPr="009D31DA" w:rsidRDefault="009D31DA" w:rsidP="009D31DA">
      <w:pPr>
        <w:spacing w:after="120" w:line="288" w:lineRule="auto"/>
        <w:ind w:firstLine="284"/>
        <w:jc w:val="both"/>
        <w:rPr>
          <w:rFonts w:ascii="Arial Narrow" w:hAnsi="Arial Narrow" w:cs="Times New Roman"/>
          <w:sz w:val="24"/>
          <w:szCs w:val="32"/>
        </w:rPr>
      </w:pPr>
      <w:r w:rsidRPr="009D31DA">
        <w:rPr>
          <w:rFonts w:ascii="Arial Narrow" w:hAnsi="Arial Narrow" w:cs="Times New Roman"/>
          <w:sz w:val="24"/>
          <w:szCs w:val="32"/>
        </w:rPr>
        <w:t xml:space="preserve">V České republice probíhá šetření </w:t>
      </w:r>
      <w:proofErr w:type="gramStart"/>
      <w:r w:rsidRPr="009D31DA">
        <w:rPr>
          <w:rFonts w:ascii="Arial Narrow" w:hAnsi="Arial Narrow" w:cs="Times New Roman"/>
          <w:sz w:val="24"/>
          <w:szCs w:val="32"/>
        </w:rPr>
        <w:t>EU</w:t>
      </w:r>
      <w:r w:rsidR="004B23FE">
        <w:rPr>
          <w:rFonts w:ascii="Arial Narrow" w:hAnsi="Arial Narrow" w:cs="Times New Roman"/>
          <w:sz w:val="24"/>
          <w:szCs w:val="32"/>
        </w:rPr>
        <w:t>–</w:t>
      </w:r>
      <w:r w:rsidRPr="009D31DA">
        <w:rPr>
          <w:rFonts w:ascii="Arial Narrow" w:hAnsi="Arial Narrow" w:cs="Times New Roman"/>
          <w:sz w:val="24"/>
          <w:szCs w:val="32"/>
        </w:rPr>
        <w:t>SILC</w:t>
      </w:r>
      <w:proofErr w:type="gramEnd"/>
      <w:r w:rsidRPr="009D31DA">
        <w:rPr>
          <w:rFonts w:ascii="Arial Narrow" w:hAnsi="Arial Narrow" w:cs="Times New Roman"/>
          <w:sz w:val="24"/>
          <w:szCs w:val="32"/>
        </w:rPr>
        <w:t xml:space="preserve"> od roku 2005 pod názvem Životní podmínky/SILC.</w:t>
      </w:r>
    </w:p>
    <w:p w:rsidR="00FA0C75" w:rsidRDefault="007C0574" w:rsidP="00FA0C75">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 xml:space="preserve">Vymezení disponibilního </w:t>
      </w:r>
      <w:r w:rsidR="0028177C">
        <w:rPr>
          <w:rFonts w:ascii="Arial Narrow" w:hAnsi="Arial Narrow" w:cs="Times New Roman"/>
          <w:sz w:val="24"/>
          <w:szCs w:val="32"/>
        </w:rPr>
        <w:t xml:space="preserve">(čistého) </w:t>
      </w:r>
      <w:r>
        <w:rPr>
          <w:rFonts w:ascii="Arial Narrow" w:hAnsi="Arial Narrow" w:cs="Times New Roman"/>
          <w:sz w:val="24"/>
          <w:szCs w:val="32"/>
        </w:rPr>
        <w:t>příjmu domácnosti v š</w:t>
      </w:r>
      <w:r w:rsidR="00FA0C75" w:rsidRPr="00BC177D">
        <w:rPr>
          <w:rFonts w:ascii="Arial Narrow" w:hAnsi="Arial Narrow" w:cs="Times New Roman"/>
          <w:sz w:val="24"/>
          <w:szCs w:val="32"/>
        </w:rPr>
        <w:t xml:space="preserve">etření </w:t>
      </w:r>
      <w:proofErr w:type="gramStart"/>
      <w:r w:rsidR="00FA0C75" w:rsidRPr="00BC177D">
        <w:rPr>
          <w:rFonts w:ascii="Arial Narrow" w:hAnsi="Arial Narrow" w:cs="Times New Roman"/>
          <w:sz w:val="24"/>
          <w:szCs w:val="32"/>
        </w:rPr>
        <w:t>EU–SILC</w:t>
      </w:r>
      <w:proofErr w:type="gramEnd"/>
      <w:r w:rsidR="00FA0C75" w:rsidRPr="00BC177D">
        <w:rPr>
          <w:rFonts w:ascii="Arial Narrow" w:hAnsi="Arial Narrow" w:cs="Times New Roman"/>
          <w:sz w:val="24"/>
          <w:szCs w:val="32"/>
        </w:rPr>
        <w:t xml:space="preserve"> </w:t>
      </w:r>
      <w:r>
        <w:rPr>
          <w:rFonts w:ascii="Arial Narrow" w:hAnsi="Arial Narrow" w:cs="Times New Roman"/>
          <w:sz w:val="24"/>
          <w:szCs w:val="32"/>
        </w:rPr>
        <w:t>zahrnuje různé</w:t>
      </w:r>
      <w:r w:rsidR="00FA0C75" w:rsidRPr="00BC177D">
        <w:rPr>
          <w:rFonts w:ascii="Arial Narrow" w:hAnsi="Arial Narrow" w:cs="Times New Roman"/>
          <w:sz w:val="24"/>
          <w:szCs w:val="32"/>
        </w:rPr>
        <w:t xml:space="preserve"> typy příjmů</w:t>
      </w:r>
      <w:r>
        <w:rPr>
          <w:rFonts w:ascii="Arial Narrow" w:hAnsi="Arial Narrow" w:cs="Times New Roman"/>
          <w:sz w:val="24"/>
          <w:szCs w:val="32"/>
        </w:rPr>
        <w:t xml:space="preserve"> jakými jsou </w:t>
      </w:r>
      <w:r w:rsidR="00FA0C75" w:rsidRPr="00BC177D">
        <w:rPr>
          <w:rFonts w:ascii="Arial Narrow" w:hAnsi="Arial Narrow" w:cs="Times New Roman"/>
          <w:sz w:val="24"/>
          <w:szCs w:val="32"/>
        </w:rPr>
        <w:t xml:space="preserve">příjmy </w:t>
      </w:r>
      <w:r w:rsidR="007C7E15">
        <w:rPr>
          <w:rFonts w:ascii="Arial Narrow" w:hAnsi="Arial Narrow" w:cs="Times New Roman"/>
          <w:sz w:val="24"/>
          <w:szCs w:val="32"/>
        </w:rPr>
        <w:t>zaměstnanců</w:t>
      </w:r>
      <w:r w:rsidR="00FA0C75" w:rsidRPr="00BC177D">
        <w:rPr>
          <w:rFonts w:ascii="Arial Narrow" w:hAnsi="Arial Narrow" w:cs="Times New Roman"/>
          <w:sz w:val="24"/>
          <w:szCs w:val="32"/>
        </w:rPr>
        <w:t>, příjmy z podnikání a jiné samostatně výdělečné činnosti, příjmy z</w:t>
      </w:r>
      <w:r w:rsidR="007C7E15">
        <w:rPr>
          <w:rFonts w:ascii="Arial Narrow" w:hAnsi="Arial Narrow" w:cs="Times New Roman"/>
          <w:sz w:val="24"/>
          <w:szCs w:val="32"/>
        </w:rPr>
        <w:t xml:space="preserve"> druhého zaměstnání a </w:t>
      </w:r>
      <w:r w:rsidR="00FA0C75" w:rsidRPr="00BC177D">
        <w:rPr>
          <w:rFonts w:ascii="Arial Narrow" w:hAnsi="Arial Narrow" w:cs="Times New Roman"/>
          <w:sz w:val="24"/>
          <w:szCs w:val="32"/>
        </w:rPr>
        <w:t xml:space="preserve">vedlejších činností, </w:t>
      </w:r>
      <w:r>
        <w:rPr>
          <w:rFonts w:ascii="Arial Narrow" w:hAnsi="Arial Narrow" w:cs="Times New Roman"/>
          <w:sz w:val="24"/>
          <w:szCs w:val="32"/>
        </w:rPr>
        <w:t xml:space="preserve">příjmy ze sociálního pojištění a </w:t>
      </w:r>
      <w:r w:rsidR="00FA0C75" w:rsidRPr="00BC177D">
        <w:rPr>
          <w:rFonts w:ascii="Arial Narrow" w:hAnsi="Arial Narrow" w:cs="Times New Roman"/>
          <w:sz w:val="24"/>
          <w:szCs w:val="32"/>
        </w:rPr>
        <w:t xml:space="preserve">sociální dávky, </w:t>
      </w:r>
      <w:r>
        <w:rPr>
          <w:rFonts w:ascii="Arial Narrow" w:hAnsi="Arial Narrow" w:cs="Times New Roman"/>
          <w:sz w:val="24"/>
          <w:szCs w:val="32"/>
        </w:rPr>
        <w:t xml:space="preserve">příjmy z pronájmu a </w:t>
      </w:r>
      <w:r w:rsidR="008576A9">
        <w:rPr>
          <w:rFonts w:ascii="Arial Narrow" w:hAnsi="Arial Narrow" w:cs="Times New Roman"/>
          <w:sz w:val="24"/>
          <w:szCs w:val="32"/>
        </w:rPr>
        <w:t xml:space="preserve">z </w:t>
      </w:r>
      <w:r>
        <w:rPr>
          <w:rFonts w:ascii="Arial Narrow" w:hAnsi="Arial Narrow" w:cs="Times New Roman"/>
          <w:sz w:val="24"/>
          <w:szCs w:val="32"/>
        </w:rPr>
        <w:t>finančních aktiv, přijaté a vyplacené výživné a finanční podpory mimo domácnost.</w:t>
      </w:r>
    </w:p>
    <w:p w:rsidR="007C0574" w:rsidRPr="007C0574" w:rsidRDefault="007C0574" w:rsidP="007C0574">
      <w:pPr>
        <w:pStyle w:val="2Text0"/>
        <w:rPr>
          <w:b/>
        </w:rPr>
      </w:pPr>
      <w:r w:rsidRPr="007C0574">
        <w:rPr>
          <w:b/>
        </w:rPr>
        <w:t>Srovnání příjmu domácností s r</w:t>
      </w:r>
      <w:r>
        <w:rPr>
          <w:b/>
        </w:rPr>
        <w:t>ů</w:t>
      </w:r>
      <w:r w:rsidRPr="007C0574">
        <w:rPr>
          <w:b/>
        </w:rPr>
        <w:t>zným složením</w:t>
      </w:r>
      <w:r>
        <w:rPr>
          <w:b/>
        </w:rPr>
        <w:t xml:space="preserve"> členů</w:t>
      </w:r>
    </w:p>
    <w:p w:rsidR="00722994" w:rsidRDefault="00FA0C75" w:rsidP="00FA0C75">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 xml:space="preserve">Disponibilní příjem domácností je přepočítám podle </w:t>
      </w:r>
      <w:r w:rsidR="00722994">
        <w:rPr>
          <w:rFonts w:ascii="Arial Narrow" w:hAnsi="Arial Narrow" w:cs="Times New Roman"/>
          <w:sz w:val="24"/>
          <w:szCs w:val="32"/>
        </w:rPr>
        <w:t xml:space="preserve">tzv. </w:t>
      </w:r>
      <w:r>
        <w:rPr>
          <w:rFonts w:ascii="Arial Narrow" w:hAnsi="Arial Narrow" w:cs="Times New Roman"/>
          <w:sz w:val="24"/>
          <w:szCs w:val="32"/>
        </w:rPr>
        <w:t xml:space="preserve">stupnice spotřebních jednotek. </w:t>
      </w:r>
      <w:r w:rsidR="00722994">
        <w:rPr>
          <w:rFonts w:ascii="Arial Narrow" w:hAnsi="Arial Narrow" w:cs="Times New Roman"/>
          <w:sz w:val="24"/>
          <w:szCs w:val="32"/>
        </w:rPr>
        <w:t>Důvodem je</w:t>
      </w:r>
      <w:r>
        <w:rPr>
          <w:rFonts w:ascii="Arial Narrow" w:hAnsi="Arial Narrow" w:cs="Times New Roman"/>
          <w:sz w:val="24"/>
          <w:szCs w:val="32"/>
        </w:rPr>
        <w:t xml:space="preserve"> </w:t>
      </w:r>
      <w:r w:rsidR="00722994">
        <w:rPr>
          <w:rFonts w:ascii="Arial Narrow" w:hAnsi="Arial Narrow" w:cs="Times New Roman"/>
          <w:sz w:val="24"/>
          <w:szCs w:val="32"/>
        </w:rPr>
        <w:t>dosažení lepší srovnatelnosti příjmové úrovně různě složených domácností. Na jedné straně nelze přímo srovnávat příjem domácnosti bez ohledu na její složení – domácnost jednotlivce nelze postavit na roveň čtyřčlenné rodiny se stejným příjmem. Zároveň však v</w:t>
      </w:r>
      <w:r>
        <w:rPr>
          <w:rFonts w:ascii="Arial Narrow" w:hAnsi="Arial Narrow" w:cs="Times New Roman"/>
          <w:sz w:val="24"/>
          <w:szCs w:val="32"/>
        </w:rPr>
        <w:t xml:space="preserve"> rámci vícečlenné domácnosti dochází k tzv. úsporám z rozsahu, kdy náklady spojené s provozem např. čtyřčlenné domácnosti neodpovídají </w:t>
      </w:r>
      <w:r w:rsidR="00722994">
        <w:rPr>
          <w:rFonts w:ascii="Arial Narrow" w:hAnsi="Arial Narrow" w:cs="Times New Roman"/>
          <w:sz w:val="24"/>
          <w:szCs w:val="32"/>
        </w:rPr>
        <w:t xml:space="preserve">celému </w:t>
      </w:r>
      <w:r>
        <w:rPr>
          <w:rFonts w:ascii="Arial Narrow" w:hAnsi="Arial Narrow" w:cs="Times New Roman"/>
          <w:sz w:val="24"/>
          <w:szCs w:val="32"/>
        </w:rPr>
        <w:t>čtyřnásobku nákladů jednotlivce</w:t>
      </w:r>
      <w:r w:rsidR="00722994">
        <w:rPr>
          <w:rFonts w:ascii="Arial Narrow" w:hAnsi="Arial Narrow" w:cs="Times New Roman"/>
          <w:sz w:val="24"/>
          <w:szCs w:val="32"/>
        </w:rPr>
        <w:t xml:space="preserve"> a </w:t>
      </w:r>
      <w:r w:rsidR="007C7E15">
        <w:rPr>
          <w:rFonts w:ascii="Arial Narrow" w:hAnsi="Arial Narrow" w:cs="Times New Roman"/>
          <w:sz w:val="24"/>
          <w:szCs w:val="32"/>
        </w:rPr>
        <w:t xml:space="preserve">tak </w:t>
      </w:r>
      <w:r w:rsidR="00722994">
        <w:rPr>
          <w:rFonts w:ascii="Arial Narrow" w:hAnsi="Arial Narrow" w:cs="Times New Roman"/>
          <w:sz w:val="24"/>
          <w:szCs w:val="32"/>
        </w:rPr>
        <w:t>ani příjem na osobu získaný prostým vydělením počtem členů nepředstavuje ideální základ pro srovnání různých domácností</w:t>
      </w:r>
      <w:r>
        <w:rPr>
          <w:rFonts w:ascii="Arial Narrow" w:hAnsi="Arial Narrow" w:cs="Times New Roman"/>
          <w:sz w:val="24"/>
          <w:szCs w:val="32"/>
        </w:rPr>
        <w:t>.</w:t>
      </w:r>
    </w:p>
    <w:p w:rsidR="00FA0C75" w:rsidRPr="00BC177D" w:rsidRDefault="00722994" w:rsidP="00FA0C75">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V evropské statistice se pro účel srovnání příjmů různě složených domácností využívá tzv.</w:t>
      </w:r>
      <w:r w:rsidR="004B23FE">
        <w:rPr>
          <w:rFonts w:ascii="Arial Narrow" w:hAnsi="Arial Narrow" w:cs="Times New Roman"/>
          <w:sz w:val="24"/>
          <w:szCs w:val="32"/>
        </w:rPr>
        <w:t> </w:t>
      </w:r>
      <w:r>
        <w:rPr>
          <w:rFonts w:ascii="Arial Narrow" w:hAnsi="Arial Narrow" w:cs="Times New Roman"/>
          <w:sz w:val="24"/>
          <w:szCs w:val="32"/>
        </w:rPr>
        <w:t>modifikovaná stupnice OECD s následujícími koeficienty:</w:t>
      </w:r>
      <w:r w:rsidR="00FA0C75">
        <w:rPr>
          <w:rFonts w:ascii="Arial Narrow" w:hAnsi="Arial Narrow" w:cs="Times New Roman"/>
          <w:sz w:val="24"/>
          <w:szCs w:val="32"/>
        </w:rPr>
        <w:t xml:space="preserve"> </w:t>
      </w:r>
    </w:p>
    <w:tbl>
      <w:tblPr>
        <w:tblStyle w:val="Mkatabulky"/>
        <w:tblW w:w="0" w:type="auto"/>
        <w:jc w:val="center"/>
        <w:tblInd w:w="-597" w:type="dxa"/>
        <w:tblLook w:val="04A0"/>
      </w:tblPr>
      <w:tblGrid>
        <w:gridCol w:w="4237"/>
        <w:gridCol w:w="2535"/>
      </w:tblGrid>
      <w:tr w:rsidR="00FA0C75" w:rsidRPr="00BC177D" w:rsidTr="007C7E15">
        <w:trPr>
          <w:jc w:val="center"/>
        </w:trPr>
        <w:tc>
          <w:tcPr>
            <w:tcW w:w="4237" w:type="dxa"/>
          </w:tcPr>
          <w:p w:rsidR="00FA0C75" w:rsidRPr="00BC177D" w:rsidRDefault="00FA0C75" w:rsidP="001370AA">
            <w:pPr>
              <w:spacing w:after="0" w:line="240" w:lineRule="auto"/>
              <w:jc w:val="both"/>
              <w:rPr>
                <w:rFonts w:ascii="Arial Narrow" w:hAnsi="Arial Narrow" w:cs="Times New Roman"/>
                <w:sz w:val="24"/>
                <w:szCs w:val="32"/>
              </w:rPr>
            </w:pPr>
            <w:r w:rsidRPr="00BC177D">
              <w:rPr>
                <w:rFonts w:ascii="Arial Narrow" w:hAnsi="Arial Narrow" w:cs="Times New Roman"/>
                <w:sz w:val="24"/>
                <w:szCs w:val="32"/>
              </w:rPr>
              <w:t>1</w:t>
            </w:r>
            <w:r w:rsidR="007C7E15">
              <w:rPr>
                <w:rFonts w:ascii="Arial Narrow" w:hAnsi="Arial Narrow" w:cs="Times New Roman"/>
                <w:sz w:val="24"/>
                <w:szCs w:val="32"/>
              </w:rPr>
              <w:t>.</w:t>
            </w:r>
            <w:r w:rsidRPr="00BC177D">
              <w:rPr>
                <w:rFonts w:ascii="Arial Narrow" w:hAnsi="Arial Narrow" w:cs="Times New Roman"/>
                <w:sz w:val="24"/>
                <w:szCs w:val="32"/>
              </w:rPr>
              <w:t xml:space="preserve"> dospělá osoba v domácnosti</w:t>
            </w:r>
          </w:p>
        </w:tc>
        <w:tc>
          <w:tcPr>
            <w:tcW w:w="2535" w:type="dxa"/>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1</w:t>
            </w:r>
          </w:p>
        </w:tc>
      </w:tr>
      <w:tr w:rsidR="00FA0C75" w:rsidRPr="00BC177D" w:rsidTr="007C7E15">
        <w:trPr>
          <w:jc w:val="center"/>
        </w:trPr>
        <w:tc>
          <w:tcPr>
            <w:tcW w:w="4237" w:type="dxa"/>
          </w:tcPr>
          <w:p w:rsidR="00FA0C75" w:rsidRPr="00BC177D" w:rsidRDefault="00FA0C75" w:rsidP="001370AA">
            <w:pPr>
              <w:spacing w:after="0" w:line="240" w:lineRule="auto"/>
              <w:jc w:val="both"/>
              <w:rPr>
                <w:rFonts w:ascii="Arial Narrow" w:hAnsi="Arial Narrow" w:cs="Times New Roman"/>
                <w:sz w:val="24"/>
                <w:szCs w:val="32"/>
              </w:rPr>
            </w:pPr>
            <w:r w:rsidRPr="00BC177D">
              <w:rPr>
                <w:rFonts w:ascii="Arial Narrow" w:hAnsi="Arial Narrow" w:cs="Times New Roman"/>
                <w:sz w:val="24"/>
                <w:szCs w:val="32"/>
              </w:rPr>
              <w:t>Další dospělá osoba</w:t>
            </w:r>
            <w:r w:rsidR="007C7E15">
              <w:rPr>
                <w:rFonts w:ascii="Arial Narrow" w:hAnsi="Arial Narrow" w:cs="Times New Roman"/>
                <w:sz w:val="24"/>
                <w:szCs w:val="32"/>
              </w:rPr>
              <w:t xml:space="preserve"> (včetně dětí od 14 let)</w:t>
            </w:r>
          </w:p>
        </w:tc>
        <w:tc>
          <w:tcPr>
            <w:tcW w:w="2535" w:type="dxa"/>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0,5</w:t>
            </w:r>
          </w:p>
        </w:tc>
      </w:tr>
      <w:tr w:rsidR="00FA0C75" w:rsidRPr="00BC177D" w:rsidTr="007C7E15">
        <w:trPr>
          <w:jc w:val="center"/>
        </w:trPr>
        <w:tc>
          <w:tcPr>
            <w:tcW w:w="4237" w:type="dxa"/>
          </w:tcPr>
          <w:p w:rsidR="00FA0C75" w:rsidRPr="00BC177D" w:rsidRDefault="00FA0C75" w:rsidP="007C7E15">
            <w:pPr>
              <w:spacing w:after="0" w:line="240" w:lineRule="auto"/>
              <w:jc w:val="both"/>
              <w:rPr>
                <w:rFonts w:ascii="Arial Narrow" w:hAnsi="Arial Narrow" w:cs="Times New Roman"/>
                <w:sz w:val="24"/>
                <w:szCs w:val="32"/>
              </w:rPr>
            </w:pPr>
            <w:r w:rsidRPr="00BC177D">
              <w:rPr>
                <w:rFonts w:ascii="Arial Narrow" w:hAnsi="Arial Narrow" w:cs="Times New Roman"/>
                <w:sz w:val="24"/>
                <w:szCs w:val="32"/>
              </w:rPr>
              <w:t xml:space="preserve">Dítě </w:t>
            </w:r>
            <w:r w:rsidR="007C7E15">
              <w:rPr>
                <w:rFonts w:ascii="Arial Narrow" w:hAnsi="Arial Narrow" w:cs="Times New Roman"/>
                <w:sz w:val="24"/>
                <w:szCs w:val="32"/>
              </w:rPr>
              <w:t>do 13 let</w:t>
            </w:r>
          </w:p>
        </w:tc>
        <w:tc>
          <w:tcPr>
            <w:tcW w:w="2535" w:type="dxa"/>
          </w:tcPr>
          <w:p w:rsidR="00FA0C75" w:rsidRPr="00BC177D" w:rsidRDefault="00FA0C75" w:rsidP="001370AA">
            <w:pPr>
              <w:keepNext/>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0,3</w:t>
            </w:r>
          </w:p>
        </w:tc>
      </w:tr>
    </w:tbl>
    <w:p w:rsidR="009A25FE" w:rsidRDefault="009A25FE" w:rsidP="00FA0C75">
      <w:pPr>
        <w:spacing w:after="120" w:line="288" w:lineRule="auto"/>
        <w:ind w:firstLine="284"/>
        <w:jc w:val="both"/>
        <w:rPr>
          <w:rFonts w:ascii="Arial Narrow" w:hAnsi="Arial Narrow" w:cs="Times New Roman"/>
          <w:sz w:val="24"/>
          <w:szCs w:val="32"/>
        </w:rPr>
      </w:pPr>
    </w:p>
    <w:p w:rsidR="00B949B0" w:rsidRDefault="00B949B0" w:rsidP="00FA0C75">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lastRenderedPageBreak/>
        <w:t xml:space="preserve">Podle této stupnice </w:t>
      </w:r>
      <w:r w:rsidR="00722994">
        <w:rPr>
          <w:rFonts w:ascii="Arial Narrow" w:hAnsi="Arial Narrow" w:cs="Times New Roman"/>
          <w:sz w:val="24"/>
          <w:szCs w:val="32"/>
        </w:rPr>
        <w:t>tak</w:t>
      </w:r>
      <w:r>
        <w:rPr>
          <w:rFonts w:ascii="Arial Narrow" w:hAnsi="Arial Narrow" w:cs="Times New Roman"/>
          <w:sz w:val="24"/>
          <w:szCs w:val="32"/>
        </w:rPr>
        <w:t xml:space="preserve"> domácnost jednotlivce </w:t>
      </w:r>
      <w:r w:rsidR="00722994">
        <w:rPr>
          <w:rFonts w:ascii="Arial Narrow" w:hAnsi="Arial Narrow" w:cs="Times New Roman"/>
          <w:sz w:val="24"/>
          <w:szCs w:val="32"/>
        </w:rPr>
        <w:t>představuje základnu pro srovnání s koeficientem 1</w:t>
      </w:r>
      <w:r>
        <w:rPr>
          <w:rFonts w:ascii="Arial Narrow" w:hAnsi="Arial Narrow" w:cs="Times New Roman"/>
          <w:sz w:val="24"/>
          <w:szCs w:val="32"/>
        </w:rPr>
        <w:t xml:space="preserve">, domácnost 2 dospělých osob </w:t>
      </w:r>
      <w:r w:rsidR="00722994">
        <w:rPr>
          <w:rFonts w:ascii="Arial Narrow" w:hAnsi="Arial Narrow" w:cs="Times New Roman"/>
          <w:sz w:val="24"/>
          <w:szCs w:val="32"/>
        </w:rPr>
        <w:t xml:space="preserve">má </w:t>
      </w:r>
      <w:r w:rsidR="0028177C">
        <w:rPr>
          <w:rFonts w:ascii="Arial Narrow" w:hAnsi="Arial Narrow" w:cs="Times New Roman"/>
          <w:sz w:val="24"/>
          <w:szCs w:val="32"/>
        </w:rPr>
        <w:t>srovnávací koeficient</w:t>
      </w:r>
      <w:r>
        <w:rPr>
          <w:rFonts w:ascii="Arial Narrow" w:hAnsi="Arial Narrow" w:cs="Times New Roman"/>
          <w:sz w:val="24"/>
          <w:szCs w:val="32"/>
        </w:rPr>
        <w:t xml:space="preserve"> 1,5, a např. čtyřčlenná domácnost s dvěma dětm</w:t>
      </w:r>
      <w:r w:rsidR="00722994">
        <w:rPr>
          <w:rFonts w:ascii="Arial Narrow" w:hAnsi="Arial Narrow" w:cs="Times New Roman"/>
          <w:sz w:val="24"/>
          <w:szCs w:val="32"/>
        </w:rPr>
        <w:t>i</w:t>
      </w:r>
      <w:r>
        <w:rPr>
          <w:rFonts w:ascii="Arial Narrow" w:hAnsi="Arial Narrow" w:cs="Times New Roman"/>
          <w:sz w:val="24"/>
          <w:szCs w:val="32"/>
        </w:rPr>
        <w:t xml:space="preserve"> </w:t>
      </w:r>
      <w:r w:rsidR="007C7E15">
        <w:rPr>
          <w:rFonts w:ascii="Arial Narrow" w:hAnsi="Arial Narrow" w:cs="Times New Roman"/>
          <w:sz w:val="24"/>
          <w:szCs w:val="32"/>
        </w:rPr>
        <w:t xml:space="preserve">do 13 let </w:t>
      </w:r>
      <w:r w:rsidR="0028177C">
        <w:rPr>
          <w:rFonts w:ascii="Arial Narrow" w:hAnsi="Arial Narrow" w:cs="Times New Roman"/>
          <w:sz w:val="24"/>
          <w:szCs w:val="32"/>
        </w:rPr>
        <w:t>koeficient</w:t>
      </w:r>
      <w:r>
        <w:rPr>
          <w:rFonts w:ascii="Arial Narrow" w:hAnsi="Arial Narrow" w:cs="Times New Roman"/>
          <w:sz w:val="24"/>
          <w:szCs w:val="32"/>
        </w:rPr>
        <w:t xml:space="preserve"> 2,1 (1,0+0,5+0,3</w:t>
      </w:r>
      <w:r w:rsidR="008576A9">
        <w:rPr>
          <w:rFonts w:ascii="Arial Narrow" w:hAnsi="Arial Narrow" w:cs="Times New Roman"/>
          <w:sz w:val="24"/>
          <w:szCs w:val="32"/>
        </w:rPr>
        <w:t>+0,3</w:t>
      </w:r>
      <w:r>
        <w:rPr>
          <w:rFonts w:ascii="Arial Narrow" w:hAnsi="Arial Narrow" w:cs="Times New Roman"/>
          <w:sz w:val="24"/>
          <w:szCs w:val="32"/>
        </w:rPr>
        <w:t>).</w:t>
      </w:r>
    </w:p>
    <w:p w:rsidR="0028177C" w:rsidRDefault="001F0935" w:rsidP="0028177C">
      <w:pPr>
        <w:pStyle w:val="2Text0"/>
        <w:rPr>
          <w:b/>
        </w:rPr>
      </w:pPr>
      <w:r>
        <w:rPr>
          <w:b/>
        </w:rPr>
        <w:t>Odhad p</w:t>
      </w:r>
      <w:r w:rsidR="0028177C" w:rsidRPr="0028177C">
        <w:rPr>
          <w:b/>
        </w:rPr>
        <w:t>říjmové</w:t>
      </w:r>
      <w:r>
        <w:rPr>
          <w:b/>
        </w:rPr>
        <w:t>ho</w:t>
      </w:r>
      <w:r w:rsidR="0028177C" w:rsidRPr="0028177C">
        <w:rPr>
          <w:b/>
        </w:rPr>
        <w:t xml:space="preserve"> rozdělení</w:t>
      </w:r>
    </w:p>
    <w:p w:rsidR="00D93DC1" w:rsidRPr="00D93DC1" w:rsidRDefault="00D93DC1" w:rsidP="00D93DC1">
      <w:pPr>
        <w:spacing w:after="120" w:line="288" w:lineRule="auto"/>
        <w:ind w:firstLine="284"/>
        <w:jc w:val="both"/>
        <w:rPr>
          <w:rFonts w:ascii="Arial Narrow" w:hAnsi="Arial Narrow" w:cs="Times New Roman"/>
          <w:sz w:val="24"/>
          <w:szCs w:val="32"/>
        </w:rPr>
      </w:pPr>
      <w:r w:rsidRPr="00D93DC1">
        <w:rPr>
          <w:rFonts w:ascii="Arial Narrow" w:hAnsi="Arial Narrow" w:cs="Times New Roman"/>
          <w:sz w:val="24"/>
          <w:szCs w:val="32"/>
        </w:rPr>
        <w:t xml:space="preserve">Takto přepočtený příjem slouží </w:t>
      </w:r>
      <w:r>
        <w:rPr>
          <w:rFonts w:ascii="Arial Narrow" w:hAnsi="Arial Narrow" w:cs="Times New Roman"/>
          <w:sz w:val="24"/>
          <w:szCs w:val="32"/>
        </w:rPr>
        <w:t xml:space="preserve">k odhadu příjmového rozdělení a pozice jednotlivých </w:t>
      </w:r>
      <w:r w:rsidR="008576A9">
        <w:rPr>
          <w:rFonts w:ascii="Arial Narrow" w:hAnsi="Arial Narrow" w:cs="Times New Roman"/>
          <w:sz w:val="24"/>
          <w:szCs w:val="32"/>
        </w:rPr>
        <w:t>domácností a</w:t>
      </w:r>
      <w:r w:rsidR="00DD198E">
        <w:rPr>
          <w:rFonts w:ascii="Arial Narrow" w:hAnsi="Arial Narrow" w:cs="Times New Roman"/>
          <w:sz w:val="24"/>
          <w:szCs w:val="32"/>
        </w:rPr>
        <w:t> </w:t>
      </w:r>
      <w:r w:rsidR="008576A9">
        <w:rPr>
          <w:rFonts w:ascii="Arial Narrow" w:hAnsi="Arial Narrow" w:cs="Times New Roman"/>
          <w:sz w:val="24"/>
          <w:szCs w:val="32"/>
        </w:rPr>
        <w:t>jejich členů</w:t>
      </w:r>
      <w:r>
        <w:rPr>
          <w:rFonts w:ascii="Arial Narrow" w:hAnsi="Arial Narrow" w:cs="Times New Roman"/>
          <w:sz w:val="24"/>
          <w:szCs w:val="32"/>
        </w:rPr>
        <w:t xml:space="preserve"> v rozdělení příjmů</w:t>
      </w:r>
      <w:r w:rsidR="00F43C1A">
        <w:rPr>
          <w:rFonts w:ascii="Arial Narrow" w:hAnsi="Arial Narrow" w:cs="Times New Roman"/>
          <w:sz w:val="24"/>
          <w:szCs w:val="32"/>
        </w:rPr>
        <w:t>.</w:t>
      </w:r>
    </w:p>
    <w:p w:rsidR="00FA0C75" w:rsidRPr="00BC177D" w:rsidRDefault="00FA0C75" w:rsidP="00FA0C75">
      <w:pPr>
        <w:pStyle w:val="3GRAF"/>
        <w:jc w:val="left"/>
      </w:pPr>
      <w:r w:rsidRPr="00BC177D">
        <w:t xml:space="preserve">Tabulka </w:t>
      </w:r>
      <w:r w:rsidR="0058011E">
        <w:t>0</w:t>
      </w:r>
      <w:r>
        <w:t>.</w:t>
      </w:r>
      <w:r w:rsidR="00D93DC1">
        <w:t>1</w:t>
      </w:r>
      <w:r w:rsidRPr="00BC177D">
        <w:t xml:space="preserve"> Hodnoty hranic decilů měsíčních disponibilních příjmů osob </w:t>
      </w:r>
      <w:r w:rsidR="00D93DC1">
        <w:t xml:space="preserve">ve vybraných </w:t>
      </w:r>
      <w:r w:rsidRPr="00BC177D">
        <w:t>typ</w:t>
      </w:r>
      <w:r w:rsidR="00D93DC1">
        <w:t>ech</w:t>
      </w:r>
      <w:r w:rsidRPr="00BC177D">
        <w:t xml:space="preserve"> domácností v roce 201</w:t>
      </w:r>
      <w:r w:rsidR="008576A9">
        <w:t>2</w:t>
      </w:r>
      <w:r w:rsidRPr="00BC177D">
        <w:t xml:space="preserve"> (Kč</w:t>
      </w:r>
      <w:r w:rsidR="00D93DC1">
        <w:t>/měsíc</w:t>
      </w:r>
      <w:r w:rsidRPr="00BC177D">
        <w:t>)</w:t>
      </w:r>
    </w:p>
    <w:tbl>
      <w:tblPr>
        <w:tblW w:w="4971" w:type="dxa"/>
        <w:jc w:val="center"/>
        <w:tblCellMar>
          <w:left w:w="70" w:type="dxa"/>
          <w:right w:w="70" w:type="dxa"/>
        </w:tblCellMar>
        <w:tblLook w:val="04A0"/>
      </w:tblPr>
      <w:tblGrid>
        <w:gridCol w:w="1740"/>
        <w:gridCol w:w="1144"/>
        <w:gridCol w:w="1027"/>
        <w:gridCol w:w="1060"/>
      </w:tblGrid>
      <w:tr w:rsidR="00FA0C75" w:rsidRPr="00BC177D" w:rsidTr="00D93DC1">
        <w:trPr>
          <w:trHeight w:val="6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Decil</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FA0C75" w:rsidRPr="00BC177D" w:rsidRDefault="00FA0C75" w:rsidP="00D93DC1">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 xml:space="preserve">Jednotlivec </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FA0C75" w:rsidRPr="00BC177D" w:rsidRDefault="00D93DC1" w:rsidP="00D93DC1">
            <w:pPr>
              <w:spacing w:after="0" w:line="240" w:lineRule="auto"/>
              <w:jc w:val="center"/>
              <w:rPr>
                <w:rFonts w:ascii="Arial Narrow" w:hAnsi="Arial Narrow" w:cs="Times New Roman"/>
                <w:sz w:val="24"/>
                <w:szCs w:val="32"/>
              </w:rPr>
            </w:pPr>
            <w:r>
              <w:rPr>
                <w:rFonts w:ascii="Arial Narrow" w:hAnsi="Arial Narrow" w:cs="Times New Roman"/>
                <w:sz w:val="24"/>
                <w:szCs w:val="32"/>
              </w:rPr>
              <w:t>Dvojice</w:t>
            </w:r>
            <w:r w:rsidR="00FA0C75" w:rsidRPr="00BC177D">
              <w:rPr>
                <w:rFonts w:ascii="Arial Narrow" w:hAnsi="Arial Narrow" w:cs="Times New Roman"/>
                <w:sz w:val="24"/>
                <w:szCs w:val="32"/>
              </w:rPr>
              <w:t xml:space="preserve"> </w:t>
            </w:r>
            <w:r>
              <w:rPr>
                <w:rFonts w:ascii="Arial Narrow" w:hAnsi="Arial Narrow" w:cs="Times New Roman"/>
                <w:sz w:val="24"/>
                <w:szCs w:val="32"/>
              </w:rPr>
              <w:t>dospělých</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0C75" w:rsidRPr="00BC177D" w:rsidRDefault="00D93DC1" w:rsidP="001370AA">
            <w:pPr>
              <w:spacing w:after="0" w:line="240" w:lineRule="auto"/>
              <w:jc w:val="center"/>
              <w:rPr>
                <w:rFonts w:ascii="Arial Narrow" w:hAnsi="Arial Narrow" w:cs="Times New Roman"/>
                <w:sz w:val="24"/>
                <w:szCs w:val="32"/>
              </w:rPr>
            </w:pPr>
            <w:r>
              <w:rPr>
                <w:rFonts w:ascii="Arial Narrow" w:hAnsi="Arial Narrow" w:cs="Times New Roman"/>
                <w:sz w:val="24"/>
                <w:szCs w:val="32"/>
              </w:rPr>
              <w:t>Dvojice</w:t>
            </w:r>
            <w:r w:rsidR="00FA0C75" w:rsidRPr="00BC177D">
              <w:rPr>
                <w:rFonts w:ascii="Arial Narrow" w:hAnsi="Arial Narrow" w:cs="Times New Roman"/>
                <w:sz w:val="24"/>
                <w:szCs w:val="32"/>
              </w:rPr>
              <w:t xml:space="preserve"> s</w:t>
            </w:r>
            <w:r>
              <w:rPr>
                <w:rFonts w:ascii="Arial Narrow" w:hAnsi="Arial Narrow" w:cs="Times New Roman"/>
                <w:sz w:val="24"/>
                <w:szCs w:val="32"/>
              </w:rPr>
              <w:t>e</w:t>
            </w:r>
            <w:r w:rsidR="00FA0C75" w:rsidRPr="00BC177D">
              <w:rPr>
                <w:rFonts w:ascii="Arial Narrow" w:hAnsi="Arial Narrow" w:cs="Times New Roman"/>
                <w:sz w:val="24"/>
                <w:szCs w:val="32"/>
              </w:rPr>
              <w:t xml:space="preserve"> 2 dětmi</w:t>
            </w:r>
          </w:p>
        </w:tc>
      </w:tr>
      <w:tr w:rsidR="00FA0C75" w:rsidRPr="00BC177D" w:rsidTr="00D93D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BC177D" w:rsidRDefault="00FA0C75" w:rsidP="00D93DC1">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 </w:t>
            </w:r>
            <w:proofErr w:type="spellStart"/>
            <w:r w:rsidR="00D93DC1">
              <w:rPr>
                <w:rFonts w:ascii="Arial Narrow" w:hAnsi="Arial Narrow" w:cs="Times New Roman"/>
                <w:sz w:val="24"/>
                <w:szCs w:val="32"/>
              </w:rPr>
              <w:t>Spotř</w:t>
            </w:r>
            <w:proofErr w:type="spellEnd"/>
            <w:r w:rsidR="00D93DC1">
              <w:rPr>
                <w:rFonts w:ascii="Arial Narrow" w:hAnsi="Arial Narrow" w:cs="Times New Roman"/>
                <w:sz w:val="24"/>
                <w:szCs w:val="32"/>
              </w:rPr>
              <w:t>.</w:t>
            </w:r>
            <w:r w:rsidR="00DD198E">
              <w:rPr>
                <w:rFonts w:ascii="Arial Narrow" w:hAnsi="Arial Narrow" w:cs="Times New Roman"/>
                <w:sz w:val="24"/>
                <w:szCs w:val="32"/>
              </w:rPr>
              <w:t xml:space="preserve"> </w:t>
            </w:r>
            <w:proofErr w:type="spellStart"/>
            <w:r w:rsidR="00D93DC1">
              <w:rPr>
                <w:rFonts w:ascii="Arial Narrow" w:hAnsi="Arial Narrow" w:cs="Times New Roman"/>
                <w:sz w:val="24"/>
                <w:szCs w:val="32"/>
              </w:rPr>
              <w:t>jedn</w:t>
            </w:r>
            <w:proofErr w:type="spellEnd"/>
            <w:r w:rsidR="00D93DC1">
              <w:rPr>
                <w:rFonts w:ascii="Arial Narrow" w:hAnsi="Arial Narrow" w:cs="Times New Roman"/>
                <w:sz w:val="24"/>
                <w:szCs w:val="32"/>
              </w:rPr>
              <w:t>.</w:t>
            </w:r>
            <w:r w:rsidR="004F247E">
              <w:rPr>
                <w:rFonts w:ascii="Arial Narrow" w:hAnsi="Arial Narrow" w:cs="Times New Roman"/>
                <w:sz w:val="24"/>
                <w:szCs w:val="32"/>
              </w:rPr>
              <w:t>:</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1</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1,5</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2,1</w:t>
            </w:r>
          </w:p>
        </w:tc>
      </w:tr>
      <w:tr w:rsidR="00FA0C75" w:rsidRPr="00BC177D" w:rsidTr="00D93D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1.</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10</w:t>
            </w:r>
            <w:r w:rsidR="001F0935">
              <w:rPr>
                <w:rFonts w:ascii="Arial Narrow" w:hAnsi="Arial Narrow" w:cs="Times New Roman"/>
                <w:sz w:val="24"/>
                <w:szCs w:val="32"/>
              </w:rPr>
              <w:t xml:space="preserve"> </w:t>
            </w:r>
            <w:r w:rsidRPr="00BC177D">
              <w:rPr>
                <w:rFonts w:ascii="Arial Narrow" w:hAnsi="Arial Narrow" w:cs="Times New Roman"/>
                <w:sz w:val="24"/>
                <w:szCs w:val="32"/>
              </w:rPr>
              <w:t>108</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15</w:t>
            </w:r>
            <w:r w:rsidR="001F0935">
              <w:rPr>
                <w:rFonts w:ascii="Arial Narrow" w:hAnsi="Arial Narrow" w:cs="Times New Roman"/>
                <w:sz w:val="24"/>
                <w:szCs w:val="32"/>
              </w:rPr>
              <w:t xml:space="preserve"> </w:t>
            </w:r>
            <w:r w:rsidRPr="00BC177D">
              <w:rPr>
                <w:rFonts w:ascii="Arial Narrow" w:hAnsi="Arial Narrow" w:cs="Times New Roman"/>
                <w:sz w:val="24"/>
                <w:szCs w:val="32"/>
              </w:rPr>
              <w:t>161</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21</w:t>
            </w:r>
            <w:r w:rsidR="001F0935">
              <w:rPr>
                <w:rFonts w:ascii="Arial Narrow" w:hAnsi="Arial Narrow" w:cs="Times New Roman"/>
                <w:sz w:val="24"/>
                <w:szCs w:val="32"/>
              </w:rPr>
              <w:t xml:space="preserve"> </w:t>
            </w:r>
            <w:r w:rsidRPr="00BC177D">
              <w:rPr>
                <w:rFonts w:ascii="Arial Narrow" w:hAnsi="Arial Narrow" w:cs="Times New Roman"/>
                <w:sz w:val="24"/>
                <w:szCs w:val="32"/>
              </w:rPr>
              <w:t>226</w:t>
            </w:r>
          </w:p>
        </w:tc>
      </w:tr>
      <w:tr w:rsidR="00FA0C75" w:rsidRPr="00BC177D" w:rsidTr="00D93D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2.</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12</w:t>
            </w:r>
            <w:r w:rsidR="001F0935">
              <w:rPr>
                <w:rFonts w:ascii="Arial Narrow" w:hAnsi="Arial Narrow" w:cs="Times New Roman"/>
                <w:sz w:val="24"/>
                <w:szCs w:val="32"/>
              </w:rPr>
              <w:t xml:space="preserve"> </w:t>
            </w:r>
            <w:r w:rsidRPr="00BC177D">
              <w:rPr>
                <w:rFonts w:ascii="Arial Narrow" w:hAnsi="Arial Narrow" w:cs="Times New Roman"/>
                <w:sz w:val="24"/>
                <w:szCs w:val="32"/>
              </w:rPr>
              <w:t>016</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18</w:t>
            </w:r>
            <w:r w:rsidR="001F0935">
              <w:rPr>
                <w:rFonts w:ascii="Arial Narrow" w:hAnsi="Arial Narrow" w:cs="Times New Roman"/>
                <w:sz w:val="24"/>
                <w:szCs w:val="32"/>
              </w:rPr>
              <w:t xml:space="preserve"> </w:t>
            </w:r>
            <w:r w:rsidRPr="00BC177D">
              <w:rPr>
                <w:rFonts w:ascii="Arial Narrow" w:hAnsi="Arial Narrow" w:cs="Times New Roman"/>
                <w:sz w:val="24"/>
                <w:szCs w:val="32"/>
              </w:rPr>
              <w:t>024</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25</w:t>
            </w:r>
            <w:r w:rsidR="001F0935">
              <w:rPr>
                <w:rFonts w:ascii="Arial Narrow" w:hAnsi="Arial Narrow" w:cs="Times New Roman"/>
                <w:sz w:val="24"/>
                <w:szCs w:val="32"/>
              </w:rPr>
              <w:t xml:space="preserve"> </w:t>
            </w:r>
            <w:r w:rsidRPr="00BC177D">
              <w:rPr>
                <w:rFonts w:ascii="Arial Narrow" w:hAnsi="Arial Narrow" w:cs="Times New Roman"/>
                <w:sz w:val="24"/>
                <w:szCs w:val="32"/>
              </w:rPr>
              <w:t>234</w:t>
            </w:r>
          </w:p>
        </w:tc>
      </w:tr>
      <w:tr w:rsidR="00FA0C75" w:rsidRPr="00BC177D" w:rsidTr="00D93D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3.</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13</w:t>
            </w:r>
            <w:r w:rsidR="001F0935">
              <w:rPr>
                <w:rFonts w:ascii="Arial Narrow" w:hAnsi="Arial Narrow" w:cs="Times New Roman"/>
                <w:sz w:val="24"/>
                <w:szCs w:val="32"/>
              </w:rPr>
              <w:t xml:space="preserve"> </w:t>
            </w:r>
            <w:r w:rsidRPr="00BC177D">
              <w:rPr>
                <w:rFonts w:ascii="Arial Narrow" w:hAnsi="Arial Narrow" w:cs="Times New Roman"/>
                <w:sz w:val="24"/>
                <w:szCs w:val="32"/>
              </w:rPr>
              <w:t>405</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20</w:t>
            </w:r>
            <w:r w:rsidR="001F0935">
              <w:rPr>
                <w:rFonts w:ascii="Arial Narrow" w:hAnsi="Arial Narrow" w:cs="Times New Roman"/>
                <w:sz w:val="24"/>
                <w:szCs w:val="32"/>
              </w:rPr>
              <w:t xml:space="preserve"> </w:t>
            </w:r>
            <w:r w:rsidRPr="00BC177D">
              <w:rPr>
                <w:rFonts w:ascii="Arial Narrow" w:hAnsi="Arial Narrow" w:cs="Times New Roman"/>
                <w:sz w:val="24"/>
                <w:szCs w:val="32"/>
              </w:rPr>
              <w:t>107</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28</w:t>
            </w:r>
            <w:r w:rsidR="001F0935">
              <w:rPr>
                <w:rFonts w:ascii="Arial Narrow" w:hAnsi="Arial Narrow" w:cs="Times New Roman"/>
                <w:sz w:val="24"/>
                <w:szCs w:val="32"/>
              </w:rPr>
              <w:t xml:space="preserve"> </w:t>
            </w:r>
            <w:r w:rsidRPr="00BC177D">
              <w:rPr>
                <w:rFonts w:ascii="Arial Narrow" w:hAnsi="Arial Narrow" w:cs="Times New Roman"/>
                <w:sz w:val="24"/>
                <w:szCs w:val="32"/>
              </w:rPr>
              <w:t>149</w:t>
            </w:r>
          </w:p>
        </w:tc>
      </w:tr>
      <w:tr w:rsidR="00FA0C75" w:rsidRPr="00BC177D" w:rsidTr="00D93D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4.</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14</w:t>
            </w:r>
            <w:r w:rsidR="001F0935">
              <w:rPr>
                <w:rFonts w:ascii="Arial Narrow" w:hAnsi="Arial Narrow" w:cs="Times New Roman"/>
                <w:sz w:val="24"/>
                <w:szCs w:val="32"/>
              </w:rPr>
              <w:t xml:space="preserve"> </w:t>
            </w:r>
            <w:r w:rsidRPr="00BC177D">
              <w:rPr>
                <w:rFonts w:ascii="Arial Narrow" w:hAnsi="Arial Narrow" w:cs="Times New Roman"/>
                <w:sz w:val="24"/>
                <w:szCs w:val="32"/>
              </w:rPr>
              <w:t>763</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22</w:t>
            </w:r>
            <w:r w:rsidR="001F0935">
              <w:rPr>
                <w:rFonts w:ascii="Arial Narrow" w:hAnsi="Arial Narrow" w:cs="Times New Roman"/>
                <w:sz w:val="24"/>
                <w:szCs w:val="32"/>
              </w:rPr>
              <w:t xml:space="preserve"> </w:t>
            </w:r>
            <w:r w:rsidRPr="00BC177D">
              <w:rPr>
                <w:rFonts w:ascii="Arial Narrow" w:hAnsi="Arial Narrow" w:cs="Times New Roman"/>
                <w:sz w:val="24"/>
                <w:szCs w:val="32"/>
              </w:rPr>
              <w:t>144</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31</w:t>
            </w:r>
            <w:r w:rsidR="001F0935">
              <w:rPr>
                <w:rFonts w:ascii="Arial Narrow" w:hAnsi="Arial Narrow" w:cs="Times New Roman"/>
                <w:sz w:val="24"/>
                <w:szCs w:val="32"/>
              </w:rPr>
              <w:t xml:space="preserve"> </w:t>
            </w:r>
            <w:r w:rsidRPr="00BC177D">
              <w:rPr>
                <w:rFonts w:ascii="Arial Narrow" w:hAnsi="Arial Narrow" w:cs="Times New Roman"/>
                <w:sz w:val="24"/>
                <w:szCs w:val="32"/>
              </w:rPr>
              <w:t>002</w:t>
            </w:r>
          </w:p>
        </w:tc>
      </w:tr>
      <w:tr w:rsidR="00FA0C75" w:rsidRPr="00BC177D" w:rsidTr="00D93D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28177C" w:rsidRDefault="0028177C" w:rsidP="0028177C">
            <w:pPr>
              <w:spacing w:after="0" w:line="240" w:lineRule="auto"/>
              <w:jc w:val="center"/>
              <w:rPr>
                <w:rFonts w:ascii="Arial Narrow" w:hAnsi="Arial Narrow" w:cs="Times New Roman"/>
                <w:b/>
                <w:sz w:val="24"/>
                <w:szCs w:val="32"/>
              </w:rPr>
            </w:pPr>
            <w:r w:rsidRPr="0028177C">
              <w:rPr>
                <w:rFonts w:ascii="Arial Narrow" w:hAnsi="Arial Narrow" w:cs="Times New Roman"/>
                <w:b/>
                <w:sz w:val="24"/>
                <w:szCs w:val="32"/>
              </w:rPr>
              <w:t>medián</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28177C" w:rsidRDefault="00FA0C75" w:rsidP="001370AA">
            <w:pPr>
              <w:spacing w:after="0" w:line="240" w:lineRule="auto"/>
              <w:jc w:val="right"/>
              <w:rPr>
                <w:rFonts w:ascii="Arial Narrow" w:hAnsi="Arial Narrow" w:cs="Times New Roman"/>
                <w:b/>
                <w:sz w:val="24"/>
                <w:szCs w:val="32"/>
              </w:rPr>
            </w:pPr>
            <w:r w:rsidRPr="0028177C">
              <w:rPr>
                <w:rFonts w:ascii="Arial Narrow" w:hAnsi="Arial Narrow" w:cs="Times New Roman"/>
                <w:b/>
                <w:sz w:val="24"/>
                <w:szCs w:val="32"/>
              </w:rPr>
              <w:t>16</w:t>
            </w:r>
            <w:r w:rsidR="001F0935">
              <w:rPr>
                <w:rFonts w:ascii="Arial Narrow" w:hAnsi="Arial Narrow" w:cs="Times New Roman"/>
                <w:b/>
                <w:sz w:val="24"/>
                <w:szCs w:val="32"/>
              </w:rPr>
              <w:t xml:space="preserve"> </w:t>
            </w:r>
            <w:r w:rsidRPr="0028177C">
              <w:rPr>
                <w:rFonts w:ascii="Arial Narrow" w:hAnsi="Arial Narrow" w:cs="Times New Roman"/>
                <w:b/>
                <w:sz w:val="24"/>
                <w:szCs w:val="32"/>
              </w:rPr>
              <w:t>124</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28177C" w:rsidRDefault="00FA0C75" w:rsidP="001370AA">
            <w:pPr>
              <w:spacing w:after="0" w:line="240" w:lineRule="auto"/>
              <w:jc w:val="right"/>
              <w:rPr>
                <w:rFonts w:ascii="Arial Narrow" w:hAnsi="Arial Narrow" w:cs="Times New Roman"/>
                <w:b/>
                <w:sz w:val="24"/>
                <w:szCs w:val="32"/>
              </w:rPr>
            </w:pPr>
            <w:r w:rsidRPr="0028177C">
              <w:rPr>
                <w:rFonts w:ascii="Arial Narrow" w:hAnsi="Arial Narrow" w:cs="Times New Roman"/>
                <w:b/>
                <w:sz w:val="24"/>
                <w:szCs w:val="32"/>
              </w:rPr>
              <w:t>24</w:t>
            </w:r>
            <w:r w:rsidR="001F0935">
              <w:rPr>
                <w:rFonts w:ascii="Arial Narrow" w:hAnsi="Arial Narrow" w:cs="Times New Roman"/>
                <w:b/>
                <w:sz w:val="24"/>
                <w:szCs w:val="32"/>
              </w:rPr>
              <w:t xml:space="preserve"> </w:t>
            </w:r>
            <w:r w:rsidRPr="0028177C">
              <w:rPr>
                <w:rFonts w:ascii="Arial Narrow" w:hAnsi="Arial Narrow" w:cs="Times New Roman"/>
                <w:b/>
                <w:sz w:val="24"/>
                <w:szCs w:val="32"/>
              </w:rPr>
              <w:t>186</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28177C" w:rsidRDefault="00FA0C75" w:rsidP="001370AA">
            <w:pPr>
              <w:spacing w:after="0" w:line="240" w:lineRule="auto"/>
              <w:jc w:val="right"/>
              <w:rPr>
                <w:rFonts w:ascii="Arial Narrow" w:hAnsi="Arial Narrow" w:cs="Times New Roman"/>
                <w:b/>
                <w:sz w:val="24"/>
                <w:szCs w:val="32"/>
              </w:rPr>
            </w:pPr>
            <w:r w:rsidRPr="0028177C">
              <w:rPr>
                <w:rFonts w:ascii="Arial Narrow" w:hAnsi="Arial Narrow" w:cs="Times New Roman"/>
                <w:b/>
                <w:sz w:val="24"/>
                <w:szCs w:val="32"/>
              </w:rPr>
              <w:t>33</w:t>
            </w:r>
            <w:r w:rsidR="001F0935">
              <w:rPr>
                <w:rFonts w:ascii="Arial Narrow" w:hAnsi="Arial Narrow" w:cs="Times New Roman"/>
                <w:b/>
                <w:sz w:val="24"/>
                <w:szCs w:val="32"/>
              </w:rPr>
              <w:t xml:space="preserve"> </w:t>
            </w:r>
            <w:r w:rsidRPr="0028177C">
              <w:rPr>
                <w:rFonts w:ascii="Arial Narrow" w:hAnsi="Arial Narrow" w:cs="Times New Roman"/>
                <w:b/>
                <w:sz w:val="24"/>
                <w:szCs w:val="32"/>
              </w:rPr>
              <w:t>860</w:t>
            </w:r>
          </w:p>
        </w:tc>
      </w:tr>
      <w:tr w:rsidR="00FA0C75" w:rsidRPr="00BC177D" w:rsidTr="00D93D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6.</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17</w:t>
            </w:r>
            <w:r w:rsidR="001F0935">
              <w:rPr>
                <w:rFonts w:ascii="Arial Narrow" w:hAnsi="Arial Narrow" w:cs="Times New Roman"/>
                <w:sz w:val="24"/>
                <w:szCs w:val="32"/>
              </w:rPr>
              <w:t xml:space="preserve"> </w:t>
            </w:r>
            <w:r w:rsidRPr="00BC177D">
              <w:rPr>
                <w:rFonts w:ascii="Arial Narrow" w:hAnsi="Arial Narrow" w:cs="Times New Roman"/>
                <w:sz w:val="24"/>
                <w:szCs w:val="32"/>
              </w:rPr>
              <w:t>694</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26</w:t>
            </w:r>
            <w:r w:rsidR="001F0935">
              <w:rPr>
                <w:rFonts w:ascii="Arial Narrow" w:hAnsi="Arial Narrow" w:cs="Times New Roman"/>
                <w:sz w:val="24"/>
                <w:szCs w:val="32"/>
              </w:rPr>
              <w:t xml:space="preserve"> </w:t>
            </w:r>
            <w:r w:rsidRPr="00BC177D">
              <w:rPr>
                <w:rFonts w:ascii="Arial Narrow" w:hAnsi="Arial Narrow" w:cs="Times New Roman"/>
                <w:sz w:val="24"/>
                <w:szCs w:val="32"/>
              </w:rPr>
              <w:t>542</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37</w:t>
            </w:r>
            <w:r w:rsidR="001F0935">
              <w:rPr>
                <w:rFonts w:ascii="Arial Narrow" w:hAnsi="Arial Narrow" w:cs="Times New Roman"/>
                <w:sz w:val="24"/>
                <w:szCs w:val="32"/>
              </w:rPr>
              <w:t xml:space="preserve"> </w:t>
            </w:r>
            <w:r w:rsidRPr="00BC177D">
              <w:rPr>
                <w:rFonts w:ascii="Arial Narrow" w:hAnsi="Arial Narrow" w:cs="Times New Roman"/>
                <w:sz w:val="24"/>
                <w:szCs w:val="32"/>
              </w:rPr>
              <w:t>158</w:t>
            </w:r>
          </w:p>
        </w:tc>
      </w:tr>
      <w:tr w:rsidR="00FA0C75" w:rsidRPr="00BC177D" w:rsidTr="00D93D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7.</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19</w:t>
            </w:r>
            <w:r w:rsidR="001F0935">
              <w:rPr>
                <w:rFonts w:ascii="Arial Narrow" w:hAnsi="Arial Narrow" w:cs="Times New Roman"/>
                <w:sz w:val="24"/>
                <w:szCs w:val="32"/>
              </w:rPr>
              <w:t xml:space="preserve"> </w:t>
            </w:r>
            <w:r w:rsidRPr="00BC177D">
              <w:rPr>
                <w:rFonts w:ascii="Arial Narrow" w:hAnsi="Arial Narrow" w:cs="Times New Roman"/>
                <w:sz w:val="24"/>
                <w:szCs w:val="32"/>
              </w:rPr>
              <w:t>874</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29</w:t>
            </w:r>
            <w:r w:rsidR="001F0935">
              <w:rPr>
                <w:rFonts w:ascii="Arial Narrow" w:hAnsi="Arial Narrow" w:cs="Times New Roman"/>
                <w:sz w:val="24"/>
                <w:szCs w:val="32"/>
              </w:rPr>
              <w:t xml:space="preserve"> </w:t>
            </w:r>
            <w:r w:rsidRPr="00BC177D">
              <w:rPr>
                <w:rFonts w:ascii="Arial Narrow" w:hAnsi="Arial Narrow" w:cs="Times New Roman"/>
                <w:sz w:val="24"/>
                <w:szCs w:val="32"/>
              </w:rPr>
              <w:t>812</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41</w:t>
            </w:r>
            <w:r w:rsidR="001F0935">
              <w:rPr>
                <w:rFonts w:ascii="Arial Narrow" w:hAnsi="Arial Narrow" w:cs="Times New Roman"/>
                <w:sz w:val="24"/>
                <w:szCs w:val="32"/>
              </w:rPr>
              <w:t xml:space="preserve"> </w:t>
            </w:r>
            <w:r w:rsidRPr="00BC177D">
              <w:rPr>
                <w:rFonts w:ascii="Arial Narrow" w:hAnsi="Arial Narrow" w:cs="Times New Roman"/>
                <w:sz w:val="24"/>
                <w:szCs w:val="32"/>
              </w:rPr>
              <w:t>736</w:t>
            </w:r>
          </w:p>
        </w:tc>
      </w:tr>
      <w:tr w:rsidR="00FA0C75" w:rsidRPr="00BC177D" w:rsidTr="00D93DC1">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8.</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22</w:t>
            </w:r>
            <w:r w:rsidR="001F0935">
              <w:rPr>
                <w:rFonts w:ascii="Arial Narrow" w:hAnsi="Arial Narrow" w:cs="Times New Roman"/>
                <w:sz w:val="24"/>
                <w:szCs w:val="32"/>
              </w:rPr>
              <w:t xml:space="preserve"> </w:t>
            </w:r>
            <w:r w:rsidRPr="00BC177D">
              <w:rPr>
                <w:rFonts w:ascii="Arial Narrow" w:hAnsi="Arial Narrow" w:cs="Times New Roman"/>
                <w:sz w:val="24"/>
                <w:szCs w:val="32"/>
              </w:rPr>
              <w:t>808</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34</w:t>
            </w:r>
            <w:r w:rsidR="001F0935">
              <w:rPr>
                <w:rFonts w:ascii="Arial Narrow" w:hAnsi="Arial Narrow" w:cs="Times New Roman"/>
                <w:sz w:val="24"/>
                <w:szCs w:val="32"/>
              </w:rPr>
              <w:t xml:space="preserve"> </w:t>
            </w:r>
            <w:r w:rsidRPr="00BC177D">
              <w:rPr>
                <w:rFonts w:ascii="Arial Narrow" w:hAnsi="Arial Narrow" w:cs="Times New Roman"/>
                <w:sz w:val="24"/>
                <w:szCs w:val="32"/>
              </w:rPr>
              <w:t>212</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47</w:t>
            </w:r>
            <w:r w:rsidR="001F0935">
              <w:rPr>
                <w:rFonts w:ascii="Arial Narrow" w:hAnsi="Arial Narrow" w:cs="Times New Roman"/>
                <w:sz w:val="24"/>
                <w:szCs w:val="32"/>
              </w:rPr>
              <w:t xml:space="preserve"> </w:t>
            </w:r>
            <w:r w:rsidRPr="00BC177D">
              <w:rPr>
                <w:rFonts w:ascii="Arial Narrow" w:hAnsi="Arial Narrow" w:cs="Times New Roman"/>
                <w:sz w:val="24"/>
                <w:szCs w:val="32"/>
              </w:rPr>
              <w:t>897</w:t>
            </w:r>
          </w:p>
        </w:tc>
      </w:tr>
      <w:tr w:rsidR="00FA0C75" w:rsidRPr="00BC177D" w:rsidTr="00D93DC1">
        <w:trPr>
          <w:trHeight w:val="315"/>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center"/>
              <w:rPr>
                <w:rFonts w:ascii="Arial Narrow" w:hAnsi="Arial Narrow" w:cs="Times New Roman"/>
                <w:sz w:val="24"/>
                <w:szCs w:val="32"/>
              </w:rPr>
            </w:pPr>
            <w:r w:rsidRPr="00BC177D">
              <w:rPr>
                <w:rFonts w:ascii="Arial Narrow" w:hAnsi="Arial Narrow" w:cs="Times New Roman"/>
                <w:sz w:val="24"/>
                <w:szCs w:val="32"/>
              </w:rPr>
              <w:t>9.</w:t>
            </w:r>
          </w:p>
        </w:tc>
        <w:tc>
          <w:tcPr>
            <w:tcW w:w="1144"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28</w:t>
            </w:r>
            <w:r w:rsidR="001F0935">
              <w:rPr>
                <w:rFonts w:ascii="Arial Narrow" w:hAnsi="Arial Narrow" w:cs="Times New Roman"/>
                <w:sz w:val="24"/>
                <w:szCs w:val="32"/>
              </w:rPr>
              <w:t xml:space="preserve"> </w:t>
            </w:r>
            <w:r w:rsidRPr="00BC177D">
              <w:rPr>
                <w:rFonts w:ascii="Arial Narrow" w:hAnsi="Arial Narrow" w:cs="Times New Roman"/>
                <w:sz w:val="24"/>
                <w:szCs w:val="32"/>
              </w:rPr>
              <w:t>128</w:t>
            </w:r>
          </w:p>
        </w:tc>
        <w:tc>
          <w:tcPr>
            <w:tcW w:w="1027"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42</w:t>
            </w:r>
            <w:r w:rsidR="001F0935">
              <w:rPr>
                <w:rFonts w:ascii="Arial Narrow" w:hAnsi="Arial Narrow" w:cs="Times New Roman"/>
                <w:sz w:val="24"/>
                <w:szCs w:val="32"/>
              </w:rPr>
              <w:t xml:space="preserve"> </w:t>
            </w:r>
            <w:r w:rsidRPr="00BC177D">
              <w:rPr>
                <w:rFonts w:ascii="Arial Narrow" w:hAnsi="Arial Narrow" w:cs="Times New Roman"/>
                <w:sz w:val="24"/>
                <w:szCs w:val="32"/>
              </w:rPr>
              <w:t>192</w:t>
            </w:r>
          </w:p>
        </w:tc>
        <w:tc>
          <w:tcPr>
            <w:tcW w:w="1060" w:type="dxa"/>
            <w:tcBorders>
              <w:top w:val="nil"/>
              <w:left w:val="nil"/>
              <w:bottom w:val="single" w:sz="4" w:space="0" w:color="auto"/>
              <w:right w:val="single" w:sz="4" w:space="0" w:color="auto"/>
            </w:tcBorders>
            <w:shd w:val="clear" w:color="auto" w:fill="auto"/>
            <w:noWrap/>
            <w:vAlign w:val="bottom"/>
            <w:hideMark/>
          </w:tcPr>
          <w:p w:rsidR="00FA0C75" w:rsidRPr="00BC177D" w:rsidRDefault="00FA0C75" w:rsidP="001370AA">
            <w:pPr>
              <w:spacing w:after="0" w:line="240" w:lineRule="auto"/>
              <w:jc w:val="right"/>
              <w:rPr>
                <w:rFonts w:ascii="Arial Narrow" w:hAnsi="Arial Narrow" w:cs="Times New Roman"/>
                <w:sz w:val="24"/>
                <w:szCs w:val="32"/>
              </w:rPr>
            </w:pPr>
            <w:r w:rsidRPr="00BC177D">
              <w:rPr>
                <w:rFonts w:ascii="Arial Narrow" w:hAnsi="Arial Narrow" w:cs="Times New Roman"/>
                <w:sz w:val="24"/>
                <w:szCs w:val="32"/>
              </w:rPr>
              <w:t>59</w:t>
            </w:r>
            <w:r w:rsidR="001F0935">
              <w:rPr>
                <w:rFonts w:ascii="Arial Narrow" w:hAnsi="Arial Narrow" w:cs="Times New Roman"/>
                <w:sz w:val="24"/>
                <w:szCs w:val="32"/>
              </w:rPr>
              <w:t xml:space="preserve"> </w:t>
            </w:r>
            <w:r w:rsidRPr="00BC177D">
              <w:rPr>
                <w:rFonts w:ascii="Arial Narrow" w:hAnsi="Arial Narrow" w:cs="Times New Roman"/>
                <w:sz w:val="24"/>
                <w:szCs w:val="32"/>
              </w:rPr>
              <w:t>069</w:t>
            </w:r>
          </w:p>
        </w:tc>
      </w:tr>
    </w:tbl>
    <w:p w:rsidR="0028177C" w:rsidRPr="009D31DA" w:rsidRDefault="009D31DA" w:rsidP="009D31DA">
      <w:pPr>
        <w:spacing w:after="120" w:line="288" w:lineRule="auto"/>
        <w:ind w:firstLine="284"/>
        <w:jc w:val="right"/>
        <w:rPr>
          <w:rFonts w:ascii="Arial Narrow" w:hAnsi="Arial Narrow" w:cs="Times New Roman"/>
          <w:i/>
          <w:sz w:val="20"/>
          <w:szCs w:val="20"/>
        </w:rPr>
      </w:pPr>
      <w:bookmarkStart w:id="1" w:name="_Toc408832672"/>
      <w:r w:rsidRPr="009D31DA">
        <w:rPr>
          <w:rFonts w:ascii="Arial Narrow" w:hAnsi="Arial Narrow" w:cs="Times New Roman"/>
          <w:i/>
          <w:sz w:val="20"/>
          <w:szCs w:val="20"/>
        </w:rPr>
        <w:t>Zdroj: Životní podmínky/SILC 2013</w:t>
      </w:r>
    </w:p>
    <w:p w:rsidR="0028177C" w:rsidRDefault="0028177C" w:rsidP="0028177C">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 xml:space="preserve">Do prvního příjmového decilu by </w:t>
      </w:r>
      <w:r w:rsidR="00D93DC1">
        <w:rPr>
          <w:rFonts w:ascii="Arial Narrow" w:hAnsi="Arial Narrow" w:cs="Times New Roman"/>
          <w:sz w:val="24"/>
          <w:szCs w:val="32"/>
        </w:rPr>
        <w:t xml:space="preserve">na základě odhadu z šetření Životní podmínky/SILC </w:t>
      </w:r>
      <w:r>
        <w:rPr>
          <w:rFonts w:ascii="Arial Narrow" w:hAnsi="Arial Narrow" w:cs="Times New Roman"/>
          <w:sz w:val="24"/>
          <w:szCs w:val="32"/>
        </w:rPr>
        <w:t>patřili jednotlivci s disponibilním příjmem méně než 10</w:t>
      </w:r>
      <w:r w:rsidR="001F0935">
        <w:rPr>
          <w:rFonts w:ascii="Arial Narrow" w:hAnsi="Arial Narrow" w:cs="Times New Roman"/>
          <w:sz w:val="24"/>
          <w:szCs w:val="32"/>
        </w:rPr>
        <w:t xml:space="preserve"> </w:t>
      </w:r>
      <w:r>
        <w:rPr>
          <w:rFonts w:ascii="Arial Narrow" w:hAnsi="Arial Narrow" w:cs="Times New Roman"/>
          <w:sz w:val="24"/>
          <w:szCs w:val="32"/>
        </w:rPr>
        <w:t>108 Kč, dvojice dospělých s méně než 15</w:t>
      </w:r>
      <w:r w:rsidR="001F0935">
        <w:rPr>
          <w:rFonts w:ascii="Arial Narrow" w:hAnsi="Arial Narrow" w:cs="Times New Roman"/>
          <w:sz w:val="24"/>
          <w:szCs w:val="32"/>
        </w:rPr>
        <w:t xml:space="preserve"> </w:t>
      </w:r>
      <w:r>
        <w:rPr>
          <w:rFonts w:ascii="Arial Narrow" w:hAnsi="Arial Narrow" w:cs="Times New Roman"/>
          <w:sz w:val="24"/>
          <w:szCs w:val="32"/>
        </w:rPr>
        <w:t>161 Kč měsíčně, čtyřčlenné rodiny s dvěma dětmi do 13 let s méně než 21</w:t>
      </w:r>
      <w:r w:rsidR="001F0935">
        <w:rPr>
          <w:rFonts w:ascii="Arial Narrow" w:hAnsi="Arial Narrow" w:cs="Times New Roman"/>
          <w:sz w:val="24"/>
          <w:szCs w:val="32"/>
        </w:rPr>
        <w:t xml:space="preserve"> </w:t>
      </w:r>
      <w:r>
        <w:rPr>
          <w:rFonts w:ascii="Arial Narrow" w:hAnsi="Arial Narrow" w:cs="Times New Roman"/>
          <w:sz w:val="24"/>
          <w:szCs w:val="32"/>
        </w:rPr>
        <w:t>226 Kč měsíčně.</w:t>
      </w:r>
    </w:p>
    <w:p w:rsidR="0028177C" w:rsidRPr="00BC177D" w:rsidRDefault="00D93DC1" w:rsidP="0028177C">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 xml:space="preserve">V polovině odhadnutého příjmového </w:t>
      </w:r>
      <w:proofErr w:type="gramStart"/>
      <w:r>
        <w:rPr>
          <w:rFonts w:ascii="Arial Narrow" w:hAnsi="Arial Narrow" w:cs="Times New Roman"/>
          <w:sz w:val="24"/>
          <w:szCs w:val="32"/>
        </w:rPr>
        <w:t>rozdělení (5.decil</w:t>
      </w:r>
      <w:proofErr w:type="gramEnd"/>
      <w:r>
        <w:rPr>
          <w:rFonts w:ascii="Arial Narrow" w:hAnsi="Arial Narrow" w:cs="Times New Roman"/>
          <w:sz w:val="24"/>
          <w:szCs w:val="32"/>
        </w:rPr>
        <w:t xml:space="preserve"> – medián) by se nacházeli jednotlivci s disponibilním příjmem 16</w:t>
      </w:r>
      <w:r w:rsidR="001F0935">
        <w:rPr>
          <w:rFonts w:ascii="Arial Narrow" w:hAnsi="Arial Narrow" w:cs="Times New Roman"/>
          <w:sz w:val="24"/>
          <w:szCs w:val="32"/>
        </w:rPr>
        <w:t xml:space="preserve"> </w:t>
      </w:r>
      <w:r>
        <w:rPr>
          <w:rFonts w:ascii="Arial Narrow" w:hAnsi="Arial Narrow" w:cs="Times New Roman"/>
          <w:sz w:val="24"/>
          <w:szCs w:val="32"/>
        </w:rPr>
        <w:t>124 Kč měsíčně, dvojice s příjmem 24</w:t>
      </w:r>
      <w:r w:rsidR="001F0935">
        <w:rPr>
          <w:rFonts w:ascii="Arial Narrow" w:hAnsi="Arial Narrow" w:cs="Times New Roman"/>
          <w:sz w:val="24"/>
          <w:szCs w:val="32"/>
        </w:rPr>
        <w:t xml:space="preserve"> </w:t>
      </w:r>
      <w:r>
        <w:rPr>
          <w:rFonts w:ascii="Arial Narrow" w:hAnsi="Arial Narrow" w:cs="Times New Roman"/>
          <w:sz w:val="24"/>
          <w:szCs w:val="32"/>
        </w:rPr>
        <w:t>186 Kč měsíčně nebo čtyřčlenné rodiny s dvěma dětmi do 13 let s příjmem 33</w:t>
      </w:r>
      <w:r w:rsidR="001F0935">
        <w:rPr>
          <w:rFonts w:ascii="Arial Narrow" w:hAnsi="Arial Narrow" w:cs="Times New Roman"/>
          <w:sz w:val="24"/>
          <w:szCs w:val="32"/>
        </w:rPr>
        <w:t xml:space="preserve"> </w:t>
      </w:r>
      <w:r>
        <w:rPr>
          <w:rFonts w:ascii="Arial Narrow" w:hAnsi="Arial Narrow" w:cs="Times New Roman"/>
          <w:sz w:val="24"/>
          <w:szCs w:val="32"/>
        </w:rPr>
        <w:t>860 Kč měsíčně.</w:t>
      </w:r>
    </w:p>
    <w:p w:rsidR="0028177C" w:rsidRPr="00603674" w:rsidRDefault="00603674" w:rsidP="00603674">
      <w:pPr>
        <w:pStyle w:val="2Text0"/>
        <w:rPr>
          <w:b/>
        </w:rPr>
      </w:pPr>
      <w:r w:rsidRPr="00603674">
        <w:rPr>
          <w:b/>
        </w:rPr>
        <w:t>Míra ohrožení chudobou v evropské statistice</w:t>
      </w:r>
    </w:p>
    <w:bookmarkEnd w:id="1"/>
    <w:p w:rsidR="00B949B0" w:rsidRDefault="00603674" w:rsidP="00B949B0">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Indikátor míry ohrožení chudobou je koncipován jako relativní míra odvozená od prostřední hodnoty – mediánu příjmového rozdělení v dané zemi. H</w:t>
      </w:r>
      <w:r w:rsidR="00B949B0" w:rsidRPr="00BC177D">
        <w:rPr>
          <w:rFonts w:ascii="Arial Narrow" w:hAnsi="Arial Narrow" w:cs="Times New Roman"/>
          <w:sz w:val="24"/>
          <w:szCs w:val="32"/>
        </w:rPr>
        <w:t xml:space="preserve">ranice chudoby je stanovena jako 60 % </w:t>
      </w:r>
      <w:r>
        <w:rPr>
          <w:rFonts w:ascii="Arial Narrow" w:hAnsi="Arial Narrow" w:cs="Times New Roman"/>
          <w:sz w:val="24"/>
          <w:szCs w:val="32"/>
        </w:rPr>
        <w:t xml:space="preserve">národního </w:t>
      </w:r>
      <w:r w:rsidR="00B949B0" w:rsidRPr="00BC177D">
        <w:rPr>
          <w:rFonts w:ascii="Arial Narrow" w:hAnsi="Arial Narrow" w:cs="Times New Roman"/>
          <w:sz w:val="24"/>
          <w:szCs w:val="32"/>
        </w:rPr>
        <w:t xml:space="preserve">mediánu disponibilního příjmů. </w:t>
      </w:r>
      <w:r w:rsidR="000D5E8C">
        <w:rPr>
          <w:rFonts w:ascii="Arial Narrow" w:hAnsi="Arial Narrow" w:cs="Times New Roman"/>
          <w:sz w:val="24"/>
          <w:szCs w:val="32"/>
        </w:rPr>
        <w:t>Za ohrožené chudobou jsou tak považování lidé v domácnostech, jejichž příjmová úroveň dosahuje méně než 60</w:t>
      </w:r>
      <w:r w:rsidR="00DD198E">
        <w:rPr>
          <w:rFonts w:ascii="Arial Narrow" w:hAnsi="Arial Narrow" w:cs="Times New Roman"/>
          <w:sz w:val="24"/>
          <w:szCs w:val="32"/>
        </w:rPr>
        <w:t xml:space="preserve"> </w:t>
      </w:r>
      <w:r w:rsidR="000D5E8C">
        <w:rPr>
          <w:rFonts w:ascii="Arial Narrow" w:hAnsi="Arial Narrow" w:cs="Times New Roman"/>
          <w:sz w:val="24"/>
          <w:szCs w:val="32"/>
        </w:rPr>
        <w:t>% hodnoty prostředního příjmu příjmového rozdělení.</w:t>
      </w:r>
    </w:p>
    <w:p w:rsidR="001F0935" w:rsidRPr="001F0935" w:rsidRDefault="001F0935" w:rsidP="001F0935">
      <w:pPr>
        <w:pStyle w:val="3GRAF"/>
        <w:jc w:val="left"/>
      </w:pPr>
      <w:r w:rsidRPr="00BC177D">
        <w:t xml:space="preserve">Tabulka </w:t>
      </w:r>
      <w:r w:rsidR="0058011E">
        <w:t>0</w:t>
      </w:r>
      <w:r>
        <w:t>.2</w:t>
      </w:r>
      <w:r w:rsidRPr="00BC177D">
        <w:t xml:space="preserve"> Hodnoty </w:t>
      </w:r>
      <w:r>
        <w:t>mediánu</w:t>
      </w:r>
      <w:r w:rsidRPr="00BC177D">
        <w:t xml:space="preserve"> disponibilních příjmů </w:t>
      </w:r>
      <w:r>
        <w:t xml:space="preserve">a hranice ohrožení chudobou pro vybrané </w:t>
      </w:r>
      <w:r w:rsidRPr="00BC177D">
        <w:t>typ</w:t>
      </w:r>
      <w:r>
        <w:t>y</w:t>
      </w:r>
      <w:r w:rsidRPr="00BC177D">
        <w:t xml:space="preserve"> domácností v roce 201</w:t>
      </w:r>
      <w:r w:rsidR="008576A9">
        <w:t>2</w:t>
      </w:r>
      <w:r w:rsidRPr="00BC177D">
        <w:t xml:space="preserve"> (Kč</w:t>
      </w:r>
      <w:r>
        <w:t>/měsíc</w:t>
      </w:r>
      <w:r w:rsidRPr="00BC177D">
        <w:t>)</w:t>
      </w:r>
    </w:p>
    <w:tbl>
      <w:tblPr>
        <w:tblStyle w:val="Mkatabulky"/>
        <w:tblW w:w="0" w:type="auto"/>
        <w:jc w:val="center"/>
        <w:tblLook w:val="04A0"/>
      </w:tblPr>
      <w:tblGrid>
        <w:gridCol w:w="3288"/>
        <w:gridCol w:w="2887"/>
        <w:gridCol w:w="2887"/>
      </w:tblGrid>
      <w:tr w:rsidR="000D5E8C" w:rsidRPr="00BC177D" w:rsidTr="001370AA">
        <w:trPr>
          <w:jc w:val="center"/>
        </w:trPr>
        <w:tc>
          <w:tcPr>
            <w:tcW w:w="3288" w:type="dxa"/>
          </w:tcPr>
          <w:p w:rsidR="000D5E8C" w:rsidRDefault="000D5E8C" w:rsidP="001370AA">
            <w:pPr>
              <w:spacing w:after="0" w:line="240" w:lineRule="auto"/>
              <w:jc w:val="both"/>
              <w:rPr>
                <w:rFonts w:ascii="Arial Narrow" w:hAnsi="Arial Narrow" w:cs="Times New Roman"/>
                <w:sz w:val="24"/>
                <w:szCs w:val="32"/>
              </w:rPr>
            </w:pPr>
          </w:p>
        </w:tc>
        <w:tc>
          <w:tcPr>
            <w:tcW w:w="2887" w:type="dxa"/>
          </w:tcPr>
          <w:p w:rsidR="000D5E8C" w:rsidRDefault="001F0935" w:rsidP="00DD198E">
            <w:pPr>
              <w:spacing w:after="0" w:line="240" w:lineRule="auto"/>
              <w:jc w:val="center"/>
              <w:rPr>
                <w:rFonts w:ascii="Arial Narrow" w:hAnsi="Arial Narrow" w:cs="Times New Roman"/>
                <w:sz w:val="24"/>
                <w:szCs w:val="32"/>
              </w:rPr>
            </w:pPr>
            <w:r>
              <w:rPr>
                <w:rFonts w:ascii="Arial Narrow" w:hAnsi="Arial Narrow" w:cs="Times New Roman"/>
                <w:sz w:val="24"/>
                <w:szCs w:val="32"/>
              </w:rPr>
              <w:t xml:space="preserve">Prostřední hodnota </w:t>
            </w:r>
            <w:r w:rsidR="00DD198E">
              <w:rPr>
                <w:rFonts w:ascii="Arial Narrow" w:hAnsi="Arial Narrow" w:cs="Times New Roman"/>
                <w:sz w:val="24"/>
                <w:szCs w:val="32"/>
              </w:rPr>
              <w:t>–</w:t>
            </w:r>
            <w:r>
              <w:rPr>
                <w:rFonts w:ascii="Arial Narrow" w:hAnsi="Arial Narrow" w:cs="Times New Roman"/>
                <w:sz w:val="24"/>
                <w:szCs w:val="32"/>
              </w:rPr>
              <w:t xml:space="preserve"> medián</w:t>
            </w:r>
          </w:p>
        </w:tc>
        <w:tc>
          <w:tcPr>
            <w:tcW w:w="2887" w:type="dxa"/>
          </w:tcPr>
          <w:p w:rsidR="000D5E8C" w:rsidRDefault="001F0935" w:rsidP="001370AA">
            <w:pPr>
              <w:spacing w:after="0" w:line="240" w:lineRule="auto"/>
              <w:jc w:val="center"/>
              <w:rPr>
                <w:rFonts w:ascii="Arial Narrow" w:hAnsi="Arial Narrow" w:cs="Times New Roman"/>
                <w:sz w:val="24"/>
                <w:szCs w:val="32"/>
              </w:rPr>
            </w:pPr>
            <w:r>
              <w:rPr>
                <w:rFonts w:ascii="Arial Narrow" w:hAnsi="Arial Narrow" w:cs="Times New Roman"/>
                <w:sz w:val="24"/>
                <w:szCs w:val="32"/>
              </w:rPr>
              <w:t>Hranice ohrožení chudobou</w:t>
            </w:r>
          </w:p>
          <w:p w:rsidR="001F0935" w:rsidRDefault="001F0935" w:rsidP="001370AA">
            <w:pPr>
              <w:spacing w:after="0" w:line="240" w:lineRule="auto"/>
              <w:jc w:val="center"/>
              <w:rPr>
                <w:rFonts w:ascii="Arial Narrow" w:hAnsi="Arial Narrow" w:cs="Times New Roman"/>
                <w:sz w:val="24"/>
                <w:szCs w:val="32"/>
              </w:rPr>
            </w:pPr>
            <w:r>
              <w:rPr>
                <w:rFonts w:ascii="Arial Narrow" w:hAnsi="Arial Narrow" w:cs="Times New Roman"/>
                <w:sz w:val="24"/>
                <w:szCs w:val="32"/>
              </w:rPr>
              <w:t>(60</w:t>
            </w:r>
            <w:r w:rsidR="00DD198E">
              <w:rPr>
                <w:rFonts w:ascii="Arial Narrow" w:hAnsi="Arial Narrow" w:cs="Times New Roman"/>
                <w:sz w:val="24"/>
                <w:szCs w:val="32"/>
              </w:rPr>
              <w:t xml:space="preserve"> </w:t>
            </w:r>
            <w:r>
              <w:rPr>
                <w:rFonts w:ascii="Arial Narrow" w:hAnsi="Arial Narrow" w:cs="Times New Roman"/>
                <w:sz w:val="24"/>
                <w:szCs w:val="32"/>
              </w:rPr>
              <w:t>% mediánu)</w:t>
            </w:r>
          </w:p>
        </w:tc>
      </w:tr>
      <w:tr w:rsidR="000D5E8C" w:rsidRPr="00BC177D" w:rsidTr="001370AA">
        <w:trPr>
          <w:jc w:val="center"/>
        </w:trPr>
        <w:tc>
          <w:tcPr>
            <w:tcW w:w="3288" w:type="dxa"/>
          </w:tcPr>
          <w:p w:rsidR="000D5E8C" w:rsidRPr="00BC177D" w:rsidRDefault="000D5E8C" w:rsidP="001370AA">
            <w:pPr>
              <w:spacing w:after="0" w:line="240" w:lineRule="auto"/>
              <w:jc w:val="both"/>
              <w:rPr>
                <w:rFonts w:ascii="Arial Narrow" w:hAnsi="Arial Narrow" w:cs="Times New Roman"/>
                <w:sz w:val="24"/>
                <w:szCs w:val="32"/>
              </w:rPr>
            </w:pPr>
            <w:r>
              <w:rPr>
                <w:rFonts w:ascii="Arial Narrow" w:hAnsi="Arial Narrow" w:cs="Times New Roman"/>
                <w:sz w:val="24"/>
                <w:szCs w:val="32"/>
              </w:rPr>
              <w:t>Jednotlivec</w:t>
            </w:r>
          </w:p>
        </w:tc>
        <w:tc>
          <w:tcPr>
            <w:tcW w:w="2887" w:type="dxa"/>
          </w:tcPr>
          <w:p w:rsidR="000D5E8C" w:rsidRPr="00BC177D" w:rsidRDefault="000D5E8C" w:rsidP="001370AA">
            <w:pPr>
              <w:spacing w:after="0" w:line="240" w:lineRule="auto"/>
              <w:jc w:val="center"/>
              <w:rPr>
                <w:rFonts w:ascii="Arial Narrow" w:hAnsi="Arial Narrow" w:cs="Times New Roman"/>
                <w:sz w:val="24"/>
                <w:szCs w:val="32"/>
              </w:rPr>
            </w:pPr>
            <w:r>
              <w:rPr>
                <w:rFonts w:ascii="Arial Narrow" w:hAnsi="Arial Narrow" w:cs="Times New Roman"/>
                <w:sz w:val="24"/>
                <w:szCs w:val="32"/>
              </w:rPr>
              <w:t>16 124 Kč/měsíc</w:t>
            </w:r>
          </w:p>
        </w:tc>
        <w:tc>
          <w:tcPr>
            <w:tcW w:w="2887" w:type="dxa"/>
          </w:tcPr>
          <w:p w:rsidR="000D5E8C" w:rsidRPr="00BC177D" w:rsidRDefault="000D5E8C" w:rsidP="001370AA">
            <w:pPr>
              <w:spacing w:after="0" w:line="240" w:lineRule="auto"/>
              <w:jc w:val="center"/>
              <w:rPr>
                <w:rFonts w:ascii="Arial Narrow" w:hAnsi="Arial Narrow" w:cs="Times New Roman"/>
                <w:sz w:val="24"/>
                <w:szCs w:val="32"/>
              </w:rPr>
            </w:pPr>
            <w:r>
              <w:rPr>
                <w:rFonts w:ascii="Arial Narrow" w:hAnsi="Arial Narrow" w:cs="Times New Roman"/>
                <w:sz w:val="24"/>
                <w:szCs w:val="32"/>
              </w:rPr>
              <w:t>9 674 Kč/měsíc</w:t>
            </w:r>
          </w:p>
        </w:tc>
      </w:tr>
      <w:tr w:rsidR="000D5E8C" w:rsidRPr="00BC177D" w:rsidTr="001370AA">
        <w:trPr>
          <w:jc w:val="center"/>
        </w:trPr>
        <w:tc>
          <w:tcPr>
            <w:tcW w:w="3288" w:type="dxa"/>
          </w:tcPr>
          <w:p w:rsidR="000D5E8C" w:rsidRPr="00BC177D" w:rsidRDefault="000D5E8C" w:rsidP="001370AA">
            <w:pPr>
              <w:spacing w:after="0" w:line="240" w:lineRule="auto"/>
              <w:jc w:val="both"/>
              <w:rPr>
                <w:rFonts w:ascii="Arial Narrow" w:hAnsi="Arial Narrow" w:cs="Times New Roman"/>
                <w:sz w:val="24"/>
                <w:szCs w:val="32"/>
              </w:rPr>
            </w:pPr>
            <w:r>
              <w:rPr>
                <w:rFonts w:ascii="Arial Narrow" w:hAnsi="Arial Narrow" w:cs="Times New Roman"/>
                <w:sz w:val="24"/>
                <w:szCs w:val="32"/>
              </w:rPr>
              <w:t>Dvojice dospělých</w:t>
            </w:r>
          </w:p>
        </w:tc>
        <w:tc>
          <w:tcPr>
            <w:tcW w:w="2887" w:type="dxa"/>
          </w:tcPr>
          <w:p w:rsidR="000D5E8C" w:rsidRPr="00BC177D" w:rsidRDefault="001F0935" w:rsidP="001370AA">
            <w:pPr>
              <w:spacing w:after="0" w:line="240" w:lineRule="auto"/>
              <w:jc w:val="center"/>
              <w:rPr>
                <w:rFonts w:ascii="Arial Narrow" w:hAnsi="Arial Narrow" w:cs="Times New Roman"/>
                <w:sz w:val="24"/>
                <w:szCs w:val="32"/>
              </w:rPr>
            </w:pPr>
            <w:r>
              <w:rPr>
                <w:rFonts w:ascii="Arial Narrow" w:hAnsi="Arial Narrow" w:cs="Times New Roman"/>
                <w:sz w:val="24"/>
                <w:szCs w:val="32"/>
              </w:rPr>
              <w:t>24 186 Kč/měsíc</w:t>
            </w:r>
          </w:p>
        </w:tc>
        <w:tc>
          <w:tcPr>
            <w:tcW w:w="2887" w:type="dxa"/>
          </w:tcPr>
          <w:p w:rsidR="000D5E8C" w:rsidRPr="00BC177D" w:rsidRDefault="000D5E8C" w:rsidP="001370AA">
            <w:pPr>
              <w:spacing w:after="0" w:line="240" w:lineRule="auto"/>
              <w:jc w:val="center"/>
              <w:rPr>
                <w:rFonts w:ascii="Arial Narrow" w:hAnsi="Arial Narrow" w:cs="Times New Roman"/>
                <w:sz w:val="24"/>
                <w:szCs w:val="32"/>
              </w:rPr>
            </w:pPr>
            <w:r>
              <w:rPr>
                <w:rFonts w:ascii="Arial Narrow" w:hAnsi="Arial Narrow" w:cs="Times New Roman"/>
                <w:sz w:val="24"/>
                <w:szCs w:val="32"/>
              </w:rPr>
              <w:t>14 511 Kč / měsíc</w:t>
            </w:r>
          </w:p>
        </w:tc>
      </w:tr>
      <w:tr w:rsidR="000D5E8C" w:rsidRPr="00BC177D" w:rsidTr="001370AA">
        <w:trPr>
          <w:jc w:val="center"/>
        </w:trPr>
        <w:tc>
          <w:tcPr>
            <w:tcW w:w="3288" w:type="dxa"/>
          </w:tcPr>
          <w:p w:rsidR="000D5E8C" w:rsidRPr="00BC177D" w:rsidRDefault="000D5E8C" w:rsidP="001370AA">
            <w:pPr>
              <w:spacing w:after="0" w:line="240" w:lineRule="auto"/>
              <w:jc w:val="both"/>
              <w:rPr>
                <w:rFonts w:ascii="Arial Narrow" w:hAnsi="Arial Narrow" w:cs="Times New Roman"/>
                <w:sz w:val="24"/>
                <w:szCs w:val="32"/>
              </w:rPr>
            </w:pPr>
            <w:r>
              <w:rPr>
                <w:rFonts w:ascii="Arial Narrow" w:hAnsi="Arial Narrow" w:cs="Times New Roman"/>
                <w:sz w:val="24"/>
                <w:szCs w:val="32"/>
              </w:rPr>
              <w:t>Dvojice se dvěma dětmi do 13 let</w:t>
            </w:r>
          </w:p>
        </w:tc>
        <w:tc>
          <w:tcPr>
            <w:tcW w:w="2887" w:type="dxa"/>
          </w:tcPr>
          <w:p w:rsidR="000D5E8C" w:rsidRPr="00BC177D" w:rsidRDefault="001F0935" w:rsidP="001370AA">
            <w:pPr>
              <w:keepNext/>
              <w:spacing w:after="0" w:line="240" w:lineRule="auto"/>
              <w:jc w:val="center"/>
              <w:rPr>
                <w:rFonts w:ascii="Arial Narrow" w:hAnsi="Arial Narrow" w:cs="Times New Roman"/>
                <w:sz w:val="24"/>
                <w:szCs w:val="32"/>
              </w:rPr>
            </w:pPr>
            <w:r>
              <w:rPr>
                <w:rFonts w:ascii="Arial Narrow" w:hAnsi="Arial Narrow" w:cs="Times New Roman"/>
                <w:sz w:val="24"/>
                <w:szCs w:val="32"/>
              </w:rPr>
              <w:t>33 860 Kč/měsíc</w:t>
            </w:r>
          </w:p>
        </w:tc>
        <w:tc>
          <w:tcPr>
            <w:tcW w:w="2887" w:type="dxa"/>
          </w:tcPr>
          <w:p w:rsidR="000D5E8C" w:rsidRPr="00BC177D" w:rsidRDefault="000D5E8C" w:rsidP="001370AA">
            <w:pPr>
              <w:keepNext/>
              <w:spacing w:after="0" w:line="240" w:lineRule="auto"/>
              <w:jc w:val="center"/>
              <w:rPr>
                <w:rFonts w:ascii="Arial Narrow" w:hAnsi="Arial Narrow" w:cs="Times New Roman"/>
                <w:sz w:val="24"/>
                <w:szCs w:val="32"/>
              </w:rPr>
            </w:pPr>
            <w:r>
              <w:rPr>
                <w:rFonts w:ascii="Arial Narrow" w:hAnsi="Arial Narrow" w:cs="Times New Roman"/>
                <w:sz w:val="24"/>
                <w:szCs w:val="32"/>
              </w:rPr>
              <w:t>20 315 Kč / měsíc</w:t>
            </w:r>
          </w:p>
        </w:tc>
      </w:tr>
    </w:tbl>
    <w:p w:rsidR="00DD4E1D" w:rsidRPr="009D31DA" w:rsidRDefault="00DD4E1D" w:rsidP="00DD4E1D">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2013</w:t>
      </w:r>
    </w:p>
    <w:p w:rsidR="0058011E" w:rsidRPr="00FD4A16" w:rsidRDefault="0058011E" w:rsidP="0058011E">
      <w:pPr>
        <w:pStyle w:val="Nadpis1"/>
      </w:pPr>
      <w:r>
        <w:lastRenderedPageBreak/>
        <w:t>Vliv vzdělání a vzdělanostní homogenity partnerství na ohrožení chudobou v roce 201</w:t>
      </w:r>
      <w:r w:rsidR="00A30C38">
        <w:t>2</w:t>
      </w:r>
    </w:p>
    <w:p w:rsidR="0058011E" w:rsidRPr="00355DA2" w:rsidRDefault="0058011E" w:rsidP="0058011E">
      <w:pPr>
        <w:pStyle w:val="1Podnadpis11"/>
        <w:numPr>
          <w:ilvl w:val="0"/>
          <w:numId w:val="0"/>
        </w:numPr>
        <w:jc w:val="center"/>
        <w:rPr>
          <w:sz w:val="28"/>
          <w:szCs w:val="28"/>
        </w:rPr>
      </w:pPr>
      <w:bookmarkStart w:id="2" w:name="_Toc397242160"/>
      <w:bookmarkStart w:id="3" w:name="_Toc397242298"/>
      <w:r w:rsidRPr="00355DA2">
        <w:rPr>
          <w:sz w:val="28"/>
          <w:szCs w:val="28"/>
        </w:rPr>
        <w:t>Lidé s vyšším vzděláním mají výrazně vyšší zastoupení ve vyšších příjmových decilech</w:t>
      </w:r>
    </w:p>
    <w:p w:rsidR="0058011E" w:rsidRDefault="0058011E" w:rsidP="0058011E">
      <w:pPr>
        <w:pStyle w:val="3GRAF"/>
      </w:pPr>
      <w:r>
        <w:t>Graf</w:t>
      </w:r>
      <w:r w:rsidR="004B23FE">
        <w:t xml:space="preserve"> </w:t>
      </w:r>
      <w:proofErr w:type="gramStart"/>
      <w:r w:rsidR="000D2FDA">
        <w:fldChar w:fldCharType="begin"/>
      </w:r>
      <w:r>
        <w:instrText xml:space="preserve"> STYLEREF 1 \s </w:instrText>
      </w:r>
      <w:r w:rsidR="000D2FDA">
        <w:fldChar w:fldCharType="separate"/>
      </w:r>
      <w:r w:rsidR="00723DAB">
        <w:rPr>
          <w:noProof/>
        </w:rPr>
        <w:t>1</w:t>
      </w:r>
      <w:r w:rsidR="000D2FDA">
        <w:fldChar w:fldCharType="end"/>
      </w:r>
      <w:r>
        <w:t>.</w:t>
      </w:r>
      <w:fldSimple w:instr=" SEQ Graf_ \* ARABIC \s 1 ">
        <w:r w:rsidR="00723DAB">
          <w:rPr>
            <w:noProof/>
          </w:rPr>
          <w:t>1</w:t>
        </w:r>
      </w:fldSimple>
      <w:proofErr w:type="gramEnd"/>
      <w:r>
        <w:t xml:space="preserve"> </w:t>
      </w:r>
      <w:r w:rsidRPr="00EB2954">
        <w:t>Rozdělení příjmů do decilů podle vzdělání v roce 201</w:t>
      </w:r>
      <w:r w:rsidR="00A30C38">
        <w:t>2</w:t>
      </w:r>
      <w:r w:rsidRPr="00EB2954">
        <w:t xml:space="preserve"> (%)</w:t>
      </w:r>
    </w:p>
    <w:p w:rsidR="00DD4E1D" w:rsidRPr="009D31DA" w:rsidRDefault="00AD75B7" w:rsidP="00DD4E1D">
      <w:pPr>
        <w:spacing w:after="120" w:line="288" w:lineRule="auto"/>
        <w:ind w:firstLine="284"/>
        <w:jc w:val="right"/>
        <w:rPr>
          <w:rFonts w:ascii="Arial Narrow" w:hAnsi="Arial Narrow" w:cs="Times New Roman"/>
          <w:i/>
          <w:sz w:val="20"/>
          <w:szCs w:val="20"/>
        </w:rPr>
      </w:pPr>
      <w:r w:rsidRPr="00AD75B7">
        <w:rPr>
          <w:rFonts w:ascii="Arial Narrow" w:hAnsi="Arial Narrow" w:cs="Times New Roman"/>
          <w:i/>
          <w:noProof/>
          <w:sz w:val="20"/>
          <w:szCs w:val="20"/>
          <w:lang w:eastAsia="cs-CZ"/>
        </w:rPr>
        <w:drawing>
          <wp:inline distT="0" distB="0" distL="0" distR="0">
            <wp:extent cx="5760720" cy="2958533"/>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D4E1D" w:rsidRPr="009D31DA">
        <w:rPr>
          <w:rFonts w:ascii="Arial Narrow" w:hAnsi="Arial Narrow" w:cs="Times New Roman"/>
          <w:i/>
          <w:sz w:val="20"/>
          <w:szCs w:val="20"/>
        </w:rPr>
        <w:t>Zdroj: Životní podmínky/SILC 2013</w:t>
      </w:r>
    </w:p>
    <w:p w:rsidR="0058011E" w:rsidRDefault="0058011E" w:rsidP="0058011E">
      <w:pPr>
        <w:spacing w:after="120" w:line="288" w:lineRule="auto"/>
        <w:ind w:firstLine="284"/>
        <w:jc w:val="both"/>
        <w:rPr>
          <w:rFonts w:ascii="Arial Narrow" w:hAnsi="Arial Narrow" w:cs="Times New Roman"/>
          <w:sz w:val="24"/>
          <w:szCs w:val="32"/>
        </w:rPr>
      </w:pPr>
      <w:r w:rsidRPr="00B34B18">
        <w:rPr>
          <w:rFonts w:ascii="Arial Narrow" w:hAnsi="Arial Narrow" w:cs="Times New Roman"/>
          <w:sz w:val="24"/>
          <w:szCs w:val="32"/>
        </w:rPr>
        <w:t xml:space="preserve">Na grafu můžeme vidět vliv dosaženého vzdělání a umístění v jednotlivých příjmových decilech. </w:t>
      </w:r>
      <w:r w:rsidRPr="007E6A5A">
        <w:rPr>
          <w:rFonts w:ascii="Arial Narrow" w:hAnsi="Arial Narrow" w:cs="Times New Roman"/>
          <w:sz w:val="24"/>
          <w:szCs w:val="32"/>
        </w:rPr>
        <w:t>Pro potřeby analýzy byla data očištěna o vliv dětí do 18 let a studenty do 26 let, u kterých se předpokládá, že vzdělání ještě dokončeno nemají. Tyto osoby byly zařazeny do vlastní kategorie „Děti do 18 let a</w:t>
      </w:r>
      <w:r w:rsidR="00F054B3">
        <w:rPr>
          <w:rFonts w:ascii="Arial Narrow" w:hAnsi="Arial Narrow" w:cs="Times New Roman"/>
          <w:sz w:val="24"/>
          <w:szCs w:val="32"/>
        </w:rPr>
        <w:t> </w:t>
      </w:r>
      <w:r w:rsidRPr="007E6A5A">
        <w:rPr>
          <w:rFonts w:ascii="Arial Narrow" w:hAnsi="Arial Narrow" w:cs="Times New Roman"/>
          <w:sz w:val="24"/>
          <w:szCs w:val="32"/>
        </w:rPr>
        <w:t>studenti (do 26 let)“.</w:t>
      </w:r>
      <w:r>
        <w:rPr>
          <w:rFonts w:ascii="Arial Narrow" w:hAnsi="Arial Narrow" w:cs="Times New Roman"/>
          <w:sz w:val="24"/>
          <w:szCs w:val="32"/>
        </w:rPr>
        <w:t xml:space="preserve"> </w:t>
      </w:r>
    </w:p>
    <w:p w:rsidR="0058011E" w:rsidRPr="00B34B18" w:rsidRDefault="0058011E" w:rsidP="0058011E">
      <w:pPr>
        <w:spacing w:after="120" w:line="288" w:lineRule="auto"/>
        <w:ind w:firstLine="284"/>
        <w:jc w:val="both"/>
        <w:rPr>
          <w:rFonts w:ascii="Arial Narrow" w:hAnsi="Arial Narrow" w:cs="Times New Roman"/>
          <w:sz w:val="24"/>
          <w:szCs w:val="32"/>
        </w:rPr>
      </w:pPr>
      <w:r w:rsidRPr="00B34B18">
        <w:rPr>
          <w:rFonts w:ascii="Arial Narrow" w:hAnsi="Arial Narrow" w:cs="Times New Roman"/>
          <w:sz w:val="24"/>
          <w:szCs w:val="32"/>
        </w:rPr>
        <w:t xml:space="preserve">Osoby s nejnižším </w:t>
      </w:r>
      <w:r w:rsidR="00F054B3">
        <w:rPr>
          <w:rFonts w:ascii="Arial Narrow" w:hAnsi="Arial Narrow" w:cs="Times New Roman"/>
          <w:sz w:val="24"/>
          <w:szCs w:val="32"/>
        </w:rPr>
        <w:t>–</w:t>
      </w:r>
      <w:r w:rsidRPr="00B34B18">
        <w:rPr>
          <w:rFonts w:ascii="Arial Narrow" w:hAnsi="Arial Narrow" w:cs="Times New Roman"/>
          <w:sz w:val="24"/>
          <w:szCs w:val="32"/>
        </w:rPr>
        <w:t xml:space="preserve"> základním vzděláním nejčastěji nalezneme v nejnižších příjmových skupinách – I. až III. decil. V I. decilu osoby se základním vzděláním představují </w:t>
      </w:r>
      <w:r>
        <w:rPr>
          <w:rFonts w:ascii="Arial Narrow" w:hAnsi="Arial Narrow" w:cs="Times New Roman"/>
          <w:sz w:val="24"/>
          <w:szCs w:val="32"/>
        </w:rPr>
        <w:t>17,3</w:t>
      </w:r>
      <w:r w:rsidRPr="00B34B18">
        <w:rPr>
          <w:rFonts w:ascii="Arial Narrow" w:hAnsi="Arial Narrow" w:cs="Times New Roman"/>
          <w:sz w:val="24"/>
          <w:szCs w:val="32"/>
        </w:rPr>
        <w:t xml:space="preserve"> % osob v tomto decilu. S rostoucím příjmem jejich podíl ve skupinách klesá. V nejvyšší příjmové skupině představují pouze 0,8</w:t>
      </w:r>
      <w:r w:rsidR="00F054B3">
        <w:rPr>
          <w:rFonts w:ascii="Arial Narrow" w:hAnsi="Arial Narrow" w:cs="Times New Roman"/>
          <w:sz w:val="24"/>
          <w:szCs w:val="32"/>
        </w:rPr>
        <w:t> </w:t>
      </w:r>
      <w:r w:rsidRPr="00B34B18">
        <w:rPr>
          <w:rFonts w:ascii="Arial Narrow" w:hAnsi="Arial Narrow" w:cs="Times New Roman"/>
          <w:sz w:val="24"/>
          <w:szCs w:val="32"/>
        </w:rPr>
        <w:t>%. Nejčastěji se jedná o ženy, starší 50 let, které buď pracují</w:t>
      </w:r>
      <w:r w:rsidR="00F054B3">
        <w:rPr>
          <w:rFonts w:ascii="Arial Narrow" w:hAnsi="Arial Narrow" w:cs="Times New Roman"/>
          <w:sz w:val="24"/>
          <w:szCs w:val="32"/>
        </w:rPr>
        <w:t>,</w:t>
      </w:r>
      <w:r w:rsidRPr="00B34B18">
        <w:rPr>
          <w:rFonts w:ascii="Arial Narrow" w:hAnsi="Arial Narrow" w:cs="Times New Roman"/>
          <w:sz w:val="24"/>
          <w:szCs w:val="32"/>
        </w:rPr>
        <w:t xml:space="preserve"> </w:t>
      </w:r>
      <w:r>
        <w:rPr>
          <w:rFonts w:ascii="Arial Narrow" w:hAnsi="Arial Narrow" w:cs="Times New Roman"/>
          <w:sz w:val="24"/>
          <w:szCs w:val="32"/>
        </w:rPr>
        <w:t xml:space="preserve">nebo jsou na starobním důchodu. </w:t>
      </w:r>
      <w:r w:rsidRPr="00B34B18">
        <w:rPr>
          <w:rFonts w:ascii="Arial Narrow" w:hAnsi="Arial Narrow" w:cs="Times New Roman"/>
          <w:sz w:val="24"/>
          <w:szCs w:val="32"/>
        </w:rPr>
        <w:t>Nejčastěji bydlí ve</w:t>
      </w:r>
      <w:r>
        <w:rPr>
          <w:rFonts w:ascii="Arial Narrow" w:hAnsi="Arial Narrow" w:cs="Times New Roman"/>
          <w:sz w:val="24"/>
          <w:szCs w:val="32"/>
        </w:rPr>
        <w:t xml:space="preserve"> vícečlenné domácnosti</w:t>
      </w:r>
      <w:r w:rsidRPr="00B34B18">
        <w:rPr>
          <w:rFonts w:ascii="Arial Narrow" w:hAnsi="Arial Narrow" w:cs="Times New Roman"/>
          <w:sz w:val="24"/>
          <w:szCs w:val="32"/>
        </w:rPr>
        <w:t xml:space="preserve">. Podobnou tendenci mají osoby se středoškolským vzděláním bez maturity. Jejich podíl také s rostoucím příjmem klesá. </w:t>
      </w:r>
    </w:p>
    <w:p w:rsidR="0058011E" w:rsidRPr="00B34B18" w:rsidRDefault="0058011E" w:rsidP="0058011E">
      <w:pPr>
        <w:spacing w:after="120" w:line="288" w:lineRule="auto"/>
        <w:ind w:firstLine="284"/>
        <w:jc w:val="both"/>
        <w:rPr>
          <w:rFonts w:ascii="Arial Narrow" w:hAnsi="Arial Narrow" w:cs="Times New Roman"/>
          <w:sz w:val="24"/>
          <w:szCs w:val="32"/>
        </w:rPr>
      </w:pPr>
      <w:r w:rsidRPr="00B34B18">
        <w:rPr>
          <w:rFonts w:ascii="Arial Narrow" w:hAnsi="Arial Narrow" w:cs="Times New Roman"/>
          <w:sz w:val="24"/>
          <w:szCs w:val="32"/>
        </w:rPr>
        <w:t xml:space="preserve">Opačný průběh má zastoupení osob se středoškolským vzděláním s maturitou nebo s nejvyšším, </w:t>
      </w:r>
      <w:r>
        <w:rPr>
          <w:rFonts w:ascii="Arial Narrow" w:hAnsi="Arial Narrow" w:cs="Times New Roman"/>
          <w:sz w:val="24"/>
          <w:szCs w:val="32"/>
        </w:rPr>
        <w:t>terciárním</w:t>
      </w:r>
      <w:r w:rsidRPr="00B34B18">
        <w:rPr>
          <w:rFonts w:ascii="Arial Narrow" w:hAnsi="Arial Narrow" w:cs="Times New Roman"/>
          <w:sz w:val="24"/>
          <w:szCs w:val="32"/>
        </w:rPr>
        <w:t xml:space="preserve"> vzděláním</w:t>
      </w:r>
      <w:r>
        <w:rPr>
          <w:rFonts w:ascii="Arial Narrow" w:hAnsi="Arial Narrow" w:cs="Times New Roman"/>
          <w:sz w:val="24"/>
          <w:szCs w:val="32"/>
        </w:rPr>
        <w:t>, které zahrnuje absolventy vyšších odborných škol a vysokých škol</w:t>
      </w:r>
      <w:r w:rsidRPr="00B34B18">
        <w:rPr>
          <w:rFonts w:ascii="Arial Narrow" w:hAnsi="Arial Narrow" w:cs="Times New Roman"/>
          <w:sz w:val="24"/>
          <w:szCs w:val="32"/>
        </w:rPr>
        <w:t>. V I. decilu je podíl osob s </w:t>
      </w:r>
      <w:r>
        <w:rPr>
          <w:rFonts w:ascii="Arial Narrow" w:hAnsi="Arial Narrow" w:cs="Times New Roman"/>
          <w:sz w:val="24"/>
          <w:szCs w:val="32"/>
        </w:rPr>
        <w:t>tímto</w:t>
      </w:r>
      <w:r w:rsidRPr="00B34B18">
        <w:rPr>
          <w:rFonts w:ascii="Arial Narrow" w:hAnsi="Arial Narrow" w:cs="Times New Roman"/>
          <w:sz w:val="24"/>
          <w:szCs w:val="32"/>
        </w:rPr>
        <w:t xml:space="preserve"> vzděláním pouze </w:t>
      </w:r>
      <w:r>
        <w:rPr>
          <w:rFonts w:ascii="Arial Narrow" w:hAnsi="Arial Narrow" w:cs="Times New Roman"/>
          <w:sz w:val="24"/>
          <w:szCs w:val="32"/>
        </w:rPr>
        <w:t>2,7</w:t>
      </w:r>
      <w:r w:rsidRPr="00B34B18">
        <w:rPr>
          <w:rFonts w:ascii="Arial Narrow" w:hAnsi="Arial Narrow" w:cs="Times New Roman"/>
          <w:sz w:val="24"/>
          <w:szCs w:val="32"/>
        </w:rPr>
        <w:t> %, s rostoucím příjmem jejich zast</w:t>
      </w:r>
      <w:r>
        <w:rPr>
          <w:rFonts w:ascii="Arial Narrow" w:hAnsi="Arial Narrow" w:cs="Times New Roman"/>
          <w:sz w:val="24"/>
          <w:szCs w:val="32"/>
        </w:rPr>
        <w:t>oupení ve skupinách roste. V I. decilu se jedná zvláště o ženy ve věku 25 až 49 let</w:t>
      </w:r>
      <w:r w:rsidRPr="00B34B18">
        <w:rPr>
          <w:rFonts w:ascii="Arial Narrow" w:hAnsi="Arial Narrow" w:cs="Times New Roman"/>
          <w:sz w:val="24"/>
          <w:szCs w:val="32"/>
        </w:rPr>
        <w:t>, které žijí ve ví</w:t>
      </w:r>
      <w:r>
        <w:rPr>
          <w:rFonts w:ascii="Arial Narrow" w:hAnsi="Arial Narrow" w:cs="Times New Roman"/>
          <w:sz w:val="24"/>
          <w:szCs w:val="32"/>
        </w:rPr>
        <w:t>cečlenných domácnostech</w:t>
      </w:r>
      <w:r w:rsidRPr="00B34B18">
        <w:rPr>
          <w:rFonts w:ascii="Arial Narrow" w:hAnsi="Arial Narrow" w:cs="Times New Roman"/>
          <w:sz w:val="24"/>
          <w:szCs w:val="32"/>
        </w:rPr>
        <w:t>. Nejča</w:t>
      </w:r>
      <w:r>
        <w:rPr>
          <w:rFonts w:ascii="Arial Narrow" w:hAnsi="Arial Narrow" w:cs="Times New Roman"/>
          <w:sz w:val="24"/>
          <w:szCs w:val="32"/>
        </w:rPr>
        <w:t>stěji pracují jako OSVČ</w:t>
      </w:r>
      <w:r w:rsidRPr="00B34B18">
        <w:rPr>
          <w:rFonts w:ascii="Arial Narrow" w:hAnsi="Arial Narrow" w:cs="Times New Roman"/>
          <w:sz w:val="24"/>
          <w:szCs w:val="32"/>
        </w:rPr>
        <w:t xml:space="preserve"> nebo jsou jinak neaktivn</w:t>
      </w:r>
      <w:r>
        <w:rPr>
          <w:rFonts w:ascii="Arial Narrow" w:hAnsi="Arial Narrow" w:cs="Times New Roman"/>
          <w:sz w:val="24"/>
          <w:szCs w:val="32"/>
        </w:rPr>
        <w:t>í osoby</w:t>
      </w:r>
      <w:r w:rsidRPr="00B34B18">
        <w:rPr>
          <w:rFonts w:ascii="Arial Narrow" w:hAnsi="Arial Narrow" w:cs="Times New Roman"/>
          <w:sz w:val="24"/>
          <w:szCs w:val="32"/>
        </w:rPr>
        <w:t xml:space="preserve">. Nejvyšší vliv má vzdělání na umístění </w:t>
      </w:r>
      <w:r w:rsidRPr="00B34B18">
        <w:rPr>
          <w:rFonts w:ascii="Arial Narrow" w:hAnsi="Arial Narrow" w:cs="Times New Roman"/>
          <w:sz w:val="24"/>
          <w:szCs w:val="32"/>
        </w:rPr>
        <w:lastRenderedPageBreak/>
        <w:t xml:space="preserve">osob v posledním, nejvyšších decilu, zde je tento podíl již </w:t>
      </w:r>
      <w:r>
        <w:rPr>
          <w:rFonts w:ascii="Arial Narrow" w:hAnsi="Arial Narrow" w:cs="Times New Roman"/>
          <w:sz w:val="24"/>
          <w:szCs w:val="32"/>
        </w:rPr>
        <w:t>35,2</w:t>
      </w:r>
      <w:bookmarkStart w:id="4" w:name="_GoBack"/>
      <w:bookmarkEnd w:id="4"/>
      <w:r>
        <w:rPr>
          <w:rFonts w:ascii="Arial Narrow" w:hAnsi="Arial Narrow" w:cs="Times New Roman"/>
          <w:sz w:val="24"/>
          <w:szCs w:val="32"/>
        </w:rPr>
        <w:t> %, tj. více než 10x vyšší zastoupení než v prvním decilu.</w:t>
      </w:r>
    </w:p>
    <w:p w:rsidR="0058011E" w:rsidRDefault="0058011E" w:rsidP="0058011E">
      <w:pPr>
        <w:pStyle w:val="2Text0"/>
      </w:pPr>
    </w:p>
    <w:p w:rsidR="0058011E" w:rsidRPr="00355DA2" w:rsidRDefault="0058011E" w:rsidP="0058011E">
      <w:pPr>
        <w:pStyle w:val="2Text0"/>
        <w:jc w:val="center"/>
        <w:rPr>
          <w:rFonts w:eastAsiaTheme="majorEastAsia" w:cstheme="majorBidi"/>
          <w:b/>
          <w:bCs/>
          <w:sz w:val="28"/>
          <w:szCs w:val="28"/>
        </w:rPr>
      </w:pPr>
      <w:r w:rsidRPr="00355DA2">
        <w:rPr>
          <w:rFonts w:eastAsiaTheme="majorEastAsia" w:cstheme="majorBidi"/>
          <w:b/>
          <w:bCs/>
          <w:sz w:val="28"/>
          <w:szCs w:val="28"/>
        </w:rPr>
        <w:t>Chudobou více ohrožené skupiny jsou ženy, mladiství a osoby se základním vzděláním</w:t>
      </w:r>
    </w:p>
    <w:p w:rsidR="0058011E" w:rsidRDefault="0058011E" w:rsidP="0058011E">
      <w:pPr>
        <w:pStyle w:val="3GRAF"/>
      </w:pPr>
      <w:r>
        <w:t xml:space="preserve">Tabulka </w:t>
      </w:r>
      <w:proofErr w:type="gramStart"/>
      <w:r w:rsidR="000D2FDA">
        <w:fldChar w:fldCharType="begin"/>
      </w:r>
      <w:r>
        <w:instrText xml:space="preserve"> STYLEREF 1 \s </w:instrText>
      </w:r>
      <w:r w:rsidR="000D2FDA">
        <w:fldChar w:fldCharType="separate"/>
      </w:r>
      <w:r w:rsidR="00723DAB">
        <w:rPr>
          <w:noProof/>
        </w:rPr>
        <w:t>1</w:t>
      </w:r>
      <w:r w:rsidR="000D2FDA">
        <w:fldChar w:fldCharType="end"/>
      </w:r>
      <w:r>
        <w:t>.</w:t>
      </w:r>
      <w:fldSimple w:instr=" SEQ Tabulka \* ARABIC \s 1 ">
        <w:r w:rsidR="00723DAB">
          <w:rPr>
            <w:noProof/>
          </w:rPr>
          <w:t>1</w:t>
        </w:r>
      </w:fldSimple>
      <w:proofErr w:type="gramEnd"/>
      <w:r>
        <w:t xml:space="preserve"> </w:t>
      </w:r>
      <w:r w:rsidRPr="00FF6A29">
        <w:t>Podíl osob pod hranicí chudoby v roce 201</w:t>
      </w:r>
      <w:r w:rsidR="00A30C38">
        <w:t>2</w:t>
      </w:r>
      <w:r w:rsidRPr="00FF6A29">
        <w:t xml:space="preserve"> (%)</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00"/>
        <w:gridCol w:w="2423"/>
        <w:gridCol w:w="1701"/>
        <w:gridCol w:w="1842"/>
      </w:tblGrid>
      <w:tr w:rsidR="0058011E" w:rsidRPr="00FD7FF7" w:rsidTr="001370AA">
        <w:trPr>
          <w:trHeight w:val="483"/>
          <w:jc w:val="center"/>
        </w:trPr>
        <w:tc>
          <w:tcPr>
            <w:tcW w:w="3823" w:type="dxa"/>
            <w:gridSpan w:val="2"/>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1701"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Pod hranicí chudoby</w:t>
            </w:r>
          </w:p>
        </w:tc>
        <w:tc>
          <w:tcPr>
            <w:tcW w:w="1842"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Nad hranicí chudoby</w:t>
            </w:r>
          </w:p>
        </w:tc>
      </w:tr>
      <w:tr w:rsidR="0058011E" w:rsidRPr="00FD7FF7" w:rsidTr="001370AA">
        <w:trPr>
          <w:trHeight w:val="315"/>
          <w:jc w:val="center"/>
        </w:trPr>
        <w:tc>
          <w:tcPr>
            <w:tcW w:w="3823" w:type="dxa"/>
            <w:gridSpan w:val="2"/>
            <w:shd w:val="clear" w:color="000000" w:fill="FCE4D6"/>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Celkem</w:t>
            </w:r>
          </w:p>
        </w:tc>
        <w:tc>
          <w:tcPr>
            <w:tcW w:w="1701" w:type="dxa"/>
            <w:shd w:val="clear" w:color="000000" w:fill="FCE4D6"/>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8,6</w:t>
            </w:r>
          </w:p>
        </w:tc>
        <w:tc>
          <w:tcPr>
            <w:tcW w:w="1842" w:type="dxa"/>
            <w:shd w:val="clear" w:color="000000" w:fill="FCE4D6"/>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91,4</w:t>
            </w:r>
          </w:p>
        </w:tc>
      </w:tr>
      <w:tr w:rsidR="0058011E" w:rsidRPr="00FD7FF7" w:rsidTr="001370AA">
        <w:trPr>
          <w:trHeight w:val="315"/>
          <w:jc w:val="center"/>
        </w:trPr>
        <w:tc>
          <w:tcPr>
            <w:tcW w:w="1400" w:type="dxa"/>
            <w:vMerge w:val="restart"/>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Pohlaví</w:t>
            </w:r>
          </w:p>
        </w:tc>
        <w:tc>
          <w:tcPr>
            <w:tcW w:w="2423"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muž</w:t>
            </w:r>
          </w:p>
        </w:tc>
        <w:tc>
          <w:tcPr>
            <w:tcW w:w="1701"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7,7</w:t>
            </w:r>
          </w:p>
        </w:tc>
        <w:tc>
          <w:tcPr>
            <w:tcW w:w="1842"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92,3</w:t>
            </w:r>
          </w:p>
        </w:tc>
      </w:tr>
      <w:tr w:rsidR="0058011E" w:rsidRPr="00FD7FF7" w:rsidTr="001370AA">
        <w:trPr>
          <w:trHeight w:val="300"/>
          <w:jc w:val="center"/>
        </w:trPr>
        <w:tc>
          <w:tcPr>
            <w:tcW w:w="1400" w:type="dxa"/>
            <w:vMerge/>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2423"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žena</w:t>
            </w:r>
          </w:p>
        </w:tc>
        <w:tc>
          <w:tcPr>
            <w:tcW w:w="1701"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9,4</w:t>
            </w:r>
          </w:p>
        </w:tc>
        <w:tc>
          <w:tcPr>
            <w:tcW w:w="1842"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90,6</w:t>
            </w:r>
          </w:p>
        </w:tc>
      </w:tr>
      <w:tr w:rsidR="0058011E" w:rsidRPr="00FD7FF7" w:rsidTr="001370AA">
        <w:trPr>
          <w:trHeight w:val="300"/>
          <w:jc w:val="center"/>
        </w:trPr>
        <w:tc>
          <w:tcPr>
            <w:tcW w:w="1400" w:type="dxa"/>
            <w:vMerge w:val="restart"/>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Věkové kategorie</w:t>
            </w:r>
          </w:p>
        </w:tc>
        <w:tc>
          <w:tcPr>
            <w:tcW w:w="2423"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do 17 let</w:t>
            </w:r>
          </w:p>
        </w:tc>
        <w:tc>
          <w:tcPr>
            <w:tcW w:w="1701"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11,3</w:t>
            </w:r>
          </w:p>
        </w:tc>
        <w:tc>
          <w:tcPr>
            <w:tcW w:w="1842"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88,7</w:t>
            </w:r>
          </w:p>
        </w:tc>
      </w:tr>
      <w:tr w:rsidR="0058011E" w:rsidRPr="00FD7FF7" w:rsidTr="001370AA">
        <w:trPr>
          <w:trHeight w:val="300"/>
          <w:jc w:val="center"/>
        </w:trPr>
        <w:tc>
          <w:tcPr>
            <w:tcW w:w="1400" w:type="dxa"/>
            <w:vMerge/>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2423"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18 - 24</w:t>
            </w:r>
          </w:p>
        </w:tc>
        <w:tc>
          <w:tcPr>
            <w:tcW w:w="1701"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11,4</w:t>
            </w:r>
          </w:p>
        </w:tc>
        <w:tc>
          <w:tcPr>
            <w:tcW w:w="1842"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88,6</w:t>
            </w:r>
          </w:p>
        </w:tc>
      </w:tr>
      <w:tr w:rsidR="0058011E" w:rsidRPr="00FD7FF7" w:rsidTr="001370AA">
        <w:trPr>
          <w:trHeight w:val="300"/>
          <w:jc w:val="center"/>
        </w:trPr>
        <w:tc>
          <w:tcPr>
            <w:tcW w:w="1400" w:type="dxa"/>
            <w:vMerge/>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2423"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25 - 49</w:t>
            </w:r>
          </w:p>
        </w:tc>
        <w:tc>
          <w:tcPr>
            <w:tcW w:w="1701"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8,1</w:t>
            </w:r>
          </w:p>
        </w:tc>
        <w:tc>
          <w:tcPr>
            <w:tcW w:w="1842"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91,9</w:t>
            </w:r>
          </w:p>
        </w:tc>
      </w:tr>
      <w:tr w:rsidR="0058011E" w:rsidRPr="00FD7FF7" w:rsidTr="001370AA">
        <w:trPr>
          <w:trHeight w:val="300"/>
          <w:jc w:val="center"/>
        </w:trPr>
        <w:tc>
          <w:tcPr>
            <w:tcW w:w="1400" w:type="dxa"/>
            <w:vMerge/>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2423"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50 - 64</w:t>
            </w:r>
          </w:p>
        </w:tc>
        <w:tc>
          <w:tcPr>
            <w:tcW w:w="1701"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8,3</w:t>
            </w:r>
          </w:p>
        </w:tc>
        <w:tc>
          <w:tcPr>
            <w:tcW w:w="1842"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91,7</w:t>
            </w:r>
          </w:p>
        </w:tc>
      </w:tr>
      <w:tr w:rsidR="0058011E" w:rsidRPr="00FD7FF7" w:rsidTr="001370AA">
        <w:trPr>
          <w:trHeight w:val="300"/>
          <w:jc w:val="center"/>
        </w:trPr>
        <w:tc>
          <w:tcPr>
            <w:tcW w:w="1400" w:type="dxa"/>
            <w:vMerge/>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2423"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65 a více</w:t>
            </w:r>
          </w:p>
        </w:tc>
        <w:tc>
          <w:tcPr>
            <w:tcW w:w="1701"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5,8</w:t>
            </w:r>
          </w:p>
        </w:tc>
        <w:tc>
          <w:tcPr>
            <w:tcW w:w="1842" w:type="dxa"/>
            <w:shd w:val="clear" w:color="000000" w:fill="FFFFFF"/>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94,2</w:t>
            </w:r>
          </w:p>
        </w:tc>
      </w:tr>
      <w:tr w:rsidR="0058011E" w:rsidRPr="00FD7FF7" w:rsidTr="001370AA">
        <w:trPr>
          <w:trHeight w:val="300"/>
          <w:jc w:val="center"/>
        </w:trPr>
        <w:tc>
          <w:tcPr>
            <w:tcW w:w="1400" w:type="dxa"/>
            <w:vMerge w:val="restart"/>
            <w:shd w:val="clear" w:color="000000" w:fill="FCE4D6"/>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Nejvyšší dokončené vzdělání - skupiny</w:t>
            </w:r>
          </w:p>
        </w:tc>
        <w:tc>
          <w:tcPr>
            <w:tcW w:w="2423" w:type="dxa"/>
            <w:shd w:val="clear" w:color="000000" w:fill="FCE4D6"/>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Základní</w:t>
            </w:r>
          </w:p>
        </w:tc>
        <w:tc>
          <w:tcPr>
            <w:tcW w:w="1701" w:type="dxa"/>
            <w:shd w:val="clear" w:color="000000" w:fill="FCE4D6"/>
            <w:vAlign w:val="center"/>
            <w:hideMark/>
          </w:tcPr>
          <w:p w:rsidR="0058011E" w:rsidRDefault="0058011E" w:rsidP="001370AA">
            <w:pPr>
              <w:spacing w:after="0" w:line="240" w:lineRule="auto"/>
              <w:jc w:val="center"/>
              <w:rPr>
                <w:rFonts w:ascii="Arial" w:eastAsia="Times New Roman" w:hAnsi="Arial" w:cs="Arial"/>
                <w:color w:val="000000"/>
                <w:sz w:val="18"/>
                <w:szCs w:val="18"/>
                <w:lang w:eastAsia="cs-CZ"/>
              </w:rPr>
            </w:pPr>
            <w:r>
              <w:rPr>
                <w:rFonts w:ascii="Arial" w:hAnsi="Arial" w:cs="Arial"/>
                <w:color w:val="000000"/>
                <w:sz w:val="18"/>
                <w:szCs w:val="18"/>
              </w:rPr>
              <w:t>18,2</w:t>
            </w:r>
          </w:p>
        </w:tc>
        <w:tc>
          <w:tcPr>
            <w:tcW w:w="1842" w:type="dxa"/>
            <w:shd w:val="clear" w:color="000000" w:fill="FCE4D6"/>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81,8</w:t>
            </w:r>
          </w:p>
        </w:tc>
      </w:tr>
      <w:tr w:rsidR="0058011E" w:rsidRPr="00FD7FF7" w:rsidTr="001370AA">
        <w:trPr>
          <w:trHeight w:val="316"/>
          <w:jc w:val="center"/>
        </w:trPr>
        <w:tc>
          <w:tcPr>
            <w:tcW w:w="1400" w:type="dxa"/>
            <w:vMerge/>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2423" w:type="dxa"/>
            <w:shd w:val="clear" w:color="000000" w:fill="FCE4D6"/>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Středoškolské bez maturity</w:t>
            </w:r>
          </w:p>
        </w:tc>
        <w:tc>
          <w:tcPr>
            <w:tcW w:w="1701" w:type="dxa"/>
            <w:shd w:val="clear" w:color="000000" w:fill="FCE4D6"/>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1842" w:type="dxa"/>
            <w:shd w:val="clear" w:color="000000" w:fill="FCE4D6"/>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90,2</w:t>
            </w:r>
          </w:p>
        </w:tc>
      </w:tr>
      <w:tr w:rsidR="0058011E" w:rsidRPr="00FD7FF7" w:rsidTr="001370AA">
        <w:trPr>
          <w:trHeight w:val="420"/>
          <w:jc w:val="center"/>
        </w:trPr>
        <w:tc>
          <w:tcPr>
            <w:tcW w:w="1400" w:type="dxa"/>
            <w:vMerge/>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2423" w:type="dxa"/>
            <w:shd w:val="clear" w:color="000000" w:fill="FCE4D6"/>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Středoškolské s maturitou</w:t>
            </w:r>
          </w:p>
        </w:tc>
        <w:tc>
          <w:tcPr>
            <w:tcW w:w="1701" w:type="dxa"/>
            <w:shd w:val="clear" w:color="000000" w:fill="FCE4D6"/>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1842" w:type="dxa"/>
            <w:shd w:val="clear" w:color="000000" w:fill="FCE4D6"/>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94,7</w:t>
            </w:r>
          </w:p>
        </w:tc>
      </w:tr>
      <w:tr w:rsidR="0058011E" w:rsidRPr="00FD7FF7" w:rsidTr="001370AA">
        <w:trPr>
          <w:trHeight w:val="413"/>
          <w:jc w:val="center"/>
        </w:trPr>
        <w:tc>
          <w:tcPr>
            <w:tcW w:w="1400" w:type="dxa"/>
            <w:vMerge/>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2423" w:type="dxa"/>
            <w:shd w:val="clear" w:color="000000" w:fill="FCE4D6"/>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Pr>
                <w:rFonts w:ascii="Arial Narrow" w:eastAsia="Times New Roman" w:hAnsi="Arial Narrow" w:cs="Arial"/>
                <w:color w:val="000000"/>
                <w:sz w:val="20"/>
                <w:szCs w:val="20"/>
                <w:lang w:eastAsia="cs-CZ"/>
              </w:rPr>
              <w:t>Terciární</w:t>
            </w:r>
          </w:p>
        </w:tc>
        <w:tc>
          <w:tcPr>
            <w:tcW w:w="1701" w:type="dxa"/>
            <w:shd w:val="clear" w:color="000000" w:fill="FCE4D6"/>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1842" w:type="dxa"/>
            <w:shd w:val="clear" w:color="000000" w:fill="FCE4D6"/>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98,2</w:t>
            </w:r>
          </w:p>
        </w:tc>
      </w:tr>
      <w:tr w:rsidR="0058011E" w:rsidRPr="00FD7FF7" w:rsidTr="001370AA">
        <w:trPr>
          <w:trHeight w:val="276"/>
          <w:jc w:val="center"/>
        </w:trPr>
        <w:tc>
          <w:tcPr>
            <w:tcW w:w="1400" w:type="dxa"/>
            <w:vMerge/>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p>
        </w:tc>
        <w:tc>
          <w:tcPr>
            <w:tcW w:w="2423" w:type="dxa"/>
            <w:shd w:val="clear" w:color="000000" w:fill="FCE4D6"/>
            <w:vAlign w:val="center"/>
            <w:hideMark/>
          </w:tcPr>
          <w:p w:rsidR="0058011E" w:rsidRPr="00FD7FF7" w:rsidRDefault="0058011E" w:rsidP="001370AA">
            <w:pPr>
              <w:spacing w:after="0" w:line="240" w:lineRule="auto"/>
              <w:jc w:val="center"/>
              <w:rPr>
                <w:rFonts w:ascii="Arial Narrow" w:eastAsia="Times New Roman" w:hAnsi="Arial Narrow" w:cs="Arial"/>
                <w:color w:val="000000"/>
                <w:sz w:val="20"/>
                <w:szCs w:val="20"/>
                <w:lang w:eastAsia="cs-CZ"/>
              </w:rPr>
            </w:pPr>
            <w:r w:rsidRPr="00FD7FF7">
              <w:rPr>
                <w:rFonts w:ascii="Arial Narrow" w:eastAsia="Times New Roman" w:hAnsi="Arial Narrow" w:cs="Arial"/>
                <w:color w:val="000000"/>
                <w:sz w:val="20"/>
                <w:szCs w:val="20"/>
                <w:lang w:eastAsia="cs-CZ"/>
              </w:rPr>
              <w:t>Děti do 18 let a studující do 26 let</w:t>
            </w:r>
          </w:p>
        </w:tc>
        <w:tc>
          <w:tcPr>
            <w:tcW w:w="1701" w:type="dxa"/>
            <w:shd w:val="clear" w:color="000000" w:fill="FCE4D6"/>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1842" w:type="dxa"/>
            <w:shd w:val="clear" w:color="000000" w:fill="FCE4D6"/>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88,5</w:t>
            </w:r>
          </w:p>
        </w:tc>
      </w:tr>
    </w:tbl>
    <w:p w:rsidR="00DD4E1D" w:rsidRPr="009D31DA" w:rsidRDefault="00DD4E1D" w:rsidP="00DD4E1D">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2013</w:t>
      </w:r>
    </w:p>
    <w:p w:rsidR="0058011E" w:rsidRDefault="0058011E" w:rsidP="0058011E">
      <w:pPr>
        <w:spacing w:after="120" w:line="288" w:lineRule="auto"/>
        <w:ind w:firstLine="284"/>
        <w:jc w:val="both"/>
        <w:rPr>
          <w:rFonts w:ascii="Arial Narrow" w:hAnsi="Arial Narrow" w:cs="Times New Roman"/>
          <w:sz w:val="24"/>
          <w:szCs w:val="32"/>
        </w:rPr>
      </w:pPr>
    </w:p>
    <w:p w:rsidR="0058011E" w:rsidRPr="00C95FFD" w:rsidRDefault="0058011E" w:rsidP="0058011E">
      <w:pPr>
        <w:spacing w:after="120" w:line="288" w:lineRule="auto"/>
        <w:ind w:firstLine="284"/>
        <w:jc w:val="both"/>
        <w:rPr>
          <w:rFonts w:ascii="Arial Narrow" w:hAnsi="Arial Narrow" w:cs="Times New Roman"/>
          <w:sz w:val="24"/>
          <w:szCs w:val="32"/>
        </w:rPr>
      </w:pPr>
      <w:r w:rsidRPr="00C95FFD">
        <w:rPr>
          <w:rFonts w:ascii="Arial Narrow" w:hAnsi="Arial Narrow" w:cs="Times New Roman"/>
          <w:sz w:val="24"/>
          <w:szCs w:val="32"/>
        </w:rPr>
        <w:t>Chudobou jsou častěji ohroženy ženy</w:t>
      </w:r>
      <w:r>
        <w:rPr>
          <w:rFonts w:ascii="Arial Narrow" w:hAnsi="Arial Narrow" w:cs="Times New Roman"/>
          <w:sz w:val="24"/>
          <w:szCs w:val="32"/>
        </w:rPr>
        <w:t xml:space="preserve"> (9,4 %) než muži (7,7 %)</w:t>
      </w:r>
      <w:r w:rsidR="001A6FEE">
        <w:rPr>
          <w:rFonts w:ascii="Arial Narrow" w:hAnsi="Arial Narrow" w:cs="Times New Roman"/>
          <w:sz w:val="24"/>
          <w:szCs w:val="32"/>
        </w:rPr>
        <w:t xml:space="preserve">, </w:t>
      </w:r>
      <w:r>
        <w:rPr>
          <w:rFonts w:ascii="Arial Narrow" w:hAnsi="Arial Narrow" w:cs="Times New Roman"/>
          <w:sz w:val="24"/>
          <w:szCs w:val="32"/>
        </w:rPr>
        <w:t>z věkových intervalů mladší</w:t>
      </w:r>
      <w:r w:rsidRPr="00C95FFD">
        <w:rPr>
          <w:rFonts w:ascii="Arial Narrow" w:hAnsi="Arial Narrow" w:cs="Times New Roman"/>
          <w:sz w:val="24"/>
          <w:szCs w:val="32"/>
        </w:rPr>
        <w:t xml:space="preserve"> osoby do 24 let. Bráno podle vzdělání, nejohroženější skupinou jsou osoby se základním vzděláním (18,2 %) nebo se středoškolským bez maturity (9,8 %). Nejméně ohrožené skupiny jsou muži, ve věku 25 až 64 let s </w:t>
      </w:r>
      <w:r>
        <w:rPr>
          <w:rFonts w:ascii="Arial Narrow" w:hAnsi="Arial Narrow" w:cs="Times New Roman"/>
          <w:sz w:val="24"/>
          <w:szCs w:val="32"/>
        </w:rPr>
        <w:t>terciárním</w:t>
      </w:r>
      <w:r w:rsidRPr="00C95FFD">
        <w:rPr>
          <w:rFonts w:ascii="Arial Narrow" w:hAnsi="Arial Narrow" w:cs="Times New Roman"/>
          <w:sz w:val="24"/>
          <w:szCs w:val="32"/>
        </w:rPr>
        <w:t xml:space="preserve"> vzděláním. Zvláštní skupinou jsou pak děti do 18 let a studující do 26 let. Tato skupina je ohrožena v 11,5 % případů.</w:t>
      </w:r>
    </w:p>
    <w:p w:rsidR="0058011E" w:rsidRPr="00355DA2" w:rsidRDefault="0058011E" w:rsidP="0058011E">
      <w:pPr>
        <w:pStyle w:val="1Podnadpis11"/>
        <w:numPr>
          <w:ilvl w:val="0"/>
          <w:numId w:val="0"/>
        </w:numPr>
        <w:ind w:left="576" w:hanging="576"/>
        <w:jc w:val="center"/>
        <w:rPr>
          <w:sz w:val="28"/>
          <w:szCs w:val="28"/>
        </w:rPr>
      </w:pPr>
      <w:r w:rsidRPr="00355DA2">
        <w:rPr>
          <w:sz w:val="28"/>
          <w:szCs w:val="28"/>
        </w:rPr>
        <w:t>České páry – homogenní podle vzdělání</w:t>
      </w:r>
    </w:p>
    <w:p w:rsidR="0058011E" w:rsidRPr="00BD62CC" w:rsidRDefault="0058011E" w:rsidP="0058011E">
      <w:pPr>
        <w:pStyle w:val="3GRAF"/>
      </w:pPr>
      <w:r w:rsidRPr="00BD62CC">
        <w:t xml:space="preserve">Tabulka </w:t>
      </w:r>
      <w:proofErr w:type="gramStart"/>
      <w:r w:rsidR="000D2FDA">
        <w:fldChar w:fldCharType="begin"/>
      </w:r>
      <w:r>
        <w:instrText xml:space="preserve"> STYLEREF 1 \s </w:instrText>
      </w:r>
      <w:r w:rsidR="000D2FDA">
        <w:fldChar w:fldCharType="separate"/>
      </w:r>
      <w:r w:rsidR="00723DAB">
        <w:rPr>
          <w:noProof/>
        </w:rPr>
        <w:t>1</w:t>
      </w:r>
      <w:r w:rsidR="000D2FDA">
        <w:fldChar w:fldCharType="end"/>
      </w:r>
      <w:r w:rsidRPr="00BD62CC">
        <w:t>.</w:t>
      </w:r>
      <w:fldSimple w:instr=" SEQ Tabulka \* ARABIC \s 1 ">
        <w:r w:rsidR="00723DAB">
          <w:rPr>
            <w:noProof/>
          </w:rPr>
          <w:t>2</w:t>
        </w:r>
      </w:fldSimple>
      <w:proofErr w:type="gramEnd"/>
      <w:r w:rsidRPr="00BD62CC">
        <w:t xml:space="preserve"> Podíly párů podle vzdělání partnerů (%)</w:t>
      </w:r>
    </w:p>
    <w:tbl>
      <w:tblPr>
        <w:tblStyle w:val="Mkatabulky"/>
        <w:tblW w:w="7991" w:type="dxa"/>
        <w:jc w:val="center"/>
        <w:tblLook w:val="04A0"/>
      </w:tblPr>
      <w:tblGrid>
        <w:gridCol w:w="559"/>
        <w:gridCol w:w="2413"/>
        <w:gridCol w:w="909"/>
        <w:gridCol w:w="1350"/>
        <w:gridCol w:w="1350"/>
        <w:gridCol w:w="1410"/>
      </w:tblGrid>
      <w:tr w:rsidR="0058011E" w:rsidRPr="00BD62CC" w:rsidTr="001370AA">
        <w:trPr>
          <w:trHeight w:val="381"/>
          <w:jc w:val="center"/>
        </w:trPr>
        <w:tc>
          <w:tcPr>
            <w:tcW w:w="2972" w:type="dxa"/>
            <w:gridSpan w:val="2"/>
            <w:vMerge w:val="restart"/>
            <w:noWrap/>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p>
        </w:tc>
        <w:tc>
          <w:tcPr>
            <w:tcW w:w="5019" w:type="dxa"/>
            <w:gridSpan w:val="4"/>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sidRPr="00BD62CC">
              <w:rPr>
                <w:rFonts w:ascii="Arial Narrow" w:eastAsia="Times New Roman" w:hAnsi="Arial Narrow" w:cs="Times New Roman"/>
                <w:color w:val="000000"/>
                <w:lang w:eastAsia="cs-CZ"/>
              </w:rPr>
              <w:t>žena</w:t>
            </w:r>
          </w:p>
        </w:tc>
      </w:tr>
      <w:tr w:rsidR="0058011E" w:rsidRPr="00BD62CC" w:rsidTr="001370AA">
        <w:trPr>
          <w:trHeight w:val="750"/>
          <w:jc w:val="center"/>
        </w:trPr>
        <w:tc>
          <w:tcPr>
            <w:tcW w:w="2972" w:type="dxa"/>
            <w:gridSpan w:val="2"/>
            <w:vMerge/>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p>
        </w:tc>
        <w:tc>
          <w:tcPr>
            <w:tcW w:w="909" w:type="dxa"/>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sidRPr="00BD62CC">
              <w:rPr>
                <w:rFonts w:ascii="Arial Narrow" w:eastAsia="Times New Roman" w:hAnsi="Arial Narrow" w:cs="Times New Roman"/>
                <w:color w:val="000000"/>
                <w:lang w:eastAsia="cs-CZ"/>
              </w:rPr>
              <w:t>Základní</w:t>
            </w:r>
          </w:p>
        </w:tc>
        <w:tc>
          <w:tcPr>
            <w:tcW w:w="1350" w:type="dxa"/>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sidRPr="00BD62CC">
              <w:rPr>
                <w:rFonts w:ascii="Arial Narrow" w:eastAsia="Times New Roman" w:hAnsi="Arial Narrow" w:cs="Times New Roman"/>
                <w:color w:val="000000"/>
                <w:lang w:eastAsia="cs-CZ"/>
              </w:rPr>
              <w:t>Středoškolské bez maturity</w:t>
            </w:r>
          </w:p>
        </w:tc>
        <w:tc>
          <w:tcPr>
            <w:tcW w:w="1350" w:type="dxa"/>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sidRPr="00BD62CC">
              <w:rPr>
                <w:rFonts w:ascii="Arial Narrow" w:eastAsia="Times New Roman" w:hAnsi="Arial Narrow" w:cs="Times New Roman"/>
                <w:color w:val="000000"/>
                <w:lang w:eastAsia="cs-CZ"/>
              </w:rPr>
              <w:t>Středoškolské s maturitou</w:t>
            </w:r>
          </w:p>
        </w:tc>
        <w:tc>
          <w:tcPr>
            <w:tcW w:w="1410" w:type="dxa"/>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Pr>
                <w:rFonts w:ascii="Arial Narrow" w:eastAsia="Times New Roman" w:hAnsi="Arial Narrow" w:cs="Times New Roman"/>
                <w:color w:val="000000"/>
                <w:lang w:eastAsia="cs-CZ"/>
              </w:rPr>
              <w:t>Terciární</w:t>
            </w:r>
          </w:p>
        </w:tc>
      </w:tr>
      <w:tr w:rsidR="0058011E" w:rsidRPr="00BD62CC" w:rsidTr="001370AA">
        <w:trPr>
          <w:trHeight w:val="96"/>
          <w:jc w:val="center"/>
        </w:trPr>
        <w:tc>
          <w:tcPr>
            <w:tcW w:w="559" w:type="dxa"/>
            <w:vMerge w:val="restart"/>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sidRPr="00BD62CC">
              <w:rPr>
                <w:rFonts w:ascii="Arial Narrow" w:eastAsia="Times New Roman" w:hAnsi="Arial Narrow" w:cs="Times New Roman"/>
                <w:color w:val="000000"/>
                <w:lang w:eastAsia="cs-CZ"/>
              </w:rPr>
              <w:t>muž</w:t>
            </w:r>
          </w:p>
        </w:tc>
        <w:tc>
          <w:tcPr>
            <w:tcW w:w="2413" w:type="dxa"/>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sidRPr="00BD62CC">
              <w:rPr>
                <w:rFonts w:ascii="Arial Narrow" w:eastAsia="Times New Roman" w:hAnsi="Arial Narrow" w:cs="Times New Roman"/>
                <w:color w:val="000000"/>
                <w:lang w:eastAsia="cs-CZ"/>
              </w:rPr>
              <w:t>Základní</w:t>
            </w:r>
          </w:p>
        </w:tc>
        <w:tc>
          <w:tcPr>
            <w:tcW w:w="909" w:type="dxa"/>
            <w:noWrap/>
            <w:vAlign w:val="center"/>
            <w:hideMark/>
          </w:tcPr>
          <w:p w:rsidR="0058011E" w:rsidRDefault="0058011E" w:rsidP="001370AA">
            <w:pPr>
              <w:spacing w:after="0" w:line="240" w:lineRule="auto"/>
              <w:jc w:val="center"/>
              <w:rPr>
                <w:rFonts w:ascii="Arial" w:eastAsia="Times New Roman" w:hAnsi="Arial" w:cs="Arial"/>
                <w:color w:val="000000"/>
                <w:sz w:val="18"/>
                <w:szCs w:val="18"/>
                <w:lang w:eastAsia="cs-CZ"/>
              </w:rPr>
            </w:pPr>
            <w:r>
              <w:rPr>
                <w:rFonts w:ascii="Arial" w:hAnsi="Arial" w:cs="Arial"/>
                <w:color w:val="000000"/>
                <w:sz w:val="18"/>
                <w:szCs w:val="18"/>
              </w:rPr>
              <w:t>2,7</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0,8</w:t>
            </w:r>
          </w:p>
        </w:tc>
        <w:tc>
          <w:tcPr>
            <w:tcW w:w="141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0,1</w:t>
            </w:r>
          </w:p>
        </w:tc>
      </w:tr>
      <w:tr w:rsidR="0058011E" w:rsidRPr="00BD62CC" w:rsidTr="001370AA">
        <w:trPr>
          <w:trHeight w:val="62"/>
          <w:jc w:val="center"/>
        </w:trPr>
        <w:tc>
          <w:tcPr>
            <w:tcW w:w="559" w:type="dxa"/>
            <w:vMerge/>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p>
        </w:tc>
        <w:tc>
          <w:tcPr>
            <w:tcW w:w="2413" w:type="dxa"/>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sidRPr="00BD62CC">
              <w:rPr>
                <w:rFonts w:ascii="Arial Narrow" w:eastAsia="Times New Roman" w:hAnsi="Arial Narrow" w:cs="Times New Roman"/>
                <w:color w:val="000000"/>
                <w:lang w:eastAsia="cs-CZ"/>
              </w:rPr>
              <w:t>Středoškolské bez maturity</w:t>
            </w:r>
          </w:p>
        </w:tc>
        <w:tc>
          <w:tcPr>
            <w:tcW w:w="90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23,6</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141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2,0</w:t>
            </w:r>
          </w:p>
        </w:tc>
      </w:tr>
      <w:tr w:rsidR="0058011E" w:rsidRPr="00BD62CC" w:rsidTr="001370AA">
        <w:trPr>
          <w:trHeight w:val="62"/>
          <w:jc w:val="center"/>
        </w:trPr>
        <w:tc>
          <w:tcPr>
            <w:tcW w:w="559" w:type="dxa"/>
            <w:vMerge/>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p>
        </w:tc>
        <w:tc>
          <w:tcPr>
            <w:tcW w:w="2413" w:type="dxa"/>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sidRPr="00BD62CC">
              <w:rPr>
                <w:rFonts w:ascii="Arial Narrow" w:eastAsia="Times New Roman" w:hAnsi="Arial Narrow" w:cs="Times New Roman"/>
                <w:color w:val="000000"/>
                <w:lang w:eastAsia="cs-CZ"/>
              </w:rPr>
              <w:t>Středoškolské s maturitou</w:t>
            </w:r>
          </w:p>
        </w:tc>
        <w:tc>
          <w:tcPr>
            <w:tcW w:w="90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141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4,0</w:t>
            </w:r>
          </w:p>
        </w:tc>
      </w:tr>
      <w:tr w:rsidR="0058011E" w:rsidRPr="00BD62CC" w:rsidTr="001370AA">
        <w:trPr>
          <w:trHeight w:val="82"/>
          <w:jc w:val="center"/>
        </w:trPr>
        <w:tc>
          <w:tcPr>
            <w:tcW w:w="559" w:type="dxa"/>
            <w:vMerge/>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p>
        </w:tc>
        <w:tc>
          <w:tcPr>
            <w:tcW w:w="2413" w:type="dxa"/>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r>
              <w:rPr>
                <w:rFonts w:ascii="Arial Narrow" w:eastAsia="Times New Roman" w:hAnsi="Arial Narrow" w:cs="Times New Roman"/>
                <w:color w:val="000000"/>
                <w:lang w:eastAsia="cs-CZ"/>
              </w:rPr>
              <w:t>Terciární</w:t>
            </w:r>
          </w:p>
        </w:tc>
        <w:tc>
          <w:tcPr>
            <w:tcW w:w="90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141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8,3</w:t>
            </w:r>
          </w:p>
        </w:tc>
      </w:tr>
    </w:tbl>
    <w:bookmarkEnd w:id="2"/>
    <w:bookmarkEnd w:id="3"/>
    <w:p w:rsidR="00DD4E1D" w:rsidRPr="009D31DA" w:rsidRDefault="00DD4E1D" w:rsidP="00DD4E1D">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2013</w:t>
      </w:r>
    </w:p>
    <w:p w:rsidR="0058011E" w:rsidRDefault="0058011E" w:rsidP="0058011E">
      <w:pPr>
        <w:spacing w:after="120" w:line="288" w:lineRule="auto"/>
        <w:ind w:firstLine="284"/>
        <w:jc w:val="both"/>
        <w:rPr>
          <w:rFonts w:ascii="Arial Narrow" w:hAnsi="Arial Narrow" w:cs="Times New Roman"/>
          <w:sz w:val="24"/>
          <w:szCs w:val="32"/>
        </w:rPr>
      </w:pPr>
    </w:p>
    <w:p w:rsidR="0058011E" w:rsidRDefault="0058011E" w:rsidP="0058011E">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Tato tabulka</w:t>
      </w:r>
      <w:r w:rsidRPr="00BD62CC">
        <w:rPr>
          <w:rFonts w:ascii="Arial Narrow" w:hAnsi="Arial Narrow" w:cs="Times New Roman"/>
          <w:sz w:val="24"/>
          <w:szCs w:val="32"/>
        </w:rPr>
        <w:t xml:space="preserve"> se zaměř</w:t>
      </w:r>
      <w:r>
        <w:rPr>
          <w:rFonts w:ascii="Arial Narrow" w:hAnsi="Arial Narrow" w:cs="Times New Roman"/>
          <w:sz w:val="24"/>
          <w:szCs w:val="32"/>
        </w:rPr>
        <w:t>uje</w:t>
      </w:r>
      <w:r w:rsidRPr="00BD62CC">
        <w:rPr>
          <w:rFonts w:ascii="Arial Narrow" w:hAnsi="Arial Narrow" w:cs="Times New Roman"/>
          <w:sz w:val="24"/>
          <w:szCs w:val="32"/>
        </w:rPr>
        <w:t xml:space="preserve"> p</w:t>
      </w:r>
      <w:r>
        <w:rPr>
          <w:rFonts w:ascii="Arial Narrow" w:hAnsi="Arial Narrow" w:cs="Times New Roman"/>
          <w:sz w:val="24"/>
          <w:szCs w:val="32"/>
        </w:rPr>
        <w:t>ouze na osoby, které deklarovaly</w:t>
      </w:r>
      <w:r w:rsidRPr="00BD62CC">
        <w:rPr>
          <w:rFonts w:ascii="Arial Narrow" w:hAnsi="Arial Narrow" w:cs="Times New Roman"/>
          <w:sz w:val="24"/>
          <w:szCs w:val="32"/>
        </w:rPr>
        <w:t>, že žijí s partnerem. V rámci analýzy vzdělání partnerů a ohrožení chudobou jsme se zaměřili na to, jaké páry v ČR převažují.</w:t>
      </w:r>
      <w:r w:rsidR="004B23FE">
        <w:rPr>
          <w:rFonts w:ascii="Arial Narrow" w:hAnsi="Arial Narrow" w:cs="Times New Roman"/>
          <w:sz w:val="24"/>
          <w:szCs w:val="32"/>
        </w:rPr>
        <w:t xml:space="preserve"> </w:t>
      </w:r>
      <w:r w:rsidRPr="00BD62CC">
        <w:rPr>
          <w:rFonts w:ascii="Arial Narrow" w:hAnsi="Arial Narrow" w:cs="Times New Roman"/>
          <w:sz w:val="24"/>
          <w:szCs w:val="32"/>
        </w:rPr>
        <w:t xml:space="preserve">Zda jsou partneři ve vzdělání </w:t>
      </w:r>
      <w:r>
        <w:rPr>
          <w:rFonts w:ascii="Arial Narrow" w:hAnsi="Arial Narrow" w:cs="Times New Roman"/>
          <w:sz w:val="24"/>
          <w:szCs w:val="32"/>
        </w:rPr>
        <w:t>homogenní (oba partneři se stejným, nebo podobným, stupněm vzdělání)</w:t>
      </w:r>
      <w:r w:rsidRPr="00BD62CC">
        <w:rPr>
          <w:rFonts w:ascii="Arial Narrow" w:hAnsi="Arial Narrow" w:cs="Times New Roman"/>
          <w:sz w:val="24"/>
          <w:szCs w:val="32"/>
        </w:rPr>
        <w:t xml:space="preserve">, nebo zda </w:t>
      </w:r>
      <w:r>
        <w:rPr>
          <w:rFonts w:ascii="Arial Narrow" w:hAnsi="Arial Narrow" w:cs="Times New Roman"/>
          <w:sz w:val="24"/>
          <w:szCs w:val="32"/>
        </w:rPr>
        <w:t xml:space="preserve">se stupeň vzdělání u partnerů liší. </w:t>
      </w:r>
    </w:p>
    <w:p w:rsidR="001A6FEE" w:rsidRDefault="0058011E" w:rsidP="0058011E">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Podle odhadů šetření Životní podmínky</w:t>
      </w:r>
      <w:r w:rsidR="00EE7E07">
        <w:rPr>
          <w:rFonts w:ascii="Arial Narrow" w:hAnsi="Arial Narrow" w:cs="Times New Roman"/>
          <w:sz w:val="24"/>
          <w:szCs w:val="32"/>
        </w:rPr>
        <w:t>/</w:t>
      </w:r>
      <w:r>
        <w:rPr>
          <w:rFonts w:ascii="Arial Narrow" w:hAnsi="Arial Narrow" w:cs="Times New Roman"/>
          <w:sz w:val="24"/>
          <w:szCs w:val="32"/>
        </w:rPr>
        <w:t xml:space="preserve">SILC existuje v České republice 52,3 % párů, kde mají partneři stejné nejvyšší dokončené vzdělání. Dalších 42,1 % párů se liší maximálně o jeden stupeň vzdělání. </w:t>
      </w:r>
    </w:p>
    <w:p w:rsidR="0058011E" w:rsidRDefault="0058011E" w:rsidP="0058011E">
      <w:pPr>
        <w:spacing w:after="120" w:line="288" w:lineRule="auto"/>
        <w:ind w:firstLine="284"/>
        <w:jc w:val="both"/>
        <w:rPr>
          <w:rFonts w:ascii="Arial Narrow" w:hAnsi="Arial Narrow" w:cs="Times New Roman"/>
          <w:sz w:val="24"/>
          <w:szCs w:val="32"/>
        </w:rPr>
      </w:pPr>
      <w:r w:rsidRPr="00BD62CC">
        <w:rPr>
          <w:rFonts w:ascii="Arial Narrow" w:hAnsi="Arial Narrow" w:cs="Times New Roman"/>
          <w:sz w:val="24"/>
          <w:szCs w:val="32"/>
        </w:rPr>
        <w:t>Nejčastěji se v populaci vyskytují páry, kde mají oba partneři středoškolské vzdělání bez maturity (</w:t>
      </w:r>
      <w:r>
        <w:rPr>
          <w:rFonts w:ascii="Arial Narrow" w:hAnsi="Arial Narrow" w:cs="Times New Roman"/>
          <w:sz w:val="24"/>
          <w:szCs w:val="32"/>
        </w:rPr>
        <w:t>23,6 </w:t>
      </w:r>
      <w:r w:rsidRPr="00BD62CC">
        <w:rPr>
          <w:rFonts w:ascii="Arial Narrow" w:hAnsi="Arial Narrow" w:cs="Times New Roman"/>
          <w:sz w:val="24"/>
          <w:szCs w:val="32"/>
        </w:rPr>
        <w:t>%) nebo středoškolské vzdělání s maturitou (</w:t>
      </w:r>
      <w:r>
        <w:rPr>
          <w:rFonts w:ascii="Arial Narrow" w:hAnsi="Arial Narrow" w:cs="Times New Roman"/>
          <w:sz w:val="24"/>
          <w:szCs w:val="32"/>
        </w:rPr>
        <w:t>17,7</w:t>
      </w:r>
      <w:r w:rsidRPr="00BD62CC">
        <w:rPr>
          <w:rFonts w:ascii="Arial Narrow" w:hAnsi="Arial Narrow" w:cs="Times New Roman"/>
          <w:sz w:val="24"/>
          <w:szCs w:val="32"/>
        </w:rPr>
        <w:t xml:space="preserve"> %).</w:t>
      </w:r>
      <w:r w:rsidR="004B23FE">
        <w:rPr>
          <w:rFonts w:ascii="Arial Narrow" w:hAnsi="Arial Narrow" w:cs="Times New Roman"/>
          <w:sz w:val="24"/>
          <w:szCs w:val="32"/>
        </w:rPr>
        <w:t xml:space="preserve"> </w:t>
      </w:r>
      <w:r w:rsidRPr="00BD62CC">
        <w:rPr>
          <w:rFonts w:ascii="Arial Narrow" w:hAnsi="Arial Narrow" w:cs="Times New Roman"/>
          <w:sz w:val="24"/>
          <w:szCs w:val="32"/>
        </w:rPr>
        <w:t>Minimálně se vyskytují páry, kde by měl muž pouze základní vzd</w:t>
      </w:r>
      <w:r>
        <w:rPr>
          <w:rFonts w:ascii="Arial Narrow" w:hAnsi="Arial Narrow" w:cs="Times New Roman"/>
          <w:sz w:val="24"/>
          <w:szCs w:val="32"/>
        </w:rPr>
        <w:t>ělání a žena terciární</w:t>
      </w:r>
      <w:r w:rsidRPr="00BD62CC">
        <w:rPr>
          <w:rFonts w:ascii="Arial Narrow" w:hAnsi="Arial Narrow" w:cs="Times New Roman"/>
          <w:sz w:val="24"/>
          <w:szCs w:val="32"/>
        </w:rPr>
        <w:t>.</w:t>
      </w:r>
    </w:p>
    <w:p w:rsidR="0058011E" w:rsidRPr="0058011E" w:rsidRDefault="0058011E" w:rsidP="0058011E">
      <w:pPr>
        <w:pStyle w:val="1Podnadpis11"/>
        <w:numPr>
          <w:ilvl w:val="0"/>
          <w:numId w:val="0"/>
        </w:numPr>
        <w:ind w:left="576" w:hanging="576"/>
        <w:jc w:val="center"/>
        <w:rPr>
          <w:sz w:val="28"/>
          <w:szCs w:val="28"/>
        </w:rPr>
      </w:pPr>
      <w:r w:rsidRPr="0058011E">
        <w:rPr>
          <w:sz w:val="28"/>
          <w:szCs w:val="28"/>
        </w:rPr>
        <w:t>Homogenita párů dle vzdělání zesiluje vliv vzdělání na ohrožení chudobou</w:t>
      </w:r>
    </w:p>
    <w:p w:rsidR="0058011E" w:rsidRDefault="0058011E" w:rsidP="0058011E">
      <w:pPr>
        <w:pStyle w:val="3GRAF"/>
      </w:pPr>
      <w:bookmarkStart w:id="5" w:name="_Toc397242162"/>
      <w:r>
        <w:t xml:space="preserve">Tabulka </w:t>
      </w:r>
      <w:proofErr w:type="gramStart"/>
      <w:r w:rsidR="000D2FDA">
        <w:fldChar w:fldCharType="begin"/>
      </w:r>
      <w:r>
        <w:instrText xml:space="preserve"> STYLEREF 1 \s </w:instrText>
      </w:r>
      <w:r w:rsidR="000D2FDA">
        <w:fldChar w:fldCharType="separate"/>
      </w:r>
      <w:r w:rsidR="00723DAB">
        <w:rPr>
          <w:noProof/>
        </w:rPr>
        <w:t>1</w:t>
      </w:r>
      <w:r w:rsidR="000D2FDA">
        <w:fldChar w:fldCharType="end"/>
      </w:r>
      <w:r>
        <w:t>.</w:t>
      </w:r>
      <w:fldSimple w:instr=" SEQ Tabulka \* ARABIC \s 1 ">
        <w:r w:rsidR="00723DAB">
          <w:rPr>
            <w:noProof/>
          </w:rPr>
          <w:t>3</w:t>
        </w:r>
      </w:fldSimple>
      <w:proofErr w:type="gramEnd"/>
      <w:r>
        <w:t xml:space="preserve"> </w:t>
      </w:r>
      <w:r w:rsidRPr="00CD7DCF">
        <w:t>Riziko ohrožení chudobou párů (%)</w:t>
      </w:r>
    </w:p>
    <w:tbl>
      <w:tblPr>
        <w:tblStyle w:val="Mkatabulky"/>
        <w:tblW w:w="9252" w:type="dxa"/>
        <w:jc w:val="center"/>
        <w:tblLook w:val="04A0"/>
      </w:tblPr>
      <w:tblGrid>
        <w:gridCol w:w="619"/>
        <w:gridCol w:w="2495"/>
        <w:gridCol w:w="909"/>
        <w:gridCol w:w="1350"/>
        <w:gridCol w:w="1350"/>
        <w:gridCol w:w="1410"/>
        <w:gridCol w:w="1119"/>
      </w:tblGrid>
      <w:tr w:rsidR="0058011E" w:rsidRPr="00BD62CC" w:rsidTr="00DD4E1D">
        <w:trPr>
          <w:trHeight w:val="495"/>
          <w:jc w:val="center"/>
        </w:trPr>
        <w:tc>
          <w:tcPr>
            <w:tcW w:w="3114" w:type="dxa"/>
            <w:gridSpan w:val="2"/>
            <w:vMerge w:val="restart"/>
            <w:noWrap/>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p>
        </w:tc>
        <w:tc>
          <w:tcPr>
            <w:tcW w:w="6138" w:type="dxa"/>
            <w:gridSpan w:val="5"/>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r w:rsidRPr="00BD62CC">
              <w:rPr>
                <w:rFonts w:ascii="Arial Narrow" w:eastAsia="Times New Roman" w:hAnsi="Arial Narrow" w:cs="Arial"/>
                <w:color w:val="000000"/>
                <w:lang w:eastAsia="cs-CZ"/>
              </w:rPr>
              <w:t>žena</w:t>
            </w:r>
          </w:p>
        </w:tc>
      </w:tr>
      <w:tr w:rsidR="0058011E" w:rsidRPr="00BD62CC" w:rsidTr="00DD4E1D">
        <w:trPr>
          <w:trHeight w:val="750"/>
          <w:jc w:val="center"/>
        </w:trPr>
        <w:tc>
          <w:tcPr>
            <w:tcW w:w="3114" w:type="dxa"/>
            <w:gridSpan w:val="2"/>
            <w:vMerge/>
            <w:vAlign w:val="center"/>
            <w:hideMark/>
          </w:tcPr>
          <w:p w:rsidR="0058011E" w:rsidRPr="00BD62CC" w:rsidRDefault="0058011E" w:rsidP="001370AA">
            <w:pPr>
              <w:spacing w:after="0" w:line="240" w:lineRule="auto"/>
              <w:jc w:val="center"/>
              <w:rPr>
                <w:rFonts w:ascii="Arial Narrow" w:eastAsia="Times New Roman" w:hAnsi="Arial Narrow" w:cs="Times New Roman"/>
                <w:color w:val="000000"/>
                <w:lang w:eastAsia="cs-CZ"/>
              </w:rPr>
            </w:pPr>
          </w:p>
        </w:tc>
        <w:tc>
          <w:tcPr>
            <w:tcW w:w="909" w:type="dxa"/>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r w:rsidRPr="00BD62CC">
              <w:rPr>
                <w:rFonts w:ascii="Arial Narrow" w:eastAsia="Times New Roman" w:hAnsi="Arial Narrow" w:cs="Arial"/>
                <w:color w:val="000000"/>
                <w:lang w:eastAsia="cs-CZ"/>
              </w:rPr>
              <w:t>Základní</w:t>
            </w:r>
          </w:p>
        </w:tc>
        <w:tc>
          <w:tcPr>
            <w:tcW w:w="1350" w:type="dxa"/>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r w:rsidRPr="00BD62CC">
              <w:rPr>
                <w:rFonts w:ascii="Arial Narrow" w:eastAsia="Times New Roman" w:hAnsi="Arial Narrow" w:cs="Arial"/>
                <w:color w:val="000000"/>
                <w:lang w:eastAsia="cs-CZ"/>
              </w:rPr>
              <w:t>Středoškolské bez maturity</w:t>
            </w:r>
          </w:p>
        </w:tc>
        <w:tc>
          <w:tcPr>
            <w:tcW w:w="1350" w:type="dxa"/>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r w:rsidRPr="00BD62CC">
              <w:rPr>
                <w:rFonts w:ascii="Arial Narrow" w:eastAsia="Times New Roman" w:hAnsi="Arial Narrow" w:cs="Arial"/>
                <w:color w:val="000000"/>
                <w:lang w:eastAsia="cs-CZ"/>
              </w:rPr>
              <w:t>Středoškolské s maturitou</w:t>
            </w:r>
          </w:p>
        </w:tc>
        <w:tc>
          <w:tcPr>
            <w:tcW w:w="1410" w:type="dxa"/>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r>
              <w:rPr>
                <w:rFonts w:ascii="Arial Narrow" w:eastAsia="Times New Roman" w:hAnsi="Arial Narrow" w:cs="Times New Roman"/>
                <w:color w:val="000000"/>
                <w:lang w:eastAsia="cs-CZ"/>
              </w:rPr>
              <w:t>Terciární</w:t>
            </w:r>
          </w:p>
        </w:tc>
        <w:tc>
          <w:tcPr>
            <w:tcW w:w="1119" w:type="dxa"/>
            <w:vAlign w:val="center"/>
            <w:hideMark/>
          </w:tcPr>
          <w:p w:rsidR="0058011E" w:rsidRPr="00BD62CC" w:rsidRDefault="00BB27E2" w:rsidP="001370AA">
            <w:pPr>
              <w:spacing w:after="0" w:line="240" w:lineRule="auto"/>
              <w:jc w:val="center"/>
              <w:rPr>
                <w:rFonts w:ascii="Arial Narrow" w:eastAsia="Times New Roman" w:hAnsi="Arial Narrow" w:cs="Arial"/>
                <w:color w:val="000000"/>
                <w:lang w:eastAsia="cs-CZ"/>
              </w:rPr>
            </w:pPr>
            <w:r>
              <w:rPr>
                <w:rFonts w:ascii="Arial Narrow" w:eastAsia="Times New Roman" w:hAnsi="Arial Narrow" w:cs="Arial"/>
                <w:color w:val="000000"/>
                <w:lang w:eastAsia="cs-CZ"/>
              </w:rPr>
              <w:t>Všechny tři kategorie dohromady</w:t>
            </w:r>
          </w:p>
        </w:tc>
      </w:tr>
      <w:tr w:rsidR="0058011E" w:rsidRPr="00BD62CC" w:rsidTr="00DD4E1D">
        <w:trPr>
          <w:trHeight w:val="300"/>
          <w:jc w:val="center"/>
        </w:trPr>
        <w:tc>
          <w:tcPr>
            <w:tcW w:w="619" w:type="dxa"/>
            <w:vMerge w:val="restart"/>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r w:rsidRPr="00BD62CC">
              <w:rPr>
                <w:rFonts w:ascii="Arial Narrow" w:eastAsia="Times New Roman" w:hAnsi="Arial Narrow" w:cs="Arial"/>
                <w:color w:val="000000"/>
                <w:lang w:eastAsia="cs-CZ"/>
              </w:rPr>
              <w:t>muž</w:t>
            </w:r>
          </w:p>
        </w:tc>
        <w:tc>
          <w:tcPr>
            <w:tcW w:w="2495" w:type="dxa"/>
            <w:vAlign w:val="center"/>
            <w:hideMark/>
          </w:tcPr>
          <w:p w:rsidR="0058011E" w:rsidRPr="00BD62CC" w:rsidRDefault="0058011E" w:rsidP="001370AA">
            <w:pPr>
              <w:spacing w:after="120" w:line="240" w:lineRule="auto"/>
              <w:jc w:val="center"/>
              <w:rPr>
                <w:rFonts w:ascii="Arial Narrow" w:eastAsia="Times New Roman" w:hAnsi="Arial Narrow" w:cs="Arial"/>
                <w:color w:val="000000"/>
                <w:lang w:eastAsia="cs-CZ"/>
              </w:rPr>
            </w:pPr>
            <w:r w:rsidRPr="00BD62CC">
              <w:rPr>
                <w:rFonts w:ascii="Arial Narrow" w:eastAsia="Times New Roman" w:hAnsi="Arial Narrow" w:cs="Arial"/>
                <w:color w:val="000000"/>
                <w:lang w:eastAsia="cs-CZ"/>
              </w:rPr>
              <w:t>Základní</w:t>
            </w:r>
          </w:p>
        </w:tc>
        <w:tc>
          <w:tcPr>
            <w:tcW w:w="909" w:type="dxa"/>
            <w:noWrap/>
            <w:vAlign w:val="center"/>
            <w:hideMark/>
          </w:tcPr>
          <w:p w:rsidR="0058011E" w:rsidRDefault="0058011E" w:rsidP="001370AA">
            <w:pPr>
              <w:spacing w:after="0" w:line="240" w:lineRule="auto"/>
              <w:jc w:val="center"/>
              <w:rPr>
                <w:rFonts w:ascii="Arial" w:eastAsia="Times New Roman" w:hAnsi="Arial" w:cs="Arial"/>
                <w:color w:val="000000"/>
                <w:sz w:val="18"/>
                <w:szCs w:val="18"/>
                <w:lang w:eastAsia="cs-CZ"/>
              </w:rPr>
            </w:pPr>
            <w:r>
              <w:rPr>
                <w:rFonts w:ascii="Arial" w:hAnsi="Arial" w:cs="Arial"/>
                <w:color w:val="000000"/>
                <w:sz w:val="18"/>
                <w:szCs w:val="18"/>
              </w:rPr>
              <w:t>21,4</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141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11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18,6</w:t>
            </w:r>
          </w:p>
        </w:tc>
      </w:tr>
      <w:tr w:rsidR="0058011E" w:rsidRPr="00BD62CC" w:rsidTr="00DD4E1D">
        <w:trPr>
          <w:trHeight w:val="67"/>
          <w:jc w:val="center"/>
        </w:trPr>
        <w:tc>
          <w:tcPr>
            <w:tcW w:w="619" w:type="dxa"/>
            <w:vMerge/>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p>
        </w:tc>
        <w:tc>
          <w:tcPr>
            <w:tcW w:w="2495" w:type="dxa"/>
            <w:vAlign w:val="center"/>
            <w:hideMark/>
          </w:tcPr>
          <w:p w:rsidR="0058011E" w:rsidRPr="00BD62CC" w:rsidRDefault="0058011E" w:rsidP="001370AA">
            <w:pPr>
              <w:spacing w:after="120" w:line="240" w:lineRule="auto"/>
              <w:jc w:val="center"/>
              <w:rPr>
                <w:rFonts w:ascii="Arial Narrow" w:eastAsia="Times New Roman" w:hAnsi="Arial Narrow" w:cs="Arial"/>
                <w:color w:val="000000"/>
                <w:lang w:eastAsia="cs-CZ"/>
              </w:rPr>
            </w:pPr>
            <w:r w:rsidRPr="00BD62CC">
              <w:rPr>
                <w:rFonts w:ascii="Arial Narrow" w:eastAsia="Times New Roman" w:hAnsi="Arial Narrow" w:cs="Arial"/>
                <w:color w:val="000000"/>
                <w:lang w:eastAsia="cs-CZ"/>
              </w:rPr>
              <w:t>Středoškolské bez maturity</w:t>
            </w:r>
          </w:p>
        </w:tc>
        <w:tc>
          <w:tcPr>
            <w:tcW w:w="90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141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11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6,8</w:t>
            </w:r>
          </w:p>
        </w:tc>
      </w:tr>
      <w:tr w:rsidR="0058011E" w:rsidRPr="00BD62CC" w:rsidTr="00DD4E1D">
        <w:trPr>
          <w:trHeight w:val="84"/>
          <w:jc w:val="center"/>
        </w:trPr>
        <w:tc>
          <w:tcPr>
            <w:tcW w:w="619" w:type="dxa"/>
            <w:vMerge/>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p>
        </w:tc>
        <w:tc>
          <w:tcPr>
            <w:tcW w:w="2495" w:type="dxa"/>
            <w:vAlign w:val="center"/>
            <w:hideMark/>
          </w:tcPr>
          <w:p w:rsidR="0058011E" w:rsidRPr="00BD62CC" w:rsidRDefault="0058011E" w:rsidP="001370AA">
            <w:pPr>
              <w:spacing w:after="120" w:line="240" w:lineRule="auto"/>
              <w:jc w:val="center"/>
              <w:rPr>
                <w:rFonts w:ascii="Arial Narrow" w:eastAsia="Times New Roman" w:hAnsi="Arial Narrow" w:cs="Arial"/>
                <w:color w:val="000000"/>
                <w:lang w:eastAsia="cs-CZ"/>
              </w:rPr>
            </w:pPr>
            <w:r w:rsidRPr="00BD62CC">
              <w:rPr>
                <w:rFonts w:ascii="Arial Narrow" w:eastAsia="Times New Roman" w:hAnsi="Arial Narrow" w:cs="Arial"/>
                <w:color w:val="000000"/>
                <w:lang w:eastAsia="cs-CZ"/>
              </w:rPr>
              <w:t>Středoškolské s maturitou</w:t>
            </w:r>
          </w:p>
        </w:tc>
        <w:tc>
          <w:tcPr>
            <w:tcW w:w="90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141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0,7</w:t>
            </w:r>
          </w:p>
        </w:tc>
        <w:tc>
          <w:tcPr>
            <w:tcW w:w="111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3,9</w:t>
            </w:r>
          </w:p>
        </w:tc>
      </w:tr>
      <w:tr w:rsidR="0058011E" w:rsidRPr="00BD62CC" w:rsidTr="00DD4E1D">
        <w:trPr>
          <w:trHeight w:val="103"/>
          <w:jc w:val="center"/>
        </w:trPr>
        <w:tc>
          <w:tcPr>
            <w:tcW w:w="619" w:type="dxa"/>
            <w:vMerge/>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p>
        </w:tc>
        <w:tc>
          <w:tcPr>
            <w:tcW w:w="2495" w:type="dxa"/>
            <w:vAlign w:val="center"/>
            <w:hideMark/>
          </w:tcPr>
          <w:p w:rsidR="0058011E" w:rsidRPr="00BD62CC" w:rsidRDefault="0058011E" w:rsidP="001370AA">
            <w:pPr>
              <w:spacing w:after="120" w:line="240" w:lineRule="auto"/>
              <w:jc w:val="center"/>
              <w:rPr>
                <w:rFonts w:ascii="Arial Narrow" w:eastAsia="Times New Roman" w:hAnsi="Arial Narrow" w:cs="Arial"/>
                <w:color w:val="000000"/>
                <w:lang w:eastAsia="cs-CZ"/>
              </w:rPr>
            </w:pPr>
            <w:r>
              <w:rPr>
                <w:rFonts w:ascii="Arial Narrow" w:eastAsia="Times New Roman" w:hAnsi="Arial Narrow" w:cs="Times New Roman"/>
                <w:color w:val="000000"/>
                <w:lang w:eastAsia="cs-CZ"/>
              </w:rPr>
              <w:t>Terciární</w:t>
            </w:r>
          </w:p>
        </w:tc>
        <w:tc>
          <w:tcPr>
            <w:tcW w:w="90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41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0,6</w:t>
            </w:r>
          </w:p>
        </w:tc>
        <w:tc>
          <w:tcPr>
            <w:tcW w:w="111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1,0</w:t>
            </w:r>
          </w:p>
        </w:tc>
      </w:tr>
      <w:tr w:rsidR="0058011E" w:rsidRPr="00BD62CC" w:rsidTr="00DD4E1D">
        <w:trPr>
          <w:trHeight w:val="300"/>
          <w:jc w:val="center"/>
        </w:trPr>
        <w:tc>
          <w:tcPr>
            <w:tcW w:w="619" w:type="dxa"/>
            <w:vMerge/>
            <w:vAlign w:val="center"/>
            <w:hideMark/>
          </w:tcPr>
          <w:p w:rsidR="0058011E" w:rsidRPr="00BD62CC" w:rsidRDefault="0058011E" w:rsidP="001370AA">
            <w:pPr>
              <w:spacing w:after="0" w:line="240" w:lineRule="auto"/>
              <w:jc w:val="center"/>
              <w:rPr>
                <w:rFonts w:ascii="Arial Narrow" w:eastAsia="Times New Roman" w:hAnsi="Arial Narrow" w:cs="Arial"/>
                <w:color w:val="000000"/>
                <w:lang w:eastAsia="cs-CZ"/>
              </w:rPr>
            </w:pPr>
          </w:p>
        </w:tc>
        <w:tc>
          <w:tcPr>
            <w:tcW w:w="2495" w:type="dxa"/>
            <w:vAlign w:val="center"/>
            <w:hideMark/>
          </w:tcPr>
          <w:p w:rsidR="0058011E" w:rsidRPr="00BD62CC" w:rsidRDefault="00BB27E2" w:rsidP="001370AA">
            <w:pPr>
              <w:spacing w:after="120" w:line="240" w:lineRule="auto"/>
              <w:jc w:val="center"/>
              <w:rPr>
                <w:rFonts w:ascii="Arial Narrow" w:eastAsia="Times New Roman" w:hAnsi="Arial Narrow" w:cs="Arial"/>
                <w:color w:val="000000"/>
                <w:lang w:eastAsia="cs-CZ"/>
              </w:rPr>
            </w:pPr>
            <w:r>
              <w:rPr>
                <w:rFonts w:ascii="Arial Narrow" w:eastAsia="Times New Roman" w:hAnsi="Arial Narrow" w:cs="Arial"/>
                <w:color w:val="000000"/>
                <w:lang w:eastAsia="cs-CZ"/>
              </w:rPr>
              <w:t>Všechny tři kategorie dohromady</w:t>
            </w:r>
          </w:p>
        </w:tc>
        <w:tc>
          <w:tcPr>
            <w:tcW w:w="90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135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1410"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0,7</w:t>
            </w:r>
          </w:p>
        </w:tc>
        <w:tc>
          <w:tcPr>
            <w:tcW w:w="1119" w:type="dxa"/>
            <w:noWrap/>
            <w:vAlign w:val="center"/>
            <w:hideMark/>
          </w:tcPr>
          <w:p w:rsidR="0058011E" w:rsidRDefault="0058011E" w:rsidP="001370AA">
            <w:pPr>
              <w:spacing w:after="0" w:line="240" w:lineRule="auto"/>
              <w:jc w:val="center"/>
              <w:rPr>
                <w:rFonts w:ascii="Arial" w:hAnsi="Arial" w:cs="Arial"/>
                <w:color w:val="000000"/>
                <w:sz w:val="18"/>
                <w:szCs w:val="18"/>
              </w:rPr>
            </w:pPr>
            <w:r>
              <w:rPr>
                <w:rFonts w:ascii="Arial" w:hAnsi="Arial" w:cs="Arial"/>
                <w:color w:val="000000"/>
                <w:sz w:val="18"/>
                <w:szCs w:val="18"/>
              </w:rPr>
              <w:t>5,5</w:t>
            </w:r>
          </w:p>
        </w:tc>
      </w:tr>
    </w:tbl>
    <w:p w:rsidR="00DD4E1D" w:rsidRPr="009D31DA" w:rsidRDefault="00DD4E1D" w:rsidP="00DD4E1D">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2013</w:t>
      </w:r>
    </w:p>
    <w:p w:rsidR="0058011E" w:rsidRDefault="0058011E" w:rsidP="0058011E">
      <w:pPr>
        <w:spacing w:after="0" w:line="240" w:lineRule="auto"/>
      </w:pPr>
    </w:p>
    <w:p w:rsidR="0058011E" w:rsidRDefault="0058011E" w:rsidP="0058011E">
      <w:pPr>
        <w:spacing w:after="120" w:line="288" w:lineRule="auto"/>
        <w:ind w:firstLine="284"/>
        <w:jc w:val="both"/>
        <w:rPr>
          <w:rFonts w:ascii="Arial Narrow" w:hAnsi="Arial Narrow" w:cs="Times New Roman"/>
          <w:sz w:val="24"/>
          <w:szCs w:val="32"/>
        </w:rPr>
      </w:pPr>
      <w:r w:rsidRPr="00C95FFD">
        <w:rPr>
          <w:rFonts w:ascii="Arial Narrow" w:hAnsi="Arial Narrow" w:cs="Times New Roman"/>
          <w:sz w:val="24"/>
          <w:szCs w:val="32"/>
        </w:rPr>
        <w:t>Na základě dat z </w:t>
      </w:r>
      <w:proofErr w:type="gramStart"/>
      <w:r w:rsidRPr="00C95FFD">
        <w:rPr>
          <w:rFonts w:ascii="Arial Narrow" w:hAnsi="Arial Narrow" w:cs="Times New Roman"/>
          <w:sz w:val="24"/>
          <w:szCs w:val="32"/>
        </w:rPr>
        <w:t>EU–SILC</w:t>
      </w:r>
      <w:proofErr w:type="gramEnd"/>
      <w:r w:rsidRPr="00C95FFD">
        <w:rPr>
          <w:rFonts w:ascii="Arial Narrow" w:hAnsi="Arial Narrow" w:cs="Times New Roman"/>
          <w:sz w:val="24"/>
          <w:szCs w:val="32"/>
        </w:rPr>
        <w:t xml:space="preserve"> </w:t>
      </w:r>
      <w:r>
        <w:rPr>
          <w:rFonts w:ascii="Arial Narrow" w:hAnsi="Arial Narrow" w:cs="Times New Roman"/>
          <w:sz w:val="24"/>
          <w:szCs w:val="32"/>
        </w:rPr>
        <w:t>lze odhadnout i</w:t>
      </w:r>
      <w:r w:rsidRPr="00C95FFD">
        <w:rPr>
          <w:rFonts w:ascii="Arial Narrow" w:hAnsi="Arial Narrow" w:cs="Times New Roman"/>
          <w:sz w:val="24"/>
          <w:szCs w:val="32"/>
        </w:rPr>
        <w:t xml:space="preserve"> podíl párů</w:t>
      </w:r>
      <w:r w:rsidR="00A30C38">
        <w:rPr>
          <w:rFonts w:ascii="Arial Narrow" w:hAnsi="Arial Narrow" w:cs="Times New Roman"/>
          <w:sz w:val="24"/>
          <w:szCs w:val="32"/>
        </w:rPr>
        <w:t xml:space="preserve"> pod hranicí chudoby v roce 2012</w:t>
      </w:r>
      <w:r w:rsidRPr="00C95FFD">
        <w:rPr>
          <w:rFonts w:ascii="Arial Narrow" w:hAnsi="Arial Narrow" w:cs="Times New Roman"/>
          <w:sz w:val="24"/>
          <w:szCs w:val="32"/>
        </w:rPr>
        <w:t xml:space="preserve">, podle jejich vzdělání. </w:t>
      </w:r>
      <w:r>
        <w:rPr>
          <w:rFonts w:ascii="Arial Narrow" w:hAnsi="Arial Narrow" w:cs="Times New Roman"/>
          <w:sz w:val="24"/>
          <w:szCs w:val="32"/>
        </w:rPr>
        <w:t>Nejčastěji jsou chudobou ohroženy páry, kde mají oba partneři pouze základní vzdělání (21,4 %)</w:t>
      </w:r>
      <w:r w:rsidR="00F054B3">
        <w:rPr>
          <w:rFonts w:ascii="Arial Narrow" w:hAnsi="Arial Narrow" w:cs="Times New Roman"/>
          <w:sz w:val="24"/>
          <w:szCs w:val="32"/>
        </w:rPr>
        <w:t>,</w:t>
      </w:r>
      <w:r>
        <w:rPr>
          <w:rFonts w:ascii="Arial Narrow" w:hAnsi="Arial Narrow" w:cs="Times New Roman"/>
          <w:sz w:val="24"/>
          <w:szCs w:val="32"/>
        </w:rPr>
        <w:t xml:space="preserve"> popř. muž má základní vzdělání a žena středoškolské bez maturity (19,5 %). Nejméně </w:t>
      </w:r>
      <w:r w:rsidRPr="00A2095B">
        <w:rPr>
          <w:rFonts w:ascii="Arial Narrow" w:hAnsi="Arial Narrow" w:cs="Times New Roman"/>
          <w:sz w:val="24"/>
          <w:szCs w:val="32"/>
        </w:rPr>
        <w:t xml:space="preserve">jsou chudobou ohroženy páry, kde </w:t>
      </w:r>
      <w:r>
        <w:rPr>
          <w:rFonts w:ascii="Arial Narrow" w:hAnsi="Arial Narrow" w:cs="Times New Roman"/>
          <w:sz w:val="24"/>
          <w:szCs w:val="32"/>
        </w:rPr>
        <w:t>je alespoň</w:t>
      </w:r>
      <w:r w:rsidRPr="00A2095B">
        <w:rPr>
          <w:rFonts w:ascii="Arial Narrow" w:hAnsi="Arial Narrow" w:cs="Times New Roman"/>
          <w:sz w:val="24"/>
          <w:szCs w:val="32"/>
        </w:rPr>
        <w:t xml:space="preserve"> jedna vysokoškolsky vzdělaná osoba. </w:t>
      </w:r>
      <w:r>
        <w:rPr>
          <w:rFonts w:ascii="Arial Narrow" w:hAnsi="Arial Narrow" w:cs="Times New Roman"/>
          <w:sz w:val="24"/>
          <w:szCs w:val="32"/>
        </w:rPr>
        <w:t>Kombinace vzdělání partnerů v partnerských domácnostech tak dále prohlubuje</w:t>
      </w:r>
      <w:r w:rsidRPr="00A2095B">
        <w:rPr>
          <w:rFonts w:ascii="Arial Narrow" w:hAnsi="Arial Narrow" w:cs="Times New Roman"/>
          <w:sz w:val="24"/>
          <w:szCs w:val="32"/>
        </w:rPr>
        <w:t xml:space="preserve"> vliv </w:t>
      </w:r>
      <w:r>
        <w:rPr>
          <w:rFonts w:ascii="Arial Narrow" w:hAnsi="Arial Narrow" w:cs="Times New Roman"/>
          <w:sz w:val="24"/>
          <w:szCs w:val="32"/>
        </w:rPr>
        <w:t xml:space="preserve">vzdělání </w:t>
      </w:r>
      <w:r w:rsidRPr="00A2095B">
        <w:rPr>
          <w:rFonts w:ascii="Arial Narrow" w:hAnsi="Arial Narrow" w:cs="Times New Roman"/>
          <w:sz w:val="24"/>
          <w:szCs w:val="32"/>
        </w:rPr>
        <w:t>na míru ohrožení chudobou.</w:t>
      </w:r>
      <w:bookmarkEnd w:id="5"/>
    </w:p>
    <w:p w:rsidR="0058011E" w:rsidRDefault="0058011E" w:rsidP="0058011E">
      <w:pPr>
        <w:spacing w:after="120" w:line="288" w:lineRule="auto"/>
        <w:jc w:val="both"/>
        <w:rPr>
          <w:rFonts w:ascii="Arial Narrow" w:hAnsi="Arial Narrow" w:cs="Times New Roman"/>
          <w:sz w:val="24"/>
          <w:szCs w:val="32"/>
        </w:rPr>
      </w:pPr>
    </w:p>
    <w:p w:rsidR="00D6311D" w:rsidRDefault="00D6311D" w:rsidP="00D6311D">
      <w:pPr>
        <w:spacing w:after="0" w:line="240" w:lineRule="auto"/>
        <w:rPr>
          <w:rFonts w:ascii="Arial Narrow" w:hAnsi="Arial Narrow" w:cs="Times New Roman"/>
          <w:sz w:val="24"/>
          <w:szCs w:val="32"/>
        </w:rPr>
      </w:pPr>
    </w:p>
    <w:p w:rsidR="00D6311D" w:rsidRDefault="00D6311D" w:rsidP="00D6311D">
      <w:pPr>
        <w:spacing w:after="0" w:line="240" w:lineRule="auto"/>
        <w:rPr>
          <w:rFonts w:ascii="Arial Narrow" w:hAnsi="Arial Narrow" w:cs="Times New Roman"/>
          <w:sz w:val="24"/>
          <w:szCs w:val="32"/>
        </w:rPr>
      </w:pPr>
    </w:p>
    <w:p w:rsidR="00D6311D" w:rsidRDefault="00D6311D" w:rsidP="00D6311D">
      <w:pPr>
        <w:pStyle w:val="Nadpis1"/>
      </w:pPr>
      <w:r>
        <w:lastRenderedPageBreak/>
        <w:t>Nerovnost příjmů osob podle vzdělání</w:t>
      </w:r>
    </w:p>
    <w:p w:rsidR="00D6311D" w:rsidRDefault="00D6311D" w:rsidP="00D6311D">
      <w:pPr>
        <w:pStyle w:val="3GRAF"/>
        <w:spacing w:line="288" w:lineRule="auto"/>
        <w:ind w:firstLine="284"/>
        <w:jc w:val="both"/>
        <w:rPr>
          <w:rFonts w:eastAsiaTheme="minorHAnsi"/>
          <w:b w:val="0"/>
          <w:bCs w:val="0"/>
          <w:sz w:val="24"/>
          <w:szCs w:val="32"/>
          <w:lang w:eastAsia="en-US"/>
        </w:rPr>
      </w:pPr>
      <w:r>
        <w:rPr>
          <w:rFonts w:eastAsiaTheme="minorHAnsi"/>
          <w:b w:val="0"/>
          <w:bCs w:val="0"/>
          <w:sz w:val="24"/>
          <w:szCs w:val="32"/>
          <w:lang w:eastAsia="en-US"/>
        </w:rPr>
        <w:t>Evropský u</w:t>
      </w:r>
      <w:r w:rsidRPr="006A3413">
        <w:rPr>
          <w:rFonts w:eastAsiaTheme="minorHAnsi"/>
          <w:b w:val="0"/>
          <w:bCs w:val="0"/>
          <w:sz w:val="24"/>
          <w:szCs w:val="32"/>
          <w:lang w:eastAsia="en-US"/>
        </w:rPr>
        <w:t xml:space="preserve">kazatel míry </w:t>
      </w:r>
      <w:r>
        <w:rPr>
          <w:rFonts w:eastAsiaTheme="minorHAnsi"/>
          <w:b w:val="0"/>
          <w:bCs w:val="0"/>
          <w:sz w:val="24"/>
          <w:szCs w:val="32"/>
          <w:lang w:eastAsia="en-US"/>
        </w:rPr>
        <w:t xml:space="preserve">ohrožení </w:t>
      </w:r>
      <w:r w:rsidRPr="006A3413">
        <w:rPr>
          <w:rFonts w:eastAsiaTheme="minorHAnsi"/>
          <w:b w:val="0"/>
          <w:bCs w:val="0"/>
          <w:sz w:val="24"/>
          <w:szCs w:val="32"/>
          <w:lang w:eastAsia="en-US"/>
        </w:rPr>
        <w:t>chudob</w:t>
      </w:r>
      <w:r>
        <w:rPr>
          <w:rFonts w:eastAsiaTheme="minorHAnsi"/>
          <w:b w:val="0"/>
          <w:bCs w:val="0"/>
          <w:sz w:val="24"/>
          <w:szCs w:val="32"/>
          <w:lang w:eastAsia="en-US"/>
        </w:rPr>
        <w:t>ou</w:t>
      </w:r>
      <w:r w:rsidRPr="006A3413">
        <w:rPr>
          <w:rFonts w:eastAsiaTheme="minorHAnsi"/>
          <w:b w:val="0"/>
          <w:bCs w:val="0"/>
          <w:sz w:val="24"/>
          <w:szCs w:val="32"/>
          <w:lang w:eastAsia="en-US"/>
        </w:rPr>
        <w:t xml:space="preserve"> je závislý na příjmovém rozdělení a </w:t>
      </w:r>
      <w:r>
        <w:rPr>
          <w:rFonts w:eastAsiaTheme="minorHAnsi"/>
          <w:b w:val="0"/>
          <w:bCs w:val="0"/>
          <w:sz w:val="24"/>
          <w:szCs w:val="32"/>
          <w:lang w:eastAsia="en-US"/>
        </w:rPr>
        <w:t xml:space="preserve">dlouhodobě v mezinárodním srovnání </w:t>
      </w:r>
      <w:r w:rsidRPr="006A3413">
        <w:rPr>
          <w:rFonts w:eastAsiaTheme="minorHAnsi"/>
          <w:b w:val="0"/>
          <w:bCs w:val="0"/>
          <w:sz w:val="24"/>
          <w:szCs w:val="32"/>
          <w:lang w:eastAsia="en-US"/>
        </w:rPr>
        <w:t xml:space="preserve">relativně malý počet osob ohrožených chudobou v České Republice je </w:t>
      </w:r>
      <w:r>
        <w:rPr>
          <w:rFonts w:eastAsiaTheme="minorHAnsi"/>
          <w:b w:val="0"/>
          <w:bCs w:val="0"/>
          <w:sz w:val="24"/>
          <w:szCs w:val="32"/>
          <w:lang w:eastAsia="en-US"/>
        </w:rPr>
        <w:t>i</w:t>
      </w:r>
      <w:r w:rsidR="00EE7E07">
        <w:rPr>
          <w:rFonts w:eastAsiaTheme="minorHAnsi"/>
          <w:b w:val="0"/>
          <w:bCs w:val="0"/>
          <w:sz w:val="24"/>
          <w:szCs w:val="32"/>
          <w:lang w:eastAsia="en-US"/>
        </w:rPr>
        <w:t> </w:t>
      </w:r>
      <w:r w:rsidRPr="006A3413">
        <w:rPr>
          <w:rFonts w:eastAsiaTheme="minorHAnsi"/>
          <w:b w:val="0"/>
          <w:bCs w:val="0"/>
          <w:sz w:val="24"/>
          <w:szCs w:val="32"/>
          <w:lang w:eastAsia="en-US"/>
        </w:rPr>
        <w:t xml:space="preserve">důsledkem poměrně vyrovnaných příjmů. </w:t>
      </w:r>
    </w:p>
    <w:p w:rsidR="00D6311D" w:rsidRDefault="00D6311D" w:rsidP="00D6311D">
      <w:pPr>
        <w:pStyle w:val="3GRAF"/>
        <w:spacing w:line="288" w:lineRule="auto"/>
        <w:ind w:firstLine="284"/>
        <w:jc w:val="both"/>
        <w:rPr>
          <w:rFonts w:eastAsiaTheme="minorHAnsi"/>
          <w:b w:val="0"/>
          <w:bCs w:val="0"/>
          <w:sz w:val="24"/>
          <w:szCs w:val="32"/>
          <w:lang w:eastAsia="en-US"/>
        </w:rPr>
      </w:pPr>
      <w:r>
        <w:rPr>
          <w:rFonts w:eastAsiaTheme="minorHAnsi"/>
          <w:b w:val="0"/>
          <w:bCs w:val="0"/>
          <w:sz w:val="24"/>
          <w:szCs w:val="32"/>
          <w:lang w:eastAsia="en-US"/>
        </w:rPr>
        <w:t>Nerovnost příjmů lze sledovat pomocí Lorenzovy křivky, která znázorňuje rozdělení příjmů ve společnosti. Pokud by panovalo naprosto rovnoměrné rozdělení příjmů, potom by křivka odpovídala diagonále (obr. vlevo), čím více se však od ní odchyluje směrem dolů, tím je příjmová nerovnost vyšší (obr. vpravo).</w:t>
      </w:r>
    </w:p>
    <w:p w:rsidR="00D6311D" w:rsidRDefault="000D2FDA" w:rsidP="00D6311D">
      <w:pPr>
        <w:pStyle w:val="3GRAF"/>
        <w:spacing w:line="288" w:lineRule="auto"/>
        <w:ind w:firstLine="284"/>
        <w:jc w:val="both"/>
        <w:rPr>
          <w:rFonts w:eastAsiaTheme="minorHAnsi"/>
          <w:b w:val="0"/>
          <w:bCs w:val="0"/>
          <w:sz w:val="24"/>
          <w:szCs w:val="32"/>
          <w:lang w:eastAsia="en-US"/>
        </w:rPr>
      </w:pPr>
      <w:r>
        <w:rPr>
          <w:rFonts w:eastAsiaTheme="minorHAnsi"/>
          <w:b w:val="0"/>
          <w:bCs w:val="0"/>
          <w:noProof/>
          <w:sz w:val="24"/>
          <w:szCs w:val="32"/>
          <w:lang w:eastAsia="cs-CZ"/>
        </w:rPr>
        <w:pict>
          <v:group id="_x0000_s1030" style="position:absolute;left:0;text-align:left;margin-left:264.4pt;margin-top:4.05pt;width:66.75pt;height:54.75pt;z-index:251661312" coordorigin="6705,5175" coordsize="1335,1095">
            <v:group id="_x0000_s1031" style="position:absolute;left:6705;top:5175;width:1335;height:1095" coordorigin="2505,5175" coordsize="1335,1095">
              <v:shapetype id="_x0000_t32" coordsize="21600,21600" o:spt="32" o:oned="t" path="m,l21600,21600e" filled="f">
                <v:path arrowok="t" fillok="f" o:connecttype="none"/>
                <o:lock v:ext="edit" shapetype="t"/>
              </v:shapetype>
              <v:shape id="_x0000_s1032" type="#_x0000_t32" style="position:absolute;left:2505;top:5175;width:1;height:1095" o:connectortype="straight"/>
              <v:shape id="_x0000_s1033" type="#_x0000_t32" style="position:absolute;left:2505;top:6270;width:1335;height:0" o:connectortype="straight"/>
              <v:shape id="_x0000_s1034" type="#_x0000_t32" style="position:absolute;left:2505;top:5325;width:1125;height:945;flip:y" o:connectortype="straigh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6706;top:5325;width:1124;height:945;flip:y"/>
            <v:shape id="_x0000_s1036" type="#_x0000_t32" style="position:absolute;left:7275;top:5790;width:270;height:180" o:connectortype="straight">
              <v:stroke endarrow="block"/>
            </v:shape>
          </v:group>
        </w:pict>
      </w:r>
      <w:r>
        <w:rPr>
          <w:rFonts w:eastAsiaTheme="minorHAnsi"/>
          <w:b w:val="0"/>
          <w:bCs w:val="0"/>
          <w:noProof/>
          <w:sz w:val="24"/>
          <w:szCs w:val="32"/>
          <w:lang w:eastAsia="cs-CZ"/>
        </w:rPr>
        <w:pict>
          <v:shapetype id="_x0000_t202" coordsize="21600,21600" o:spt="202" path="m,l,21600r21600,l21600,xe">
            <v:stroke joinstyle="miter"/>
            <v:path gradientshapeok="t" o:connecttype="rect"/>
          </v:shapetype>
          <v:shape id="_x0000_s1038" type="#_x0000_t202" style="position:absolute;left:0;text-align:left;margin-left:125.65pt;margin-top:22.05pt;width:90.75pt;height:25.5pt;z-index:251663360" stroked="f">
            <v:textbox>
              <w:txbxContent>
                <w:p w:rsidR="009A07D8" w:rsidRDefault="009A07D8" w:rsidP="00D6311D">
                  <w:pPr>
                    <w:pStyle w:val="3GRAF"/>
                    <w:spacing w:line="288" w:lineRule="auto"/>
                    <w:jc w:val="both"/>
                    <w:rPr>
                      <w:rFonts w:eastAsiaTheme="minorHAnsi"/>
                      <w:b w:val="0"/>
                      <w:bCs w:val="0"/>
                      <w:sz w:val="24"/>
                      <w:szCs w:val="32"/>
                      <w:lang w:eastAsia="en-US"/>
                    </w:rPr>
                  </w:pPr>
                  <w:r>
                    <w:rPr>
                      <w:rFonts w:eastAsiaTheme="minorHAnsi"/>
                      <w:b w:val="0"/>
                      <w:bCs w:val="0"/>
                      <w:sz w:val="24"/>
                      <w:szCs w:val="32"/>
                      <w:lang w:eastAsia="en-US"/>
                    </w:rPr>
                    <w:t>absolutní rovnost</w:t>
                  </w:r>
                </w:p>
                <w:p w:rsidR="009A07D8" w:rsidRPr="00370E9A" w:rsidRDefault="009A07D8" w:rsidP="00D6311D">
                  <w:pPr>
                    <w:pStyle w:val="3GRAF"/>
                    <w:spacing w:line="288" w:lineRule="auto"/>
                    <w:ind w:firstLine="284"/>
                    <w:jc w:val="both"/>
                    <w:rPr>
                      <w:rFonts w:eastAsiaTheme="minorHAnsi"/>
                      <w:noProof/>
                      <w:sz w:val="24"/>
                      <w:szCs w:val="32"/>
                    </w:rPr>
                  </w:pPr>
                </w:p>
              </w:txbxContent>
            </v:textbox>
            <w10:wrap type="square"/>
          </v:shape>
        </w:pict>
      </w:r>
      <w:r w:rsidRPr="000D2FDA">
        <w:rPr>
          <w:noProof/>
        </w:rPr>
        <w:pict>
          <v:shape id="_x0000_s1037" type="#_x0000_t202" style="position:absolute;left:0;text-align:left;margin-left:328.15pt;margin-top:22.05pt;width:112.5pt;height:25.5pt;z-index:251662336" stroked="f">
            <v:textbox>
              <w:txbxContent>
                <w:p w:rsidR="009A07D8" w:rsidRDefault="009A07D8" w:rsidP="00D6311D">
                  <w:pPr>
                    <w:pStyle w:val="3GRAF"/>
                    <w:spacing w:line="288" w:lineRule="auto"/>
                    <w:jc w:val="both"/>
                    <w:rPr>
                      <w:rFonts w:eastAsiaTheme="minorHAnsi"/>
                      <w:b w:val="0"/>
                      <w:bCs w:val="0"/>
                      <w:sz w:val="24"/>
                      <w:szCs w:val="32"/>
                      <w:lang w:eastAsia="en-US"/>
                    </w:rPr>
                  </w:pPr>
                  <w:r>
                    <w:rPr>
                      <w:rFonts w:eastAsiaTheme="minorHAnsi"/>
                      <w:b w:val="0"/>
                      <w:bCs w:val="0"/>
                      <w:sz w:val="24"/>
                      <w:szCs w:val="32"/>
                      <w:lang w:eastAsia="en-US"/>
                    </w:rPr>
                    <w:t>zvyšující se nerovnost</w:t>
                  </w:r>
                </w:p>
                <w:p w:rsidR="009A07D8" w:rsidRPr="00370E9A" w:rsidRDefault="009A07D8" w:rsidP="00D6311D">
                  <w:pPr>
                    <w:pStyle w:val="3GRAF"/>
                    <w:spacing w:line="288" w:lineRule="auto"/>
                    <w:ind w:firstLine="284"/>
                    <w:jc w:val="both"/>
                    <w:rPr>
                      <w:rFonts w:eastAsiaTheme="minorHAnsi"/>
                      <w:noProof/>
                      <w:sz w:val="24"/>
                      <w:szCs w:val="32"/>
                    </w:rPr>
                  </w:pPr>
                </w:p>
              </w:txbxContent>
            </v:textbox>
            <w10:wrap type="square"/>
          </v:shape>
        </w:pict>
      </w:r>
      <w:r>
        <w:rPr>
          <w:rFonts w:eastAsiaTheme="minorHAnsi"/>
          <w:b w:val="0"/>
          <w:bCs w:val="0"/>
          <w:noProof/>
          <w:sz w:val="24"/>
          <w:szCs w:val="32"/>
          <w:lang w:eastAsia="cs-CZ"/>
        </w:rPr>
        <w:pict>
          <v:group id="_x0000_s1026" style="position:absolute;left:0;text-align:left;margin-left:76.9pt;margin-top:4.05pt;width:66.75pt;height:54.75pt;z-index:251660288" coordorigin="2505,5175" coordsize="1335,1095">
            <v:shape id="_x0000_s1027" type="#_x0000_t32" style="position:absolute;left:2505;top:5175;width:1;height:1095" o:connectortype="straight"/>
            <v:shape id="_x0000_s1028" type="#_x0000_t32" style="position:absolute;left:2505;top:6270;width:1335;height:0" o:connectortype="straight"/>
            <v:shape id="_x0000_s1029" type="#_x0000_t32" style="position:absolute;left:2505;top:5325;width:1125;height:945;flip:y" o:connectortype="straight"/>
          </v:group>
        </w:pict>
      </w:r>
    </w:p>
    <w:p w:rsidR="00D6311D" w:rsidRDefault="00D6311D" w:rsidP="00D6311D">
      <w:pPr>
        <w:pStyle w:val="3GRAF"/>
        <w:spacing w:line="288" w:lineRule="auto"/>
        <w:ind w:firstLine="284"/>
        <w:jc w:val="both"/>
        <w:rPr>
          <w:rFonts w:eastAsiaTheme="minorHAnsi"/>
          <w:b w:val="0"/>
          <w:bCs w:val="0"/>
          <w:sz w:val="24"/>
          <w:szCs w:val="32"/>
          <w:lang w:eastAsia="en-US"/>
        </w:rPr>
      </w:pPr>
    </w:p>
    <w:p w:rsidR="00D6311D" w:rsidRDefault="00D6311D" w:rsidP="00D6311D">
      <w:pPr>
        <w:pStyle w:val="3GRAF"/>
        <w:spacing w:line="288" w:lineRule="auto"/>
        <w:ind w:firstLine="284"/>
        <w:jc w:val="both"/>
        <w:rPr>
          <w:rFonts w:eastAsiaTheme="minorHAnsi"/>
          <w:b w:val="0"/>
          <w:bCs w:val="0"/>
          <w:sz w:val="24"/>
          <w:szCs w:val="32"/>
          <w:lang w:eastAsia="en-US"/>
        </w:rPr>
      </w:pPr>
    </w:p>
    <w:p w:rsidR="00D6311D" w:rsidRDefault="00D6311D" w:rsidP="00D6311D">
      <w:pPr>
        <w:pStyle w:val="3GRAF"/>
        <w:jc w:val="left"/>
        <w:rPr>
          <w:rFonts w:eastAsiaTheme="minorHAnsi"/>
          <w:b w:val="0"/>
          <w:bCs w:val="0"/>
          <w:sz w:val="24"/>
          <w:szCs w:val="32"/>
          <w:lang w:eastAsia="en-US"/>
        </w:rPr>
      </w:pPr>
      <w:r w:rsidRPr="00D635FD">
        <w:rPr>
          <w:rFonts w:eastAsiaTheme="minorHAnsi"/>
          <w:b w:val="0"/>
          <w:bCs w:val="0"/>
          <w:sz w:val="24"/>
          <w:szCs w:val="32"/>
          <w:lang w:eastAsia="en-US"/>
        </w:rPr>
        <w:t>Průběh</w:t>
      </w:r>
      <w:r>
        <w:rPr>
          <w:rFonts w:eastAsiaTheme="minorHAnsi"/>
          <w:b w:val="0"/>
          <w:bCs w:val="0"/>
          <w:sz w:val="24"/>
          <w:szCs w:val="32"/>
          <w:lang w:eastAsia="en-US"/>
        </w:rPr>
        <w:t xml:space="preserve"> této křivky pro příjmové rozdělení v roce 201</w:t>
      </w:r>
      <w:r w:rsidR="00723DAB">
        <w:rPr>
          <w:rFonts w:eastAsiaTheme="minorHAnsi"/>
          <w:b w:val="0"/>
          <w:bCs w:val="0"/>
          <w:sz w:val="24"/>
          <w:szCs w:val="32"/>
          <w:lang w:eastAsia="en-US"/>
        </w:rPr>
        <w:t>2</w:t>
      </w:r>
      <w:r>
        <w:rPr>
          <w:rFonts w:eastAsiaTheme="minorHAnsi"/>
          <w:b w:val="0"/>
          <w:bCs w:val="0"/>
          <w:sz w:val="24"/>
          <w:szCs w:val="32"/>
          <w:lang w:eastAsia="en-US"/>
        </w:rPr>
        <w:t xml:space="preserve"> je znázorněn na následujícím grafu.</w:t>
      </w:r>
    </w:p>
    <w:p w:rsidR="00D6311D" w:rsidRDefault="00D6311D" w:rsidP="00D6311D">
      <w:pPr>
        <w:pStyle w:val="3GRAF"/>
        <w:jc w:val="left"/>
      </w:pPr>
    </w:p>
    <w:p w:rsidR="00D6311D" w:rsidRDefault="00D6311D" w:rsidP="00D6311D">
      <w:pPr>
        <w:pStyle w:val="3GRAF"/>
        <w:ind w:firstLine="851"/>
        <w:jc w:val="left"/>
      </w:pPr>
      <w:proofErr w:type="gramStart"/>
      <w:r>
        <w:t>Graf</w:t>
      </w:r>
      <w:r w:rsidR="004B23FE">
        <w:t xml:space="preserve"> </w:t>
      </w:r>
      <w:r>
        <w:t>3.</w:t>
      </w:r>
      <w:fldSimple w:instr=" SEQ Graf_ \* ARABIC \s 1 ">
        <w:r w:rsidR="00723DAB">
          <w:rPr>
            <w:noProof/>
          </w:rPr>
          <w:t>1</w:t>
        </w:r>
      </w:fldSimple>
      <w:proofErr w:type="gramEnd"/>
      <w:r>
        <w:t xml:space="preserve"> Lorenzova křivka nerovnosti příjmů v roce 201</w:t>
      </w:r>
      <w:r w:rsidR="00723DAB">
        <w:t>2</w:t>
      </w:r>
    </w:p>
    <w:p w:rsidR="00D6311D" w:rsidRDefault="00D6311D" w:rsidP="00D6311D">
      <w:pPr>
        <w:pStyle w:val="3GRAF"/>
        <w:spacing w:line="288" w:lineRule="auto"/>
        <w:ind w:firstLine="284"/>
        <w:jc w:val="both"/>
        <w:rPr>
          <w:rFonts w:eastAsiaTheme="minorHAnsi"/>
          <w:b w:val="0"/>
          <w:bCs w:val="0"/>
          <w:sz w:val="24"/>
          <w:szCs w:val="32"/>
          <w:lang w:eastAsia="en-US"/>
        </w:rPr>
      </w:pPr>
      <w:r w:rsidRPr="00A70506">
        <w:rPr>
          <w:rFonts w:eastAsiaTheme="minorHAnsi"/>
          <w:b w:val="0"/>
          <w:bCs w:val="0"/>
          <w:noProof/>
          <w:sz w:val="24"/>
          <w:szCs w:val="32"/>
          <w:lang w:eastAsia="cs-CZ"/>
        </w:rPr>
        <w:drawing>
          <wp:inline distT="0" distB="0" distL="0" distR="0">
            <wp:extent cx="4867275" cy="3371850"/>
            <wp:effectExtent l="0" t="0" r="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4E1D" w:rsidRPr="009D31DA" w:rsidRDefault="00DD4E1D" w:rsidP="00DD4E1D">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2013</w:t>
      </w:r>
    </w:p>
    <w:p w:rsidR="00DD4E1D" w:rsidRDefault="00DD4E1D" w:rsidP="00D6311D">
      <w:pPr>
        <w:pStyle w:val="3GRAF"/>
        <w:spacing w:line="288" w:lineRule="auto"/>
        <w:ind w:firstLine="284"/>
        <w:jc w:val="both"/>
        <w:rPr>
          <w:rFonts w:eastAsiaTheme="minorHAnsi"/>
          <w:b w:val="0"/>
          <w:bCs w:val="0"/>
          <w:sz w:val="24"/>
          <w:szCs w:val="32"/>
          <w:lang w:eastAsia="en-US"/>
        </w:rPr>
      </w:pPr>
    </w:p>
    <w:p w:rsidR="00D6311D" w:rsidRDefault="00D6311D" w:rsidP="00D6311D">
      <w:pPr>
        <w:pStyle w:val="3GRAF"/>
        <w:spacing w:line="288" w:lineRule="auto"/>
        <w:ind w:firstLine="284"/>
        <w:jc w:val="both"/>
        <w:rPr>
          <w:rFonts w:eastAsiaTheme="minorHAnsi"/>
          <w:b w:val="0"/>
          <w:bCs w:val="0"/>
          <w:sz w:val="24"/>
          <w:szCs w:val="32"/>
          <w:lang w:eastAsia="en-US"/>
        </w:rPr>
      </w:pPr>
      <w:r>
        <w:rPr>
          <w:rFonts w:eastAsiaTheme="minorHAnsi"/>
          <w:b w:val="0"/>
          <w:bCs w:val="0"/>
          <w:sz w:val="24"/>
          <w:szCs w:val="32"/>
          <w:lang w:eastAsia="en-US"/>
        </w:rPr>
        <w:t xml:space="preserve">Z výše uvedené Lorenzovy křivky (Graf 3.1) vidíme její odklon od diagonály grafu, vyjadřující existenci jisté nerovnosti příjmů ve společnosti. Pokud by se jednalo o situaci s absolutně vyrovnanými příjmy, mělo by 50 % osob seřazených podle velikosti jejich příjmů k dispozici pouze 50 % úhrnu </w:t>
      </w:r>
      <w:r>
        <w:rPr>
          <w:rFonts w:eastAsiaTheme="minorHAnsi"/>
          <w:b w:val="0"/>
          <w:bCs w:val="0"/>
          <w:sz w:val="24"/>
          <w:szCs w:val="32"/>
          <w:lang w:eastAsia="en-US"/>
        </w:rPr>
        <w:lastRenderedPageBreak/>
        <w:t xml:space="preserve">celkových příjmů. Zde však pozorujeme, že polovina takto seřazených osob disponuje pouze 34 % celkových příjmů. </w:t>
      </w:r>
    </w:p>
    <w:p w:rsidR="00D6311D" w:rsidRDefault="00D6311D" w:rsidP="00D6311D">
      <w:pPr>
        <w:pStyle w:val="3GRAF"/>
        <w:spacing w:line="288" w:lineRule="auto"/>
        <w:ind w:firstLine="284"/>
        <w:jc w:val="both"/>
        <w:rPr>
          <w:rFonts w:eastAsiaTheme="minorHAnsi"/>
          <w:b w:val="0"/>
          <w:bCs w:val="0"/>
          <w:sz w:val="24"/>
          <w:szCs w:val="32"/>
          <w:lang w:eastAsia="en-US"/>
        </w:rPr>
      </w:pPr>
      <w:r>
        <w:rPr>
          <w:rFonts w:eastAsiaTheme="minorHAnsi"/>
          <w:b w:val="0"/>
          <w:bCs w:val="0"/>
          <w:sz w:val="24"/>
          <w:szCs w:val="32"/>
          <w:lang w:eastAsia="en-US"/>
        </w:rPr>
        <w:t xml:space="preserve">Velikost této nerovnosti můžeme vyčíslit pomocí </w:t>
      </w:r>
      <w:proofErr w:type="spellStart"/>
      <w:r>
        <w:rPr>
          <w:rFonts w:eastAsiaTheme="minorHAnsi"/>
          <w:b w:val="0"/>
          <w:bCs w:val="0"/>
          <w:sz w:val="24"/>
          <w:szCs w:val="32"/>
          <w:lang w:eastAsia="en-US"/>
        </w:rPr>
        <w:t>Giniho</w:t>
      </w:r>
      <w:proofErr w:type="spellEnd"/>
      <w:r>
        <w:rPr>
          <w:rFonts w:eastAsiaTheme="minorHAnsi"/>
          <w:b w:val="0"/>
          <w:bCs w:val="0"/>
          <w:sz w:val="24"/>
          <w:szCs w:val="32"/>
          <w:lang w:eastAsia="en-US"/>
        </w:rPr>
        <w:t xml:space="preserve"> koeficientu, který udává, jak moc se Lorenzova křivka odchyluje od diagonály. V případě absolutní rovnosti by dosahoval hodnoty 0</w:t>
      </w:r>
      <w:r w:rsidR="00EE7E07">
        <w:rPr>
          <w:rFonts w:eastAsiaTheme="minorHAnsi"/>
          <w:b w:val="0"/>
          <w:bCs w:val="0"/>
          <w:sz w:val="24"/>
          <w:szCs w:val="32"/>
          <w:lang w:eastAsia="en-US"/>
        </w:rPr>
        <w:t> </w:t>
      </w:r>
      <w:r>
        <w:rPr>
          <w:rFonts w:eastAsiaTheme="minorHAnsi"/>
          <w:b w:val="0"/>
          <w:bCs w:val="0"/>
          <w:sz w:val="24"/>
          <w:szCs w:val="32"/>
          <w:lang w:eastAsia="en-US"/>
        </w:rPr>
        <w:t>a</w:t>
      </w:r>
      <w:r w:rsidR="00EE7E07">
        <w:rPr>
          <w:rFonts w:eastAsiaTheme="minorHAnsi"/>
          <w:b w:val="0"/>
          <w:bCs w:val="0"/>
          <w:sz w:val="24"/>
          <w:szCs w:val="32"/>
          <w:lang w:eastAsia="en-US"/>
        </w:rPr>
        <w:t> </w:t>
      </w:r>
      <w:r>
        <w:rPr>
          <w:rFonts w:eastAsiaTheme="minorHAnsi"/>
          <w:b w:val="0"/>
          <w:bCs w:val="0"/>
          <w:sz w:val="24"/>
          <w:szCs w:val="32"/>
          <w:lang w:eastAsia="en-US"/>
        </w:rPr>
        <w:t xml:space="preserve">naopak v situaci naprosté nerovnosti by jeho hodnota byla 1. Pro analyzovaný rok 2012 nabýval </w:t>
      </w:r>
      <w:proofErr w:type="spellStart"/>
      <w:r>
        <w:rPr>
          <w:rFonts w:eastAsiaTheme="minorHAnsi"/>
          <w:b w:val="0"/>
          <w:bCs w:val="0"/>
          <w:sz w:val="24"/>
          <w:szCs w:val="32"/>
          <w:lang w:eastAsia="en-US"/>
        </w:rPr>
        <w:t>Giniho</w:t>
      </w:r>
      <w:proofErr w:type="spellEnd"/>
      <w:r>
        <w:rPr>
          <w:rFonts w:eastAsiaTheme="minorHAnsi"/>
          <w:b w:val="0"/>
          <w:bCs w:val="0"/>
          <w:sz w:val="24"/>
          <w:szCs w:val="32"/>
          <w:lang w:eastAsia="en-US"/>
        </w:rPr>
        <w:t xml:space="preserve"> koeficient hodnoty 0,246, nerovnost příjmů je tedy poměrně malá. Toto tvrzení potvrzuje i další ukazatel S80/S20</w:t>
      </w:r>
      <w:r w:rsidR="00EE7E07">
        <w:rPr>
          <w:rFonts w:eastAsiaTheme="minorHAnsi"/>
          <w:b w:val="0"/>
          <w:bCs w:val="0"/>
          <w:sz w:val="24"/>
          <w:szCs w:val="32"/>
          <w:lang w:eastAsia="en-US"/>
        </w:rPr>
        <w:t xml:space="preserve"> (</w:t>
      </w:r>
      <w:r>
        <w:rPr>
          <w:rFonts w:eastAsiaTheme="minorHAnsi"/>
          <w:b w:val="0"/>
          <w:bCs w:val="0"/>
          <w:sz w:val="24"/>
          <w:szCs w:val="32"/>
          <w:lang w:eastAsia="en-US"/>
        </w:rPr>
        <w:t>koeficient nerovnosti příjmů</w:t>
      </w:r>
      <w:r w:rsidR="00EE7E07">
        <w:rPr>
          <w:rFonts w:eastAsiaTheme="minorHAnsi"/>
          <w:b w:val="0"/>
          <w:bCs w:val="0"/>
          <w:sz w:val="24"/>
          <w:szCs w:val="32"/>
          <w:lang w:eastAsia="en-US"/>
        </w:rPr>
        <w:t>),</w:t>
      </w:r>
      <w:r>
        <w:rPr>
          <w:rFonts w:eastAsiaTheme="minorHAnsi"/>
          <w:b w:val="0"/>
          <w:bCs w:val="0"/>
          <w:sz w:val="24"/>
          <w:szCs w:val="32"/>
          <w:lang w:eastAsia="en-US"/>
        </w:rPr>
        <w:t xml:space="preserve"> </w:t>
      </w:r>
      <w:r w:rsidR="00EE7E07">
        <w:rPr>
          <w:rFonts w:eastAsiaTheme="minorHAnsi"/>
          <w:b w:val="0"/>
          <w:bCs w:val="0"/>
          <w:sz w:val="24"/>
          <w:szCs w:val="32"/>
          <w:lang w:eastAsia="en-US"/>
        </w:rPr>
        <w:t>který vyjadřuje</w:t>
      </w:r>
      <w:r w:rsidRPr="00A14D0C">
        <w:rPr>
          <w:rFonts w:eastAsiaTheme="minorHAnsi"/>
          <w:b w:val="0"/>
          <w:bCs w:val="0"/>
          <w:sz w:val="24"/>
          <w:szCs w:val="32"/>
          <w:lang w:eastAsia="en-US"/>
        </w:rPr>
        <w:t xml:space="preserve">, kolikrát více </w:t>
      </w:r>
      <w:r>
        <w:rPr>
          <w:rFonts w:eastAsiaTheme="minorHAnsi"/>
          <w:b w:val="0"/>
          <w:bCs w:val="0"/>
          <w:sz w:val="24"/>
          <w:szCs w:val="32"/>
          <w:lang w:eastAsia="en-US"/>
        </w:rPr>
        <w:t>má k dispozici</w:t>
      </w:r>
      <w:r w:rsidRPr="00A14D0C">
        <w:rPr>
          <w:rFonts w:eastAsiaTheme="minorHAnsi"/>
          <w:b w:val="0"/>
          <w:bCs w:val="0"/>
          <w:sz w:val="24"/>
          <w:szCs w:val="32"/>
          <w:lang w:eastAsia="en-US"/>
        </w:rPr>
        <w:t xml:space="preserve"> </w:t>
      </w:r>
      <w:r>
        <w:rPr>
          <w:rFonts w:eastAsiaTheme="minorHAnsi"/>
          <w:b w:val="0"/>
          <w:bCs w:val="0"/>
          <w:sz w:val="24"/>
          <w:szCs w:val="32"/>
          <w:lang w:eastAsia="en-US"/>
        </w:rPr>
        <w:t>p</w:t>
      </w:r>
      <w:r w:rsidRPr="00A14D0C">
        <w:rPr>
          <w:rFonts w:eastAsiaTheme="minorHAnsi"/>
          <w:b w:val="0"/>
          <w:bCs w:val="0"/>
          <w:sz w:val="24"/>
          <w:szCs w:val="32"/>
          <w:lang w:eastAsia="en-US"/>
        </w:rPr>
        <w:t>ětina nejbohatších osob oproti pětině nejchudších</w:t>
      </w:r>
      <w:r>
        <w:rPr>
          <w:rFonts w:eastAsiaTheme="minorHAnsi"/>
          <w:b w:val="0"/>
          <w:bCs w:val="0"/>
          <w:sz w:val="24"/>
          <w:szCs w:val="32"/>
          <w:lang w:eastAsia="en-US"/>
        </w:rPr>
        <w:t>. Pro rok 201</w:t>
      </w:r>
      <w:r w:rsidR="004E3184">
        <w:rPr>
          <w:rFonts w:eastAsiaTheme="minorHAnsi"/>
          <w:b w:val="0"/>
          <w:bCs w:val="0"/>
          <w:sz w:val="24"/>
          <w:szCs w:val="32"/>
          <w:lang w:eastAsia="en-US"/>
        </w:rPr>
        <w:t>2</w:t>
      </w:r>
      <w:r>
        <w:rPr>
          <w:rFonts w:eastAsiaTheme="minorHAnsi"/>
          <w:b w:val="0"/>
          <w:bCs w:val="0"/>
          <w:sz w:val="24"/>
          <w:szCs w:val="32"/>
          <w:lang w:eastAsia="en-US"/>
        </w:rPr>
        <w:t xml:space="preserve"> dosahuje hodnoty 3,4, což znamená, že vrchní</w:t>
      </w:r>
      <w:r w:rsidRPr="00A14D0C">
        <w:rPr>
          <w:rFonts w:eastAsiaTheme="minorHAnsi"/>
          <w:b w:val="0"/>
          <w:bCs w:val="0"/>
          <w:sz w:val="24"/>
          <w:szCs w:val="32"/>
          <w:lang w:eastAsia="en-US"/>
        </w:rPr>
        <w:t xml:space="preserve"> dva decily osob disponují</w:t>
      </w:r>
      <w:r>
        <w:rPr>
          <w:rFonts w:eastAsiaTheme="minorHAnsi"/>
          <w:b w:val="0"/>
          <w:bCs w:val="0"/>
          <w:sz w:val="24"/>
          <w:szCs w:val="32"/>
          <w:lang w:eastAsia="en-US"/>
        </w:rPr>
        <w:t xml:space="preserve"> 3,4</w:t>
      </w:r>
      <w:r w:rsidRPr="00A14D0C">
        <w:rPr>
          <w:rFonts w:eastAsiaTheme="minorHAnsi"/>
          <w:b w:val="0"/>
          <w:bCs w:val="0"/>
          <w:sz w:val="24"/>
          <w:szCs w:val="32"/>
          <w:lang w:eastAsia="en-US"/>
        </w:rPr>
        <w:t>krát vyššími příjmy než spodní dva decily</w:t>
      </w:r>
      <w:r>
        <w:rPr>
          <w:rFonts w:eastAsiaTheme="minorHAnsi"/>
          <w:b w:val="0"/>
          <w:bCs w:val="0"/>
          <w:sz w:val="24"/>
          <w:szCs w:val="32"/>
          <w:lang w:eastAsia="en-US"/>
        </w:rPr>
        <w:t xml:space="preserve">. </w:t>
      </w:r>
    </w:p>
    <w:p w:rsidR="00D6311D" w:rsidRDefault="00D6311D" w:rsidP="00D6311D">
      <w:pPr>
        <w:pStyle w:val="1Podnadpis11"/>
        <w:numPr>
          <w:ilvl w:val="0"/>
          <w:numId w:val="0"/>
        </w:numPr>
        <w:ind w:left="576" w:hanging="576"/>
        <w:jc w:val="center"/>
        <w:rPr>
          <w:rFonts w:cs="Times New Roman"/>
          <w:sz w:val="24"/>
          <w:szCs w:val="32"/>
        </w:rPr>
      </w:pPr>
      <w:r w:rsidRPr="00C95FFD">
        <w:t xml:space="preserve"> </w:t>
      </w:r>
      <w:r w:rsidRPr="00D6311D">
        <w:rPr>
          <w:sz w:val="28"/>
          <w:szCs w:val="28"/>
        </w:rPr>
        <w:t>Největší rozdíly v příjmech se projevují u vysokoškolsky vzdělaných osob</w:t>
      </w:r>
    </w:p>
    <w:p w:rsidR="00D6311D" w:rsidRDefault="00D6311D" w:rsidP="00D6311D">
      <w:pPr>
        <w:pStyle w:val="3GRAF"/>
        <w:ind w:firstLine="993"/>
        <w:jc w:val="left"/>
      </w:pPr>
      <w:r>
        <w:t>Graf</w:t>
      </w:r>
      <w:r w:rsidR="004B23FE">
        <w:t xml:space="preserve"> </w:t>
      </w:r>
      <w:r>
        <w:t>3.2 Úroveň a nerovnost měsíčního příjmu podle vzdělání v roce 2012</w:t>
      </w:r>
    </w:p>
    <w:p w:rsidR="00D6311D" w:rsidRDefault="00D6311D" w:rsidP="00D6311D">
      <w:pPr>
        <w:pStyle w:val="3GRAF"/>
        <w:jc w:val="left"/>
      </w:pPr>
      <w:r>
        <w:rPr>
          <w:noProof/>
          <w:lang w:eastAsia="cs-CZ"/>
        </w:rPr>
        <w:drawing>
          <wp:anchor distT="0" distB="0" distL="114300" distR="114300" simplePos="0" relativeHeight="251664384" behindDoc="0" locked="0" layoutInCell="1" allowOverlap="1">
            <wp:simplePos x="0" y="0"/>
            <wp:positionH relativeFrom="column">
              <wp:posOffset>4710430</wp:posOffset>
            </wp:positionH>
            <wp:positionV relativeFrom="paragraph">
              <wp:posOffset>1689100</wp:posOffset>
            </wp:positionV>
            <wp:extent cx="1047750" cy="1609725"/>
            <wp:effectExtent l="19050" t="0" r="0" b="0"/>
            <wp:wrapNone/>
            <wp:docPr id="1" name="Objek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95432" cy="1438274"/>
                      <a:chOff x="0" y="0"/>
                      <a:chExt cx="1095432" cy="1438274"/>
                    </a:xfrm>
                  </a:grpSpPr>
                  <a:grpSp>
                    <a:nvGrpSpPr>
                      <a:cNvPr id="36" name="Group 1"/>
                      <a:cNvGrpSpPr>
                        <a:grpSpLocks noChangeAspect="1"/>
                      </a:cNvGrpSpPr>
                    </a:nvGrpSpPr>
                    <a:grpSpPr bwMode="auto">
                      <a:xfrm>
                        <a:off x="0" y="0"/>
                        <a:ext cx="1095432" cy="1438274"/>
                        <a:chOff x="0" y="0"/>
                        <a:chExt cx="2341" cy="3114"/>
                      </a:xfrm>
                    </a:grpSpPr>
                    <a:sp>
                      <a:nvSpPr>
                        <a:cNvPr id="37" name="AutoShape 21"/>
                        <a:cNvSpPr>
                          <a:spLocks noChangeAspect="1" noChangeArrowheads="1"/>
                        </a:cNvSpPr>
                      </a:nvSpPr>
                      <a:spPr bwMode="auto">
                        <a:xfrm>
                          <a:off x="0" y="0"/>
                          <a:ext cx="2341" cy="3114"/>
                        </a:xfrm>
                        <a:prstGeom prst="rect">
                          <a:avLst/>
                        </a:prstGeom>
                        <a:solidFill>
                          <a:srgbClr val="FFFFFF"/>
                        </a:solidFill>
                        <a:ln w="12700">
                          <a:solidFill>
                            <a:srgbClr val="BFBFBF"/>
                          </a:solidFill>
                          <a:miter lim="800000"/>
                          <a:headEnd/>
                          <a:tailEnd/>
                        </a:ln>
                      </a:spPr>
                    </a:sp>
                    <a:sp>
                      <a:nvSpPr>
                        <a:cNvPr id="38" name="Rectangle 20"/>
                        <a:cNvSpPr>
                          <a:spLocks noChangeArrowheads="1"/>
                        </a:cNvSpPr>
                      </a:nvSpPr>
                      <a:spPr bwMode="auto">
                        <a:xfrm>
                          <a:off x="162" y="766"/>
                          <a:ext cx="468" cy="821"/>
                        </a:xfrm>
                        <a:prstGeom prst="rect">
                          <a:avLst/>
                        </a:prstGeom>
                        <a:solidFill>
                          <a:srgbClr val="9B0064"/>
                        </a:solidFill>
                        <a:ln w="25400">
                          <a:noFill/>
                          <a:miter lim="800000"/>
                          <a:headEnd/>
                          <a:tailEnd/>
                        </a:ln>
                        <a:effectLst/>
                        <a:scene3d>
                          <a:camera prst="orthographicFront"/>
                          <a:lightRig rig="threePt" dir="t"/>
                        </a:scene3d>
                        <a:sp3d>
                          <a:bevelT w="57150" h="57150"/>
                          <a:bevelB/>
                        </a:sp3d>
                      </a:spPr>
                      <a:txSp>
                        <a:txBody>
                          <a:bodyPr/>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endParaRPr lang="cs-CZ"/>
                          </a:p>
                        </a:txBody>
                        <a:useSpRect/>
                      </a:txSp>
                    </a:sp>
                    <a:sp>
                      <a:nvSpPr>
                        <a:cNvPr id="39" name="Rectangle 19"/>
                        <a:cNvSpPr>
                          <a:spLocks noChangeArrowheads="1"/>
                        </a:cNvSpPr>
                      </a:nvSpPr>
                      <a:spPr bwMode="auto">
                        <a:xfrm>
                          <a:off x="162" y="1588"/>
                          <a:ext cx="468" cy="802"/>
                        </a:xfrm>
                        <a:prstGeom prst="rect">
                          <a:avLst/>
                        </a:prstGeom>
                        <a:solidFill>
                          <a:srgbClr val="4BC8FF"/>
                        </a:solidFill>
                        <a:ln w="25400">
                          <a:noFill/>
                          <a:miter lim="800000"/>
                          <a:headEnd/>
                          <a:tailEnd/>
                        </a:ln>
                        <a:scene3d>
                          <a:camera prst="orthographicFront"/>
                          <a:lightRig rig="threePt" dir="t"/>
                        </a:scene3d>
                        <a:sp3d>
                          <a:bevelT w="57150" h="57150"/>
                          <a:bevelB/>
                        </a:sp3d>
                      </a:spPr>
                      <a:txSp>
                        <a:txBody>
                          <a:bodyPr/>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endParaRPr lang="cs-CZ"/>
                          </a:p>
                        </a:txBody>
                        <a:useSpRect/>
                      </a:txSp>
                    </a:sp>
                    <a:cxnSp>
                      <a:nvCxnSpPr>
                        <a:cNvPr id="40" name="AutoShape 18"/>
                        <a:cNvCxnSpPr>
                          <a:cxnSpLocks noChangeShapeType="1"/>
                        </a:cNvCxnSpPr>
                      </a:nvCxnSpPr>
                      <a:spPr bwMode="auto">
                        <a:xfrm flipV="1">
                          <a:off x="434" y="307"/>
                          <a:ext cx="9" cy="446"/>
                        </a:xfrm>
                        <a:prstGeom prst="straightConnector1">
                          <a:avLst/>
                        </a:prstGeom>
                        <a:noFill/>
                        <a:ln w="25400">
                          <a:solidFill>
                            <a:srgbClr val="000000"/>
                          </a:solidFill>
                          <a:round/>
                          <a:headEnd/>
                          <a:tailEnd/>
                        </a:ln>
                      </a:spPr>
                    </a:cxnSp>
                    <a:cxnSp>
                      <a:nvCxnSpPr>
                        <a:cNvPr id="41" name="AutoShape 17"/>
                        <a:cNvCxnSpPr>
                          <a:cxnSpLocks noChangeShapeType="1"/>
                        </a:cNvCxnSpPr>
                      </a:nvCxnSpPr>
                      <a:spPr bwMode="auto">
                        <a:xfrm>
                          <a:off x="434" y="2406"/>
                          <a:ext cx="9" cy="450"/>
                        </a:xfrm>
                        <a:prstGeom prst="straightConnector1">
                          <a:avLst/>
                        </a:prstGeom>
                        <a:noFill/>
                        <a:ln w="25400">
                          <a:solidFill>
                            <a:srgbClr val="000000"/>
                          </a:solidFill>
                          <a:round/>
                          <a:headEnd/>
                          <a:tailEnd/>
                        </a:ln>
                      </a:spPr>
                    </a:cxnSp>
                    <a:cxnSp>
                      <a:nvCxnSpPr>
                        <a:cNvPr id="42" name="AutoShape 16"/>
                        <a:cNvCxnSpPr>
                          <a:cxnSpLocks noChangeShapeType="1"/>
                        </a:cNvCxnSpPr>
                      </a:nvCxnSpPr>
                      <a:spPr bwMode="auto">
                        <a:xfrm>
                          <a:off x="381" y="302"/>
                          <a:ext cx="107" cy="1"/>
                        </a:xfrm>
                        <a:prstGeom prst="straightConnector1">
                          <a:avLst/>
                        </a:prstGeom>
                        <a:noFill/>
                        <a:ln w="25400">
                          <a:solidFill>
                            <a:srgbClr val="000000"/>
                          </a:solidFill>
                          <a:round/>
                          <a:headEnd/>
                          <a:tailEnd/>
                        </a:ln>
                      </a:spPr>
                    </a:cxnSp>
                    <a:cxnSp>
                      <a:nvCxnSpPr>
                        <a:cNvPr id="43" name="AutoShape 15"/>
                        <a:cNvCxnSpPr>
                          <a:cxnSpLocks noChangeShapeType="1"/>
                        </a:cNvCxnSpPr>
                      </a:nvCxnSpPr>
                      <a:spPr bwMode="auto">
                        <a:xfrm>
                          <a:off x="381" y="2857"/>
                          <a:ext cx="107" cy="1"/>
                        </a:xfrm>
                        <a:prstGeom prst="straightConnector1">
                          <a:avLst/>
                        </a:prstGeom>
                        <a:noFill/>
                        <a:ln w="25400">
                          <a:solidFill>
                            <a:srgbClr val="000000"/>
                          </a:solidFill>
                          <a:round/>
                          <a:headEnd/>
                          <a:tailEnd/>
                        </a:ln>
                      </a:spPr>
                    </a:cxnSp>
                    <a:cxnSp>
                      <a:nvCxnSpPr>
                        <a:cNvPr id="44" name="AutoShape 14"/>
                        <a:cNvCxnSpPr>
                          <a:cxnSpLocks noChangeShapeType="1"/>
                        </a:cNvCxnSpPr>
                      </a:nvCxnSpPr>
                      <a:spPr bwMode="auto">
                        <a:xfrm>
                          <a:off x="558" y="302"/>
                          <a:ext cx="505" cy="1"/>
                        </a:xfrm>
                        <a:prstGeom prst="straightConnector1">
                          <a:avLst/>
                        </a:prstGeom>
                        <a:noFill/>
                        <a:ln w="19050" cap="rnd">
                          <a:solidFill>
                            <a:srgbClr val="000000"/>
                          </a:solidFill>
                          <a:prstDash val="sysDot"/>
                          <a:round/>
                          <a:headEnd/>
                          <a:tailEnd/>
                        </a:ln>
                      </a:spPr>
                    </a:cxnSp>
                    <a:cxnSp>
                      <a:nvCxnSpPr>
                        <a:cNvPr id="45" name="AutoShape 13"/>
                        <a:cNvCxnSpPr>
                          <a:cxnSpLocks noChangeShapeType="1"/>
                        </a:cNvCxnSpPr>
                      </a:nvCxnSpPr>
                      <a:spPr bwMode="auto">
                        <a:xfrm>
                          <a:off x="558" y="2857"/>
                          <a:ext cx="557" cy="1"/>
                        </a:xfrm>
                        <a:prstGeom prst="straightConnector1">
                          <a:avLst/>
                        </a:prstGeom>
                        <a:noFill/>
                        <a:ln w="19050" cap="rnd">
                          <a:solidFill>
                            <a:srgbClr val="000000"/>
                          </a:solidFill>
                          <a:prstDash val="sysDot"/>
                          <a:round/>
                          <a:headEnd/>
                          <a:tailEnd/>
                        </a:ln>
                      </a:spPr>
                    </a:cxnSp>
                    <a:cxnSp>
                      <a:nvCxnSpPr>
                        <a:cNvPr id="46" name="AutoShape 12"/>
                        <a:cNvCxnSpPr>
                          <a:cxnSpLocks noChangeShapeType="1"/>
                        </a:cNvCxnSpPr>
                      </a:nvCxnSpPr>
                      <a:spPr bwMode="auto">
                        <a:xfrm>
                          <a:off x="807" y="2391"/>
                          <a:ext cx="256" cy="1"/>
                        </a:xfrm>
                        <a:prstGeom prst="straightConnector1">
                          <a:avLst/>
                        </a:prstGeom>
                        <a:noFill/>
                        <a:ln w="19050" cap="rnd">
                          <a:solidFill>
                            <a:srgbClr val="000000"/>
                          </a:solidFill>
                          <a:prstDash val="sysDot"/>
                          <a:round/>
                          <a:headEnd/>
                          <a:tailEnd/>
                        </a:ln>
                      </a:spPr>
                    </a:cxnSp>
                    <a:cxnSp>
                      <a:nvCxnSpPr>
                        <a:cNvPr id="47" name="AutoShape 11"/>
                        <a:cNvCxnSpPr>
                          <a:cxnSpLocks noChangeShapeType="1"/>
                        </a:cNvCxnSpPr>
                      </a:nvCxnSpPr>
                      <a:spPr bwMode="auto">
                        <a:xfrm>
                          <a:off x="807" y="1580"/>
                          <a:ext cx="256" cy="1"/>
                        </a:xfrm>
                        <a:prstGeom prst="straightConnector1">
                          <a:avLst/>
                        </a:prstGeom>
                        <a:noFill/>
                        <a:ln w="19050" cap="rnd">
                          <a:solidFill>
                            <a:srgbClr val="000000"/>
                          </a:solidFill>
                          <a:prstDash val="sysDot"/>
                          <a:round/>
                          <a:headEnd/>
                          <a:tailEnd/>
                        </a:ln>
                      </a:spPr>
                    </a:cxnSp>
                    <a:cxnSp>
                      <a:nvCxnSpPr>
                        <a:cNvPr id="48" name="AutoShape 10"/>
                        <a:cNvCxnSpPr>
                          <a:cxnSpLocks noChangeShapeType="1"/>
                        </a:cNvCxnSpPr>
                      </a:nvCxnSpPr>
                      <a:spPr bwMode="auto">
                        <a:xfrm>
                          <a:off x="807" y="769"/>
                          <a:ext cx="256" cy="1"/>
                        </a:xfrm>
                        <a:prstGeom prst="straightConnector1">
                          <a:avLst/>
                        </a:prstGeom>
                        <a:noFill/>
                        <a:ln w="19050" cap="rnd">
                          <a:solidFill>
                            <a:srgbClr val="000000"/>
                          </a:solidFill>
                          <a:prstDash val="sysDot"/>
                          <a:round/>
                          <a:headEnd/>
                          <a:tailEnd/>
                        </a:ln>
                      </a:spPr>
                    </a:cxnSp>
                    <a:sp>
                      <a:nvSpPr>
                        <a:cNvPr id="49" name="Text Box 9"/>
                        <a:cNvSpPr txBox="1">
                          <a:spLocks noChangeArrowheads="1"/>
                        </a:cNvSpPr>
                      </a:nvSpPr>
                      <a:spPr bwMode="auto">
                        <a:xfrm>
                          <a:off x="1009" y="40"/>
                          <a:ext cx="1174" cy="363"/>
                        </a:xfrm>
                        <a:prstGeom prst="rect">
                          <a:avLst/>
                        </a:prstGeom>
                        <a:solidFill>
                          <a:srgbClr val="FFFFFF"/>
                        </a:solidFill>
                        <a:ln w="9525">
                          <a:noFill/>
                          <a:miter lim="800000"/>
                          <a:headEnd/>
                          <a:tailEnd/>
                        </a:ln>
                      </a:spPr>
                      <a:txSp>
                        <a:txBody>
                          <a:bodyPr vertOverflow="clip" wrap="square" lIns="91440" tIns="45720" rIns="91440" bIns="45720" anchor="t" upright="1"/>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pPr algn="l" rtl="0">
                              <a:defRPr sz="1000"/>
                            </a:pPr>
                            <a:r>
                              <a:rPr lang="cs-CZ" sz="800" b="0" i="0" u="none" strike="noStrike" baseline="0">
                                <a:solidFill>
                                  <a:srgbClr val="000000"/>
                                </a:solidFill>
                                <a:latin typeface="Futura Bk" pitchFamily="34" charset="0"/>
                                <a:cs typeface="Arial"/>
                              </a:rPr>
                              <a:t>9. decil</a:t>
                            </a:r>
                          </a:p>
                        </a:txBody>
                        <a:useSpRect/>
                      </a:txSp>
                    </a:sp>
                    <a:sp>
                      <a:nvSpPr>
                        <a:cNvPr id="50" name="Text Box 8"/>
                        <a:cNvSpPr txBox="1">
                          <a:spLocks noChangeArrowheads="1"/>
                        </a:cNvSpPr>
                      </a:nvSpPr>
                      <a:spPr bwMode="auto">
                        <a:xfrm>
                          <a:off x="970" y="1301"/>
                          <a:ext cx="1155" cy="497"/>
                        </a:xfrm>
                        <a:prstGeom prst="rect">
                          <a:avLst/>
                        </a:prstGeom>
                        <a:solidFill>
                          <a:srgbClr val="FFFFFF"/>
                        </a:solidFill>
                        <a:ln w="9525">
                          <a:noFill/>
                          <a:miter lim="800000"/>
                          <a:headEnd/>
                          <a:tailEnd/>
                        </a:ln>
                      </a:spPr>
                      <a:txSp>
                        <a:txBody>
                          <a:bodyPr vertOverflow="clip" wrap="square" lIns="91440" tIns="45720" rIns="91440" bIns="45720" anchor="t" upright="1"/>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pPr algn="l" rtl="0">
                              <a:defRPr sz="1000"/>
                            </a:pPr>
                            <a:r>
                              <a:rPr lang="cs-CZ" sz="800" b="0" i="0" u="none" strike="noStrike" baseline="0">
                                <a:solidFill>
                                  <a:srgbClr val="000000"/>
                                </a:solidFill>
                                <a:latin typeface="Futura Bk" pitchFamily="34" charset="0"/>
                                <a:cs typeface="Arial"/>
                              </a:rPr>
                              <a:t>medián</a:t>
                            </a:r>
                          </a:p>
                        </a:txBody>
                        <a:useSpRect/>
                      </a:txSp>
                    </a:sp>
                    <a:sp>
                      <a:nvSpPr>
                        <a:cNvPr id="51" name="Text Box 7"/>
                        <a:cNvSpPr txBox="1">
                          <a:spLocks noChangeArrowheads="1"/>
                        </a:cNvSpPr>
                      </a:nvSpPr>
                      <a:spPr bwMode="auto">
                        <a:xfrm>
                          <a:off x="989" y="518"/>
                          <a:ext cx="1251" cy="306"/>
                        </a:xfrm>
                        <a:prstGeom prst="rect">
                          <a:avLst/>
                        </a:prstGeom>
                        <a:solidFill>
                          <a:srgbClr val="FFFFFF"/>
                        </a:solidFill>
                        <a:ln w="9525">
                          <a:noFill/>
                          <a:miter lim="800000"/>
                          <a:headEnd/>
                          <a:tailEnd/>
                        </a:ln>
                      </a:spPr>
                      <a:txSp>
                        <a:txBody>
                          <a:bodyPr vertOverflow="clip" wrap="square" lIns="91440" tIns="45720" rIns="91440" bIns="45720" anchor="t" upright="1"/>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pPr algn="l" rtl="0">
                              <a:defRPr sz="1000"/>
                            </a:pPr>
                            <a:r>
                              <a:rPr lang="cs-CZ" sz="800" b="0" i="0" u="none" strike="noStrike" baseline="0">
                                <a:solidFill>
                                  <a:srgbClr val="000000"/>
                                </a:solidFill>
                                <a:latin typeface="Futura Bk" pitchFamily="34" charset="0"/>
                                <a:cs typeface="Arial"/>
                              </a:rPr>
                              <a:t>8. decil</a:t>
                            </a:r>
                          </a:p>
                        </a:txBody>
                        <a:useSpRect/>
                      </a:txSp>
                    </a:sp>
                    <a:sp>
                      <a:nvSpPr>
                        <a:cNvPr id="52" name="Text Box 6"/>
                        <a:cNvSpPr txBox="1">
                          <a:spLocks noChangeArrowheads="1"/>
                        </a:cNvSpPr>
                      </a:nvSpPr>
                      <a:spPr bwMode="auto">
                        <a:xfrm>
                          <a:off x="989" y="2103"/>
                          <a:ext cx="1193" cy="516"/>
                        </a:xfrm>
                        <a:prstGeom prst="rect">
                          <a:avLst/>
                        </a:prstGeom>
                        <a:solidFill>
                          <a:srgbClr val="FFFFFF"/>
                        </a:solidFill>
                        <a:ln w="9525">
                          <a:noFill/>
                          <a:miter lim="800000"/>
                          <a:headEnd/>
                          <a:tailEnd/>
                        </a:ln>
                      </a:spPr>
                      <a:txSp>
                        <a:txBody>
                          <a:bodyPr vertOverflow="clip" wrap="square" lIns="91440" tIns="45720" rIns="91440" bIns="45720" anchor="t" upright="1"/>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pPr algn="l" rtl="0">
                              <a:defRPr sz="1000"/>
                            </a:pPr>
                            <a:r>
                              <a:rPr lang="cs-CZ" sz="800" b="0" i="0" u="none" strike="noStrike" baseline="0">
                                <a:solidFill>
                                  <a:srgbClr val="000000"/>
                                </a:solidFill>
                                <a:latin typeface="Futura Bk" pitchFamily="34" charset="0"/>
                                <a:cs typeface="Arial"/>
                              </a:rPr>
                              <a:t>2.decil</a:t>
                            </a:r>
                          </a:p>
                        </a:txBody>
                        <a:useSpRect/>
                      </a:txSp>
                    </a:sp>
                    <a:sp>
                      <a:nvSpPr>
                        <a:cNvPr id="53" name="Text Box 5"/>
                        <a:cNvSpPr txBox="1">
                          <a:spLocks noChangeArrowheads="1"/>
                        </a:cNvSpPr>
                      </a:nvSpPr>
                      <a:spPr bwMode="auto">
                        <a:xfrm>
                          <a:off x="989" y="2581"/>
                          <a:ext cx="1155" cy="459"/>
                        </a:xfrm>
                        <a:prstGeom prst="rect">
                          <a:avLst/>
                        </a:prstGeom>
                        <a:solidFill>
                          <a:srgbClr val="FFFFFF"/>
                        </a:solidFill>
                        <a:ln w="9525">
                          <a:noFill/>
                          <a:miter lim="800000"/>
                          <a:headEnd/>
                          <a:tailEnd/>
                        </a:ln>
                      </a:spPr>
                      <a:txSp>
                        <a:txBody>
                          <a:bodyPr vertOverflow="clip" wrap="square" lIns="91440" tIns="45720" rIns="91440" bIns="45720" anchor="t" upright="1"/>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pPr algn="l" rtl="0">
                              <a:defRPr sz="1000"/>
                            </a:pPr>
                            <a:r>
                              <a:rPr lang="cs-CZ" sz="800" b="0" i="0" u="none" strike="noStrike" baseline="0">
                                <a:solidFill>
                                  <a:srgbClr val="000000"/>
                                </a:solidFill>
                                <a:latin typeface="Futura Bk" pitchFamily="34" charset="0"/>
                                <a:cs typeface="Arial"/>
                              </a:rPr>
                              <a:t>1. decil</a:t>
                            </a:r>
                          </a:p>
                        </a:txBody>
                        <a:useSpRect/>
                      </a:txSp>
                    </a:sp>
                    <a:sp>
                      <a:nvSpPr>
                        <a:cNvPr id="54" name="Rectangle 4"/>
                        <a:cNvSpPr>
                          <a:spLocks noChangeArrowheads="1"/>
                        </a:cNvSpPr>
                      </a:nvSpPr>
                      <a:spPr bwMode="auto">
                        <a:xfrm>
                          <a:off x="290" y="1024"/>
                          <a:ext cx="202" cy="214"/>
                        </a:xfrm>
                        <a:prstGeom prst="rect">
                          <a:avLst/>
                        </a:prstGeom>
                        <a:solidFill>
                          <a:srgbClr val="FFCD00"/>
                        </a:solidFill>
                        <a:ln w="9525">
                          <a:solidFill>
                            <a:srgbClr val="7F7F7F"/>
                          </a:solidFill>
                          <a:miter lim="800000"/>
                          <a:headEnd/>
                          <a:tailEnd/>
                        </a:ln>
                        <a:scene3d>
                          <a:camera prst="orthographicFront"/>
                          <a:lightRig rig="threePt" dir="t"/>
                        </a:scene3d>
                        <a:sp3d>
                          <a:bevelT/>
                          <a:bevelB/>
                        </a:sp3d>
                      </a:spPr>
                      <a:txSp>
                        <a:txBody>
                          <a:bodyPr/>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endParaRPr lang="cs-CZ"/>
                          </a:p>
                        </a:txBody>
                        <a:useSpRect/>
                      </a:txSp>
                    </a:sp>
                    <a:cxnSp>
                      <a:nvCxnSpPr>
                        <a:cNvPr id="55" name="AutoShape 3"/>
                        <a:cNvCxnSpPr>
                          <a:cxnSpLocks noChangeShapeType="1"/>
                        </a:cNvCxnSpPr>
                      </a:nvCxnSpPr>
                      <a:spPr bwMode="auto">
                        <a:xfrm>
                          <a:off x="559" y="1140"/>
                          <a:ext cx="504" cy="2"/>
                        </a:xfrm>
                        <a:prstGeom prst="straightConnector1">
                          <a:avLst/>
                        </a:prstGeom>
                        <a:noFill/>
                        <a:ln w="19050" cap="rnd">
                          <a:solidFill>
                            <a:srgbClr val="000000"/>
                          </a:solidFill>
                          <a:prstDash val="sysDot"/>
                          <a:round/>
                          <a:headEnd/>
                          <a:tailEnd/>
                        </a:ln>
                      </a:spPr>
                    </a:cxnSp>
                    <a:sp>
                      <a:nvSpPr>
                        <a:cNvPr id="56" name="Text Box 2"/>
                        <a:cNvSpPr txBox="1">
                          <a:spLocks noChangeArrowheads="1"/>
                        </a:cNvSpPr>
                      </a:nvSpPr>
                      <a:spPr bwMode="auto">
                        <a:xfrm>
                          <a:off x="913" y="936"/>
                          <a:ext cx="1193" cy="363"/>
                        </a:xfrm>
                        <a:prstGeom prst="rect">
                          <a:avLst/>
                        </a:prstGeom>
                        <a:solidFill>
                          <a:srgbClr val="FFFFFF"/>
                        </a:solidFill>
                        <a:ln w="9525">
                          <a:noFill/>
                          <a:miter lim="800000"/>
                          <a:headEnd/>
                          <a:tailEnd/>
                        </a:ln>
                      </a:spPr>
                      <a:txSp>
                        <a:txBody>
                          <a:bodyPr vertOverflow="clip" wrap="square" lIns="91440" tIns="45720" rIns="91440" bIns="45720" anchor="t" upright="1"/>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pPr algn="l" rtl="0">
                              <a:defRPr sz="1000"/>
                            </a:pPr>
                            <a:r>
                              <a:rPr lang="cs-CZ" sz="800" b="0" i="0" u="none" strike="noStrike" baseline="0">
                                <a:solidFill>
                                  <a:srgbClr val="000000"/>
                                </a:solidFill>
                                <a:latin typeface="Futura Bk" pitchFamily="34" charset="0"/>
                                <a:cs typeface="Arial"/>
                              </a:rPr>
                              <a:t>průměr</a:t>
                            </a:r>
                          </a:p>
                        </a:txBody>
                        <a:useSpRect/>
                      </a:txSp>
                    </a:sp>
                  </a:grpSp>
                </lc:lockedCanvas>
              </a:graphicData>
            </a:graphic>
          </wp:anchor>
        </w:drawing>
      </w:r>
      <w:r w:rsidRPr="0025434A">
        <w:rPr>
          <w:noProof/>
          <w:lang w:eastAsia="cs-CZ"/>
        </w:rPr>
        <w:drawing>
          <wp:inline distT="0" distB="0" distL="0" distR="0">
            <wp:extent cx="5495925" cy="3590925"/>
            <wp:effectExtent l="19050" t="0" r="0" b="0"/>
            <wp:docPr id="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4E1D" w:rsidRPr="009D31DA" w:rsidRDefault="00D6311D" w:rsidP="00DD4E1D">
      <w:pPr>
        <w:spacing w:after="120" w:line="288" w:lineRule="auto"/>
        <w:ind w:firstLine="284"/>
        <w:jc w:val="right"/>
        <w:rPr>
          <w:rFonts w:ascii="Arial Narrow" w:hAnsi="Arial Narrow" w:cs="Times New Roman"/>
          <w:i/>
          <w:sz w:val="20"/>
          <w:szCs w:val="20"/>
        </w:rPr>
      </w:pPr>
      <w:r w:rsidRPr="00BF761A">
        <w:rPr>
          <w:noProof/>
          <w:lang w:eastAsia="cs-CZ"/>
        </w:rPr>
        <w:t xml:space="preserve"> </w:t>
      </w:r>
      <w:r w:rsidR="00DD4E1D" w:rsidRPr="009D31DA">
        <w:rPr>
          <w:rFonts w:ascii="Arial Narrow" w:hAnsi="Arial Narrow" w:cs="Times New Roman"/>
          <w:i/>
          <w:sz w:val="20"/>
          <w:szCs w:val="20"/>
        </w:rPr>
        <w:t>Zdroj: Životní podmínky/SILC 2013</w:t>
      </w:r>
    </w:p>
    <w:p w:rsidR="00D6311D" w:rsidRDefault="00D6311D" w:rsidP="00D6311D">
      <w:pPr>
        <w:spacing w:after="120" w:line="288" w:lineRule="auto"/>
        <w:jc w:val="both"/>
        <w:rPr>
          <w:noProof/>
          <w:lang w:eastAsia="cs-CZ"/>
        </w:rPr>
      </w:pPr>
    </w:p>
    <w:p w:rsidR="00D6311D" w:rsidRDefault="00D6311D" w:rsidP="00D6311D">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Vyšší stupeň dosaženého vzdělání představuje nejen vyšší úroveň příjmů, ale také větší nerovnost těchto příjmů v rámci dané skupiny. Z výše uvedeného grafu vyčteme, že prostřední měsíční příjem (medián) domácnosti u vysokoškoláků v roce 2012 činil 2</w:t>
      </w:r>
      <w:r w:rsidR="004E3184">
        <w:rPr>
          <w:rFonts w:ascii="Arial Narrow" w:hAnsi="Arial Narrow" w:cs="Times New Roman"/>
          <w:sz w:val="24"/>
          <w:szCs w:val="32"/>
        </w:rPr>
        <w:t>1</w:t>
      </w:r>
      <w:r>
        <w:rPr>
          <w:rFonts w:ascii="Arial Narrow" w:hAnsi="Arial Narrow" w:cs="Times New Roman"/>
          <w:sz w:val="24"/>
          <w:szCs w:val="32"/>
        </w:rPr>
        <w:t xml:space="preserve"> </w:t>
      </w:r>
      <w:r w:rsidR="004E3184">
        <w:rPr>
          <w:rFonts w:ascii="Arial Narrow" w:hAnsi="Arial Narrow" w:cs="Times New Roman"/>
          <w:sz w:val="24"/>
          <w:szCs w:val="32"/>
        </w:rPr>
        <w:t>617</w:t>
      </w:r>
      <w:r>
        <w:rPr>
          <w:rFonts w:ascii="Arial Narrow" w:hAnsi="Arial Narrow" w:cs="Times New Roman"/>
          <w:sz w:val="24"/>
          <w:szCs w:val="32"/>
        </w:rPr>
        <w:t xml:space="preserve"> Kč, zatímco medián příjmů za všechny osoby dosahoval pouze 16 124 Kč/měsíc. Kolem této prostřední hodnoty jsou rozloženy příjmy osob dané skupiny, které pro vysokoškolsky vzdělané osoby vykazují největší rozpětí, míra nerovnosti jejich příjmů prezentovaná </w:t>
      </w:r>
      <w:proofErr w:type="spellStart"/>
      <w:r>
        <w:rPr>
          <w:rFonts w:ascii="Arial Narrow" w:hAnsi="Arial Narrow" w:cs="Times New Roman"/>
          <w:sz w:val="24"/>
          <w:szCs w:val="32"/>
        </w:rPr>
        <w:t>Giniho</w:t>
      </w:r>
      <w:proofErr w:type="spellEnd"/>
      <w:r>
        <w:rPr>
          <w:rFonts w:ascii="Arial Narrow" w:hAnsi="Arial Narrow" w:cs="Times New Roman"/>
          <w:sz w:val="24"/>
          <w:szCs w:val="32"/>
        </w:rPr>
        <w:t xml:space="preserve"> koeficientem činí 0,261. Větší míru nerovnosti příjmů u vysokoškoláků potvrzuje i alternativní ukazatel S80/S20, který u těchto osob nabývá hodnoty 3,6, tedy pětina nejbohatších osob s vysokoškolským titulem dosahuje 3,6krát více úhrnného příjmu než dolní pětina. </w:t>
      </w:r>
    </w:p>
    <w:p w:rsidR="00D6311D" w:rsidRPr="00D6311D" w:rsidRDefault="00D6311D" w:rsidP="001A6FEE">
      <w:pPr>
        <w:pStyle w:val="1Podnadpis11"/>
        <w:numPr>
          <w:ilvl w:val="0"/>
          <w:numId w:val="0"/>
        </w:numPr>
        <w:jc w:val="center"/>
        <w:rPr>
          <w:sz w:val="28"/>
          <w:szCs w:val="28"/>
        </w:rPr>
      </w:pPr>
      <w:r w:rsidRPr="00D6311D">
        <w:rPr>
          <w:sz w:val="28"/>
          <w:szCs w:val="28"/>
        </w:rPr>
        <w:lastRenderedPageBreak/>
        <w:t xml:space="preserve">Osoby s vysokoškolským vzděláním </w:t>
      </w:r>
      <w:r w:rsidR="001A6FEE">
        <w:rPr>
          <w:sz w:val="28"/>
          <w:szCs w:val="28"/>
        </w:rPr>
        <w:t xml:space="preserve">disponují téměř čtvrtinou úhrnu </w:t>
      </w:r>
      <w:proofErr w:type="spellStart"/>
      <w:r w:rsidRPr="00D6311D">
        <w:rPr>
          <w:sz w:val="28"/>
          <w:szCs w:val="28"/>
        </w:rPr>
        <w:t>ekvalizovaných</w:t>
      </w:r>
      <w:proofErr w:type="spellEnd"/>
      <w:r w:rsidRPr="00D6311D">
        <w:rPr>
          <w:sz w:val="28"/>
          <w:szCs w:val="28"/>
        </w:rPr>
        <w:t xml:space="preserve"> příjmů všech osob </w:t>
      </w:r>
      <w:r w:rsidR="003A7186" w:rsidRPr="003A7186">
        <w:rPr>
          <w:sz w:val="28"/>
          <w:szCs w:val="28"/>
        </w:rPr>
        <w:t>populace vyjma dětí a studentů</w:t>
      </w:r>
    </w:p>
    <w:p w:rsidR="00D6311D" w:rsidRDefault="00D6311D" w:rsidP="00D6311D">
      <w:pPr>
        <w:pStyle w:val="3GRAF"/>
        <w:ind w:firstLine="284"/>
        <w:jc w:val="left"/>
      </w:pPr>
      <w:r>
        <w:t>Graf</w:t>
      </w:r>
      <w:r w:rsidR="004B23FE">
        <w:t xml:space="preserve"> </w:t>
      </w:r>
      <w:r>
        <w:t xml:space="preserve">3.3 Rozdělení počtu osob (n) a celkových </w:t>
      </w:r>
      <w:proofErr w:type="spellStart"/>
      <w:r>
        <w:t>ekvalizovaných</w:t>
      </w:r>
      <w:proofErr w:type="spellEnd"/>
      <w:r>
        <w:t xml:space="preserve"> příjmů (w) podle vzdělání v roce 201</w:t>
      </w:r>
      <w:r w:rsidR="00376FCC">
        <w:t>2</w:t>
      </w:r>
    </w:p>
    <w:p w:rsidR="00D6311D" w:rsidRDefault="00D6311D" w:rsidP="00D6311D">
      <w:pPr>
        <w:pStyle w:val="3GRAF"/>
        <w:ind w:firstLine="284"/>
        <w:jc w:val="left"/>
      </w:pPr>
      <w:r w:rsidRPr="00912185">
        <w:rPr>
          <w:noProof/>
          <w:lang w:eastAsia="cs-CZ"/>
        </w:rPr>
        <w:drawing>
          <wp:inline distT="0" distB="0" distL="0" distR="0">
            <wp:extent cx="4981575" cy="3838575"/>
            <wp:effectExtent l="0" t="0" r="0" b="0"/>
            <wp:docPr id="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4E1D" w:rsidRPr="009D31DA" w:rsidRDefault="00DD4E1D" w:rsidP="00DD4E1D">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2013</w:t>
      </w:r>
    </w:p>
    <w:p w:rsidR="0083242E" w:rsidRDefault="0083242E" w:rsidP="00D6311D">
      <w:pPr>
        <w:spacing w:after="120" w:line="288" w:lineRule="auto"/>
        <w:ind w:firstLine="284"/>
        <w:jc w:val="both"/>
        <w:rPr>
          <w:rFonts w:ascii="Arial Narrow" w:hAnsi="Arial Narrow" w:cs="Times New Roman"/>
          <w:sz w:val="24"/>
          <w:szCs w:val="32"/>
        </w:rPr>
      </w:pPr>
    </w:p>
    <w:p w:rsidR="00D6311D" w:rsidRDefault="00D6311D" w:rsidP="00D6311D">
      <w:pPr>
        <w:spacing w:after="120" w:line="288" w:lineRule="auto"/>
        <w:ind w:firstLine="284"/>
        <w:jc w:val="both"/>
        <w:rPr>
          <w:rFonts w:ascii="Arial Narrow" w:hAnsi="Arial Narrow" w:cs="Times New Roman"/>
          <w:sz w:val="24"/>
          <w:szCs w:val="32"/>
        </w:rPr>
      </w:pPr>
      <w:r>
        <w:rPr>
          <w:rFonts w:ascii="Arial Narrow" w:hAnsi="Arial Narrow" w:cs="Times New Roman"/>
          <w:sz w:val="24"/>
          <w:szCs w:val="32"/>
        </w:rPr>
        <w:t>Vysokoškolsky vzdělané osoby tvoří přes 16</w:t>
      </w:r>
      <w:r>
        <w:rPr>
          <w:sz w:val="24"/>
          <w:szCs w:val="32"/>
        </w:rPr>
        <w:t> </w:t>
      </w:r>
      <w:r>
        <w:rPr>
          <w:rFonts w:ascii="Arial Narrow" w:hAnsi="Arial Narrow" w:cs="Times New Roman"/>
          <w:sz w:val="24"/>
          <w:szCs w:val="32"/>
        </w:rPr>
        <w:t xml:space="preserve">% všech osob </w:t>
      </w:r>
      <w:r w:rsidR="00376FCC">
        <w:rPr>
          <w:rFonts w:ascii="Arial Narrow" w:hAnsi="Arial Narrow" w:cs="Times New Roman"/>
          <w:sz w:val="24"/>
          <w:szCs w:val="32"/>
        </w:rPr>
        <w:t>populace vyjma dětí a studentů</w:t>
      </w:r>
      <w:r>
        <w:rPr>
          <w:rFonts w:ascii="Arial Narrow" w:hAnsi="Arial Narrow" w:cs="Times New Roman"/>
          <w:sz w:val="24"/>
          <w:szCs w:val="32"/>
        </w:rPr>
        <w:t xml:space="preserve">. Z úhrnu těchto </w:t>
      </w:r>
      <w:proofErr w:type="spellStart"/>
      <w:r>
        <w:rPr>
          <w:rFonts w:ascii="Arial Narrow" w:hAnsi="Arial Narrow" w:cs="Times New Roman"/>
          <w:sz w:val="24"/>
          <w:szCs w:val="32"/>
        </w:rPr>
        <w:t>ekvalizovaných</w:t>
      </w:r>
      <w:proofErr w:type="spellEnd"/>
      <w:r>
        <w:rPr>
          <w:rFonts w:ascii="Arial Narrow" w:hAnsi="Arial Narrow" w:cs="Times New Roman"/>
          <w:sz w:val="24"/>
          <w:szCs w:val="32"/>
        </w:rPr>
        <w:t xml:space="preserve"> příjmů na ně připadá ovšem více než 22 % (viz Graf 3.3 výše). Opačná situace nastává u osob se středoškolským vzděláním bez maturity a především u těch se základním vzděláním, na které připadá poměrná část </w:t>
      </w:r>
      <w:proofErr w:type="spellStart"/>
      <w:r>
        <w:rPr>
          <w:rFonts w:ascii="Arial Narrow" w:hAnsi="Arial Narrow" w:cs="Times New Roman"/>
          <w:sz w:val="24"/>
          <w:szCs w:val="32"/>
        </w:rPr>
        <w:t>ekvalizovaných</w:t>
      </w:r>
      <w:proofErr w:type="spellEnd"/>
      <w:r>
        <w:rPr>
          <w:rFonts w:ascii="Arial Narrow" w:hAnsi="Arial Narrow" w:cs="Times New Roman"/>
          <w:sz w:val="24"/>
          <w:szCs w:val="32"/>
        </w:rPr>
        <w:t xml:space="preserve"> příjmů jen 7,8</w:t>
      </w:r>
      <w:r>
        <w:rPr>
          <w:sz w:val="24"/>
          <w:szCs w:val="32"/>
        </w:rPr>
        <w:t> </w:t>
      </w:r>
      <w:r>
        <w:rPr>
          <w:rFonts w:ascii="Arial Narrow" w:hAnsi="Arial Narrow" w:cs="Times New Roman"/>
          <w:sz w:val="24"/>
          <w:szCs w:val="32"/>
        </w:rPr>
        <w:t xml:space="preserve">%, přestože jejich zastoupení mezi osobami </w:t>
      </w:r>
      <w:r w:rsidR="00376FCC">
        <w:rPr>
          <w:rFonts w:ascii="Arial Narrow" w:hAnsi="Arial Narrow" w:cs="Times New Roman"/>
          <w:sz w:val="24"/>
          <w:szCs w:val="32"/>
        </w:rPr>
        <w:t xml:space="preserve">vyjma studentů a dětí </w:t>
      </w:r>
      <w:r>
        <w:rPr>
          <w:rFonts w:ascii="Arial Narrow" w:hAnsi="Arial Narrow" w:cs="Times New Roman"/>
          <w:sz w:val="24"/>
          <w:szCs w:val="32"/>
        </w:rPr>
        <w:t>je přes 10</w:t>
      </w:r>
      <w:r>
        <w:rPr>
          <w:sz w:val="24"/>
          <w:szCs w:val="32"/>
        </w:rPr>
        <w:t> </w:t>
      </w:r>
      <w:r>
        <w:rPr>
          <w:rFonts w:ascii="Arial Narrow" w:hAnsi="Arial Narrow" w:cs="Times New Roman"/>
          <w:sz w:val="24"/>
          <w:szCs w:val="32"/>
        </w:rPr>
        <w:t>%.</w:t>
      </w:r>
    </w:p>
    <w:p w:rsidR="00D6311D" w:rsidRDefault="00D6311D" w:rsidP="00D6311D">
      <w:pPr>
        <w:pStyle w:val="1Podnadpis11"/>
        <w:numPr>
          <w:ilvl w:val="0"/>
          <w:numId w:val="0"/>
        </w:numPr>
        <w:ind w:left="576" w:hanging="576"/>
        <w:jc w:val="center"/>
        <w:rPr>
          <w:sz w:val="28"/>
          <w:szCs w:val="28"/>
        </w:rPr>
      </w:pPr>
      <w:r w:rsidRPr="00D6311D">
        <w:rPr>
          <w:sz w:val="28"/>
          <w:szCs w:val="28"/>
        </w:rPr>
        <w:lastRenderedPageBreak/>
        <w:t>Vysokoškoláci přispívají k celkové nerovnosti příjmů ve společnosti stejným dílem jako středoškoláci bez maturity, přestože jich je dva a půl krát méně</w:t>
      </w:r>
    </w:p>
    <w:p w:rsidR="004E3184" w:rsidRDefault="004E3184" w:rsidP="004E3184">
      <w:pPr>
        <w:pStyle w:val="3GRAF"/>
        <w:ind w:firstLine="284"/>
        <w:jc w:val="left"/>
      </w:pPr>
      <w:r>
        <w:t>Graf</w:t>
      </w:r>
      <w:r w:rsidR="004B23FE">
        <w:t xml:space="preserve"> </w:t>
      </w:r>
      <w:r>
        <w:t>3.4 Příspěvky skupin osob podle vzdělání k celkovému nesouladu příjmů v roce 2012</w:t>
      </w:r>
    </w:p>
    <w:p w:rsidR="00D6311D" w:rsidRDefault="004E3184" w:rsidP="00D6311D">
      <w:pPr>
        <w:pStyle w:val="1Podnadpis11"/>
        <w:numPr>
          <w:ilvl w:val="0"/>
          <w:numId w:val="0"/>
        </w:numPr>
        <w:ind w:left="576" w:hanging="576"/>
        <w:jc w:val="center"/>
      </w:pPr>
      <w:r w:rsidRPr="004E3184">
        <w:rPr>
          <w:noProof/>
          <w:lang w:eastAsia="cs-CZ"/>
        </w:rPr>
        <w:drawing>
          <wp:inline distT="0" distB="0" distL="0" distR="0">
            <wp:extent cx="4572000" cy="2571750"/>
            <wp:effectExtent l="0" t="0" r="0" b="0"/>
            <wp:docPr id="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4E1D" w:rsidRPr="009D31DA" w:rsidRDefault="00DD4E1D" w:rsidP="00DD4E1D">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2013</w:t>
      </w:r>
    </w:p>
    <w:p w:rsidR="00DD4E1D" w:rsidRDefault="00DD4E1D" w:rsidP="00D6311D">
      <w:pPr>
        <w:pStyle w:val="1Podnadpis11"/>
        <w:numPr>
          <w:ilvl w:val="0"/>
          <w:numId w:val="0"/>
        </w:numPr>
        <w:spacing w:before="0" w:after="120" w:line="288" w:lineRule="auto"/>
        <w:ind w:firstLine="284"/>
        <w:jc w:val="both"/>
        <w:outlineLvl w:val="9"/>
        <w:rPr>
          <w:rFonts w:eastAsiaTheme="minorHAnsi" w:cs="Times New Roman"/>
          <w:b w:val="0"/>
          <w:bCs w:val="0"/>
          <w:sz w:val="24"/>
          <w:szCs w:val="32"/>
        </w:rPr>
      </w:pPr>
    </w:p>
    <w:p w:rsidR="00D6311D" w:rsidRDefault="00D6311D" w:rsidP="00D6311D">
      <w:pPr>
        <w:pStyle w:val="1Podnadpis11"/>
        <w:numPr>
          <w:ilvl w:val="0"/>
          <w:numId w:val="0"/>
        </w:numPr>
        <w:spacing w:before="0" w:after="120" w:line="288" w:lineRule="auto"/>
        <w:ind w:firstLine="284"/>
        <w:jc w:val="both"/>
        <w:outlineLvl w:val="9"/>
        <w:rPr>
          <w:rFonts w:eastAsiaTheme="minorHAnsi" w:cs="Times New Roman"/>
          <w:b w:val="0"/>
          <w:bCs w:val="0"/>
          <w:sz w:val="24"/>
          <w:szCs w:val="32"/>
        </w:rPr>
      </w:pPr>
      <w:r w:rsidRPr="00D133C6">
        <w:rPr>
          <w:rFonts w:eastAsiaTheme="minorHAnsi" w:cs="Times New Roman"/>
          <w:b w:val="0"/>
          <w:bCs w:val="0"/>
          <w:sz w:val="24"/>
          <w:szCs w:val="32"/>
        </w:rPr>
        <w:t xml:space="preserve">Zohledníme-li velikost každé vzdělanostní skupiny a poměrnou část </w:t>
      </w:r>
      <w:proofErr w:type="spellStart"/>
      <w:r w:rsidRPr="00D133C6">
        <w:rPr>
          <w:rFonts w:eastAsiaTheme="minorHAnsi" w:cs="Times New Roman"/>
          <w:b w:val="0"/>
          <w:bCs w:val="0"/>
          <w:sz w:val="24"/>
          <w:szCs w:val="32"/>
        </w:rPr>
        <w:t>ekvalizovaných</w:t>
      </w:r>
      <w:proofErr w:type="spellEnd"/>
      <w:r w:rsidRPr="00D133C6">
        <w:rPr>
          <w:rFonts w:eastAsiaTheme="minorHAnsi" w:cs="Times New Roman"/>
          <w:b w:val="0"/>
          <w:bCs w:val="0"/>
          <w:sz w:val="24"/>
          <w:szCs w:val="32"/>
        </w:rPr>
        <w:t xml:space="preserve"> příjmů, která na ni připadá, můžeme určit příspěvek dané skupiny osob k celkové nerovnosti příjmů ve společnosti. Pokud by panovala absolutní rovnost, připadl by na každou vzdělanostní skupinu stejný díl úhrnu </w:t>
      </w:r>
      <w:proofErr w:type="spellStart"/>
      <w:r w:rsidRPr="00D133C6">
        <w:rPr>
          <w:rFonts w:eastAsiaTheme="minorHAnsi" w:cs="Times New Roman"/>
          <w:b w:val="0"/>
          <w:bCs w:val="0"/>
          <w:sz w:val="24"/>
          <w:szCs w:val="32"/>
        </w:rPr>
        <w:t>ekvalizovaných</w:t>
      </w:r>
      <w:proofErr w:type="spellEnd"/>
      <w:r w:rsidRPr="00D133C6">
        <w:rPr>
          <w:rFonts w:eastAsiaTheme="minorHAnsi" w:cs="Times New Roman"/>
          <w:b w:val="0"/>
          <w:bCs w:val="0"/>
          <w:sz w:val="24"/>
          <w:szCs w:val="32"/>
        </w:rPr>
        <w:t xml:space="preserve"> příjmů</w:t>
      </w:r>
      <w:r w:rsidR="00EE7E07">
        <w:rPr>
          <w:rFonts w:eastAsiaTheme="minorHAnsi" w:cs="Times New Roman"/>
          <w:b w:val="0"/>
          <w:bCs w:val="0"/>
          <w:sz w:val="24"/>
          <w:szCs w:val="32"/>
        </w:rPr>
        <w:t>,</w:t>
      </w:r>
      <w:r w:rsidRPr="00D133C6">
        <w:rPr>
          <w:rFonts w:eastAsiaTheme="minorHAnsi" w:cs="Times New Roman"/>
          <w:b w:val="0"/>
          <w:bCs w:val="0"/>
          <w:sz w:val="24"/>
          <w:szCs w:val="32"/>
        </w:rPr>
        <w:t xml:space="preserve"> jako je jejich poměrné početní zastoupení</w:t>
      </w:r>
      <w:r>
        <w:rPr>
          <w:rFonts w:eastAsiaTheme="minorHAnsi" w:cs="Times New Roman"/>
          <w:b w:val="0"/>
          <w:bCs w:val="0"/>
          <w:sz w:val="24"/>
          <w:szCs w:val="32"/>
        </w:rPr>
        <w:t xml:space="preserve">. </w:t>
      </w:r>
      <w:r w:rsidRPr="00D133C6">
        <w:rPr>
          <w:rFonts w:eastAsiaTheme="minorHAnsi" w:cs="Times New Roman"/>
          <w:b w:val="0"/>
          <w:bCs w:val="0"/>
          <w:sz w:val="24"/>
          <w:szCs w:val="32"/>
        </w:rPr>
        <w:t>To v realitě ovšem nenastává, proto se pomocí těchto vzájemných poměrů dá určit velikost, jakou daná skupina přispívá k celkovému nesouladu příjmů ve společnosti.</w:t>
      </w:r>
    </w:p>
    <w:p w:rsidR="00D6311D" w:rsidRDefault="00D6311D" w:rsidP="00D6311D">
      <w:pPr>
        <w:pStyle w:val="1Podnadpis11"/>
        <w:numPr>
          <w:ilvl w:val="0"/>
          <w:numId w:val="0"/>
        </w:numPr>
        <w:spacing w:before="0" w:after="120" w:line="288" w:lineRule="auto"/>
        <w:ind w:firstLine="284"/>
        <w:jc w:val="both"/>
        <w:outlineLvl w:val="9"/>
        <w:rPr>
          <w:rFonts w:cs="Times New Roman"/>
          <w:b w:val="0"/>
          <w:sz w:val="24"/>
          <w:szCs w:val="32"/>
        </w:rPr>
      </w:pPr>
      <w:r w:rsidRPr="00D133C6">
        <w:rPr>
          <w:rFonts w:eastAsiaTheme="minorHAnsi" w:cs="Times New Roman"/>
          <w:b w:val="0"/>
          <w:bCs w:val="0"/>
          <w:sz w:val="24"/>
          <w:szCs w:val="32"/>
        </w:rPr>
        <w:t>Pro rok 201</w:t>
      </w:r>
      <w:r>
        <w:rPr>
          <w:rFonts w:eastAsiaTheme="minorHAnsi" w:cs="Times New Roman"/>
          <w:b w:val="0"/>
          <w:bCs w:val="0"/>
          <w:sz w:val="24"/>
          <w:szCs w:val="32"/>
        </w:rPr>
        <w:t>2</w:t>
      </w:r>
      <w:r w:rsidRPr="00D133C6">
        <w:rPr>
          <w:rFonts w:eastAsiaTheme="minorHAnsi" w:cs="Times New Roman"/>
          <w:b w:val="0"/>
          <w:bCs w:val="0"/>
          <w:sz w:val="24"/>
          <w:szCs w:val="32"/>
        </w:rPr>
        <w:t xml:space="preserve"> jsou tyto hodnoty za jednotlivé skupiny osob podle vzdělání graficky vyjádřeny výše (Graf 3.</w:t>
      </w:r>
      <w:r w:rsidR="00A26D17">
        <w:rPr>
          <w:rFonts w:eastAsiaTheme="minorHAnsi" w:cs="Times New Roman"/>
          <w:b w:val="0"/>
          <w:bCs w:val="0"/>
          <w:sz w:val="24"/>
          <w:szCs w:val="32"/>
        </w:rPr>
        <w:t>4</w:t>
      </w:r>
      <w:r w:rsidRPr="00D133C6">
        <w:rPr>
          <w:rFonts w:eastAsiaTheme="minorHAnsi" w:cs="Times New Roman"/>
          <w:b w:val="0"/>
          <w:bCs w:val="0"/>
          <w:sz w:val="24"/>
          <w:szCs w:val="32"/>
        </w:rPr>
        <w:t>).</w:t>
      </w:r>
      <w:r>
        <w:rPr>
          <w:rFonts w:eastAsiaTheme="minorHAnsi" w:cs="Times New Roman"/>
          <w:b w:val="0"/>
          <w:bCs w:val="0"/>
          <w:sz w:val="24"/>
          <w:szCs w:val="32"/>
        </w:rPr>
        <w:t xml:space="preserve"> Největší</w:t>
      </w:r>
      <w:r>
        <w:rPr>
          <w:rFonts w:cs="Times New Roman"/>
          <w:b w:val="0"/>
          <w:sz w:val="24"/>
          <w:szCs w:val="32"/>
        </w:rPr>
        <w:t xml:space="preserve"> relativní příspěvek je pozorovatelný u středoškoláků s maturitou (31,4</w:t>
      </w:r>
      <w:r w:rsidRPr="00D133C6">
        <w:rPr>
          <w:rFonts w:eastAsiaTheme="minorHAnsi" w:cs="Times New Roman"/>
          <w:b w:val="0"/>
          <w:bCs w:val="0"/>
          <w:sz w:val="24"/>
          <w:szCs w:val="32"/>
        </w:rPr>
        <w:t> </w:t>
      </w:r>
      <w:r>
        <w:rPr>
          <w:rFonts w:cs="Times New Roman"/>
          <w:b w:val="0"/>
          <w:sz w:val="24"/>
          <w:szCs w:val="32"/>
        </w:rPr>
        <w:t>%), kterých je ve společnosti mezi osobami s již formálně ukončeným vzdělávacím procesem více než třetina. Přestože středoškoláků bez maturity je dokonce ještě více (viz výše) přispívají k nerovnosti příjmů pouze 23,7</w:t>
      </w:r>
      <w:r w:rsidRPr="00D133C6">
        <w:rPr>
          <w:rFonts w:eastAsiaTheme="minorHAnsi" w:cs="Times New Roman"/>
          <w:b w:val="0"/>
          <w:bCs w:val="0"/>
          <w:sz w:val="24"/>
          <w:szCs w:val="32"/>
        </w:rPr>
        <w:t> </w:t>
      </w:r>
      <w:r>
        <w:rPr>
          <w:rFonts w:cs="Times New Roman"/>
          <w:b w:val="0"/>
          <w:sz w:val="24"/>
          <w:szCs w:val="32"/>
        </w:rPr>
        <w:t xml:space="preserve">%. Tuto hodnotu dokonce přesahuje příspěvek osob s terciárním vzděláním, jejichž zastoupení je oproti nim ovšem méně než poloviční. Důvodem je již dříve zmiňovaný větší poměrný díl </w:t>
      </w:r>
      <w:proofErr w:type="spellStart"/>
      <w:r>
        <w:rPr>
          <w:rFonts w:cs="Times New Roman"/>
          <w:b w:val="0"/>
          <w:sz w:val="24"/>
          <w:szCs w:val="32"/>
        </w:rPr>
        <w:t>ekvalizovaných</w:t>
      </w:r>
      <w:proofErr w:type="spellEnd"/>
      <w:r>
        <w:rPr>
          <w:rFonts w:cs="Times New Roman"/>
          <w:b w:val="0"/>
          <w:sz w:val="24"/>
          <w:szCs w:val="32"/>
        </w:rPr>
        <w:t xml:space="preserve"> příjmů, kterým disponují a především také velká míra nerovnosti příjmů v rámci jejich skupiny. </w:t>
      </w:r>
    </w:p>
    <w:p w:rsidR="00D6311D" w:rsidRDefault="00D6311D" w:rsidP="00D6311D">
      <w:pPr>
        <w:spacing w:after="120" w:line="288" w:lineRule="auto"/>
        <w:ind w:firstLine="284"/>
        <w:jc w:val="both"/>
        <w:rPr>
          <w:rFonts w:ascii="Arial Narrow" w:hAnsi="Arial Narrow" w:cs="Times New Roman"/>
          <w:sz w:val="24"/>
          <w:szCs w:val="32"/>
        </w:rPr>
      </w:pPr>
      <w:r w:rsidRPr="009B4CF4">
        <w:rPr>
          <w:rFonts w:ascii="Arial Narrow" w:hAnsi="Arial Narrow" w:cs="Times New Roman"/>
          <w:sz w:val="24"/>
          <w:szCs w:val="32"/>
        </w:rPr>
        <w:t xml:space="preserve">Nerovnoměrné rozložení příjmů mezi </w:t>
      </w:r>
      <w:r>
        <w:rPr>
          <w:rFonts w:ascii="Arial Narrow" w:hAnsi="Arial Narrow" w:cs="Times New Roman"/>
          <w:sz w:val="24"/>
          <w:szCs w:val="32"/>
        </w:rPr>
        <w:t xml:space="preserve">jednotlivé </w:t>
      </w:r>
      <w:r w:rsidRPr="009B4CF4">
        <w:rPr>
          <w:rFonts w:ascii="Arial Narrow" w:hAnsi="Arial Narrow" w:cs="Times New Roman"/>
          <w:sz w:val="24"/>
          <w:szCs w:val="32"/>
        </w:rPr>
        <w:t xml:space="preserve">vzdělanostní skupiny </w:t>
      </w:r>
      <w:r>
        <w:rPr>
          <w:rFonts w:ascii="Arial Narrow" w:hAnsi="Arial Narrow" w:cs="Times New Roman"/>
          <w:sz w:val="24"/>
          <w:szCs w:val="32"/>
        </w:rPr>
        <w:t xml:space="preserve">však </w:t>
      </w:r>
      <w:r w:rsidRPr="009B4CF4">
        <w:rPr>
          <w:rFonts w:ascii="Arial Narrow" w:hAnsi="Arial Narrow" w:cs="Times New Roman"/>
          <w:sz w:val="24"/>
          <w:szCs w:val="32"/>
        </w:rPr>
        <w:t>neovlivňuje celkov</w:t>
      </w:r>
      <w:r>
        <w:rPr>
          <w:rFonts w:ascii="Arial Narrow" w:hAnsi="Arial Narrow" w:cs="Times New Roman"/>
          <w:sz w:val="24"/>
          <w:szCs w:val="32"/>
        </w:rPr>
        <w:t xml:space="preserve">ý nesoulad </w:t>
      </w:r>
      <w:r w:rsidRPr="009B4CF4">
        <w:rPr>
          <w:rFonts w:ascii="Arial Narrow" w:hAnsi="Arial Narrow" w:cs="Times New Roman"/>
          <w:sz w:val="24"/>
          <w:szCs w:val="32"/>
        </w:rPr>
        <w:t xml:space="preserve">příjmů tak </w:t>
      </w:r>
      <w:r>
        <w:rPr>
          <w:rFonts w:ascii="Arial Narrow" w:hAnsi="Arial Narrow" w:cs="Times New Roman"/>
          <w:sz w:val="24"/>
          <w:szCs w:val="32"/>
        </w:rPr>
        <w:t>významně (jeho příspěvek činí pouze necelých 16</w:t>
      </w:r>
      <w:r w:rsidRPr="009B4CF4">
        <w:rPr>
          <w:rFonts w:ascii="Arial Narrow" w:hAnsi="Arial Narrow" w:cs="Times New Roman"/>
          <w:sz w:val="24"/>
          <w:szCs w:val="32"/>
        </w:rPr>
        <w:t xml:space="preserve"> %) jako nerovnoměrné rozdělení příjmů </w:t>
      </w:r>
      <w:r>
        <w:rPr>
          <w:rFonts w:ascii="Arial Narrow" w:hAnsi="Arial Narrow" w:cs="Times New Roman"/>
          <w:sz w:val="24"/>
          <w:szCs w:val="32"/>
        </w:rPr>
        <w:t xml:space="preserve">v rámci dané skupiny, tedy </w:t>
      </w:r>
      <w:r w:rsidRPr="009B4CF4">
        <w:rPr>
          <w:rFonts w:ascii="Arial Narrow" w:hAnsi="Arial Narrow" w:cs="Times New Roman"/>
          <w:sz w:val="24"/>
          <w:szCs w:val="32"/>
        </w:rPr>
        <w:t>mezi osobami se stejným stupněm dosaženého vzdělání.</w:t>
      </w:r>
      <w:r>
        <w:rPr>
          <w:rFonts w:ascii="Arial Narrow" w:hAnsi="Arial Narrow" w:cs="Times New Roman"/>
          <w:sz w:val="24"/>
          <w:szCs w:val="32"/>
        </w:rPr>
        <w:t xml:space="preserve"> </w:t>
      </w:r>
    </w:p>
    <w:p w:rsidR="00D6311D" w:rsidRPr="001E379A" w:rsidRDefault="00D6311D" w:rsidP="00D6311D">
      <w:pPr>
        <w:pStyle w:val="1Podnadpis11"/>
        <w:numPr>
          <w:ilvl w:val="0"/>
          <w:numId w:val="0"/>
        </w:numPr>
        <w:spacing w:before="0" w:after="120" w:line="288" w:lineRule="auto"/>
        <w:ind w:firstLine="284"/>
        <w:jc w:val="both"/>
        <w:outlineLvl w:val="9"/>
        <w:rPr>
          <w:rFonts w:cs="Times New Roman"/>
          <w:b w:val="0"/>
          <w:sz w:val="24"/>
          <w:szCs w:val="32"/>
        </w:rPr>
      </w:pPr>
    </w:p>
    <w:p w:rsidR="0083242E" w:rsidRDefault="0083242E">
      <w:pPr>
        <w:spacing w:after="0" w:line="240" w:lineRule="auto"/>
        <w:rPr>
          <w:rFonts w:ascii="Arial Narrow" w:hAnsi="Arial Narrow" w:cs="Times New Roman"/>
          <w:sz w:val="24"/>
          <w:szCs w:val="32"/>
        </w:rPr>
      </w:pPr>
      <w:r>
        <w:rPr>
          <w:rFonts w:ascii="Arial Narrow" w:hAnsi="Arial Narrow" w:cs="Times New Roman"/>
          <w:sz w:val="24"/>
          <w:szCs w:val="32"/>
        </w:rPr>
        <w:br w:type="page"/>
      </w:r>
    </w:p>
    <w:p w:rsidR="0083242E" w:rsidRDefault="0083242E" w:rsidP="0083242E">
      <w:pPr>
        <w:pStyle w:val="Nadpis1"/>
      </w:pPr>
      <w:r>
        <w:lastRenderedPageBreak/>
        <w:t>Vliv vzdělání rodičů</w:t>
      </w:r>
    </w:p>
    <w:p w:rsidR="0083242E" w:rsidRDefault="0083242E" w:rsidP="0083242E">
      <w:pPr>
        <w:pStyle w:val="2TEXT"/>
      </w:pPr>
      <w:r>
        <w:t xml:space="preserve">V roce 2011 byly v rámci šetření </w:t>
      </w:r>
      <w:r w:rsidR="0026513F">
        <w:t>Životní podmínky/</w:t>
      </w:r>
      <w:r>
        <w:t xml:space="preserve">SILC ve speciálním tematickém modulu zjišťovány údaje o rodičích respondenta. Respondent byl dotazován na vzdělání, zaměstnání a ekonomickou aktivitu otce a matky. Z těchto údajů je možné usuzovat, jak jsou tyto aspekty přenosné z generace na generaci. Do jaké míry závisí na rodinném prostředí, ve kterém jsme vyrůstali? </w:t>
      </w:r>
    </w:p>
    <w:p w:rsidR="0083242E" w:rsidRPr="001C7262" w:rsidRDefault="0083242E" w:rsidP="0083242E">
      <w:pPr>
        <w:pStyle w:val="1Podnadpis11"/>
        <w:numPr>
          <w:ilvl w:val="0"/>
          <w:numId w:val="0"/>
        </w:numPr>
        <w:ind w:left="576" w:hanging="576"/>
        <w:jc w:val="center"/>
        <w:rPr>
          <w:sz w:val="28"/>
          <w:szCs w:val="28"/>
        </w:rPr>
      </w:pPr>
      <w:r>
        <w:t xml:space="preserve"> </w:t>
      </w:r>
      <w:r w:rsidRPr="001C7262">
        <w:rPr>
          <w:sz w:val="28"/>
          <w:szCs w:val="28"/>
        </w:rPr>
        <w:t>Více jak polovina populace m</w:t>
      </w:r>
      <w:r w:rsidR="00DD4E1D">
        <w:rPr>
          <w:sz w:val="28"/>
          <w:szCs w:val="28"/>
        </w:rPr>
        <w:t>ěla</w:t>
      </w:r>
      <w:r w:rsidRPr="001C7262">
        <w:rPr>
          <w:sz w:val="28"/>
          <w:szCs w:val="28"/>
        </w:rPr>
        <w:t xml:space="preserve"> shodné vzdělání s rodiči, k přenosu základního vzdělání a středoškolského vzdělání bez maturity dochází častěji </w:t>
      </w:r>
      <w:r w:rsidR="00880AF9">
        <w:rPr>
          <w:sz w:val="28"/>
          <w:szCs w:val="28"/>
        </w:rPr>
        <w:t>–</w:t>
      </w:r>
      <w:r w:rsidRPr="001C7262">
        <w:rPr>
          <w:sz w:val="28"/>
          <w:szCs w:val="28"/>
        </w:rPr>
        <w:t xml:space="preserve"> až v 36 % případů</w:t>
      </w:r>
    </w:p>
    <w:p w:rsidR="0083242E" w:rsidRDefault="0083242E" w:rsidP="0083242E">
      <w:pPr>
        <w:pStyle w:val="3GRAF"/>
      </w:pPr>
      <w:proofErr w:type="gramStart"/>
      <w:r>
        <w:t xml:space="preserve">Tabulka </w:t>
      </w:r>
      <w:r w:rsidR="00676147">
        <w:t>3</w:t>
      </w:r>
      <w:r>
        <w:t>.</w:t>
      </w:r>
      <w:fldSimple w:instr=" SEQ Tabulka \* ARABIC \s 1 ">
        <w:r w:rsidR="00723DAB">
          <w:rPr>
            <w:noProof/>
          </w:rPr>
          <w:t>1</w:t>
        </w:r>
      </w:fldSimple>
      <w:proofErr w:type="gramEnd"/>
      <w:r>
        <w:t xml:space="preserve"> Shoda vzdělání respondentů s rodiči podle stupně vzdělání</w:t>
      </w:r>
    </w:p>
    <w:tbl>
      <w:tblPr>
        <w:tblW w:w="9062" w:type="dxa"/>
        <w:tblInd w:w="-10" w:type="dxa"/>
        <w:tblLook w:val="04A0"/>
      </w:tblPr>
      <w:tblGrid>
        <w:gridCol w:w="773"/>
        <w:gridCol w:w="1350"/>
        <w:gridCol w:w="1199"/>
        <w:gridCol w:w="1320"/>
        <w:gridCol w:w="1350"/>
        <w:gridCol w:w="1096"/>
        <w:gridCol w:w="850"/>
        <w:gridCol w:w="590"/>
        <w:gridCol w:w="267"/>
        <w:gridCol w:w="267"/>
      </w:tblGrid>
      <w:tr w:rsidR="0083242E" w:rsidRPr="000B7211" w:rsidTr="001370AA">
        <w:trPr>
          <w:trHeight w:val="345"/>
        </w:trPr>
        <w:tc>
          <w:tcPr>
            <w:tcW w:w="2123" w:type="dxa"/>
            <w:gridSpan w:val="2"/>
            <w:vMerge w:val="restart"/>
            <w:tcBorders>
              <w:top w:val="single" w:sz="8" w:space="0" w:color="auto"/>
              <w:left w:val="single" w:sz="8" w:space="0" w:color="auto"/>
              <w:right w:val="single" w:sz="8" w:space="0" w:color="auto"/>
            </w:tcBorders>
            <w:shd w:val="clear" w:color="auto" w:fill="auto"/>
            <w:noWrap/>
            <w:vAlign w:val="bottom"/>
            <w:hideMark/>
          </w:tcPr>
          <w:p w:rsidR="0083242E" w:rsidRPr="00EF6CA1" w:rsidRDefault="0083242E" w:rsidP="001370AA">
            <w:pPr>
              <w:spacing w:after="0" w:line="240" w:lineRule="auto"/>
              <w:jc w:val="center"/>
              <w:rPr>
                <w:rFonts w:ascii="Arial Narrow" w:eastAsia="Times New Roman" w:hAnsi="Arial Narrow" w:cs="Calibri"/>
                <w:color w:val="000000"/>
              </w:rPr>
            </w:pPr>
            <w:r w:rsidRPr="00EF6CA1">
              <w:rPr>
                <w:rFonts w:ascii="Arial Narrow" w:eastAsia="Times New Roman" w:hAnsi="Arial Narrow" w:cs="Calibri"/>
                <w:color w:val="000000"/>
              </w:rPr>
              <w:t>Celkem</w:t>
            </w:r>
          </w:p>
          <w:p w:rsidR="0083242E" w:rsidRPr="000B7211" w:rsidRDefault="0083242E" w:rsidP="001370AA">
            <w:pPr>
              <w:spacing w:after="0" w:line="240" w:lineRule="auto"/>
              <w:rPr>
                <w:rFonts w:ascii="Calibri" w:eastAsia="Times New Roman" w:hAnsi="Calibri" w:cs="Calibri"/>
                <w:color w:val="000000"/>
                <w:lang w:val="en-US"/>
              </w:rPr>
            </w:pPr>
            <w:r w:rsidRPr="000B7211">
              <w:rPr>
                <w:rFonts w:ascii="Calibri" w:eastAsia="Times New Roman" w:hAnsi="Calibri" w:cs="Calibri"/>
                <w:color w:val="000000"/>
                <w:lang w:val="en-US"/>
              </w:rPr>
              <w:t> </w:t>
            </w:r>
          </w:p>
          <w:p w:rsidR="0083242E" w:rsidRPr="000B7211" w:rsidRDefault="0083242E" w:rsidP="001370AA">
            <w:pPr>
              <w:spacing w:after="0" w:line="240" w:lineRule="auto"/>
              <w:rPr>
                <w:rFonts w:ascii="Calibri" w:eastAsia="Times New Roman" w:hAnsi="Calibri" w:cs="Calibri"/>
                <w:color w:val="000000"/>
                <w:lang w:val="en-US"/>
              </w:rPr>
            </w:pPr>
            <w:r w:rsidRPr="000B7211">
              <w:rPr>
                <w:rFonts w:ascii="Calibri" w:eastAsia="Times New Roman" w:hAnsi="Calibri" w:cs="Calibri"/>
                <w:color w:val="000000"/>
                <w:lang w:val="en-US"/>
              </w:rPr>
              <w:t> </w:t>
            </w:r>
          </w:p>
        </w:tc>
        <w:tc>
          <w:tcPr>
            <w:tcW w:w="6405" w:type="dxa"/>
            <w:gridSpan w:val="6"/>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proofErr w:type="spellStart"/>
            <w:r w:rsidRPr="000B7211">
              <w:rPr>
                <w:rFonts w:ascii="Arial Narrow" w:eastAsia="Times New Roman" w:hAnsi="Arial Narrow" w:cs="Calibri"/>
                <w:color w:val="000000"/>
                <w:lang w:val="en-US"/>
              </w:rPr>
              <w:t>Nejvyšší</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dosažené</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vzdělání</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rodičů</w:t>
            </w:r>
            <w:proofErr w:type="spellEnd"/>
          </w:p>
        </w:tc>
        <w:tc>
          <w:tcPr>
            <w:tcW w:w="267" w:type="dxa"/>
            <w:tcBorders>
              <w:top w:val="single" w:sz="8" w:space="0" w:color="auto"/>
              <w:left w:val="nil"/>
              <w:bottom w:val="single" w:sz="8" w:space="0" w:color="auto"/>
              <w:right w:val="nil"/>
            </w:tcBorders>
            <w:shd w:val="clear" w:color="auto" w:fill="F2F2F2" w:themeFill="background1" w:themeFillShade="F2"/>
            <w:vAlign w:val="center"/>
            <w:hideMark/>
          </w:tcPr>
          <w:p w:rsidR="0083242E" w:rsidRPr="000B7211" w:rsidRDefault="0083242E" w:rsidP="001370AA">
            <w:pPr>
              <w:spacing w:after="0" w:line="240" w:lineRule="auto"/>
              <w:rPr>
                <w:rFonts w:ascii="Arial Narrow" w:eastAsia="Times New Roman" w:hAnsi="Arial Narrow" w:cs="Calibri"/>
                <w:color w:val="000000"/>
                <w:lang w:val="en-US"/>
              </w:rPr>
            </w:pPr>
            <w:r w:rsidRPr="000B7211">
              <w:rPr>
                <w:rFonts w:ascii="Arial Narrow" w:eastAsia="Times New Roman" w:hAnsi="Arial Narrow" w:cs="Calibri"/>
                <w:color w:val="000000"/>
                <w:lang w:val="en-US"/>
              </w:rPr>
              <w:t> </w:t>
            </w:r>
          </w:p>
        </w:tc>
        <w:tc>
          <w:tcPr>
            <w:tcW w:w="26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rPr>
                <w:rFonts w:ascii="Arial Narrow" w:eastAsia="Times New Roman" w:hAnsi="Arial Narrow" w:cs="Calibri"/>
                <w:color w:val="000000"/>
                <w:lang w:val="en-US"/>
              </w:rPr>
            </w:pPr>
            <w:r w:rsidRPr="000B7211">
              <w:rPr>
                <w:rFonts w:ascii="Arial Narrow" w:eastAsia="Times New Roman" w:hAnsi="Arial Narrow" w:cs="Calibri"/>
                <w:color w:val="000000"/>
                <w:lang w:val="en-US"/>
              </w:rPr>
              <w:t> </w:t>
            </w:r>
          </w:p>
        </w:tc>
      </w:tr>
      <w:tr w:rsidR="0083242E" w:rsidRPr="000B7211" w:rsidTr="001370AA">
        <w:trPr>
          <w:trHeight w:val="1110"/>
        </w:trPr>
        <w:tc>
          <w:tcPr>
            <w:tcW w:w="2123" w:type="dxa"/>
            <w:gridSpan w:val="2"/>
            <w:vMerge/>
            <w:tcBorders>
              <w:left w:val="single" w:sz="8" w:space="0" w:color="auto"/>
              <w:bottom w:val="single" w:sz="8" w:space="0" w:color="auto"/>
              <w:right w:val="single" w:sz="8" w:space="0" w:color="auto"/>
            </w:tcBorders>
            <w:shd w:val="clear" w:color="auto" w:fill="auto"/>
            <w:noWrap/>
            <w:vAlign w:val="bottom"/>
            <w:hideMark/>
          </w:tcPr>
          <w:p w:rsidR="0083242E" w:rsidRPr="000B7211" w:rsidRDefault="0083242E" w:rsidP="001370AA">
            <w:pPr>
              <w:spacing w:after="0" w:line="240" w:lineRule="auto"/>
              <w:rPr>
                <w:rFonts w:ascii="Calibri" w:eastAsia="Times New Roman" w:hAnsi="Calibri" w:cs="Calibri"/>
                <w:color w:val="000000"/>
                <w:lang w:val="en-US"/>
              </w:rPr>
            </w:pPr>
          </w:p>
        </w:tc>
        <w:tc>
          <w:tcPr>
            <w:tcW w:w="1199"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proofErr w:type="spellStart"/>
            <w:r w:rsidRPr="000B7211">
              <w:rPr>
                <w:rFonts w:ascii="Arial Narrow" w:eastAsia="Times New Roman" w:hAnsi="Arial Narrow" w:cs="Calibri"/>
                <w:color w:val="000000"/>
                <w:lang w:val="en-US"/>
              </w:rPr>
              <w:t>Negramotný</w:t>
            </w:r>
            <w:proofErr w:type="spellEnd"/>
          </w:p>
        </w:tc>
        <w:tc>
          <w:tcPr>
            <w:tcW w:w="1320" w:type="dxa"/>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Základní, středoškolské bez maturity</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Středoškolské s maturitou</w:t>
            </w:r>
          </w:p>
        </w:tc>
        <w:tc>
          <w:tcPr>
            <w:tcW w:w="1096" w:type="dxa"/>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Terciární</w:t>
            </w:r>
          </w:p>
        </w:tc>
        <w:tc>
          <w:tcPr>
            <w:tcW w:w="850" w:type="dxa"/>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proofErr w:type="spellStart"/>
            <w:r w:rsidRPr="000B7211">
              <w:rPr>
                <w:rFonts w:ascii="Arial Narrow" w:eastAsia="Times New Roman" w:hAnsi="Arial Narrow" w:cs="Calibri"/>
                <w:color w:val="000000"/>
                <w:lang w:val="en-US"/>
              </w:rPr>
              <w:t>Nevím</w:t>
            </w:r>
            <w:proofErr w:type="spellEnd"/>
          </w:p>
        </w:tc>
        <w:tc>
          <w:tcPr>
            <w:tcW w:w="1124" w:type="dxa"/>
            <w:gridSpan w:val="3"/>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Celkem</w:t>
            </w:r>
          </w:p>
        </w:tc>
      </w:tr>
      <w:tr w:rsidR="0083242E" w:rsidRPr="000B7211" w:rsidTr="001370AA">
        <w:trPr>
          <w:cantSplit/>
          <w:trHeight w:val="907"/>
        </w:trPr>
        <w:tc>
          <w:tcPr>
            <w:tcW w:w="773" w:type="dxa"/>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proofErr w:type="spellStart"/>
            <w:r w:rsidRPr="000B7211">
              <w:rPr>
                <w:rFonts w:ascii="Arial Narrow" w:eastAsia="Times New Roman" w:hAnsi="Arial Narrow" w:cs="Calibri"/>
                <w:color w:val="000000"/>
                <w:lang w:val="en-US"/>
              </w:rPr>
              <w:t>Nejvyšší</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dosažené</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vzdělání</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respondenta</w:t>
            </w:r>
            <w:proofErr w:type="spellEnd"/>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Základní, středoškolské bez maturity</w:t>
            </w:r>
          </w:p>
        </w:tc>
        <w:tc>
          <w:tcPr>
            <w:tcW w:w="1199"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0,2</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320" w:type="dxa"/>
            <w:tcBorders>
              <w:top w:val="nil"/>
              <w:left w:val="nil"/>
              <w:bottom w:val="single" w:sz="8" w:space="0" w:color="auto"/>
              <w:right w:val="single" w:sz="8" w:space="0" w:color="auto"/>
            </w:tcBorders>
            <w:shd w:val="clear" w:color="auto" w:fill="F2F2F2" w:themeFill="background1" w:themeFillShade="F2"/>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35,9</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7,8</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0,9</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850"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0,5</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124" w:type="dxa"/>
            <w:gridSpan w:val="3"/>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45,4</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r>
      <w:tr w:rsidR="0083242E" w:rsidRPr="000B7211" w:rsidTr="001370AA">
        <w:trPr>
          <w:trHeight w:val="567"/>
        </w:trPr>
        <w:tc>
          <w:tcPr>
            <w:tcW w:w="77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rPr>
                <w:rFonts w:ascii="Arial Narrow" w:eastAsia="Times New Roman" w:hAnsi="Arial Narrow" w:cs="Calibri"/>
                <w:color w:val="000000"/>
                <w:lang w:val="en-US"/>
              </w:rPr>
            </w:pP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Středoškolské s maturitou</w:t>
            </w:r>
          </w:p>
        </w:tc>
        <w:tc>
          <w:tcPr>
            <w:tcW w:w="1199" w:type="dxa"/>
            <w:tcBorders>
              <w:top w:val="nil"/>
              <w:left w:val="nil"/>
              <w:bottom w:val="single" w:sz="8" w:space="0" w:color="auto"/>
              <w:right w:val="single" w:sz="8" w:space="0" w:color="auto"/>
            </w:tcBorders>
            <w:shd w:val="clear" w:color="auto" w:fill="auto"/>
            <w:noWrap/>
            <w:vAlign w:val="center"/>
            <w:hideMark/>
          </w:tcPr>
          <w:p w:rsidR="0083242E" w:rsidRPr="000B7211" w:rsidRDefault="007A2C91" w:rsidP="007A2C91">
            <w:pPr>
              <w:spacing w:after="0" w:line="240" w:lineRule="auto"/>
              <w:jc w:val="center"/>
              <w:rPr>
                <w:rFonts w:ascii="Arial Narrow" w:eastAsia="Times New Roman" w:hAnsi="Arial Narrow" w:cs="Calibri"/>
                <w:color w:val="000000"/>
                <w:lang w:val="en-US"/>
              </w:rPr>
            </w:pPr>
            <w:r>
              <w:rPr>
                <w:rFonts w:ascii="Arial Narrow" w:eastAsia="Times New Roman" w:hAnsi="Arial Narrow" w:cs="Calibri"/>
                <w:color w:val="000000"/>
                <w:lang w:val="en-US"/>
              </w:rPr>
              <w:t>&lt;</w:t>
            </w:r>
            <w:r w:rsidR="0083242E" w:rsidRPr="000B7211">
              <w:rPr>
                <w:rFonts w:ascii="Arial Narrow" w:eastAsia="Times New Roman" w:hAnsi="Arial Narrow" w:cs="Calibri"/>
                <w:color w:val="000000"/>
                <w:lang w:val="en-US"/>
              </w:rPr>
              <w:t>0,</w:t>
            </w:r>
            <w:r>
              <w:rPr>
                <w:rFonts w:ascii="Arial Narrow" w:eastAsia="Times New Roman" w:hAnsi="Arial Narrow" w:cs="Calibri"/>
                <w:color w:val="000000"/>
                <w:lang w:val="en-US"/>
              </w:rPr>
              <w:t>1</w:t>
            </w:r>
            <w:r w:rsidR="009A07D8">
              <w:rPr>
                <w:rFonts w:ascii="Arial Narrow" w:eastAsia="Times New Roman" w:hAnsi="Arial Narrow" w:cs="Calibri"/>
                <w:color w:val="000000"/>
                <w:lang w:val="en-US"/>
              </w:rPr>
              <w:t xml:space="preserve"> </w:t>
            </w:r>
            <w:r w:rsidR="0083242E" w:rsidRPr="000B7211">
              <w:rPr>
                <w:rFonts w:ascii="Arial Narrow" w:eastAsia="Times New Roman" w:hAnsi="Arial Narrow" w:cs="Calibri"/>
                <w:color w:val="000000"/>
                <w:lang w:val="en-US"/>
              </w:rPr>
              <w:t>%</w:t>
            </w:r>
          </w:p>
        </w:tc>
        <w:tc>
          <w:tcPr>
            <w:tcW w:w="1320"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18,</w:t>
            </w:r>
            <w:r w:rsidR="007A2C91">
              <w:rPr>
                <w:rFonts w:ascii="Arial Narrow" w:eastAsia="Times New Roman" w:hAnsi="Arial Narrow" w:cs="Calibri"/>
                <w:color w:val="000000"/>
                <w:lang w:val="en-US"/>
              </w:rPr>
              <w:t>1</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F2F2F2" w:themeFill="background1" w:themeFillShade="F2"/>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15,</w:t>
            </w:r>
            <w:r w:rsidR="007A2C91">
              <w:rPr>
                <w:rFonts w:ascii="Arial Narrow" w:eastAsia="Times New Roman" w:hAnsi="Arial Narrow" w:cs="Calibri"/>
                <w:color w:val="000000"/>
                <w:lang w:val="en-US"/>
              </w:rPr>
              <w:t>3</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3,7</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850"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0,3</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124" w:type="dxa"/>
            <w:gridSpan w:val="3"/>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37,</w:t>
            </w:r>
            <w:r w:rsidR="007A2C91">
              <w:rPr>
                <w:rFonts w:ascii="Arial Narrow" w:eastAsia="Times New Roman" w:hAnsi="Arial Narrow" w:cs="Calibri"/>
                <w:color w:val="000000"/>
                <w:lang w:val="en-US"/>
              </w:rPr>
              <w:t>5</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r>
      <w:tr w:rsidR="0083242E" w:rsidRPr="000B7211" w:rsidTr="001370AA">
        <w:trPr>
          <w:trHeight w:val="567"/>
        </w:trPr>
        <w:tc>
          <w:tcPr>
            <w:tcW w:w="77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rPr>
                <w:rFonts w:ascii="Arial Narrow" w:eastAsia="Times New Roman" w:hAnsi="Arial Narrow" w:cs="Calibri"/>
                <w:color w:val="000000"/>
                <w:lang w:val="en-US"/>
              </w:rPr>
            </w:pP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Terciární</w:t>
            </w:r>
          </w:p>
        </w:tc>
        <w:tc>
          <w:tcPr>
            <w:tcW w:w="1199"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r>
              <w:rPr>
                <w:rFonts w:ascii="Arial Narrow" w:eastAsia="Times New Roman" w:hAnsi="Arial Narrow" w:cs="Calibri"/>
                <w:color w:val="000000"/>
                <w:lang w:val="en-US"/>
              </w:rPr>
              <w:t>-</w:t>
            </w:r>
          </w:p>
        </w:tc>
        <w:tc>
          <w:tcPr>
            <w:tcW w:w="1320"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3,5</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7,8</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F2F2F2" w:themeFill="background1" w:themeFillShade="F2"/>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5,</w:t>
            </w:r>
            <w:r w:rsidR="007A2C91">
              <w:rPr>
                <w:rFonts w:ascii="Arial Narrow" w:eastAsia="Times New Roman" w:hAnsi="Arial Narrow" w:cs="Calibri"/>
                <w:color w:val="000000"/>
                <w:lang w:val="en-US"/>
              </w:rPr>
              <w:t>7</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850" w:type="dxa"/>
            <w:tcBorders>
              <w:top w:val="nil"/>
              <w:left w:val="nil"/>
              <w:bottom w:val="single" w:sz="8" w:space="0" w:color="auto"/>
              <w:right w:val="single" w:sz="8" w:space="0" w:color="auto"/>
            </w:tcBorders>
            <w:shd w:val="clear" w:color="auto" w:fill="auto"/>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0,1</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124" w:type="dxa"/>
            <w:gridSpan w:val="3"/>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17,</w:t>
            </w:r>
            <w:r w:rsidR="007A2C91">
              <w:rPr>
                <w:rFonts w:ascii="Arial Narrow" w:eastAsia="Times New Roman" w:hAnsi="Arial Narrow" w:cs="Calibri"/>
                <w:color w:val="000000"/>
                <w:lang w:val="en-US"/>
              </w:rPr>
              <w:t>1</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r>
      <w:tr w:rsidR="0083242E" w:rsidRPr="000B7211" w:rsidTr="001370AA">
        <w:trPr>
          <w:trHeight w:val="567"/>
        </w:trPr>
        <w:tc>
          <w:tcPr>
            <w:tcW w:w="77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rPr>
                <w:rFonts w:ascii="Arial Narrow" w:eastAsia="Times New Roman" w:hAnsi="Arial Narrow" w:cs="Calibri"/>
                <w:color w:val="000000"/>
                <w:lang w:val="en-US"/>
              </w:rPr>
            </w:pP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1370AA">
            <w:pPr>
              <w:spacing w:after="0" w:line="240" w:lineRule="auto"/>
              <w:jc w:val="center"/>
              <w:rPr>
                <w:rFonts w:ascii="Arial Narrow" w:eastAsia="Times New Roman" w:hAnsi="Arial Narrow" w:cs="Calibri"/>
                <w:color w:val="000000"/>
                <w:lang w:val="en-US"/>
              </w:rPr>
            </w:pPr>
            <w:proofErr w:type="spellStart"/>
            <w:r w:rsidRPr="000B7211">
              <w:rPr>
                <w:rFonts w:ascii="Arial Narrow" w:eastAsia="Times New Roman" w:hAnsi="Arial Narrow" w:cs="Calibri"/>
                <w:color w:val="000000"/>
                <w:lang w:val="en-US"/>
              </w:rPr>
              <w:t>Celkem</w:t>
            </w:r>
            <w:proofErr w:type="spellEnd"/>
          </w:p>
        </w:tc>
        <w:tc>
          <w:tcPr>
            <w:tcW w:w="1199" w:type="dxa"/>
            <w:tcBorders>
              <w:top w:val="nil"/>
              <w:left w:val="nil"/>
              <w:bottom w:val="single" w:sz="8" w:space="0" w:color="auto"/>
              <w:right w:val="single" w:sz="8" w:space="0" w:color="auto"/>
            </w:tcBorders>
            <w:shd w:val="clear" w:color="auto" w:fill="F2F2F2" w:themeFill="background1" w:themeFillShade="F2"/>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0,2</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320" w:type="dxa"/>
            <w:tcBorders>
              <w:top w:val="nil"/>
              <w:left w:val="nil"/>
              <w:bottom w:val="single" w:sz="8" w:space="0" w:color="auto"/>
              <w:right w:val="single" w:sz="8" w:space="0" w:color="auto"/>
            </w:tcBorders>
            <w:shd w:val="clear" w:color="auto" w:fill="F2F2F2" w:themeFill="background1" w:themeFillShade="F2"/>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57,</w:t>
            </w:r>
            <w:r w:rsidR="007A2C91">
              <w:rPr>
                <w:rFonts w:ascii="Arial Narrow" w:eastAsia="Times New Roman" w:hAnsi="Arial Narrow" w:cs="Calibri"/>
                <w:color w:val="000000"/>
                <w:lang w:val="en-US"/>
              </w:rPr>
              <w:t>6</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F2F2F2" w:themeFill="background1" w:themeFillShade="F2"/>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30,</w:t>
            </w:r>
            <w:r w:rsidR="007A2C91">
              <w:rPr>
                <w:rFonts w:ascii="Arial Narrow" w:eastAsia="Times New Roman" w:hAnsi="Arial Narrow" w:cs="Calibri"/>
                <w:color w:val="000000"/>
                <w:lang w:val="en-US"/>
              </w:rPr>
              <w:t>9</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F2F2F2" w:themeFill="background1" w:themeFillShade="F2"/>
            <w:noWrap/>
            <w:vAlign w:val="center"/>
            <w:hideMark/>
          </w:tcPr>
          <w:p w:rsidR="0083242E" w:rsidRPr="000B7211" w:rsidRDefault="007A2C91" w:rsidP="007A2C91">
            <w:pPr>
              <w:spacing w:after="0" w:line="240" w:lineRule="auto"/>
              <w:jc w:val="center"/>
              <w:rPr>
                <w:rFonts w:ascii="Arial Narrow" w:eastAsia="Times New Roman" w:hAnsi="Arial Narrow" w:cs="Calibri"/>
                <w:color w:val="000000"/>
                <w:lang w:val="en-US"/>
              </w:rPr>
            </w:pPr>
            <w:r>
              <w:rPr>
                <w:rFonts w:ascii="Arial Narrow" w:eastAsia="Times New Roman" w:hAnsi="Arial Narrow" w:cs="Calibri"/>
                <w:color w:val="000000"/>
                <w:lang w:val="en-US"/>
              </w:rPr>
              <w:t>10,4</w:t>
            </w:r>
            <w:r w:rsidR="009A07D8">
              <w:rPr>
                <w:rFonts w:ascii="Arial Narrow" w:eastAsia="Times New Roman" w:hAnsi="Arial Narrow" w:cs="Calibri"/>
                <w:color w:val="000000"/>
                <w:lang w:val="en-US"/>
              </w:rPr>
              <w:t xml:space="preserve"> </w:t>
            </w:r>
            <w:r w:rsidR="0083242E" w:rsidRPr="000B7211">
              <w:rPr>
                <w:rFonts w:ascii="Arial Narrow" w:eastAsia="Times New Roman" w:hAnsi="Arial Narrow" w:cs="Calibri"/>
                <w:color w:val="000000"/>
                <w:lang w:val="en-US"/>
              </w:rPr>
              <w:t>%</w:t>
            </w:r>
          </w:p>
        </w:tc>
        <w:tc>
          <w:tcPr>
            <w:tcW w:w="850" w:type="dxa"/>
            <w:tcBorders>
              <w:top w:val="nil"/>
              <w:left w:val="nil"/>
              <w:bottom w:val="single" w:sz="8" w:space="0" w:color="auto"/>
              <w:right w:val="single" w:sz="8" w:space="0" w:color="auto"/>
            </w:tcBorders>
            <w:shd w:val="clear" w:color="auto" w:fill="F2F2F2" w:themeFill="background1" w:themeFillShade="F2"/>
            <w:noWrap/>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0,9</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c>
          <w:tcPr>
            <w:tcW w:w="1124" w:type="dxa"/>
            <w:gridSpan w:val="3"/>
            <w:tcBorders>
              <w:top w:val="nil"/>
              <w:left w:val="nil"/>
              <w:bottom w:val="single" w:sz="8" w:space="0" w:color="auto"/>
              <w:right w:val="single" w:sz="8" w:space="0" w:color="auto"/>
            </w:tcBorders>
            <w:shd w:val="clear" w:color="auto" w:fill="F2F2F2" w:themeFill="background1" w:themeFillShade="F2"/>
            <w:vAlign w:val="center"/>
            <w:hideMark/>
          </w:tcPr>
          <w:p w:rsidR="0083242E" w:rsidRPr="000B7211" w:rsidRDefault="0083242E" w:rsidP="007A2C91">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lang w:val="en-US"/>
              </w:rPr>
              <w:t>100</w:t>
            </w:r>
            <w:r w:rsidR="009A07D8">
              <w:rPr>
                <w:rFonts w:ascii="Arial Narrow" w:eastAsia="Times New Roman" w:hAnsi="Arial Narrow" w:cs="Calibri"/>
                <w:color w:val="000000"/>
                <w:lang w:val="en-US"/>
              </w:rPr>
              <w:t xml:space="preserve"> </w:t>
            </w:r>
            <w:r w:rsidRPr="000B7211">
              <w:rPr>
                <w:rFonts w:ascii="Arial Narrow" w:eastAsia="Times New Roman" w:hAnsi="Arial Narrow" w:cs="Calibri"/>
                <w:color w:val="000000"/>
                <w:lang w:val="en-US"/>
              </w:rPr>
              <w:t>%</w:t>
            </w:r>
          </w:p>
        </w:tc>
      </w:tr>
    </w:tbl>
    <w:p w:rsidR="00DD4E1D" w:rsidRPr="009D31DA" w:rsidRDefault="00DD4E1D" w:rsidP="00DD4E1D">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w:t>
      </w:r>
      <w:r>
        <w:rPr>
          <w:rFonts w:ascii="Arial Narrow" w:hAnsi="Arial Narrow" w:cs="Times New Roman"/>
          <w:i/>
          <w:sz w:val="20"/>
          <w:szCs w:val="20"/>
        </w:rPr>
        <w:t>1</w:t>
      </w:r>
    </w:p>
    <w:p w:rsidR="0083242E" w:rsidRDefault="0083242E" w:rsidP="0083242E">
      <w:pPr>
        <w:pStyle w:val="2TEXT"/>
      </w:pPr>
    </w:p>
    <w:p w:rsidR="0083242E" w:rsidRDefault="0083242E" w:rsidP="0083242E">
      <w:pPr>
        <w:pStyle w:val="2TEXT"/>
      </w:pPr>
      <w:r>
        <w:t>V analýze byli zahrnuti pouze respondenti ve věku 30–59 let, kteří žili v dětství alespoň s jedním ze svých rodičů. Existuje velmi silná závislost mezi vzděláním rodičů a vzděláním jejich potomků. Více než polovina populace měla podle šetření vzdělání shodné s rodiči. Tedy shodné vzdělání jako nejvyšší dosažené vzdělání jedním z rodičů v případě, že respondent žil s oběma rodiči, pokud žil pouze s matkou nebo s otcem, úroveň vzdělání je porovnána s tím rodičem, s kterým žil.</w:t>
      </w:r>
    </w:p>
    <w:p w:rsidR="0083242E" w:rsidRDefault="0083242E" w:rsidP="0083242E">
      <w:pPr>
        <w:pStyle w:val="2TEXT"/>
      </w:pPr>
      <w:r>
        <w:t>Velké odlišnosti mezi shodou vzdělání rodičů a respondentů nebyly nalezeny ani mezi věkovými skupinami, ani mezi muži a ženami. Zásadní rozdíly byly patrné mezi jednotlivými úrovněmi vzdělání. Lidé se</w:t>
      </w:r>
      <w:r w:rsidRPr="007672A2">
        <w:t xml:space="preserve"> základní</w:t>
      </w:r>
      <w:r>
        <w:t>m vzděláním</w:t>
      </w:r>
      <w:r w:rsidRPr="007672A2">
        <w:t xml:space="preserve">, </w:t>
      </w:r>
      <w:r>
        <w:t xml:space="preserve">s </w:t>
      </w:r>
      <w:r w:rsidRPr="007672A2">
        <w:t>vyučen</w:t>
      </w:r>
      <w:r>
        <w:t>ím</w:t>
      </w:r>
      <w:r w:rsidRPr="007672A2">
        <w:t>/a nižší</w:t>
      </w:r>
      <w:r>
        <w:t>m</w:t>
      </w:r>
      <w:r w:rsidRPr="007672A2">
        <w:t xml:space="preserve"> střední</w:t>
      </w:r>
      <w:r>
        <w:t>m vzděláním</w:t>
      </w:r>
      <w:r w:rsidRPr="007672A2">
        <w:t xml:space="preserve"> (bez maturity)</w:t>
      </w:r>
      <w:r>
        <w:t xml:space="preserve"> měli daleko častěji než středoškolsky a vysokoškolsky vzdělaní shodné vzdělání se svými rodiči. Lidé s nižším než středním vzděláním s maturitou </w:t>
      </w:r>
      <w:r w:rsidR="0026513F">
        <w:t xml:space="preserve">v roce 2011 </w:t>
      </w:r>
      <w:r>
        <w:t>tvořili 45 % populace v aktivním věku (30</w:t>
      </w:r>
      <w:r w:rsidR="0026513F">
        <w:t>–</w:t>
      </w:r>
      <w:r>
        <w:t>59 let), nelze tedy hovořit o zanedbatelné části.</w:t>
      </w:r>
    </w:p>
    <w:p w:rsidR="005274D3" w:rsidRDefault="005274D3" w:rsidP="0083242E">
      <w:pPr>
        <w:pStyle w:val="2TEXT"/>
      </w:pPr>
    </w:p>
    <w:p w:rsidR="00676147" w:rsidRPr="005274D3" w:rsidRDefault="005274D3" w:rsidP="00676147">
      <w:pPr>
        <w:pStyle w:val="1Podnadpis11"/>
        <w:numPr>
          <w:ilvl w:val="0"/>
          <w:numId w:val="0"/>
        </w:numPr>
        <w:ind w:left="576" w:hanging="576"/>
        <w:jc w:val="center"/>
        <w:rPr>
          <w:sz w:val="28"/>
          <w:szCs w:val="28"/>
        </w:rPr>
      </w:pPr>
      <w:r w:rsidRPr="005274D3">
        <w:rPr>
          <w:sz w:val="28"/>
          <w:szCs w:val="28"/>
        </w:rPr>
        <w:lastRenderedPageBreak/>
        <w:t>Ohrožení chudobou je tím vyšší, čím nižší je vzdělání nejen dané osoby, ale také jejích rodičů</w:t>
      </w:r>
    </w:p>
    <w:p w:rsidR="005274D3" w:rsidRDefault="005274D3" w:rsidP="005274D3">
      <w:pPr>
        <w:pStyle w:val="3GRAF"/>
      </w:pPr>
      <w:r>
        <w:t xml:space="preserve">Tabulka </w:t>
      </w:r>
      <w:r w:rsidR="00676147">
        <w:t>3</w:t>
      </w:r>
      <w:r>
        <w:t>.2 Rozdělení populace v aktivním věku (30–59 let) podle vzdělání a vzdělání rodičů</w:t>
      </w:r>
    </w:p>
    <w:p w:rsidR="005274D3" w:rsidRDefault="005274D3" w:rsidP="005274D3">
      <w:pPr>
        <w:pStyle w:val="3GRAF"/>
      </w:pPr>
      <w:r>
        <w:t>– míra ohrožení chudobou 2011</w:t>
      </w:r>
    </w:p>
    <w:tbl>
      <w:tblPr>
        <w:tblW w:w="7088" w:type="dxa"/>
        <w:jc w:val="center"/>
        <w:tblLook w:val="04A0"/>
      </w:tblPr>
      <w:tblGrid>
        <w:gridCol w:w="773"/>
        <w:gridCol w:w="1350"/>
        <w:gridCol w:w="267"/>
        <w:gridCol w:w="1053"/>
        <w:gridCol w:w="1350"/>
        <w:gridCol w:w="1096"/>
        <w:gridCol w:w="1199"/>
      </w:tblGrid>
      <w:tr w:rsidR="005274D3" w:rsidRPr="000B7211" w:rsidTr="001370AA">
        <w:trPr>
          <w:trHeight w:val="345"/>
          <w:jc w:val="center"/>
        </w:trPr>
        <w:tc>
          <w:tcPr>
            <w:tcW w:w="2123" w:type="dxa"/>
            <w:gridSpan w:val="2"/>
            <w:vMerge w:val="restart"/>
            <w:tcBorders>
              <w:top w:val="single" w:sz="8" w:space="0" w:color="auto"/>
              <w:left w:val="single" w:sz="8" w:space="0" w:color="auto"/>
              <w:right w:val="single" w:sz="8" w:space="0" w:color="auto"/>
            </w:tcBorders>
            <w:shd w:val="clear" w:color="auto" w:fill="auto"/>
            <w:noWrap/>
            <w:vAlign w:val="bottom"/>
            <w:hideMark/>
          </w:tcPr>
          <w:p w:rsidR="005274D3" w:rsidRPr="00EF6CA1" w:rsidRDefault="005274D3" w:rsidP="001370AA">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Osoby ohrožené chudobou</w:t>
            </w:r>
          </w:p>
          <w:p w:rsidR="005274D3" w:rsidRPr="000B7211" w:rsidRDefault="005274D3" w:rsidP="001370AA">
            <w:pPr>
              <w:spacing w:after="0" w:line="240" w:lineRule="auto"/>
              <w:rPr>
                <w:rFonts w:ascii="Calibri" w:eastAsia="Times New Roman" w:hAnsi="Calibri" w:cs="Calibri"/>
                <w:color w:val="000000"/>
                <w:lang w:val="en-US"/>
              </w:rPr>
            </w:pPr>
            <w:r w:rsidRPr="000B7211">
              <w:rPr>
                <w:rFonts w:ascii="Calibri" w:eastAsia="Times New Roman" w:hAnsi="Calibri" w:cs="Calibri"/>
                <w:color w:val="000000"/>
                <w:lang w:val="en-US"/>
              </w:rPr>
              <w:t> </w:t>
            </w:r>
          </w:p>
          <w:p w:rsidR="005274D3" w:rsidRPr="000B7211" w:rsidRDefault="005274D3" w:rsidP="001370AA">
            <w:pPr>
              <w:spacing w:after="0" w:line="240" w:lineRule="auto"/>
              <w:rPr>
                <w:rFonts w:ascii="Calibri" w:eastAsia="Times New Roman" w:hAnsi="Calibri" w:cs="Calibri"/>
                <w:color w:val="000000"/>
                <w:lang w:val="en-US"/>
              </w:rPr>
            </w:pPr>
            <w:r w:rsidRPr="000B7211">
              <w:rPr>
                <w:rFonts w:ascii="Calibri" w:eastAsia="Times New Roman" w:hAnsi="Calibri" w:cs="Calibri"/>
                <w:color w:val="000000"/>
                <w:lang w:val="en-US"/>
              </w:rPr>
              <w:t> </w:t>
            </w:r>
          </w:p>
        </w:tc>
        <w:tc>
          <w:tcPr>
            <w:tcW w:w="267" w:type="dxa"/>
            <w:tcBorders>
              <w:top w:val="single" w:sz="8" w:space="0" w:color="auto"/>
              <w:left w:val="nil"/>
              <w:bottom w:val="single" w:sz="8" w:space="0" w:color="auto"/>
              <w:right w:val="nil"/>
            </w:tcBorders>
            <w:shd w:val="clear" w:color="auto" w:fill="F2F2F2" w:themeFill="background1" w:themeFillShade="F2"/>
            <w:vAlign w:val="center"/>
            <w:hideMark/>
          </w:tcPr>
          <w:p w:rsidR="005274D3" w:rsidRPr="000B7211" w:rsidRDefault="005274D3" w:rsidP="001370AA">
            <w:pPr>
              <w:spacing w:after="0" w:line="240" w:lineRule="auto"/>
              <w:rPr>
                <w:rFonts w:ascii="Arial Narrow" w:eastAsia="Times New Roman" w:hAnsi="Arial Narrow" w:cs="Calibri"/>
                <w:color w:val="000000"/>
                <w:lang w:val="en-US"/>
              </w:rPr>
            </w:pPr>
            <w:r w:rsidRPr="000B7211">
              <w:rPr>
                <w:rFonts w:ascii="Arial Narrow" w:eastAsia="Times New Roman" w:hAnsi="Arial Narrow" w:cs="Calibri"/>
                <w:color w:val="000000"/>
                <w:lang w:val="en-US"/>
              </w:rPr>
              <w:t> </w:t>
            </w:r>
          </w:p>
        </w:tc>
        <w:tc>
          <w:tcPr>
            <w:tcW w:w="4698" w:type="dxa"/>
            <w:gridSpan w:val="4"/>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proofErr w:type="spellStart"/>
            <w:r w:rsidRPr="000B7211">
              <w:rPr>
                <w:rFonts w:ascii="Arial Narrow" w:eastAsia="Times New Roman" w:hAnsi="Arial Narrow" w:cs="Calibri"/>
                <w:color w:val="000000"/>
                <w:lang w:val="en-US"/>
              </w:rPr>
              <w:t>Nejvyšší</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dosažené</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vzdělání</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rodičů</w:t>
            </w:r>
            <w:proofErr w:type="spellEnd"/>
          </w:p>
        </w:tc>
      </w:tr>
      <w:tr w:rsidR="005274D3" w:rsidRPr="000B7211" w:rsidTr="001370AA">
        <w:trPr>
          <w:trHeight w:val="1110"/>
          <w:jc w:val="center"/>
        </w:trPr>
        <w:tc>
          <w:tcPr>
            <w:tcW w:w="2123" w:type="dxa"/>
            <w:gridSpan w:val="2"/>
            <w:vMerge/>
            <w:tcBorders>
              <w:left w:val="single" w:sz="8" w:space="0" w:color="auto"/>
              <w:bottom w:val="single" w:sz="8" w:space="0" w:color="auto"/>
              <w:right w:val="single" w:sz="8" w:space="0" w:color="auto"/>
            </w:tcBorders>
            <w:shd w:val="clear" w:color="auto" w:fill="auto"/>
            <w:noWrap/>
            <w:vAlign w:val="bottom"/>
            <w:hideMark/>
          </w:tcPr>
          <w:p w:rsidR="005274D3" w:rsidRPr="000B7211" w:rsidRDefault="005274D3" w:rsidP="001370AA">
            <w:pPr>
              <w:spacing w:after="0" w:line="240" w:lineRule="auto"/>
              <w:rPr>
                <w:rFonts w:ascii="Calibri" w:eastAsia="Times New Roman" w:hAnsi="Calibri" w:cs="Calibri"/>
                <w:color w:val="000000"/>
                <w:lang w:val="en-US"/>
              </w:rPr>
            </w:pPr>
          </w:p>
        </w:tc>
        <w:tc>
          <w:tcPr>
            <w:tcW w:w="1320" w:type="dxa"/>
            <w:gridSpan w:val="2"/>
            <w:tcBorders>
              <w:top w:val="nil"/>
              <w:left w:val="nil"/>
              <w:bottom w:val="single" w:sz="8" w:space="0" w:color="auto"/>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Základní, středoškolské bez maturity</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Středoškolské s maturitou</w:t>
            </w:r>
          </w:p>
        </w:tc>
        <w:tc>
          <w:tcPr>
            <w:tcW w:w="1096" w:type="dxa"/>
            <w:tcBorders>
              <w:top w:val="nil"/>
              <w:left w:val="nil"/>
              <w:bottom w:val="single" w:sz="8" w:space="0" w:color="auto"/>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Terciární</w:t>
            </w:r>
          </w:p>
        </w:tc>
        <w:tc>
          <w:tcPr>
            <w:tcW w:w="1199" w:type="dxa"/>
            <w:tcBorders>
              <w:top w:val="nil"/>
              <w:left w:val="nil"/>
              <w:bottom w:val="single" w:sz="8" w:space="0" w:color="auto"/>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r>
              <w:rPr>
                <w:rFonts w:ascii="Arial Narrow" w:eastAsia="Times New Roman" w:hAnsi="Arial Narrow" w:cs="Calibri"/>
                <w:color w:val="000000"/>
              </w:rPr>
              <w:t>Všechny tři kategorie dohromady</w:t>
            </w:r>
          </w:p>
        </w:tc>
      </w:tr>
      <w:tr w:rsidR="005274D3" w:rsidRPr="000B7211" w:rsidTr="001370AA">
        <w:trPr>
          <w:cantSplit/>
          <w:trHeight w:val="907"/>
          <w:jc w:val="center"/>
        </w:trPr>
        <w:tc>
          <w:tcPr>
            <w:tcW w:w="773" w:type="dxa"/>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proofErr w:type="spellStart"/>
            <w:r w:rsidRPr="000B7211">
              <w:rPr>
                <w:rFonts w:ascii="Arial Narrow" w:eastAsia="Times New Roman" w:hAnsi="Arial Narrow" w:cs="Calibri"/>
                <w:color w:val="000000"/>
                <w:lang w:val="en-US"/>
              </w:rPr>
              <w:t>Nejvyš</w:t>
            </w:r>
            <w:r>
              <w:rPr>
                <w:rFonts w:ascii="Arial Narrow" w:eastAsia="Times New Roman" w:hAnsi="Arial Narrow" w:cs="Calibri"/>
                <w:color w:val="000000"/>
                <w:lang w:val="en-US"/>
              </w:rPr>
              <w:t>ší</w:t>
            </w:r>
            <w:proofErr w:type="spellEnd"/>
            <w:r>
              <w:rPr>
                <w:rFonts w:ascii="Arial Narrow" w:eastAsia="Times New Roman" w:hAnsi="Arial Narrow" w:cs="Calibri"/>
                <w:color w:val="000000"/>
                <w:lang w:val="en-US"/>
              </w:rPr>
              <w:t xml:space="preserve"> </w:t>
            </w:r>
            <w:proofErr w:type="spellStart"/>
            <w:r>
              <w:rPr>
                <w:rFonts w:ascii="Arial Narrow" w:eastAsia="Times New Roman" w:hAnsi="Arial Narrow" w:cs="Calibri"/>
                <w:color w:val="000000"/>
                <w:lang w:val="en-US"/>
              </w:rPr>
              <w:t>dosažené</w:t>
            </w:r>
            <w:proofErr w:type="spellEnd"/>
            <w:r>
              <w:rPr>
                <w:rFonts w:ascii="Arial Narrow" w:eastAsia="Times New Roman" w:hAnsi="Arial Narrow" w:cs="Calibri"/>
                <w:color w:val="000000"/>
                <w:lang w:val="en-US"/>
              </w:rPr>
              <w:t xml:space="preserve"> </w:t>
            </w:r>
            <w:proofErr w:type="spellStart"/>
            <w:r>
              <w:rPr>
                <w:rFonts w:ascii="Arial Narrow" w:eastAsia="Times New Roman" w:hAnsi="Arial Narrow" w:cs="Calibri"/>
                <w:color w:val="000000"/>
                <w:lang w:val="en-US"/>
              </w:rPr>
              <w:t>vzdělání</w:t>
            </w:r>
            <w:proofErr w:type="spellEnd"/>
            <w:r>
              <w:rPr>
                <w:rFonts w:ascii="Arial Narrow" w:eastAsia="Times New Roman" w:hAnsi="Arial Narrow" w:cs="Calibri"/>
                <w:color w:val="000000"/>
                <w:lang w:val="en-US"/>
              </w:rPr>
              <w:t xml:space="preserve"> </w:t>
            </w:r>
            <w:proofErr w:type="spellStart"/>
            <w:r>
              <w:rPr>
                <w:rFonts w:ascii="Arial Narrow" w:eastAsia="Times New Roman" w:hAnsi="Arial Narrow" w:cs="Calibri"/>
                <w:color w:val="000000"/>
                <w:lang w:val="en-US"/>
              </w:rPr>
              <w:t>respondenta</w:t>
            </w:r>
            <w:proofErr w:type="spellEnd"/>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Základní, středoškolské bez maturity</w:t>
            </w:r>
          </w:p>
        </w:tc>
        <w:tc>
          <w:tcPr>
            <w:tcW w:w="1320" w:type="dxa"/>
            <w:gridSpan w:val="2"/>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15,2</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11,0</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10,5</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199" w:type="dxa"/>
            <w:tcBorders>
              <w:top w:val="nil"/>
              <w:left w:val="nil"/>
              <w:bottom w:val="single" w:sz="8" w:space="0" w:color="auto"/>
              <w:right w:val="single" w:sz="8" w:space="0" w:color="auto"/>
            </w:tcBorders>
            <w:shd w:val="clear" w:color="auto" w:fill="auto"/>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14,7</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r>
      <w:tr w:rsidR="005274D3" w:rsidRPr="000B7211" w:rsidTr="001370AA">
        <w:trPr>
          <w:cantSplit/>
          <w:trHeight w:val="567"/>
          <w:jc w:val="center"/>
        </w:trPr>
        <w:tc>
          <w:tcPr>
            <w:tcW w:w="77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rPr>
                <w:rFonts w:ascii="Arial Narrow" w:eastAsia="Times New Roman" w:hAnsi="Arial Narrow" w:cs="Calibri"/>
                <w:color w:val="000000"/>
                <w:lang w:val="en-US"/>
              </w:rPr>
            </w:pP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Středoškolské s maturitou</w:t>
            </w:r>
          </w:p>
        </w:tc>
        <w:tc>
          <w:tcPr>
            <w:tcW w:w="1320" w:type="dxa"/>
            <w:gridSpan w:val="2"/>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6,8</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6,3</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5,1</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199" w:type="dxa"/>
            <w:tcBorders>
              <w:top w:val="nil"/>
              <w:left w:val="nil"/>
              <w:bottom w:val="single" w:sz="8" w:space="0" w:color="auto"/>
              <w:right w:val="single" w:sz="8" w:space="0" w:color="auto"/>
            </w:tcBorders>
            <w:shd w:val="clear" w:color="auto" w:fill="auto"/>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6,5</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r>
      <w:tr w:rsidR="005274D3" w:rsidRPr="000B7211" w:rsidTr="001370AA">
        <w:trPr>
          <w:cantSplit/>
          <w:trHeight w:val="567"/>
          <w:jc w:val="center"/>
        </w:trPr>
        <w:tc>
          <w:tcPr>
            <w:tcW w:w="77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rPr>
                <w:rFonts w:ascii="Arial Narrow" w:eastAsia="Times New Roman" w:hAnsi="Arial Narrow" w:cs="Calibri"/>
                <w:color w:val="000000"/>
                <w:lang w:val="en-US"/>
              </w:rPr>
            </w:pP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Terciární</w:t>
            </w:r>
          </w:p>
        </w:tc>
        <w:tc>
          <w:tcPr>
            <w:tcW w:w="1320" w:type="dxa"/>
            <w:gridSpan w:val="2"/>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4,9</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4,7</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1,3</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199" w:type="dxa"/>
            <w:tcBorders>
              <w:top w:val="nil"/>
              <w:left w:val="nil"/>
              <w:bottom w:val="single" w:sz="8" w:space="0" w:color="auto"/>
              <w:right w:val="single" w:sz="8" w:space="0" w:color="auto"/>
            </w:tcBorders>
            <w:shd w:val="clear" w:color="auto" w:fill="auto"/>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3,8</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r>
      <w:tr w:rsidR="005274D3" w:rsidRPr="000B7211" w:rsidTr="001370AA">
        <w:trPr>
          <w:cantSplit/>
          <w:trHeight w:val="567"/>
          <w:jc w:val="center"/>
        </w:trPr>
        <w:tc>
          <w:tcPr>
            <w:tcW w:w="77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rPr>
                <w:rFonts w:ascii="Arial Narrow" w:eastAsia="Times New Roman" w:hAnsi="Arial Narrow" w:cs="Calibri"/>
                <w:color w:val="000000"/>
                <w:lang w:val="en-US"/>
              </w:rPr>
            </w:pP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5274D3" w:rsidRPr="000B7211" w:rsidRDefault="005274D3" w:rsidP="001370AA">
            <w:pPr>
              <w:spacing w:after="0" w:line="240" w:lineRule="auto"/>
              <w:jc w:val="center"/>
              <w:rPr>
                <w:rFonts w:ascii="Arial Narrow" w:eastAsia="Times New Roman" w:hAnsi="Arial Narrow" w:cs="Calibri"/>
                <w:color w:val="000000"/>
                <w:lang w:val="en-US"/>
              </w:rPr>
            </w:pPr>
            <w:r w:rsidRPr="005274D3">
              <w:rPr>
                <w:rFonts w:ascii="Arial Narrow" w:eastAsia="Times New Roman" w:hAnsi="Arial Narrow" w:cs="Calibri"/>
                <w:color w:val="000000"/>
              </w:rPr>
              <w:t>Všechny tři kategorie dohromady</w:t>
            </w:r>
          </w:p>
        </w:tc>
        <w:tc>
          <w:tcPr>
            <w:tcW w:w="1320" w:type="dxa"/>
            <w:gridSpan w:val="2"/>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12,0</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7,1</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auto"/>
            <w:noWrap/>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3,5</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c>
          <w:tcPr>
            <w:tcW w:w="1199" w:type="dxa"/>
            <w:tcBorders>
              <w:top w:val="nil"/>
              <w:left w:val="nil"/>
              <w:bottom w:val="single" w:sz="8" w:space="0" w:color="auto"/>
              <w:right w:val="single" w:sz="8" w:space="0" w:color="auto"/>
            </w:tcBorders>
            <w:shd w:val="clear" w:color="auto" w:fill="auto"/>
            <w:vAlign w:val="center"/>
            <w:hideMark/>
          </w:tcPr>
          <w:p w:rsidR="005274D3" w:rsidRPr="00486C2F" w:rsidRDefault="005274D3" w:rsidP="001370AA">
            <w:pPr>
              <w:spacing w:after="0" w:line="240" w:lineRule="auto"/>
              <w:jc w:val="center"/>
              <w:rPr>
                <w:rFonts w:ascii="Arial Narrow" w:eastAsia="Times New Roman" w:hAnsi="Arial Narrow" w:cs="Calibri"/>
                <w:color w:val="000000"/>
                <w:lang w:val="en-US"/>
              </w:rPr>
            </w:pPr>
            <w:r w:rsidRPr="00486C2F">
              <w:rPr>
                <w:rFonts w:ascii="Arial Narrow" w:eastAsia="Times New Roman" w:hAnsi="Arial Narrow" w:cs="Calibri"/>
                <w:color w:val="000000"/>
                <w:lang w:val="en-US"/>
              </w:rPr>
              <w:t>9,8</w:t>
            </w:r>
            <w:r w:rsidR="009A07D8">
              <w:rPr>
                <w:rFonts w:ascii="Arial Narrow" w:eastAsia="Times New Roman" w:hAnsi="Arial Narrow" w:cs="Calibri"/>
                <w:color w:val="000000"/>
                <w:lang w:val="en-US"/>
              </w:rPr>
              <w:t xml:space="preserve"> </w:t>
            </w:r>
            <w:r w:rsidRPr="00486C2F">
              <w:rPr>
                <w:rFonts w:ascii="Arial Narrow" w:eastAsia="Times New Roman" w:hAnsi="Arial Narrow" w:cs="Calibri"/>
                <w:color w:val="000000"/>
                <w:lang w:val="en-US"/>
              </w:rPr>
              <w:t>%</w:t>
            </w:r>
          </w:p>
        </w:tc>
      </w:tr>
    </w:tbl>
    <w:p w:rsidR="00DD4E1D" w:rsidRPr="009D31DA" w:rsidRDefault="00DD4E1D" w:rsidP="00DD4E1D">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w:t>
      </w:r>
      <w:r w:rsidR="00676147">
        <w:rPr>
          <w:rFonts w:ascii="Arial Narrow" w:hAnsi="Arial Narrow" w:cs="Times New Roman"/>
          <w:i/>
          <w:sz w:val="20"/>
          <w:szCs w:val="20"/>
        </w:rPr>
        <w:t>1</w:t>
      </w:r>
    </w:p>
    <w:p w:rsidR="005274D3" w:rsidRDefault="005274D3" w:rsidP="005274D3">
      <w:pPr>
        <w:pStyle w:val="3GRAF"/>
      </w:pPr>
    </w:p>
    <w:p w:rsidR="005274D3" w:rsidRDefault="003E2A51" w:rsidP="003E2A51">
      <w:pPr>
        <w:pStyle w:val="2TEXT"/>
      </w:pPr>
      <w:r>
        <w:t>Nižší vzdělání rodičů zvyšuje pravděpodobnost, že respondent spadne pod hranici chudoby. Celkový podíl osob ohrožených chudobou v populaci v aktivním věku (30</w:t>
      </w:r>
      <w:r w:rsidR="00880AF9">
        <w:t>–</w:t>
      </w:r>
      <w:r>
        <w:t>59 let) byl v roce mezigeneračního modulu 2011</w:t>
      </w:r>
      <w:r w:rsidR="004B23FE">
        <w:t xml:space="preserve"> </w:t>
      </w:r>
      <w:r>
        <w:t>9,8 %. U respondentů, kteří dosáhli vysokoškolského vzdělání, bylo procento nízké (3,8</w:t>
      </w:r>
      <w:r w:rsidR="009A07D8">
        <w:t> </w:t>
      </w:r>
      <w:r>
        <w:t>%), pokud alespoň jeden z rodičů má také vysokoškolské vzdělání, míra ohrožení chudobou dále klesá na 1,3 %. Podíl osob bez maturity ohrožených chudobou činí 14,7 %, u osob jejichž rodiče měli vyšší vzdělání, jde o míry nižší (11</w:t>
      </w:r>
      <w:r w:rsidR="00880AF9">
        <w:t>,0 %</w:t>
      </w:r>
      <w:r>
        <w:t>, resp. 10</w:t>
      </w:r>
      <w:r w:rsidR="00880AF9">
        <w:t>,</w:t>
      </w:r>
      <w:r>
        <w:t>5 %).</w:t>
      </w:r>
    </w:p>
    <w:p w:rsidR="005274D3" w:rsidRPr="00880AF9" w:rsidRDefault="005274D3" w:rsidP="00880AF9">
      <w:pPr>
        <w:pStyle w:val="2TEXT"/>
        <w:spacing w:after="0"/>
        <w:rPr>
          <w:sz w:val="12"/>
        </w:rPr>
      </w:pPr>
    </w:p>
    <w:p w:rsidR="00880AF9" w:rsidRDefault="00676147" w:rsidP="00880AF9">
      <w:pPr>
        <w:pStyle w:val="3GRAF"/>
        <w:spacing w:after="0"/>
      </w:pPr>
      <w:r>
        <w:t>Tabulka 3.3 Podíl osob v horních 20</w:t>
      </w:r>
      <w:r w:rsidR="00880AF9">
        <w:t xml:space="preserve"> </w:t>
      </w:r>
      <w:r>
        <w:t xml:space="preserve">% příjmového rozdělení podle vzdělání respondenta </w:t>
      </w:r>
    </w:p>
    <w:p w:rsidR="00676147" w:rsidRDefault="00676147" w:rsidP="00676147">
      <w:pPr>
        <w:pStyle w:val="3GRAF"/>
      </w:pPr>
      <w:r>
        <w:t>a vzdělání rodičů</w:t>
      </w:r>
    </w:p>
    <w:tbl>
      <w:tblPr>
        <w:tblW w:w="5889" w:type="dxa"/>
        <w:jc w:val="center"/>
        <w:tblLook w:val="04A0"/>
      </w:tblPr>
      <w:tblGrid>
        <w:gridCol w:w="773"/>
        <w:gridCol w:w="1350"/>
        <w:gridCol w:w="267"/>
        <w:gridCol w:w="1053"/>
        <w:gridCol w:w="1350"/>
        <w:gridCol w:w="1096"/>
      </w:tblGrid>
      <w:tr w:rsidR="00676147" w:rsidRPr="000B7211" w:rsidTr="001370AA">
        <w:trPr>
          <w:trHeight w:val="345"/>
          <w:jc w:val="center"/>
        </w:trPr>
        <w:tc>
          <w:tcPr>
            <w:tcW w:w="2123"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676147" w:rsidRPr="000B7211" w:rsidRDefault="00676147" w:rsidP="001370AA">
            <w:pPr>
              <w:spacing w:after="0" w:line="240" w:lineRule="auto"/>
              <w:rPr>
                <w:rFonts w:ascii="Calibri" w:eastAsia="Times New Roman" w:hAnsi="Calibri" w:cs="Calibri"/>
                <w:color w:val="000000"/>
                <w:lang w:val="en-US"/>
              </w:rPr>
            </w:pPr>
            <w:r>
              <w:rPr>
                <w:rFonts w:ascii="Arial Narrow" w:eastAsia="Times New Roman" w:hAnsi="Arial Narrow" w:cs="Calibri"/>
                <w:color w:val="000000"/>
              </w:rPr>
              <w:t xml:space="preserve">Horní </w:t>
            </w:r>
            <w:proofErr w:type="spellStart"/>
            <w:r>
              <w:rPr>
                <w:rFonts w:ascii="Arial Narrow" w:eastAsia="Times New Roman" w:hAnsi="Arial Narrow" w:cs="Calibri"/>
                <w:color w:val="000000"/>
              </w:rPr>
              <w:t>kvintil</w:t>
            </w:r>
            <w:proofErr w:type="spellEnd"/>
            <w:r>
              <w:rPr>
                <w:rFonts w:ascii="Arial Narrow" w:eastAsia="Times New Roman" w:hAnsi="Arial Narrow" w:cs="Calibri"/>
                <w:color w:val="000000"/>
              </w:rPr>
              <w:t xml:space="preserve"> (20</w:t>
            </w:r>
            <w:r w:rsidR="00880AF9">
              <w:rPr>
                <w:rFonts w:ascii="Arial Narrow" w:eastAsia="Times New Roman" w:hAnsi="Arial Narrow" w:cs="Calibri"/>
                <w:color w:val="000000"/>
              </w:rPr>
              <w:t xml:space="preserve"> </w:t>
            </w:r>
            <w:r>
              <w:rPr>
                <w:rFonts w:ascii="Arial Narrow" w:eastAsia="Times New Roman" w:hAnsi="Arial Narrow" w:cs="Calibri"/>
                <w:color w:val="000000"/>
              </w:rPr>
              <w:t>%)</w:t>
            </w:r>
            <w:r w:rsidRPr="000B7211">
              <w:rPr>
                <w:rFonts w:ascii="Calibri" w:eastAsia="Times New Roman" w:hAnsi="Calibri" w:cs="Calibri"/>
                <w:color w:val="000000"/>
                <w:lang w:val="en-US"/>
              </w:rPr>
              <w:t> </w:t>
            </w:r>
          </w:p>
          <w:p w:rsidR="00676147" w:rsidRPr="000B7211" w:rsidRDefault="00676147" w:rsidP="001370AA">
            <w:pPr>
              <w:spacing w:after="0" w:line="240" w:lineRule="auto"/>
              <w:rPr>
                <w:rFonts w:ascii="Calibri" w:eastAsia="Times New Roman" w:hAnsi="Calibri" w:cs="Calibri"/>
                <w:color w:val="000000"/>
                <w:lang w:val="en-US"/>
              </w:rPr>
            </w:pPr>
            <w:r w:rsidRPr="000B7211">
              <w:rPr>
                <w:rFonts w:ascii="Calibri" w:eastAsia="Times New Roman" w:hAnsi="Calibri" w:cs="Calibri"/>
                <w:color w:val="000000"/>
                <w:lang w:val="en-US"/>
              </w:rPr>
              <w:t> </w:t>
            </w:r>
          </w:p>
        </w:tc>
        <w:tc>
          <w:tcPr>
            <w:tcW w:w="267" w:type="dxa"/>
            <w:tcBorders>
              <w:top w:val="single" w:sz="8" w:space="0" w:color="auto"/>
              <w:left w:val="nil"/>
              <w:bottom w:val="single" w:sz="8" w:space="0" w:color="auto"/>
              <w:right w:val="nil"/>
            </w:tcBorders>
            <w:shd w:val="clear" w:color="auto" w:fill="F2F2F2" w:themeFill="background1" w:themeFillShade="F2"/>
            <w:vAlign w:val="center"/>
            <w:hideMark/>
          </w:tcPr>
          <w:p w:rsidR="00676147" w:rsidRPr="000B7211" w:rsidRDefault="00676147" w:rsidP="001370AA">
            <w:pPr>
              <w:spacing w:after="0" w:line="240" w:lineRule="auto"/>
              <w:rPr>
                <w:rFonts w:ascii="Arial Narrow" w:eastAsia="Times New Roman" w:hAnsi="Arial Narrow" w:cs="Calibri"/>
                <w:color w:val="000000"/>
                <w:lang w:val="en-US"/>
              </w:rPr>
            </w:pPr>
            <w:r w:rsidRPr="000B7211">
              <w:rPr>
                <w:rFonts w:ascii="Arial Narrow" w:eastAsia="Times New Roman" w:hAnsi="Arial Narrow" w:cs="Calibri"/>
                <w:color w:val="000000"/>
                <w:lang w:val="en-US"/>
              </w:rPr>
              <w:t> </w:t>
            </w:r>
          </w:p>
        </w:tc>
        <w:tc>
          <w:tcPr>
            <w:tcW w:w="3499"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676147" w:rsidRPr="000B7211" w:rsidRDefault="00676147" w:rsidP="001370AA">
            <w:pPr>
              <w:spacing w:after="0" w:line="240" w:lineRule="auto"/>
              <w:jc w:val="center"/>
              <w:rPr>
                <w:rFonts w:ascii="Arial Narrow" w:eastAsia="Times New Roman" w:hAnsi="Arial Narrow" w:cs="Calibri"/>
                <w:color w:val="000000"/>
                <w:lang w:val="en-US"/>
              </w:rPr>
            </w:pPr>
            <w:proofErr w:type="spellStart"/>
            <w:r w:rsidRPr="000B7211">
              <w:rPr>
                <w:rFonts w:ascii="Arial Narrow" w:eastAsia="Times New Roman" w:hAnsi="Arial Narrow" w:cs="Calibri"/>
                <w:color w:val="000000"/>
                <w:lang w:val="en-US"/>
              </w:rPr>
              <w:t>Nejvyšší</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dosažené</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vzdělání</w:t>
            </w:r>
            <w:proofErr w:type="spellEnd"/>
            <w:r w:rsidRPr="000B7211">
              <w:rPr>
                <w:rFonts w:ascii="Arial Narrow" w:eastAsia="Times New Roman" w:hAnsi="Arial Narrow" w:cs="Calibri"/>
                <w:color w:val="000000"/>
                <w:lang w:val="en-US"/>
              </w:rPr>
              <w:t xml:space="preserve"> </w:t>
            </w:r>
            <w:proofErr w:type="spellStart"/>
            <w:r w:rsidRPr="000B7211">
              <w:rPr>
                <w:rFonts w:ascii="Arial Narrow" w:eastAsia="Times New Roman" w:hAnsi="Arial Narrow" w:cs="Calibri"/>
                <w:color w:val="000000"/>
                <w:lang w:val="en-US"/>
              </w:rPr>
              <w:t>rodičů</w:t>
            </w:r>
            <w:proofErr w:type="spellEnd"/>
          </w:p>
        </w:tc>
      </w:tr>
      <w:tr w:rsidR="00676147" w:rsidRPr="000B7211" w:rsidTr="001370AA">
        <w:trPr>
          <w:trHeight w:val="1110"/>
          <w:jc w:val="center"/>
        </w:trPr>
        <w:tc>
          <w:tcPr>
            <w:tcW w:w="2123" w:type="dxa"/>
            <w:gridSpan w:val="2"/>
            <w:vMerge/>
            <w:tcBorders>
              <w:left w:val="single" w:sz="8" w:space="0" w:color="auto"/>
              <w:bottom w:val="single" w:sz="8" w:space="0" w:color="auto"/>
              <w:right w:val="single" w:sz="8" w:space="0" w:color="auto"/>
            </w:tcBorders>
            <w:shd w:val="clear" w:color="auto" w:fill="auto"/>
            <w:noWrap/>
            <w:vAlign w:val="bottom"/>
            <w:hideMark/>
          </w:tcPr>
          <w:p w:rsidR="00676147" w:rsidRPr="000B7211" w:rsidRDefault="00676147" w:rsidP="001370AA">
            <w:pPr>
              <w:spacing w:after="0" w:line="240" w:lineRule="auto"/>
              <w:rPr>
                <w:rFonts w:ascii="Calibri" w:eastAsia="Times New Roman" w:hAnsi="Calibri" w:cs="Calibri"/>
                <w:color w:val="000000"/>
                <w:lang w:val="en-US"/>
              </w:rPr>
            </w:pPr>
          </w:p>
        </w:tc>
        <w:tc>
          <w:tcPr>
            <w:tcW w:w="1320" w:type="dxa"/>
            <w:gridSpan w:val="2"/>
            <w:tcBorders>
              <w:top w:val="nil"/>
              <w:left w:val="nil"/>
              <w:bottom w:val="single" w:sz="8" w:space="0" w:color="auto"/>
              <w:right w:val="single" w:sz="8" w:space="0" w:color="auto"/>
            </w:tcBorders>
            <w:shd w:val="clear" w:color="auto" w:fill="F2F2F2" w:themeFill="background1" w:themeFillShade="F2"/>
            <w:vAlign w:val="center"/>
            <w:hideMark/>
          </w:tcPr>
          <w:p w:rsidR="00676147" w:rsidRPr="000B7211" w:rsidRDefault="00676147"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Základní, středoškolské bez maturity</w:t>
            </w: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676147" w:rsidRPr="000B7211" w:rsidRDefault="00676147"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Středoškolské s maturitou</w:t>
            </w:r>
          </w:p>
        </w:tc>
        <w:tc>
          <w:tcPr>
            <w:tcW w:w="1096" w:type="dxa"/>
            <w:tcBorders>
              <w:top w:val="nil"/>
              <w:left w:val="nil"/>
              <w:bottom w:val="single" w:sz="8" w:space="0" w:color="auto"/>
              <w:right w:val="single" w:sz="8" w:space="0" w:color="auto"/>
            </w:tcBorders>
            <w:shd w:val="clear" w:color="auto" w:fill="F2F2F2" w:themeFill="background1" w:themeFillShade="F2"/>
            <w:vAlign w:val="center"/>
            <w:hideMark/>
          </w:tcPr>
          <w:p w:rsidR="00676147" w:rsidRPr="000B7211" w:rsidRDefault="00676147"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Terciární</w:t>
            </w:r>
          </w:p>
        </w:tc>
      </w:tr>
      <w:tr w:rsidR="00676147" w:rsidRPr="000B7211" w:rsidTr="001370AA">
        <w:trPr>
          <w:cantSplit/>
          <w:trHeight w:val="907"/>
          <w:jc w:val="center"/>
        </w:trPr>
        <w:tc>
          <w:tcPr>
            <w:tcW w:w="773" w:type="dxa"/>
            <w:vMerge w:val="restart"/>
            <w:tcBorders>
              <w:top w:val="nil"/>
              <w:left w:val="single" w:sz="8" w:space="0" w:color="auto"/>
              <w:right w:val="single" w:sz="8" w:space="0" w:color="auto"/>
            </w:tcBorders>
            <w:shd w:val="clear" w:color="auto" w:fill="F2F2F2" w:themeFill="background1" w:themeFillShade="F2"/>
            <w:textDirection w:val="btLr"/>
            <w:vAlign w:val="center"/>
            <w:hideMark/>
          </w:tcPr>
          <w:p w:rsidR="00676147" w:rsidRPr="000B7211" w:rsidRDefault="00676147" w:rsidP="001370AA">
            <w:pPr>
              <w:spacing w:after="0" w:line="240" w:lineRule="auto"/>
              <w:jc w:val="center"/>
              <w:rPr>
                <w:rFonts w:ascii="Arial Narrow" w:eastAsia="Times New Roman" w:hAnsi="Arial Narrow" w:cs="Calibri"/>
                <w:color w:val="000000"/>
                <w:lang w:val="en-US"/>
              </w:rPr>
            </w:pPr>
            <w:proofErr w:type="spellStart"/>
            <w:r w:rsidRPr="000B7211">
              <w:rPr>
                <w:rFonts w:ascii="Arial Narrow" w:eastAsia="Times New Roman" w:hAnsi="Arial Narrow" w:cs="Calibri"/>
                <w:color w:val="000000"/>
                <w:lang w:val="en-US"/>
              </w:rPr>
              <w:t>Nejvyš</w:t>
            </w:r>
            <w:r>
              <w:rPr>
                <w:rFonts w:ascii="Arial Narrow" w:eastAsia="Times New Roman" w:hAnsi="Arial Narrow" w:cs="Calibri"/>
                <w:color w:val="000000"/>
                <w:lang w:val="en-US"/>
              </w:rPr>
              <w:t>ší</w:t>
            </w:r>
            <w:proofErr w:type="spellEnd"/>
            <w:r>
              <w:rPr>
                <w:rFonts w:ascii="Arial Narrow" w:eastAsia="Times New Roman" w:hAnsi="Arial Narrow" w:cs="Calibri"/>
                <w:color w:val="000000"/>
                <w:lang w:val="en-US"/>
              </w:rPr>
              <w:t xml:space="preserve"> </w:t>
            </w:r>
            <w:proofErr w:type="spellStart"/>
            <w:r>
              <w:rPr>
                <w:rFonts w:ascii="Arial Narrow" w:eastAsia="Times New Roman" w:hAnsi="Arial Narrow" w:cs="Calibri"/>
                <w:color w:val="000000"/>
                <w:lang w:val="en-US"/>
              </w:rPr>
              <w:t>dosažené</w:t>
            </w:r>
            <w:proofErr w:type="spellEnd"/>
            <w:r>
              <w:rPr>
                <w:rFonts w:ascii="Arial Narrow" w:eastAsia="Times New Roman" w:hAnsi="Arial Narrow" w:cs="Calibri"/>
                <w:color w:val="000000"/>
                <w:lang w:val="en-US"/>
              </w:rPr>
              <w:t xml:space="preserve"> </w:t>
            </w:r>
            <w:proofErr w:type="spellStart"/>
            <w:r>
              <w:rPr>
                <w:rFonts w:ascii="Arial Narrow" w:eastAsia="Times New Roman" w:hAnsi="Arial Narrow" w:cs="Calibri"/>
                <w:color w:val="000000"/>
                <w:lang w:val="en-US"/>
              </w:rPr>
              <w:t>vzdělání</w:t>
            </w:r>
            <w:proofErr w:type="spellEnd"/>
            <w:r>
              <w:rPr>
                <w:rFonts w:ascii="Arial Narrow" w:eastAsia="Times New Roman" w:hAnsi="Arial Narrow" w:cs="Calibri"/>
                <w:color w:val="000000"/>
                <w:lang w:val="en-US"/>
              </w:rPr>
              <w:t xml:space="preserve"> </w:t>
            </w:r>
            <w:proofErr w:type="spellStart"/>
            <w:r>
              <w:rPr>
                <w:rFonts w:ascii="Arial Narrow" w:eastAsia="Times New Roman" w:hAnsi="Arial Narrow" w:cs="Calibri"/>
                <w:color w:val="000000"/>
                <w:lang w:val="en-US"/>
              </w:rPr>
              <w:t>respondenta</w:t>
            </w:r>
            <w:proofErr w:type="spellEnd"/>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676147" w:rsidRPr="000B7211" w:rsidRDefault="00676147"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Základní, středoškolské bez maturity</w:t>
            </w:r>
          </w:p>
        </w:tc>
        <w:tc>
          <w:tcPr>
            <w:tcW w:w="1320" w:type="dxa"/>
            <w:gridSpan w:val="2"/>
            <w:tcBorders>
              <w:top w:val="nil"/>
              <w:left w:val="nil"/>
              <w:bottom w:val="single" w:sz="8" w:space="0" w:color="auto"/>
              <w:right w:val="single" w:sz="8" w:space="0" w:color="auto"/>
            </w:tcBorders>
            <w:shd w:val="clear" w:color="auto" w:fill="auto"/>
            <w:noWrap/>
            <w:vAlign w:val="center"/>
          </w:tcPr>
          <w:p w:rsidR="00676147" w:rsidRPr="00DE482A" w:rsidRDefault="00676147" w:rsidP="001370AA">
            <w:pPr>
              <w:spacing w:after="0" w:line="240" w:lineRule="auto"/>
              <w:jc w:val="center"/>
              <w:rPr>
                <w:rFonts w:ascii="Arial Narrow" w:eastAsia="Times New Roman" w:hAnsi="Arial Narrow" w:cs="Calibri"/>
                <w:color w:val="000000"/>
                <w:lang w:val="en-US"/>
              </w:rPr>
            </w:pPr>
            <w:r w:rsidRPr="00DE482A">
              <w:rPr>
                <w:rFonts w:ascii="Arial Narrow" w:eastAsia="Times New Roman" w:hAnsi="Arial Narrow" w:cs="Calibri"/>
                <w:color w:val="000000"/>
                <w:lang w:val="en-US"/>
              </w:rPr>
              <w:t>11,2</w:t>
            </w:r>
            <w:r w:rsidR="00880AF9">
              <w:rPr>
                <w:rFonts w:ascii="Arial Narrow" w:eastAsia="Times New Roman" w:hAnsi="Arial Narrow" w:cs="Calibri"/>
                <w:color w:val="000000"/>
                <w:lang w:val="en-US"/>
              </w:rPr>
              <w:t xml:space="preserve"> </w:t>
            </w:r>
            <w:r w:rsidRPr="00DE482A">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auto"/>
            <w:noWrap/>
            <w:vAlign w:val="center"/>
          </w:tcPr>
          <w:p w:rsidR="00676147" w:rsidRPr="00DE482A" w:rsidRDefault="00676147" w:rsidP="001370AA">
            <w:pPr>
              <w:spacing w:after="0" w:line="240" w:lineRule="auto"/>
              <w:jc w:val="center"/>
              <w:rPr>
                <w:rFonts w:ascii="Arial Narrow" w:eastAsia="Times New Roman" w:hAnsi="Arial Narrow" w:cs="Calibri"/>
                <w:color w:val="000000"/>
                <w:lang w:val="en-US"/>
              </w:rPr>
            </w:pPr>
            <w:r w:rsidRPr="00DE482A">
              <w:rPr>
                <w:rFonts w:ascii="Arial Narrow" w:eastAsia="Times New Roman" w:hAnsi="Arial Narrow" w:cs="Calibri"/>
                <w:color w:val="000000"/>
                <w:lang w:val="en-US"/>
              </w:rPr>
              <w:t>17,1</w:t>
            </w:r>
            <w:r w:rsidR="00880AF9">
              <w:rPr>
                <w:rFonts w:ascii="Arial Narrow" w:eastAsia="Times New Roman" w:hAnsi="Arial Narrow" w:cs="Calibri"/>
                <w:color w:val="000000"/>
                <w:lang w:val="en-US"/>
              </w:rPr>
              <w:t xml:space="preserve"> </w:t>
            </w:r>
            <w:r w:rsidRPr="00DE482A">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auto"/>
            <w:noWrap/>
            <w:vAlign w:val="center"/>
          </w:tcPr>
          <w:p w:rsidR="00676147" w:rsidRPr="00DE482A" w:rsidRDefault="00676147" w:rsidP="001370AA">
            <w:pPr>
              <w:spacing w:after="0" w:line="240" w:lineRule="auto"/>
              <w:jc w:val="center"/>
              <w:rPr>
                <w:rFonts w:ascii="Arial Narrow" w:eastAsia="Times New Roman" w:hAnsi="Arial Narrow" w:cs="Calibri"/>
                <w:color w:val="000000"/>
                <w:lang w:val="en-US"/>
              </w:rPr>
            </w:pPr>
            <w:r>
              <w:rPr>
                <w:rFonts w:ascii="Arial Narrow" w:eastAsia="Times New Roman" w:hAnsi="Arial Narrow" w:cs="Calibri"/>
                <w:color w:val="000000"/>
                <w:lang w:val="en-US"/>
              </w:rPr>
              <w:t>.</w:t>
            </w:r>
          </w:p>
        </w:tc>
      </w:tr>
      <w:tr w:rsidR="00676147" w:rsidRPr="000B7211" w:rsidTr="001370AA">
        <w:trPr>
          <w:cantSplit/>
          <w:trHeight w:val="567"/>
          <w:jc w:val="center"/>
        </w:trPr>
        <w:tc>
          <w:tcPr>
            <w:tcW w:w="773" w:type="dxa"/>
            <w:vMerge/>
            <w:tcBorders>
              <w:left w:val="single" w:sz="8" w:space="0" w:color="auto"/>
              <w:right w:val="single" w:sz="8" w:space="0" w:color="auto"/>
            </w:tcBorders>
            <w:shd w:val="clear" w:color="auto" w:fill="F2F2F2" w:themeFill="background1" w:themeFillShade="F2"/>
            <w:vAlign w:val="center"/>
            <w:hideMark/>
          </w:tcPr>
          <w:p w:rsidR="00676147" w:rsidRPr="000B7211" w:rsidRDefault="00676147" w:rsidP="001370AA">
            <w:pPr>
              <w:spacing w:after="0" w:line="240" w:lineRule="auto"/>
              <w:rPr>
                <w:rFonts w:ascii="Arial Narrow" w:eastAsia="Times New Roman" w:hAnsi="Arial Narrow" w:cs="Calibri"/>
                <w:color w:val="000000"/>
                <w:lang w:val="en-US"/>
              </w:rPr>
            </w:pP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676147" w:rsidRPr="000B7211" w:rsidRDefault="00676147"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Středoškolské s maturitou</w:t>
            </w:r>
          </w:p>
        </w:tc>
        <w:tc>
          <w:tcPr>
            <w:tcW w:w="1320" w:type="dxa"/>
            <w:gridSpan w:val="2"/>
            <w:tcBorders>
              <w:top w:val="nil"/>
              <w:left w:val="nil"/>
              <w:bottom w:val="single" w:sz="8" w:space="0" w:color="auto"/>
              <w:right w:val="single" w:sz="8" w:space="0" w:color="auto"/>
            </w:tcBorders>
            <w:shd w:val="clear" w:color="auto" w:fill="auto"/>
            <w:noWrap/>
            <w:vAlign w:val="center"/>
          </w:tcPr>
          <w:p w:rsidR="00676147" w:rsidRPr="00DE482A" w:rsidRDefault="00676147" w:rsidP="001370AA">
            <w:pPr>
              <w:spacing w:after="0" w:line="240" w:lineRule="auto"/>
              <w:jc w:val="center"/>
              <w:rPr>
                <w:rFonts w:ascii="Arial Narrow" w:eastAsia="Times New Roman" w:hAnsi="Arial Narrow" w:cs="Calibri"/>
                <w:color w:val="000000"/>
                <w:lang w:val="en-US"/>
              </w:rPr>
            </w:pPr>
            <w:r w:rsidRPr="00DE482A">
              <w:rPr>
                <w:rFonts w:ascii="Arial Narrow" w:eastAsia="Times New Roman" w:hAnsi="Arial Narrow" w:cs="Calibri"/>
                <w:color w:val="000000"/>
                <w:lang w:val="en-US"/>
              </w:rPr>
              <w:t>25,9</w:t>
            </w:r>
            <w:r w:rsidR="00880AF9">
              <w:rPr>
                <w:rFonts w:ascii="Arial Narrow" w:eastAsia="Times New Roman" w:hAnsi="Arial Narrow" w:cs="Calibri"/>
                <w:color w:val="000000"/>
                <w:lang w:val="en-US"/>
              </w:rPr>
              <w:t xml:space="preserve"> </w:t>
            </w:r>
            <w:r w:rsidRPr="00DE482A">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auto"/>
            <w:noWrap/>
            <w:vAlign w:val="center"/>
          </w:tcPr>
          <w:p w:rsidR="00676147" w:rsidRPr="00DE482A" w:rsidRDefault="00676147" w:rsidP="001370AA">
            <w:pPr>
              <w:spacing w:after="0" w:line="240" w:lineRule="auto"/>
              <w:jc w:val="center"/>
              <w:rPr>
                <w:rFonts w:ascii="Arial Narrow" w:eastAsia="Times New Roman" w:hAnsi="Arial Narrow" w:cs="Calibri"/>
                <w:color w:val="000000"/>
                <w:lang w:val="en-US"/>
              </w:rPr>
            </w:pPr>
            <w:r w:rsidRPr="00DE482A">
              <w:rPr>
                <w:rFonts w:ascii="Arial Narrow" w:eastAsia="Times New Roman" w:hAnsi="Arial Narrow" w:cs="Calibri"/>
                <w:color w:val="000000"/>
                <w:lang w:val="en-US"/>
              </w:rPr>
              <w:t>28,4</w:t>
            </w:r>
            <w:r w:rsidR="00880AF9">
              <w:rPr>
                <w:rFonts w:ascii="Arial Narrow" w:eastAsia="Times New Roman" w:hAnsi="Arial Narrow" w:cs="Calibri"/>
                <w:color w:val="000000"/>
                <w:lang w:val="en-US"/>
              </w:rPr>
              <w:t xml:space="preserve"> </w:t>
            </w:r>
            <w:r w:rsidRPr="00DE482A">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auto"/>
            <w:noWrap/>
            <w:vAlign w:val="center"/>
          </w:tcPr>
          <w:p w:rsidR="00676147" w:rsidRPr="00DE482A" w:rsidRDefault="00676147" w:rsidP="001370AA">
            <w:pPr>
              <w:spacing w:after="0" w:line="240" w:lineRule="auto"/>
              <w:jc w:val="center"/>
              <w:rPr>
                <w:rFonts w:ascii="Arial Narrow" w:eastAsia="Times New Roman" w:hAnsi="Arial Narrow" w:cs="Calibri"/>
                <w:color w:val="000000"/>
                <w:lang w:val="en-US"/>
              </w:rPr>
            </w:pPr>
            <w:r w:rsidRPr="00DE482A">
              <w:rPr>
                <w:rFonts w:ascii="Arial Narrow" w:eastAsia="Times New Roman" w:hAnsi="Arial Narrow" w:cs="Calibri"/>
                <w:color w:val="000000"/>
                <w:lang w:val="en-US"/>
              </w:rPr>
              <w:t>37,6</w:t>
            </w:r>
            <w:r w:rsidR="00880AF9">
              <w:rPr>
                <w:rFonts w:ascii="Arial Narrow" w:eastAsia="Times New Roman" w:hAnsi="Arial Narrow" w:cs="Calibri"/>
                <w:color w:val="000000"/>
                <w:lang w:val="en-US"/>
              </w:rPr>
              <w:t xml:space="preserve"> </w:t>
            </w:r>
            <w:r w:rsidRPr="00DE482A">
              <w:rPr>
                <w:rFonts w:ascii="Arial Narrow" w:eastAsia="Times New Roman" w:hAnsi="Arial Narrow" w:cs="Calibri"/>
                <w:color w:val="000000"/>
                <w:lang w:val="en-US"/>
              </w:rPr>
              <w:t>%</w:t>
            </w:r>
          </w:p>
        </w:tc>
      </w:tr>
      <w:tr w:rsidR="00676147" w:rsidRPr="000B7211" w:rsidTr="001370AA">
        <w:trPr>
          <w:cantSplit/>
          <w:trHeight w:val="567"/>
          <w:jc w:val="center"/>
        </w:trPr>
        <w:tc>
          <w:tcPr>
            <w:tcW w:w="773" w:type="dxa"/>
            <w:vMerge/>
            <w:tcBorders>
              <w:left w:val="single" w:sz="8" w:space="0" w:color="auto"/>
              <w:bottom w:val="single" w:sz="8" w:space="0" w:color="000000"/>
              <w:right w:val="single" w:sz="8" w:space="0" w:color="auto"/>
            </w:tcBorders>
            <w:shd w:val="clear" w:color="auto" w:fill="F2F2F2" w:themeFill="background1" w:themeFillShade="F2"/>
            <w:vAlign w:val="center"/>
            <w:hideMark/>
          </w:tcPr>
          <w:p w:rsidR="00676147" w:rsidRPr="000B7211" w:rsidRDefault="00676147" w:rsidP="001370AA">
            <w:pPr>
              <w:spacing w:after="0" w:line="240" w:lineRule="auto"/>
              <w:rPr>
                <w:rFonts w:ascii="Arial Narrow" w:eastAsia="Times New Roman" w:hAnsi="Arial Narrow" w:cs="Calibri"/>
                <w:color w:val="000000"/>
                <w:lang w:val="en-US"/>
              </w:rPr>
            </w:pPr>
          </w:p>
        </w:tc>
        <w:tc>
          <w:tcPr>
            <w:tcW w:w="1350" w:type="dxa"/>
            <w:tcBorders>
              <w:top w:val="nil"/>
              <w:left w:val="nil"/>
              <w:bottom w:val="single" w:sz="8" w:space="0" w:color="auto"/>
              <w:right w:val="single" w:sz="8" w:space="0" w:color="auto"/>
            </w:tcBorders>
            <w:shd w:val="clear" w:color="auto" w:fill="F2F2F2" w:themeFill="background1" w:themeFillShade="F2"/>
            <w:vAlign w:val="center"/>
            <w:hideMark/>
          </w:tcPr>
          <w:p w:rsidR="00676147" w:rsidRPr="000B7211" w:rsidRDefault="00676147" w:rsidP="001370AA">
            <w:pPr>
              <w:spacing w:after="0" w:line="240" w:lineRule="auto"/>
              <w:jc w:val="center"/>
              <w:rPr>
                <w:rFonts w:ascii="Arial Narrow" w:eastAsia="Times New Roman" w:hAnsi="Arial Narrow" w:cs="Calibri"/>
                <w:color w:val="000000"/>
                <w:lang w:val="en-US"/>
              </w:rPr>
            </w:pPr>
            <w:r w:rsidRPr="000B7211">
              <w:rPr>
                <w:rFonts w:ascii="Arial Narrow" w:eastAsia="Times New Roman" w:hAnsi="Arial Narrow" w:cs="Calibri"/>
                <w:color w:val="000000"/>
              </w:rPr>
              <w:t>Terciární</w:t>
            </w:r>
          </w:p>
        </w:tc>
        <w:tc>
          <w:tcPr>
            <w:tcW w:w="1320" w:type="dxa"/>
            <w:gridSpan w:val="2"/>
            <w:tcBorders>
              <w:top w:val="nil"/>
              <w:left w:val="nil"/>
              <w:bottom w:val="single" w:sz="8" w:space="0" w:color="auto"/>
              <w:right w:val="single" w:sz="8" w:space="0" w:color="auto"/>
            </w:tcBorders>
            <w:shd w:val="clear" w:color="auto" w:fill="auto"/>
            <w:noWrap/>
            <w:vAlign w:val="center"/>
          </w:tcPr>
          <w:p w:rsidR="00676147" w:rsidRPr="00DE482A" w:rsidRDefault="00676147" w:rsidP="001370AA">
            <w:pPr>
              <w:spacing w:after="0" w:line="240" w:lineRule="auto"/>
              <w:jc w:val="center"/>
              <w:rPr>
                <w:rFonts w:ascii="Arial Narrow" w:eastAsia="Times New Roman" w:hAnsi="Arial Narrow" w:cs="Calibri"/>
                <w:color w:val="000000"/>
                <w:lang w:val="en-US"/>
              </w:rPr>
            </w:pPr>
            <w:r>
              <w:rPr>
                <w:rFonts w:ascii="Arial Narrow" w:eastAsia="Times New Roman" w:hAnsi="Arial Narrow" w:cs="Calibri"/>
                <w:color w:val="000000"/>
                <w:lang w:val="en-US"/>
              </w:rPr>
              <w:t>.</w:t>
            </w:r>
          </w:p>
        </w:tc>
        <w:tc>
          <w:tcPr>
            <w:tcW w:w="1350" w:type="dxa"/>
            <w:tcBorders>
              <w:top w:val="nil"/>
              <w:left w:val="nil"/>
              <w:bottom w:val="single" w:sz="8" w:space="0" w:color="auto"/>
              <w:right w:val="single" w:sz="8" w:space="0" w:color="auto"/>
            </w:tcBorders>
            <w:shd w:val="clear" w:color="auto" w:fill="auto"/>
            <w:noWrap/>
            <w:vAlign w:val="center"/>
          </w:tcPr>
          <w:p w:rsidR="00676147" w:rsidRPr="00DE482A" w:rsidRDefault="00676147" w:rsidP="001370AA">
            <w:pPr>
              <w:spacing w:after="0" w:line="240" w:lineRule="auto"/>
              <w:jc w:val="center"/>
              <w:rPr>
                <w:rFonts w:ascii="Arial Narrow" w:eastAsia="Times New Roman" w:hAnsi="Arial Narrow" w:cs="Calibri"/>
                <w:color w:val="000000"/>
                <w:lang w:val="en-US"/>
              </w:rPr>
            </w:pPr>
            <w:r w:rsidRPr="00DE482A">
              <w:rPr>
                <w:rFonts w:ascii="Arial Narrow" w:eastAsia="Times New Roman" w:hAnsi="Arial Narrow" w:cs="Calibri"/>
                <w:color w:val="000000"/>
                <w:lang w:val="en-US"/>
              </w:rPr>
              <w:t>51,8</w:t>
            </w:r>
            <w:r w:rsidR="00880AF9">
              <w:rPr>
                <w:rFonts w:ascii="Arial Narrow" w:eastAsia="Times New Roman" w:hAnsi="Arial Narrow" w:cs="Calibri"/>
                <w:color w:val="000000"/>
                <w:lang w:val="en-US"/>
              </w:rPr>
              <w:t xml:space="preserve"> </w:t>
            </w:r>
            <w:r w:rsidRPr="00DE482A">
              <w:rPr>
                <w:rFonts w:ascii="Arial Narrow" w:eastAsia="Times New Roman" w:hAnsi="Arial Narrow" w:cs="Calibri"/>
                <w:color w:val="000000"/>
                <w:lang w:val="en-US"/>
              </w:rPr>
              <w:t>%</w:t>
            </w:r>
          </w:p>
        </w:tc>
        <w:tc>
          <w:tcPr>
            <w:tcW w:w="1096" w:type="dxa"/>
            <w:tcBorders>
              <w:top w:val="nil"/>
              <w:left w:val="nil"/>
              <w:bottom w:val="single" w:sz="8" w:space="0" w:color="auto"/>
              <w:right w:val="single" w:sz="8" w:space="0" w:color="auto"/>
            </w:tcBorders>
            <w:shd w:val="clear" w:color="auto" w:fill="auto"/>
            <w:noWrap/>
            <w:vAlign w:val="center"/>
          </w:tcPr>
          <w:p w:rsidR="00676147" w:rsidRPr="00DE482A" w:rsidRDefault="00676147" w:rsidP="001370AA">
            <w:pPr>
              <w:spacing w:after="0" w:line="240" w:lineRule="auto"/>
              <w:jc w:val="center"/>
              <w:rPr>
                <w:rFonts w:ascii="Arial Narrow" w:eastAsia="Times New Roman" w:hAnsi="Arial Narrow" w:cs="Calibri"/>
                <w:color w:val="000000"/>
                <w:lang w:val="en-US"/>
              </w:rPr>
            </w:pPr>
            <w:r w:rsidRPr="00DE482A">
              <w:rPr>
                <w:rFonts w:ascii="Arial Narrow" w:eastAsia="Times New Roman" w:hAnsi="Arial Narrow" w:cs="Calibri"/>
                <w:color w:val="000000"/>
                <w:lang w:val="en-US"/>
              </w:rPr>
              <w:t>55,7</w:t>
            </w:r>
            <w:r w:rsidR="00880AF9">
              <w:rPr>
                <w:rFonts w:ascii="Arial Narrow" w:eastAsia="Times New Roman" w:hAnsi="Arial Narrow" w:cs="Calibri"/>
                <w:color w:val="000000"/>
                <w:lang w:val="en-US"/>
              </w:rPr>
              <w:t xml:space="preserve"> </w:t>
            </w:r>
            <w:r w:rsidRPr="00DE482A">
              <w:rPr>
                <w:rFonts w:ascii="Arial Narrow" w:eastAsia="Times New Roman" w:hAnsi="Arial Narrow" w:cs="Calibri"/>
                <w:color w:val="000000"/>
                <w:lang w:val="en-US"/>
              </w:rPr>
              <w:t>%</w:t>
            </w:r>
          </w:p>
        </w:tc>
      </w:tr>
    </w:tbl>
    <w:p w:rsidR="001B7495" w:rsidRPr="009D31DA" w:rsidRDefault="00676147" w:rsidP="001B7495">
      <w:pPr>
        <w:spacing w:after="120" w:line="288" w:lineRule="auto"/>
        <w:ind w:firstLine="284"/>
        <w:jc w:val="right"/>
        <w:rPr>
          <w:rFonts w:ascii="Arial Narrow" w:hAnsi="Arial Narrow" w:cs="Times New Roman"/>
          <w:i/>
          <w:sz w:val="20"/>
          <w:szCs w:val="20"/>
        </w:rPr>
      </w:pPr>
      <w:r w:rsidRPr="009D31DA">
        <w:rPr>
          <w:rFonts w:ascii="Arial Narrow" w:hAnsi="Arial Narrow" w:cs="Times New Roman"/>
          <w:i/>
          <w:sz w:val="20"/>
          <w:szCs w:val="20"/>
        </w:rPr>
        <w:t>Zdroj: Životní podmínky/SILC 201</w:t>
      </w:r>
      <w:r w:rsidR="001B7495">
        <w:rPr>
          <w:rFonts w:ascii="Arial Narrow" w:hAnsi="Arial Narrow" w:cs="Times New Roman"/>
          <w:i/>
          <w:sz w:val="20"/>
          <w:szCs w:val="20"/>
        </w:rPr>
        <w:t>1</w:t>
      </w:r>
    </w:p>
    <w:p w:rsidR="001370AA" w:rsidRPr="001370AA" w:rsidRDefault="001370AA" w:rsidP="001370AA">
      <w:pPr>
        <w:pStyle w:val="2TEXT"/>
      </w:pPr>
      <w:r>
        <w:lastRenderedPageBreak/>
        <w:t>Šanci na pozici v horních 20</w:t>
      </w:r>
      <w:r w:rsidR="00880AF9">
        <w:t xml:space="preserve"> </w:t>
      </w:r>
      <w:r>
        <w:t>% příjmového rozdělení měly</w:t>
      </w:r>
      <w:r w:rsidRPr="001370AA">
        <w:t xml:space="preserve"> </w:t>
      </w:r>
      <w:r w:rsidR="00880AF9">
        <w:t>nejvyšší</w:t>
      </w:r>
      <w:r w:rsidR="00880AF9" w:rsidRPr="001370AA">
        <w:t xml:space="preserve"> </w:t>
      </w:r>
      <w:r w:rsidR="001B7495">
        <w:t xml:space="preserve">očekávaně </w:t>
      </w:r>
      <w:r w:rsidRPr="001370AA">
        <w:t xml:space="preserve">osoby s vysokoškolským vzděláním. Vysokoškolské vzdělání rodičů ještě zvyšuje šance na </w:t>
      </w:r>
      <w:r w:rsidR="00D445BF">
        <w:t xml:space="preserve">pozici v </w:t>
      </w:r>
      <w:r w:rsidR="001B7495">
        <w:t>horních 20</w:t>
      </w:r>
      <w:r w:rsidR="00880AF9">
        <w:t xml:space="preserve"> </w:t>
      </w:r>
      <w:r w:rsidR="001B7495">
        <w:t>% příjmového rozdělení</w:t>
      </w:r>
      <w:r w:rsidRPr="001370AA">
        <w:t>. Tento efekt je výrazný především u osob se středoškolským vzděláním, kde respondenti s</w:t>
      </w:r>
      <w:r w:rsidR="00880AF9">
        <w:t> </w:t>
      </w:r>
      <w:r w:rsidRPr="001370AA">
        <w:t>rodiči se středoškolským vzděláním m</w:t>
      </w:r>
      <w:r w:rsidR="001B7495">
        <w:t>ěli</w:t>
      </w:r>
      <w:r w:rsidRPr="001370AA">
        <w:t xml:space="preserve"> tém</w:t>
      </w:r>
      <w:r w:rsidR="001B7495">
        <w:t>ě</w:t>
      </w:r>
      <w:r w:rsidRPr="001370AA">
        <w:t xml:space="preserve">ř o třetinu nižší šanci dosáhnout na </w:t>
      </w:r>
      <w:r w:rsidR="001B7495">
        <w:t>tuto úroveň</w:t>
      </w:r>
      <w:r w:rsidRPr="001370AA">
        <w:t xml:space="preserve"> příjm</w:t>
      </w:r>
      <w:r w:rsidR="001B7495">
        <w:t>ů</w:t>
      </w:r>
      <w:r w:rsidRPr="001370AA">
        <w:t xml:space="preserve"> než </w:t>
      </w:r>
      <w:r w:rsidR="001B7495">
        <w:t>ti</w:t>
      </w:r>
      <w:r w:rsidRPr="001370AA">
        <w:t xml:space="preserve"> se středoškolským vzděláním, jejichž rodiče m</w:t>
      </w:r>
      <w:r w:rsidR="001B7495">
        <w:t>ěli</w:t>
      </w:r>
      <w:r w:rsidRPr="001370AA">
        <w:t xml:space="preserve"> </w:t>
      </w:r>
      <w:r w:rsidR="00D445BF">
        <w:t xml:space="preserve">vzdělání </w:t>
      </w:r>
      <w:r w:rsidRPr="001370AA">
        <w:t>vysokoškolské.</w:t>
      </w:r>
    </w:p>
    <w:p w:rsidR="00676147" w:rsidRDefault="00676147" w:rsidP="00676147">
      <w:pPr>
        <w:pStyle w:val="2TEXT"/>
      </w:pPr>
    </w:p>
    <w:p w:rsidR="00676147" w:rsidRDefault="00676147" w:rsidP="0083242E">
      <w:pPr>
        <w:pStyle w:val="2TEXT"/>
      </w:pPr>
    </w:p>
    <w:p w:rsidR="00DE3F1C" w:rsidRPr="00DE3F1C" w:rsidRDefault="00DE3F1C" w:rsidP="009143D9">
      <w:pPr>
        <w:spacing w:after="15" w:line="240" w:lineRule="auto"/>
        <w:jc w:val="both"/>
        <w:rPr>
          <w:rFonts w:ascii="Segoe UI" w:eastAsia="Times New Roman" w:hAnsi="Segoe UI" w:cs="Segoe UI"/>
          <w:i/>
          <w:sz w:val="20"/>
          <w:szCs w:val="20"/>
          <w:lang w:eastAsia="cs-CZ"/>
        </w:rPr>
      </w:pPr>
      <w:r w:rsidRPr="00DE3F1C">
        <w:rPr>
          <w:rFonts w:ascii="Segoe UI" w:eastAsia="Times New Roman" w:hAnsi="Segoe UI" w:cs="Segoe UI"/>
          <w:i/>
          <w:sz w:val="20"/>
          <w:szCs w:val="20"/>
          <w:lang w:eastAsia="cs-CZ"/>
        </w:rPr>
        <w:t>Předkládaný text a prezentace na semináři jsou výstupem společného pilotního projektu ČSÚ a VŠE Praha zaměřeného na zapojení studentů do práce s daty a zpracování statistických výstupů. Projekt probíhal v období červen 2014</w:t>
      </w:r>
      <w:r w:rsidR="0014778A">
        <w:rPr>
          <w:rFonts w:ascii="Segoe UI" w:eastAsia="Times New Roman" w:hAnsi="Segoe UI" w:cs="Segoe UI"/>
          <w:i/>
          <w:sz w:val="20"/>
          <w:szCs w:val="20"/>
          <w:lang w:eastAsia="cs-CZ"/>
        </w:rPr>
        <w:t xml:space="preserve"> – </w:t>
      </w:r>
      <w:r w:rsidRPr="00DE3F1C">
        <w:rPr>
          <w:rFonts w:ascii="Segoe UI" w:eastAsia="Times New Roman" w:hAnsi="Segoe UI" w:cs="Segoe UI"/>
          <w:i/>
          <w:sz w:val="20"/>
          <w:szCs w:val="20"/>
          <w:lang w:eastAsia="cs-CZ"/>
        </w:rPr>
        <w:t xml:space="preserve">březen 2015 na téma Vzdělání a životní úroveň domácností v datech </w:t>
      </w:r>
      <w:proofErr w:type="gramStart"/>
      <w:r w:rsidRPr="00DE3F1C">
        <w:rPr>
          <w:rFonts w:ascii="Segoe UI" w:eastAsia="Times New Roman" w:hAnsi="Segoe UI" w:cs="Segoe UI"/>
          <w:i/>
          <w:sz w:val="20"/>
          <w:szCs w:val="20"/>
          <w:lang w:eastAsia="cs-CZ"/>
        </w:rPr>
        <w:t>EU</w:t>
      </w:r>
      <w:r w:rsidR="0014778A">
        <w:rPr>
          <w:rFonts w:ascii="Segoe UI" w:eastAsia="Times New Roman" w:hAnsi="Segoe UI" w:cs="Segoe UI"/>
          <w:i/>
          <w:sz w:val="20"/>
          <w:szCs w:val="20"/>
          <w:lang w:eastAsia="cs-CZ"/>
        </w:rPr>
        <w:t>–</w:t>
      </w:r>
      <w:r w:rsidRPr="00DE3F1C">
        <w:rPr>
          <w:rFonts w:ascii="Segoe UI" w:eastAsia="Times New Roman" w:hAnsi="Segoe UI" w:cs="Segoe UI"/>
          <w:i/>
          <w:sz w:val="20"/>
          <w:szCs w:val="20"/>
          <w:lang w:eastAsia="cs-CZ"/>
        </w:rPr>
        <w:t>SILC</w:t>
      </w:r>
      <w:proofErr w:type="gramEnd"/>
      <w:r w:rsidRPr="00DE3F1C">
        <w:rPr>
          <w:rFonts w:ascii="Segoe UI" w:eastAsia="Times New Roman" w:hAnsi="Segoe UI" w:cs="Segoe UI"/>
          <w:i/>
          <w:sz w:val="20"/>
          <w:szCs w:val="20"/>
          <w:lang w:eastAsia="cs-CZ"/>
        </w:rPr>
        <w:t>.</w:t>
      </w:r>
    </w:p>
    <w:p w:rsidR="00DE3F1C" w:rsidRDefault="00DE3F1C" w:rsidP="0083242E">
      <w:pPr>
        <w:pStyle w:val="2TEXT"/>
      </w:pPr>
    </w:p>
    <w:p w:rsidR="005274D3" w:rsidRDefault="005274D3" w:rsidP="0083242E">
      <w:pPr>
        <w:pStyle w:val="2TEXT"/>
      </w:pPr>
    </w:p>
    <w:p w:rsidR="0083242E" w:rsidRDefault="0083242E" w:rsidP="0083242E">
      <w:pPr>
        <w:pStyle w:val="2TEXT"/>
      </w:pPr>
    </w:p>
    <w:p w:rsidR="0083242E" w:rsidRDefault="0083242E" w:rsidP="0083242E">
      <w:pPr>
        <w:pStyle w:val="2TEXT"/>
      </w:pPr>
    </w:p>
    <w:p w:rsidR="0083242E" w:rsidRDefault="0083242E" w:rsidP="0083242E">
      <w:pPr>
        <w:pStyle w:val="2TEXT"/>
      </w:pPr>
    </w:p>
    <w:p w:rsidR="0083242E" w:rsidRDefault="0083242E" w:rsidP="0083242E">
      <w:pPr>
        <w:pStyle w:val="2TEXT"/>
      </w:pPr>
    </w:p>
    <w:p w:rsidR="0083242E" w:rsidRPr="001C1BFA" w:rsidRDefault="0083242E" w:rsidP="0083242E">
      <w:pPr>
        <w:pStyle w:val="2TEXT"/>
      </w:pPr>
      <w:r>
        <w:t xml:space="preserve"> </w:t>
      </w:r>
    </w:p>
    <w:p w:rsidR="00B949B0" w:rsidRDefault="00B949B0" w:rsidP="00654EB9">
      <w:pPr>
        <w:spacing w:after="120" w:line="288" w:lineRule="auto"/>
        <w:jc w:val="both"/>
        <w:rPr>
          <w:rFonts w:ascii="Arial Narrow" w:hAnsi="Arial Narrow" w:cs="Times New Roman"/>
          <w:sz w:val="24"/>
          <w:szCs w:val="32"/>
        </w:rPr>
      </w:pPr>
    </w:p>
    <w:sectPr w:rsidR="00B949B0" w:rsidSect="00FD7FF7">
      <w:headerReference w:type="even" r:id="rId13"/>
      <w:headerReference w:type="default" r:id="rId14"/>
      <w:footerReference w:type="even" r:id="rId15"/>
      <w:footerReference w:type="default" r:id="rId16"/>
      <w:headerReference w:type="first" r:id="rId17"/>
      <w:type w:val="continuous"/>
      <w:pgSz w:w="11906" w:h="16838"/>
      <w:pgMar w:top="1418" w:right="1417" w:bottom="1417" w:left="1417" w:header="540" w:footer="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E4" w:rsidRDefault="00AB42E4">
      <w:r>
        <w:separator/>
      </w:r>
    </w:p>
  </w:endnote>
  <w:endnote w:type="continuationSeparator" w:id="0">
    <w:p w:rsidR="00AB42E4" w:rsidRDefault="00AB42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D8" w:rsidRDefault="000D2FDA">
    <w:pPr>
      <w:pStyle w:val="Zpat"/>
      <w:framePr w:wrap="around" w:vAnchor="text" w:hAnchor="margin" w:xAlign="right" w:y="1"/>
      <w:rPr>
        <w:rStyle w:val="slostrnky"/>
      </w:rPr>
    </w:pPr>
    <w:r>
      <w:rPr>
        <w:rStyle w:val="slostrnky"/>
      </w:rPr>
      <w:fldChar w:fldCharType="begin"/>
    </w:r>
    <w:r w:rsidR="009A07D8">
      <w:rPr>
        <w:rStyle w:val="slostrnky"/>
      </w:rPr>
      <w:instrText xml:space="preserve">PAGE  </w:instrText>
    </w:r>
    <w:r>
      <w:rPr>
        <w:rStyle w:val="slostrnky"/>
      </w:rPr>
      <w:fldChar w:fldCharType="end"/>
    </w:r>
  </w:p>
  <w:p w:rsidR="009A07D8" w:rsidRDefault="009A07D8">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D8" w:rsidRDefault="000D2FDA">
    <w:pPr>
      <w:pStyle w:val="Zpat"/>
      <w:ind w:right="360" w:hanging="1417"/>
      <w:jc w:val="center"/>
      <w:rPr>
        <w:rFonts w:ascii="Arial Narrow" w:hAnsi="Arial Narrow"/>
        <w:color w:val="5F5F5F"/>
        <w:sz w:val="16"/>
      </w:rPr>
    </w:pPr>
    <w:r>
      <w:rPr>
        <w:rFonts w:ascii="Arial Narrow" w:hAnsi="Arial Narrow"/>
        <w:noProof/>
        <w:color w:val="5F5F5F"/>
        <w:sz w:val="16"/>
        <w:lang w:eastAsia="cs-CZ"/>
      </w:rPr>
      <w:pict>
        <v:shapetype id="_x0000_t32" coordsize="21600,21600" o:spt="32" o:oned="t" path="m,l21600,21600e" filled="f">
          <v:path arrowok="t" fillok="f" o:connecttype="none"/>
          <o:lock v:ext="edit" shapetype="t"/>
        </v:shapetype>
        <v:shape id="AutoShape 4" o:spid="_x0000_s11266" type="#_x0000_t32" style="position:absolute;left:0;text-align:left;margin-left:-65.6pt;margin-top:-1.75pt;width:58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BNwIAAHIEAAAOAAAAZHJzL2Uyb0RvYy54bWysVMGO2jAQvVfqP1i+QxIaFogIq1UCvWy7&#10;SLv9AGM7xKpjW7YhoKr/3rEDtLSXqurFscczb+bNPGf5eOokOnLrhFYlzsYpRlxRzYTal/jL22Y0&#10;x8h5ohiRWvESn7nDj6v375a9KfhEt1oybhGAKFf0psSt96ZIEkdb3hE31oYruGy07YiHo90nzJIe&#10;0DuZTNL0Iem1ZcZqyp0Daz1c4lXEbxpO/UvTOO6RLDHU5uNq47oLa7JakmJviWkFvZRB/qGKjggF&#10;SW9QNfEEHaz4A6oT1GqnGz+mukt00wjKIwdgk6W/sXltieGRCzTHmVub3P+DpZ+PW4sEK/EEI0U6&#10;GNHTweuYGeWhPb1xBXhVamsDQXpSr+ZZ068OKV21RO15dH47G4jNQkRyFxIOzkCSXf9JM/AhgB97&#10;dWpsFyChC+gUR3K+jYSfPKJgnOVpuphMMaLXu4QU10Bjnf/IdYfCpsTOWyL2ra+0UjB4bbOYhhyf&#10;nQ9lkeIaELIqvRFSxvlLhXqofTJL0xjhtBQs3Aa/KEVeSYuOBES02w+o8tABncE2m6YQOUAdOhDc&#10;YI4myHpDiDXcgVt9UCwGtpyw9WXviZDDHqKlClVAP4DFZTco69siXazn63k+yicP61Ge1vXoaVPl&#10;o4dNNpvWH+qqqrPvgVCWF61gjKvA6aryLP87FV3e26DPm85v3Uvu0SNFKPb6jUVHQQQNDGraaXbe&#10;2jCRoA0QdnS+PMLwcn49R6+fv4rVDwAAAP//AwBQSwMEFAAGAAgAAAAhAEjDq8DhAAAACwEAAA8A&#10;AABkcnMvZG93bnJldi54bWxMjz1PwzAQhnck/oN1SGytkxooCnGqCoki1KWUDnRz4yMJ2OfIdtvQ&#10;X48rBtju49F7z5WzwRp2QB86RxLycQYMqXa6o0bC5u1pdA8sREVaGUco4RsDzKrLi1IV2h3pFQ/r&#10;2LAUQqFQEtoY+4LzULdoVRi7HintPpy3KqbWN1x7dUzh1vBJlt1xqzpKF1rV42OL9dd6byXMl0vx&#10;/NmeBvO+OjXTbb/wL9uFlNdXw/wBWMQh/sFw1k/qUCWnnduTDsxIGOUinyQ2VeIW2JnIxI0Atvud&#10;8Krk/3+ofgAAAP//AwBQSwECLQAUAAYACAAAACEAtoM4kv4AAADhAQAAEwAAAAAAAAAAAAAAAAAA&#10;AAAAW0NvbnRlbnRfVHlwZXNdLnhtbFBLAQItABQABgAIAAAAIQA4/SH/1gAAAJQBAAALAAAAAAAA&#10;AAAAAAAAAC8BAABfcmVscy8ucmVsc1BLAQItABQABgAIAAAAIQCa+1NBNwIAAHIEAAAOAAAAAAAA&#10;AAAAAAAAAC4CAABkcnMvZTJvRG9jLnhtbFBLAQItABQABgAIAAAAIQBIw6vA4QAAAAsBAAAPAAAA&#10;AAAAAAAAAAAAAJEEAABkcnMvZG93bnJldi54bWxQSwUGAAAAAAQABADzAAAAnwUAAAAA&#10;" strokecolor="#bfbfbf [2412]" strokeweight="1pt"/>
      </w:pict>
    </w:r>
    <w:r>
      <w:rPr>
        <w:rFonts w:ascii="Arial Narrow" w:hAnsi="Arial Narrow"/>
        <w:noProof/>
        <w:color w:val="5F5F5F"/>
        <w:sz w:val="16"/>
        <w:lang w:eastAsia="cs-CZ"/>
      </w:rPr>
      <w:pict>
        <v:shape id="AutoShape 3" o:spid="_x0000_s11265" type="#_x0000_t32" style="position:absolute;left:0;text-align:left;margin-left:-65.6pt;margin-top:-6.25pt;width:58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mGNQIAAHIEAAAOAAAAZHJzL2Uyb0RvYy54bWysVMGO2jAQvVfqP1i+QxI2LBARVqsEetm2&#10;SLv9AGM7xKpjW7YhoKr/3rEDaGkvVdWLMx573sybec7y6dRJdOTWCa1KnI1TjLiimgm1L/G3t81o&#10;jpHzRDEiteIlPnOHn1YfPyx7U/CJbrVk3CIAUa7oTYlb702RJI62vCNurA1XcNho2xEPW7tPmCU9&#10;oHcymaTpY9Jry4zVlDsH3no4xKuI3zSc+q9N47hHssRQm4+rjesurMlqSYq9JaYV9FIG+YcqOiIU&#10;JL1B1cQTdLDiD6hOUKudbvyY6i7RTSMojxyATZb+xua1JYZHLtAcZ25tcv8Pln45bi0SDGaHkSId&#10;jOj54HXMjB5Ce3rjCrhVqa0NBOlJvZoXTb87pHTVErXn8fLb2UBsFiKSu5CwcQaS7PrPmsEdAvix&#10;V6fGdgESuoBOcSTn20j4ySMKzlmepovJFCN6PUtIcQ001vlPXHcoGCV23hKxb32llYLBa5vFNOT4&#10;4nwoixTXgJBV6Y2QMs5fKtSXeDKfzqYxwmkpWDgN96IUeSUtOhIQ0W4/oMpDB3QG32yaphcpgRsE&#10;N7ijC7LeEGINd+BWHxSLNbScsPXF9kTIwYZoqUIV0A9gcbEGZf1YpIv1fD3PR/nkcT3K07oePW+q&#10;fPS4yWbT+qGuqjr7GQhledEKxrgKnK4qz/K/U9HlvQ36vOn81r3kHj1ShGKv31h0FETQwKCmnWbn&#10;rb0KBYQdL18eYXg57/dgv/9VrH4BAAD//wMAUEsDBBQABgAIAAAAIQDZxRux3QAAAA0BAAAPAAAA&#10;ZHJzL2Rvd25yZXYueG1sTI/fSsMwFIfvBd8hHMG7LWnrRLqmYwjeKbLOB0jbY5uZnJQm3Tqf3hQE&#10;vTt/Pn7nO8VutoadcfTakYRkLYAhNa7V1En4OL6snoD5oKhVxhFKuKKHXXl7U6i8dRc64LkKHYsh&#10;5HMloQ9hyDn3TY9W+bUbkOLu041WhdiOHW9HdYnh1vBUiEdulaZ4oVcDPvfYfFWTlaCvmRFv7v27&#10;3pz2r0Ec9NSYSsr7u3m/BRZwDn8wLPpRHcroVLuJWs+MhFWSJWlklyrdAFsQkT1kwOrfES8L/v+L&#10;8gcAAP//AwBQSwECLQAUAAYACAAAACEAtoM4kv4AAADhAQAAEwAAAAAAAAAAAAAAAAAAAAAAW0Nv&#10;bnRlbnRfVHlwZXNdLnhtbFBLAQItABQABgAIAAAAIQA4/SH/1gAAAJQBAAALAAAAAAAAAAAAAAAA&#10;AC8BAABfcmVscy8ucmVsc1BLAQItABQABgAIAAAAIQC4iNmGNQIAAHIEAAAOAAAAAAAAAAAAAAAA&#10;AC4CAABkcnMvZTJvRG9jLnhtbFBLAQItABQABgAIAAAAIQDZxRux3QAAAA0BAAAPAAAAAAAAAAAA&#10;AAAAAI8EAABkcnMvZG93bnJldi54bWxQSwUGAAAAAAQABADzAAAAmQUAAAAA&#10;" strokecolor="#bfbfbf [2412]" strokeweight="2.25pt"/>
      </w:pict>
    </w:r>
  </w:p>
  <w:p w:rsidR="009A07D8" w:rsidRDefault="000D2FDA">
    <w:pPr>
      <w:pStyle w:val="Zpat"/>
      <w:framePr w:wrap="notBeside" w:vAnchor="page" w:hAnchor="page" w:x="11137" w:y="16047"/>
      <w:rPr>
        <w:rStyle w:val="slostrnky"/>
        <w:color w:val="5F5F5F"/>
      </w:rPr>
    </w:pPr>
    <w:r>
      <w:rPr>
        <w:rStyle w:val="slostrnky"/>
        <w:color w:val="5F5F5F"/>
      </w:rPr>
      <w:fldChar w:fldCharType="begin"/>
    </w:r>
    <w:r w:rsidR="009A07D8">
      <w:rPr>
        <w:rStyle w:val="slostrnky"/>
        <w:color w:val="5F5F5F"/>
      </w:rPr>
      <w:instrText xml:space="preserve">PAGE  </w:instrText>
    </w:r>
    <w:r>
      <w:rPr>
        <w:rStyle w:val="slostrnky"/>
        <w:color w:val="5F5F5F"/>
      </w:rPr>
      <w:fldChar w:fldCharType="separate"/>
    </w:r>
    <w:r w:rsidR="001941FA">
      <w:rPr>
        <w:rStyle w:val="slostrnky"/>
        <w:noProof/>
        <w:color w:val="5F5F5F"/>
      </w:rPr>
      <w:t>1</w:t>
    </w:r>
    <w:r>
      <w:rPr>
        <w:rStyle w:val="slostrnky"/>
        <w:color w:val="5F5F5F"/>
      </w:rPr>
      <w:fldChar w:fldCharType="end"/>
    </w:r>
  </w:p>
  <w:p w:rsidR="009A07D8" w:rsidRDefault="009A07D8">
    <w:pPr>
      <w:pStyle w:val="Zpat"/>
      <w:jc w:val="center"/>
      <w:rPr>
        <w:color w:val="5F5F5F"/>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E4" w:rsidRDefault="00AB42E4">
      <w:r>
        <w:separator/>
      </w:r>
    </w:p>
  </w:footnote>
  <w:footnote w:type="continuationSeparator" w:id="0">
    <w:p w:rsidR="00AB42E4" w:rsidRDefault="00AB4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D8" w:rsidRDefault="000D2FDA">
    <w:pPr>
      <w:pStyle w:val="Zhlav"/>
      <w:framePr w:wrap="around" w:vAnchor="text" w:hAnchor="margin" w:xAlign="right" w:y="1"/>
      <w:rPr>
        <w:rStyle w:val="slostrnky"/>
      </w:rPr>
    </w:pPr>
    <w:r>
      <w:rPr>
        <w:rStyle w:val="slostrnky"/>
      </w:rPr>
      <w:fldChar w:fldCharType="begin"/>
    </w:r>
    <w:r w:rsidR="009A07D8">
      <w:rPr>
        <w:rStyle w:val="slostrnky"/>
      </w:rPr>
      <w:instrText xml:space="preserve">PAGE  </w:instrText>
    </w:r>
    <w:r>
      <w:rPr>
        <w:rStyle w:val="slostrnky"/>
      </w:rPr>
      <w:fldChar w:fldCharType="separate"/>
    </w:r>
    <w:r w:rsidR="009A07D8">
      <w:rPr>
        <w:rStyle w:val="slostrnky"/>
        <w:noProof/>
      </w:rPr>
      <w:t>4</w:t>
    </w:r>
    <w:r>
      <w:rPr>
        <w:rStyle w:val="slostrnky"/>
      </w:rPr>
      <w:fldChar w:fldCharType="end"/>
    </w:r>
  </w:p>
  <w:p w:rsidR="009A07D8" w:rsidRDefault="009A07D8">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D8" w:rsidRPr="00B86FC6" w:rsidRDefault="009A07D8" w:rsidP="00B86FC6">
    <w:pPr>
      <w:pStyle w:val="Zhlav"/>
      <w:jc w:val="center"/>
      <w:rPr>
        <w:b/>
      </w:rPr>
    </w:pPr>
    <w:r>
      <w:rPr>
        <w:b/>
        <w:noProof/>
        <w:lang w:eastAsia="cs-CZ"/>
      </w:rPr>
      <w:drawing>
        <wp:inline distT="0" distB="0" distL="0" distR="0">
          <wp:extent cx="5759631" cy="544830"/>
          <wp:effectExtent l="19050" t="0" r="0" b="0"/>
          <wp:docPr id="7" name="Obrázek 6" descr="Si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jpg"/>
                  <pic:cNvPicPr/>
                </pic:nvPicPr>
                <pic:blipFill>
                  <a:blip r:embed="rId1"/>
                  <a:stretch>
                    <a:fillRect/>
                  </a:stretch>
                </pic:blipFill>
                <pic:spPr>
                  <a:xfrm>
                    <a:off x="0" y="0"/>
                    <a:ext cx="5759631" cy="54483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D8" w:rsidRDefault="009A07D8">
    <w:pPr>
      <w:pStyle w:val="Zhlav"/>
    </w:pPr>
  </w:p>
  <w:p w:rsidR="009A07D8" w:rsidRDefault="009A07D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D2A"/>
    <w:multiLevelType w:val="hybridMultilevel"/>
    <w:tmpl w:val="EDF6A61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B6974F5"/>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C5E6FA1"/>
    <w:multiLevelType w:val="hybridMultilevel"/>
    <w:tmpl w:val="C78866AA"/>
    <w:lvl w:ilvl="0" w:tplc="E6AE4164">
      <w:start w:val="1"/>
      <w:numFmt w:val="decimal"/>
      <w:pStyle w:val="5sel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970D06"/>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CBF7154"/>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7575E13"/>
    <w:multiLevelType w:val="hybridMultilevel"/>
    <w:tmpl w:val="90FC830A"/>
    <w:lvl w:ilvl="0" w:tplc="7A9E859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F0D535C"/>
    <w:multiLevelType w:val="hybridMultilevel"/>
    <w:tmpl w:val="90FC830A"/>
    <w:lvl w:ilvl="0" w:tplc="7A9E859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0B43380"/>
    <w:multiLevelType w:val="hybridMultilevel"/>
    <w:tmpl w:val="EDF2F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886E92"/>
    <w:multiLevelType w:val="hybridMultilevel"/>
    <w:tmpl w:val="72FE0448"/>
    <w:lvl w:ilvl="0" w:tplc="76A65D74">
      <w:start w:val="1"/>
      <w:numFmt w:val="bullet"/>
      <w:lvlText w:val="•"/>
      <w:lvlJc w:val="left"/>
      <w:pPr>
        <w:tabs>
          <w:tab w:val="num" w:pos="720"/>
        </w:tabs>
        <w:ind w:left="720" w:hanging="360"/>
      </w:pPr>
      <w:rPr>
        <w:rFonts w:ascii="Times New Roman" w:hAnsi="Times New Roman" w:cs="Times New Roman" w:hint="default"/>
      </w:rPr>
    </w:lvl>
    <w:lvl w:ilvl="1" w:tplc="987C7474">
      <w:start w:val="1"/>
      <w:numFmt w:val="bullet"/>
      <w:lvlText w:val="•"/>
      <w:lvlJc w:val="left"/>
      <w:pPr>
        <w:tabs>
          <w:tab w:val="num" w:pos="1440"/>
        </w:tabs>
        <w:ind w:left="1440" w:hanging="360"/>
      </w:pPr>
      <w:rPr>
        <w:rFonts w:ascii="Times New Roman" w:hAnsi="Times New Roman" w:cs="Times New Roman" w:hint="default"/>
      </w:rPr>
    </w:lvl>
    <w:lvl w:ilvl="2" w:tplc="E684E654">
      <w:start w:val="1"/>
      <w:numFmt w:val="bullet"/>
      <w:lvlText w:val="•"/>
      <w:lvlJc w:val="left"/>
      <w:pPr>
        <w:tabs>
          <w:tab w:val="num" w:pos="2160"/>
        </w:tabs>
        <w:ind w:left="2160" w:hanging="360"/>
      </w:pPr>
      <w:rPr>
        <w:rFonts w:ascii="Times New Roman" w:hAnsi="Times New Roman" w:cs="Times New Roman" w:hint="default"/>
      </w:rPr>
    </w:lvl>
    <w:lvl w:ilvl="3" w:tplc="A522AD96">
      <w:start w:val="1"/>
      <w:numFmt w:val="bullet"/>
      <w:lvlText w:val="•"/>
      <w:lvlJc w:val="left"/>
      <w:pPr>
        <w:tabs>
          <w:tab w:val="num" w:pos="2880"/>
        </w:tabs>
        <w:ind w:left="2880" w:hanging="360"/>
      </w:pPr>
      <w:rPr>
        <w:rFonts w:ascii="Times New Roman" w:hAnsi="Times New Roman" w:cs="Times New Roman" w:hint="default"/>
      </w:rPr>
    </w:lvl>
    <w:lvl w:ilvl="4" w:tplc="DD6297F2">
      <w:start w:val="1"/>
      <w:numFmt w:val="bullet"/>
      <w:lvlText w:val="•"/>
      <w:lvlJc w:val="left"/>
      <w:pPr>
        <w:tabs>
          <w:tab w:val="num" w:pos="3600"/>
        </w:tabs>
        <w:ind w:left="3600" w:hanging="360"/>
      </w:pPr>
      <w:rPr>
        <w:rFonts w:ascii="Times New Roman" w:hAnsi="Times New Roman" w:cs="Times New Roman" w:hint="default"/>
      </w:rPr>
    </w:lvl>
    <w:lvl w:ilvl="5" w:tplc="CD7E18AA">
      <w:start w:val="1"/>
      <w:numFmt w:val="bullet"/>
      <w:lvlText w:val="•"/>
      <w:lvlJc w:val="left"/>
      <w:pPr>
        <w:tabs>
          <w:tab w:val="num" w:pos="4320"/>
        </w:tabs>
        <w:ind w:left="4320" w:hanging="360"/>
      </w:pPr>
      <w:rPr>
        <w:rFonts w:ascii="Times New Roman" w:hAnsi="Times New Roman" w:cs="Times New Roman" w:hint="default"/>
      </w:rPr>
    </w:lvl>
    <w:lvl w:ilvl="6" w:tplc="79D8B46C">
      <w:start w:val="1"/>
      <w:numFmt w:val="bullet"/>
      <w:lvlText w:val="•"/>
      <w:lvlJc w:val="left"/>
      <w:pPr>
        <w:tabs>
          <w:tab w:val="num" w:pos="5040"/>
        </w:tabs>
        <w:ind w:left="5040" w:hanging="360"/>
      </w:pPr>
      <w:rPr>
        <w:rFonts w:ascii="Times New Roman" w:hAnsi="Times New Roman" w:cs="Times New Roman" w:hint="default"/>
      </w:rPr>
    </w:lvl>
    <w:lvl w:ilvl="7" w:tplc="3552F874">
      <w:start w:val="1"/>
      <w:numFmt w:val="bullet"/>
      <w:lvlText w:val="•"/>
      <w:lvlJc w:val="left"/>
      <w:pPr>
        <w:tabs>
          <w:tab w:val="num" w:pos="5760"/>
        </w:tabs>
        <w:ind w:left="5760" w:hanging="360"/>
      </w:pPr>
      <w:rPr>
        <w:rFonts w:ascii="Times New Roman" w:hAnsi="Times New Roman" w:cs="Times New Roman" w:hint="default"/>
      </w:rPr>
    </w:lvl>
    <w:lvl w:ilvl="8" w:tplc="1C14771A">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953458A"/>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12B30C9"/>
    <w:multiLevelType w:val="hybridMultilevel"/>
    <w:tmpl w:val="B83662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3A4291"/>
    <w:multiLevelType w:val="hybridMultilevel"/>
    <w:tmpl w:val="9E1E6BBA"/>
    <w:lvl w:ilvl="0" w:tplc="2F4A7010">
      <w:start w:val="1"/>
      <w:numFmt w:val="lowerLetter"/>
      <w:pStyle w:val="8aodrky"/>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0AF64AE"/>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7673799"/>
    <w:multiLevelType w:val="hybridMultilevel"/>
    <w:tmpl w:val="848C578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397A55"/>
    <w:multiLevelType w:val="hybridMultilevel"/>
    <w:tmpl w:val="C096DB9A"/>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5">
    <w:nsid w:val="6EC37926"/>
    <w:multiLevelType w:val="hybridMultilevel"/>
    <w:tmpl w:val="41DABF00"/>
    <w:lvl w:ilvl="0" w:tplc="2FD8B7AE">
      <w:start w:val="1"/>
      <w:numFmt w:val="lowerLetter"/>
      <w:lvlText w:val="%1)"/>
      <w:lvlJc w:val="left"/>
      <w:pPr>
        <w:ind w:left="720" w:hanging="360"/>
      </w:pPr>
    </w:lvl>
    <w:lvl w:ilvl="1" w:tplc="33B63198">
      <w:start w:val="1"/>
      <w:numFmt w:val="lowerLetter"/>
      <w:lvlText w:val="%2."/>
      <w:lvlJc w:val="left"/>
      <w:pPr>
        <w:ind w:left="1440" w:hanging="360"/>
      </w:pPr>
    </w:lvl>
    <w:lvl w:ilvl="2" w:tplc="0220C356">
      <w:start w:val="1"/>
      <w:numFmt w:val="lowerRoman"/>
      <w:lvlText w:val="%3."/>
      <w:lvlJc w:val="right"/>
      <w:pPr>
        <w:ind w:left="2160" w:hanging="180"/>
      </w:pPr>
    </w:lvl>
    <w:lvl w:ilvl="3" w:tplc="65E0B9A4">
      <w:start w:val="1"/>
      <w:numFmt w:val="decimal"/>
      <w:lvlText w:val="%4."/>
      <w:lvlJc w:val="left"/>
      <w:pPr>
        <w:ind w:left="2880" w:hanging="360"/>
      </w:pPr>
    </w:lvl>
    <w:lvl w:ilvl="4" w:tplc="4708871C">
      <w:start w:val="1"/>
      <w:numFmt w:val="lowerLetter"/>
      <w:lvlText w:val="%5."/>
      <w:lvlJc w:val="left"/>
      <w:pPr>
        <w:ind w:left="3600" w:hanging="360"/>
      </w:pPr>
    </w:lvl>
    <w:lvl w:ilvl="5" w:tplc="C3E025AE">
      <w:start w:val="1"/>
      <w:numFmt w:val="lowerRoman"/>
      <w:lvlText w:val="%6."/>
      <w:lvlJc w:val="right"/>
      <w:pPr>
        <w:ind w:left="4320" w:hanging="180"/>
      </w:pPr>
    </w:lvl>
    <w:lvl w:ilvl="6" w:tplc="05504F04">
      <w:start w:val="1"/>
      <w:numFmt w:val="decimal"/>
      <w:lvlText w:val="%7."/>
      <w:lvlJc w:val="left"/>
      <w:pPr>
        <w:ind w:left="5040" w:hanging="360"/>
      </w:pPr>
    </w:lvl>
    <w:lvl w:ilvl="7" w:tplc="B26A4132">
      <w:start w:val="1"/>
      <w:numFmt w:val="lowerLetter"/>
      <w:lvlText w:val="%8."/>
      <w:lvlJc w:val="left"/>
      <w:pPr>
        <w:ind w:left="5760" w:hanging="360"/>
      </w:pPr>
    </w:lvl>
    <w:lvl w:ilvl="8" w:tplc="708C22B4">
      <w:start w:val="1"/>
      <w:numFmt w:val="lowerRoman"/>
      <w:lvlText w:val="%9."/>
      <w:lvlJc w:val="right"/>
      <w:pPr>
        <w:ind w:left="6480" w:hanging="180"/>
      </w:pPr>
    </w:lvl>
  </w:abstractNum>
  <w:abstractNum w:abstractNumId="16">
    <w:nsid w:val="70F66DDA"/>
    <w:multiLevelType w:val="multilevel"/>
    <w:tmpl w:val="698A43F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6A60064"/>
    <w:multiLevelType w:val="multilevel"/>
    <w:tmpl w:val="24B808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7122F9E"/>
    <w:multiLevelType w:val="hybridMultilevel"/>
    <w:tmpl w:val="CD7CAB2C"/>
    <w:lvl w:ilvl="0" w:tplc="23389272">
      <w:start w:val="1"/>
      <w:numFmt w:val="bullet"/>
      <w:pStyle w:val="6odrky"/>
      <w:lvlText w:val=""/>
      <w:lvlJc w:val="left"/>
      <w:pPr>
        <w:ind w:left="720" w:hanging="360"/>
      </w:pPr>
      <w:rPr>
        <w:rFonts w:ascii="Wingdings" w:hAnsi="Wingdings" w:hint="default"/>
        <w:color w:val="auto"/>
      </w:rPr>
    </w:lvl>
    <w:lvl w:ilvl="1" w:tplc="AE12856A" w:tentative="1">
      <w:start w:val="1"/>
      <w:numFmt w:val="bullet"/>
      <w:lvlText w:val="o"/>
      <w:lvlJc w:val="left"/>
      <w:pPr>
        <w:ind w:left="1440" w:hanging="360"/>
      </w:pPr>
      <w:rPr>
        <w:rFonts w:ascii="Courier New" w:hAnsi="Courier New" w:cs="Courier New" w:hint="default"/>
      </w:rPr>
    </w:lvl>
    <w:lvl w:ilvl="2" w:tplc="A4980992" w:tentative="1">
      <w:start w:val="1"/>
      <w:numFmt w:val="bullet"/>
      <w:lvlText w:val=""/>
      <w:lvlJc w:val="left"/>
      <w:pPr>
        <w:ind w:left="2160" w:hanging="360"/>
      </w:pPr>
      <w:rPr>
        <w:rFonts w:ascii="Wingdings" w:hAnsi="Wingdings" w:hint="default"/>
      </w:rPr>
    </w:lvl>
    <w:lvl w:ilvl="3" w:tplc="AA3E82C2" w:tentative="1">
      <w:start w:val="1"/>
      <w:numFmt w:val="bullet"/>
      <w:lvlText w:val=""/>
      <w:lvlJc w:val="left"/>
      <w:pPr>
        <w:ind w:left="2880" w:hanging="360"/>
      </w:pPr>
      <w:rPr>
        <w:rFonts w:ascii="Symbol" w:hAnsi="Symbol" w:hint="default"/>
      </w:rPr>
    </w:lvl>
    <w:lvl w:ilvl="4" w:tplc="AA760868" w:tentative="1">
      <w:start w:val="1"/>
      <w:numFmt w:val="bullet"/>
      <w:lvlText w:val="o"/>
      <w:lvlJc w:val="left"/>
      <w:pPr>
        <w:ind w:left="3600" w:hanging="360"/>
      </w:pPr>
      <w:rPr>
        <w:rFonts w:ascii="Courier New" w:hAnsi="Courier New" w:cs="Courier New" w:hint="default"/>
      </w:rPr>
    </w:lvl>
    <w:lvl w:ilvl="5" w:tplc="BAC6B4CA" w:tentative="1">
      <w:start w:val="1"/>
      <w:numFmt w:val="bullet"/>
      <w:lvlText w:val=""/>
      <w:lvlJc w:val="left"/>
      <w:pPr>
        <w:ind w:left="4320" w:hanging="360"/>
      </w:pPr>
      <w:rPr>
        <w:rFonts w:ascii="Wingdings" w:hAnsi="Wingdings" w:hint="default"/>
      </w:rPr>
    </w:lvl>
    <w:lvl w:ilvl="6" w:tplc="4EF6BC50" w:tentative="1">
      <w:start w:val="1"/>
      <w:numFmt w:val="bullet"/>
      <w:lvlText w:val=""/>
      <w:lvlJc w:val="left"/>
      <w:pPr>
        <w:ind w:left="5040" w:hanging="360"/>
      </w:pPr>
      <w:rPr>
        <w:rFonts w:ascii="Symbol" w:hAnsi="Symbol" w:hint="default"/>
      </w:rPr>
    </w:lvl>
    <w:lvl w:ilvl="7" w:tplc="C3FAD91C" w:tentative="1">
      <w:start w:val="1"/>
      <w:numFmt w:val="bullet"/>
      <w:lvlText w:val="o"/>
      <w:lvlJc w:val="left"/>
      <w:pPr>
        <w:ind w:left="5760" w:hanging="360"/>
      </w:pPr>
      <w:rPr>
        <w:rFonts w:ascii="Courier New" w:hAnsi="Courier New" w:cs="Courier New" w:hint="default"/>
      </w:rPr>
    </w:lvl>
    <w:lvl w:ilvl="8" w:tplc="9D86C29A" w:tentative="1">
      <w:start w:val="1"/>
      <w:numFmt w:val="bullet"/>
      <w:lvlText w:val=""/>
      <w:lvlJc w:val="left"/>
      <w:pPr>
        <w:ind w:left="6480" w:hanging="360"/>
      </w:pPr>
      <w:rPr>
        <w:rFonts w:ascii="Wingdings" w:hAnsi="Wingdings" w:hint="default"/>
      </w:rPr>
    </w:lvl>
  </w:abstractNum>
  <w:abstractNum w:abstractNumId="19">
    <w:nsid w:val="7DC255EA"/>
    <w:multiLevelType w:val="hybridMultilevel"/>
    <w:tmpl w:val="8E7E15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40774"/>
    <w:multiLevelType w:val="hybridMultilevel"/>
    <w:tmpl w:val="B5368AC2"/>
    <w:lvl w:ilvl="0" w:tplc="B7EECE42">
      <w:start w:val="1"/>
      <w:numFmt w:val="decimal"/>
      <w:lvlText w:val="%1."/>
      <w:lvlJc w:val="left"/>
      <w:pPr>
        <w:ind w:left="720" w:hanging="360"/>
      </w:pPr>
      <w:rPr>
        <w:rFonts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8"/>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6"/>
  </w:num>
  <w:num w:numId="13">
    <w:abstractNumId w:val="19"/>
  </w:num>
  <w:num w:numId="14">
    <w:abstractNumId w:val="14"/>
  </w:num>
  <w:num w:numId="15">
    <w:abstractNumId w:val="3"/>
  </w:num>
  <w:num w:numId="16">
    <w:abstractNumId w:val="5"/>
  </w:num>
  <w:num w:numId="17">
    <w:abstractNumId w:val="9"/>
  </w:num>
  <w:num w:numId="18">
    <w:abstractNumId w:val="20"/>
  </w:num>
  <w:num w:numId="19">
    <w:abstractNumId w:val="1"/>
  </w:num>
  <w:num w:numId="20">
    <w:abstractNumId w:val="4"/>
  </w:num>
  <w:num w:numId="21">
    <w:abstractNumId w:val="12"/>
  </w:num>
  <w:num w:numId="22">
    <w:abstractNumId w:val="2"/>
    <w:lvlOverride w:ilvl="0">
      <w:startOverride w:val="1"/>
    </w:lvlOverride>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noPunctuationKerning/>
  <w:characterSpacingControl w:val="doNotCompress"/>
  <w:hdrShapeDefaults>
    <o:shapedefaults v:ext="edit" spidmax="36866">
      <o:colormru v:ext="edit" colors="#eaeaea,#f3f3f3"/>
    </o:shapedefaults>
    <o:shapelayout v:ext="edit">
      <o:idmap v:ext="edit" data="11"/>
      <o:rules v:ext="edit">
        <o:r id="V:Rule3" type="connector" idref="#AutoShape 4"/>
        <o:r id="V:Rule4" type="connector" idref="#AutoShape 3"/>
      </o:rules>
    </o:shapelayout>
  </w:hdrShapeDefaults>
  <w:footnotePr>
    <w:footnote w:id="-1"/>
    <w:footnote w:id="0"/>
  </w:footnotePr>
  <w:endnotePr>
    <w:endnote w:id="-1"/>
    <w:endnote w:id="0"/>
  </w:endnotePr>
  <w:compat/>
  <w:rsids>
    <w:rsidRoot w:val="00DC67F9"/>
    <w:rsid w:val="00000348"/>
    <w:rsid w:val="000038F8"/>
    <w:rsid w:val="00007075"/>
    <w:rsid w:val="0001062A"/>
    <w:rsid w:val="00011A4B"/>
    <w:rsid w:val="0001292D"/>
    <w:rsid w:val="00014DAD"/>
    <w:rsid w:val="00017252"/>
    <w:rsid w:val="00020714"/>
    <w:rsid w:val="00024B32"/>
    <w:rsid w:val="00024C8B"/>
    <w:rsid w:val="00025021"/>
    <w:rsid w:val="000252FF"/>
    <w:rsid w:val="00027325"/>
    <w:rsid w:val="000326BE"/>
    <w:rsid w:val="00034A5A"/>
    <w:rsid w:val="00035ADF"/>
    <w:rsid w:val="00037513"/>
    <w:rsid w:val="00040F4A"/>
    <w:rsid w:val="00041009"/>
    <w:rsid w:val="00041514"/>
    <w:rsid w:val="00043078"/>
    <w:rsid w:val="00046A9B"/>
    <w:rsid w:val="00047EDB"/>
    <w:rsid w:val="0005681F"/>
    <w:rsid w:val="00062970"/>
    <w:rsid w:val="000730EB"/>
    <w:rsid w:val="0007778B"/>
    <w:rsid w:val="000832DE"/>
    <w:rsid w:val="0008565A"/>
    <w:rsid w:val="00086C69"/>
    <w:rsid w:val="000977C6"/>
    <w:rsid w:val="000A553A"/>
    <w:rsid w:val="000A6375"/>
    <w:rsid w:val="000B17F9"/>
    <w:rsid w:val="000B5561"/>
    <w:rsid w:val="000C10B1"/>
    <w:rsid w:val="000C3BC2"/>
    <w:rsid w:val="000C5034"/>
    <w:rsid w:val="000D2FDA"/>
    <w:rsid w:val="000D3368"/>
    <w:rsid w:val="000D5132"/>
    <w:rsid w:val="000D5E8C"/>
    <w:rsid w:val="000E27BA"/>
    <w:rsid w:val="000E39AE"/>
    <w:rsid w:val="000E610C"/>
    <w:rsid w:val="000E74A3"/>
    <w:rsid w:val="00131F4E"/>
    <w:rsid w:val="001370AA"/>
    <w:rsid w:val="001373C3"/>
    <w:rsid w:val="001459E3"/>
    <w:rsid w:val="0014778A"/>
    <w:rsid w:val="001520E6"/>
    <w:rsid w:val="001558A7"/>
    <w:rsid w:val="00164ADB"/>
    <w:rsid w:val="001726F3"/>
    <w:rsid w:val="001758DD"/>
    <w:rsid w:val="00175E94"/>
    <w:rsid w:val="00184D06"/>
    <w:rsid w:val="00186125"/>
    <w:rsid w:val="00190535"/>
    <w:rsid w:val="00190ABB"/>
    <w:rsid w:val="00192A57"/>
    <w:rsid w:val="00193EB5"/>
    <w:rsid w:val="001941FA"/>
    <w:rsid w:val="001A0146"/>
    <w:rsid w:val="001A5AF6"/>
    <w:rsid w:val="001A6FEE"/>
    <w:rsid w:val="001B1994"/>
    <w:rsid w:val="001B7495"/>
    <w:rsid w:val="001C55E8"/>
    <w:rsid w:val="001D0B66"/>
    <w:rsid w:val="001D50F2"/>
    <w:rsid w:val="001D5326"/>
    <w:rsid w:val="001D5500"/>
    <w:rsid w:val="001E0282"/>
    <w:rsid w:val="001F0935"/>
    <w:rsid w:val="001F3E5F"/>
    <w:rsid w:val="00201F05"/>
    <w:rsid w:val="002162EE"/>
    <w:rsid w:val="00222261"/>
    <w:rsid w:val="0022304B"/>
    <w:rsid w:val="00227C59"/>
    <w:rsid w:val="0023254A"/>
    <w:rsid w:val="00240D72"/>
    <w:rsid w:val="002419C1"/>
    <w:rsid w:val="00241F72"/>
    <w:rsid w:val="0024376C"/>
    <w:rsid w:val="00245E21"/>
    <w:rsid w:val="00250C1B"/>
    <w:rsid w:val="00251BCF"/>
    <w:rsid w:val="00260B4F"/>
    <w:rsid w:val="0026513F"/>
    <w:rsid w:val="00266007"/>
    <w:rsid w:val="002660B0"/>
    <w:rsid w:val="00270E4F"/>
    <w:rsid w:val="0027199C"/>
    <w:rsid w:val="00275B6B"/>
    <w:rsid w:val="00280B37"/>
    <w:rsid w:val="002814E9"/>
    <w:rsid w:val="0028177C"/>
    <w:rsid w:val="0028340E"/>
    <w:rsid w:val="00287185"/>
    <w:rsid w:val="00290D27"/>
    <w:rsid w:val="00293F90"/>
    <w:rsid w:val="002A32EB"/>
    <w:rsid w:val="002A59C0"/>
    <w:rsid w:val="002A6BA7"/>
    <w:rsid w:val="002B1828"/>
    <w:rsid w:val="002B51F2"/>
    <w:rsid w:val="002B54F5"/>
    <w:rsid w:val="002B7C53"/>
    <w:rsid w:val="002B7E8A"/>
    <w:rsid w:val="002C1D7E"/>
    <w:rsid w:val="002C5685"/>
    <w:rsid w:val="002D3D8E"/>
    <w:rsid w:val="002D4707"/>
    <w:rsid w:val="002D578B"/>
    <w:rsid w:val="002E01EA"/>
    <w:rsid w:val="002E6926"/>
    <w:rsid w:val="002E7E92"/>
    <w:rsid w:val="002F27D0"/>
    <w:rsid w:val="002F3E15"/>
    <w:rsid w:val="002F49E8"/>
    <w:rsid w:val="0030238B"/>
    <w:rsid w:val="00302637"/>
    <w:rsid w:val="00303277"/>
    <w:rsid w:val="00307661"/>
    <w:rsid w:val="003077B5"/>
    <w:rsid w:val="003124C4"/>
    <w:rsid w:val="00313C78"/>
    <w:rsid w:val="00315FAB"/>
    <w:rsid w:val="00320F08"/>
    <w:rsid w:val="00321B9F"/>
    <w:rsid w:val="00322961"/>
    <w:rsid w:val="00331A36"/>
    <w:rsid w:val="00336136"/>
    <w:rsid w:val="0034152A"/>
    <w:rsid w:val="00341AA6"/>
    <w:rsid w:val="00343B0D"/>
    <w:rsid w:val="00344103"/>
    <w:rsid w:val="00353A7E"/>
    <w:rsid w:val="003544F7"/>
    <w:rsid w:val="003719DD"/>
    <w:rsid w:val="00371E8B"/>
    <w:rsid w:val="00376FCC"/>
    <w:rsid w:val="00390C14"/>
    <w:rsid w:val="003A7186"/>
    <w:rsid w:val="003B2C6F"/>
    <w:rsid w:val="003C18CE"/>
    <w:rsid w:val="003C3896"/>
    <w:rsid w:val="003C40D5"/>
    <w:rsid w:val="003C5096"/>
    <w:rsid w:val="003D2006"/>
    <w:rsid w:val="003D32F4"/>
    <w:rsid w:val="003E09BE"/>
    <w:rsid w:val="003E2A51"/>
    <w:rsid w:val="003E3485"/>
    <w:rsid w:val="003E60A9"/>
    <w:rsid w:val="003E6F6C"/>
    <w:rsid w:val="003F3E0F"/>
    <w:rsid w:val="00400F6B"/>
    <w:rsid w:val="00401168"/>
    <w:rsid w:val="00401E3F"/>
    <w:rsid w:val="004022C4"/>
    <w:rsid w:val="00402DF2"/>
    <w:rsid w:val="00403F64"/>
    <w:rsid w:val="004043E1"/>
    <w:rsid w:val="00406C07"/>
    <w:rsid w:val="00420783"/>
    <w:rsid w:val="00421452"/>
    <w:rsid w:val="004334DE"/>
    <w:rsid w:val="004358A3"/>
    <w:rsid w:val="00436104"/>
    <w:rsid w:val="00437731"/>
    <w:rsid w:val="00442B3A"/>
    <w:rsid w:val="00443878"/>
    <w:rsid w:val="00444D56"/>
    <w:rsid w:val="004505C3"/>
    <w:rsid w:val="004509DD"/>
    <w:rsid w:val="004519B3"/>
    <w:rsid w:val="00454E87"/>
    <w:rsid w:val="00456303"/>
    <w:rsid w:val="00457B3D"/>
    <w:rsid w:val="00464446"/>
    <w:rsid w:val="00466587"/>
    <w:rsid w:val="00485EF3"/>
    <w:rsid w:val="00490030"/>
    <w:rsid w:val="004900FD"/>
    <w:rsid w:val="00490C57"/>
    <w:rsid w:val="0049230B"/>
    <w:rsid w:val="004955CC"/>
    <w:rsid w:val="00496090"/>
    <w:rsid w:val="004A30E7"/>
    <w:rsid w:val="004A46D1"/>
    <w:rsid w:val="004A754B"/>
    <w:rsid w:val="004B23FE"/>
    <w:rsid w:val="004B5333"/>
    <w:rsid w:val="004C042D"/>
    <w:rsid w:val="004C1793"/>
    <w:rsid w:val="004C2328"/>
    <w:rsid w:val="004D0B57"/>
    <w:rsid w:val="004D2C8D"/>
    <w:rsid w:val="004D44CE"/>
    <w:rsid w:val="004E0840"/>
    <w:rsid w:val="004E0D0D"/>
    <w:rsid w:val="004E0E10"/>
    <w:rsid w:val="004E1505"/>
    <w:rsid w:val="004E3184"/>
    <w:rsid w:val="004E44BA"/>
    <w:rsid w:val="004E4DBA"/>
    <w:rsid w:val="004F247E"/>
    <w:rsid w:val="00501B59"/>
    <w:rsid w:val="00506952"/>
    <w:rsid w:val="005069F5"/>
    <w:rsid w:val="00512A63"/>
    <w:rsid w:val="005143A0"/>
    <w:rsid w:val="00515A05"/>
    <w:rsid w:val="005240C4"/>
    <w:rsid w:val="00525290"/>
    <w:rsid w:val="005274D3"/>
    <w:rsid w:val="00532DF3"/>
    <w:rsid w:val="0054476F"/>
    <w:rsid w:val="0054606D"/>
    <w:rsid w:val="005537F2"/>
    <w:rsid w:val="00553884"/>
    <w:rsid w:val="00555024"/>
    <w:rsid w:val="00561345"/>
    <w:rsid w:val="00563642"/>
    <w:rsid w:val="0056423E"/>
    <w:rsid w:val="00565A88"/>
    <w:rsid w:val="005705A3"/>
    <w:rsid w:val="005742AD"/>
    <w:rsid w:val="00574CF1"/>
    <w:rsid w:val="0058011E"/>
    <w:rsid w:val="005878D7"/>
    <w:rsid w:val="0059166C"/>
    <w:rsid w:val="005A2619"/>
    <w:rsid w:val="005A3F8E"/>
    <w:rsid w:val="005A6CC6"/>
    <w:rsid w:val="005B2D4B"/>
    <w:rsid w:val="005B32EC"/>
    <w:rsid w:val="005B3A60"/>
    <w:rsid w:val="005B60B5"/>
    <w:rsid w:val="005B683A"/>
    <w:rsid w:val="005B6C73"/>
    <w:rsid w:val="005B70F1"/>
    <w:rsid w:val="005C19BF"/>
    <w:rsid w:val="005C3E36"/>
    <w:rsid w:val="005C7E32"/>
    <w:rsid w:val="005D3E00"/>
    <w:rsid w:val="005E78AF"/>
    <w:rsid w:val="00600617"/>
    <w:rsid w:val="00603674"/>
    <w:rsid w:val="006108B9"/>
    <w:rsid w:val="00612540"/>
    <w:rsid w:val="00621DDF"/>
    <w:rsid w:val="006223C7"/>
    <w:rsid w:val="00622C79"/>
    <w:rsid w:val="00624018"/>
    <w:rsid w:val="00627EA6"/>
    <w:rsid w:val="00630245"/>
    <w:rsid w:val="00634539"/>
    <w:rsid w:val="006413E9"/>
    <w:rsid w:val="006421E7"/>
    <w:rsid w:val="00647F6E"/>
    <w:rsid w:val="00654EB9"/>
    <w:rsid w:val="00660257"/>
    <w:rsid w:val="00662415"/>
    <w:rsid w:val="006631A6"/>
    <w:rsid w:val="00663C06"/>
    <w:rsid w:val="00671710"/>
    <w:rsid w:val="00671BC8"/>
    <w:rsid w:val="00672729"/>
    <w:rsid w:val="00674489"/>
    <w:rsid w:val="00674BF4"/>
    <w:rsid w:val="00675311"/>
    <w:rsid w:val="00676147"/>
    <w:rsid w:val="00690684"/>
    <w:rsid w:val="0069075A"/>
    <w:rsid w:val="00691C62"/>
    <w:rsid w:val="00691F9C"/>
    <w:rsid w:val="00695E16"/>
    <w:rsid w:val="006A563F"/>
    <w:rsid w:val="006B431D"/>
    <w:rsid w:val="006B7D46"/>
    <w:rsid w:val="006C7520"/>
    <w:rsid w:val="006D5C06"/>
    <w:rsid w:val="006E12CE"/>
    <w:rsid w:val="006F3DAA"/>
    <w:rsid w:val="006F7DE2"/>
    <w:rsid w:val="007001CA"/>
    <w:rsid w:val="007008B7"/>
    <w:rsid w:val="007010FD"/>
    <w:rsid w:val="0070252C"/>
    <w:rsid w:val="00722994"/>
    <w:rsid w:val="007236D8"/>
    <w:rsid w:val="00723DAB"/>
    <w:rsid w:val="0073181F"/>
    <w:rsid w:val="00740EC9"/>
    <w:rsid w:val="00742DFF"/>
    <w:rsid w:val="00743EFD"/>
    <w:rsid w:val="00752C81"/>
    <w:rsid w:val="00755FEF"/>
    <w:rsid w:val="00757861"/>
    <w:rsid w:val="00772138"/>
    <w:rsid w:val="00772290"/>
    <w:rsid w:val="00773A6A"/>
    <w:rsid w:val="00774A42"/>
    <w:rsid w:val="00774E5F"/>
    <w:rsid w:val="0077576B"/>
    <w:rsid w:val="00775941"/>
    <w:rsid w:val="00781ED5"/>
    <w:rsid w:val="007900E7"/>
    <w:rsid w:val="00791713"/>
    <w:rsid w:val="00796A2E"/>
    <w:rsid w:val="007A2C91"/>
    <w:rsid w:val="007A4E99"/>
    <w:rsid w:val="007A523C"/>
    <w:rsid w:val="007A5E96"/>
    <w:rsid w:val="007C0574"/>
    <w:rsid w:val="007C1507"/>
    <w:rsid w:val="007C1E35"/>
    <w:rsid w:val="007C2C7B"/>
    <w:rsid w:val="007C7E15"/>
    <w:rsid w:val="007D47BD"/>
    <w:rsid w:val="007D5B75"/>
    <w:rsid w:val="007E6A5A"/>
    <w:rsid w:val="007F46DB"/>
    <w:rsid w:val="0080301C"/>
    <w:rsid w:val="00805090"/>
    <w:rsid w:val="00817934"/>
    <w:rsid w:val="008205D4"/>
    <w:rsid w:val="00822FE4"/>
    <w:rsid w:val="008246BF"/>
    <w:rsid w:val="0083242E"/>
    <w:rsid w:val="00837999"/>
    <w:rsid w:val="00842786"/>
    <w:rsid w:val="008470E8"/>
    <w:rsid w:val="008511FA"/>
    <w:rsid w:val="008524A3"/>
    <w:rsid w:val="00852A72"/>
    <w:rsid w:val="008576A9"/>
    <w:rsid w:val="00865652"/>
    <w:rsid w:val="008764E4"/>
    <w:rsid w:val="008769FD"/>
    <w:rsid w:val="00880AF9"/>
    <w:rsid w:val="00880B62"/>
    <w:rsid w:val="008840B7"/>
    <w:rsid w:val="00887C57"/>
    <w:rsid w:val="00893ADB"/>
    <w:rsid w:val="00897083"/>
    <w:rsid w:val="008A1C47"/>
    <w:rsid w:val="008A446C"/>
    <w:rsid w:val="008A44B4"/>
    <w:rsid w:val="008A4978"/>
    <w:rsid w:val="008B17D9"/>
    <w:rsid w:val="008C4C4C"/>
    <w:rsid w:val="008C717B"/>
    <w:rsid w:val="008E0B8B"/>
    <w:rsid w:val="008E0E07"/>
    <w:rsid w:val="008F0F07"/>
    <w:rsid w:val="008F146C"/>
    <w:rsid w:val="008F2829"/>
    <w:rsid w:val="008F39F6"/>
    <w:rsid w:val="008F413B"/>
    <w:rsid w:val="00901837"/>
    <w:rsid w:val="009102FC"/>
    <w:rsid w:val="00911124"/>
    <w:rsid w:val="00913F65"/>
    <w:rsid w:val="009143D9"/>
    <w:rsid w:val="009150DC"/>
    <w:rsid w:val="00921BA2"/>
    <w:rsid w:val="00940DD4"/>
    <w:rsid w:val="00944B46"/>
    <w:rsid w:val="00946C0C"/>
    <w:rsid w:val="00952E28"/>
    <w:rsid w:val="0095708C"/>
    <w:rsid w:val="00962DC0"/>
    <w:rsid w:val="00967A08"/>
    <w:rsid w:val="009713D3"/>
    <w:rsid w:val="00974C8C"/>
    <w:rsid w:val="00975A4D"/>
    <w:rsid w:val="00975B9A"/>
    <w:rsid w:val="009850CF"/>
    <w:rsid w:val="009862D9"/>
    <w:rsid w:val="00995F16"/>
    <w:rsid w:val="00997938"/>
    <w:rsid w:val="009A016F"/>
    <w:rsid w:val="009A07D8"/>
    <w:rsid w:val="009A1CB5"/>
    <w:rsid w:val="009A2554"/>
    <w:rsid w:val="009A25FE"/>
    <w:rsid w:val="009A31F8"/>
    <w:rsid w:val="009A6F93"/>
    <w:rsid w:val="009B1596"/>
    <w:rsid w:val="009C0444"/>
    <w:rsid w:val="009C460C"/>
    <w:rsid w:val="009C4FD2"/>
    <w:rsid w:val="009D0BD4"/>
    <w:rsid w:val="009D31DA"/>
    <w:rsid w:val="009D55B4"/>
    <w:rsid w:val="009D64B5"/>
    <w:rsid w:val="009D774A"/>
    <w:rsid w:val="009E68BB"/>
    <w:rsid w:val="009E7CB2"/>
    <w:rsid w:val="009E7E8A"/>
    <w:rsid w:val="009F1360"/>
    <w:rsid w:val="009F5735"/>
    <w:rsid w:val="009F6044"/>
    <w:rsid w:val="00A0037F"/>
    <w:rsid w:val="00A05AB9"/>
    <w:rsid w:val="00A067D9"/>
    <w:rsid w:val="00A11347"/>
    <w:rsid w:val="00A129EB"/>
    <w:rsid w:val="00A20802"/>
    <w:rsid w:val="00A2095B"/>
    <w:rsid w:val="00A26D17"/>
    <w:rsid w:val="00A30C38"/>
    <w:rsid w:val="00A325CA"/>
    <w:rsid w:val="00A32A91"/>
    <w:rsid w:val="00A460CC"/>
    <w:rsid w:val="00A6709D"/>
    <w:rsid w:val="00A6769C"/>
    <w:rsid w:val="00A72DAD"/>
    <w:rsid w:val="00A73183"/>
    <w:rsid w:val="00A73D14"/>
    <w:rsid w:val="00A74024"/>
    <w:rsid w:val="00A756EB"/>
    <w:rsid w:val="00A865C9"/>
    <w:rsid w:val="00A905B4"/>
    <w:rsid w:val="00A91123"/>
    <w:rsid w:val="00A92A61"/>
    <w:rsid w:val="00A92D70"/>
    <w:rsid w:val="00AA6296"/>
    <w:rsid w:val="00AA68A5"/>
    <w:rsid w:val="00AB2F3A"/>
    <w:rsid w:val="00AB42E4"/>
    <w:rsid w:val="00AB4CF6"/>
    <w:rsid w:val="00AC57D4"/>
    <w:rsid w:val="00AD00D9"/>
    <w:rsid w:val="00AD2C1A"/>
    <w:rsid w:val="00AD56BC"/>
    <w:rsid w:val="00AD5B33"/>
    <w:rsid w:val="00AD6899"/>
    <w:rsid w:val="00AD75B7"/>
    <w:rsid w:val="00AE2275"/>
    <w:rsid w:val="00AE496F"/>
    <w:rsid w:val="00AE7D89"/>
    <w:rsid w:val="00AF04BC"/>
    <w:rsid w:val="00AF4397"/>
    <w:rsid w:val="00AF53E2"/>
    <w:rsid w:val="00B00049"/>
    <w:rsid w:val="00B027D9"/>
    <w:rsid w:val="00B06187"/>
    <w:rsid w:val="00B11570"/>
    <w:rsid w:val="00B126CF"/>
    <w:rsid w:val="00B14256"/>
    <w:rsid w:val="00B16356"/>
    <w:rsid w:val="00B22D68"/>
    <w:rsid w:val="00B24C7F"/>
    <w:rsid w:val="00B27BBC"/>
    <w:rsid w:val="00B30E8E"/>
    <w:rsid w:val="00B318AA"/>
    <w:rsid w:val="00B34B18"/>
    <w:rsid w:val="00B373DF"/>
    <w:rsid w:val="00B405B5"/>
    <w:rsid w:val="00B52BD5"/>
    <w:rsid w:val="00B60569"/>
    <w:rsid w:val="00B61C7B"/>
    <w:rsid w:val="00B710A8"/>
    <w:rsid w:val="00B7628A"/>
    <w:rsid w:val="00B86FC6"/>
    <w:rsid w:val="00B9033D"/>
    <w:rsid w:val="00B92EB0"/>
    <w:rsid w:val="00B949B0"/>
    <w:rsid w:val="00BA412B"/>
    <w:rsid w:val="00BA6305"/>
    <w:rsid w:val="00BB0D0C"/>
    <w:rsid w:val="00BB248F"/>
    <w:rsid w:val="00BB27E2"/>
    <w:rsid w:val="00BC1546"/>
    <w:rsid w:val="00BC177D"/>
    <w:rsid w:val="00BC1780"/>
    <w:rsid w:val="00BC5EE4"/>
    <w:rsid w:val="00BC6976"/>
    <w:rsid w:val="00BD62CC"/>
    <w:rsid w:val="00BD7240"/>
    <w:rsid w:val="00BD79CE"/>
    <w:rsid w:val="00BF53CC"/>
    <w:rsid w:val="00C03D69"/>
    <w:rsid w:val="00C119D4"/>
    <w:rsid w:val="00C14733"/>
    <w:rsid w:val="00C22B4C"/>
    <w:rsid w:val="00C23F2B"/>
    <w:rsid w:val="00C330C5"/>
    <w:rsid w:val="00C42260"/>
    <w:rsid w:val="00C507EE"/>
    <w:rsid w:val="00C57DAB"/>
    <w:rsid w:val="00C62C6D"/>
    <w:rsid w:val="00C65EBD"/>
    <w:rsid w:val="00C75888"/>
    <w:rsid w:val="00C7721B"/>
    <w:rsid w:val="00C83CE4"/>
    <w:rsid w:val="00C86103"/>
    <w:rsid w:val="00C90E25"/>
    <w:rsid w:val="00C915E7"/>
    <w:rsid w:val="00C95FFD"/>
    <w:rsid w:val="00C96210"/>
    <w:rsid w:val="00CA41E9"/>
    <w:rsid w:val="00CA4E16"/>
    <w:rsid w:val="00CB0356"/>
    <w:rsid w:val="00CB1857"/>
    <w:rsid w:val="00CB6B02"/>
    <w:rsid w:val="00CC732E"/>
    <w:rsid w:val="00CD1D0F"/>
    <w:rsid w:val="00CE0E76"/>
    <w:rsid w:val="00CE0EAD"/>
    <w:rsid w:val="00CE3ADD"/>
    <w:rsid w:val="00CE731A"/>
    <w:rsid w:val="00CF5BB9"/>
    <w:rsid w:val="00D03471"/>
    <w:rsid w:val="00D03BD1"/>
    <w:rsid w:val="00D05670"/>
    <w:rsid w:val="00D0791F"/>
    <w:rsid w:val="00D10482"/>
    <w:rsid w:val="00D107D8"/>
    <w:rsid w:val="00D2142D"/>
    <w:rsid w:val="00D32796"/>
    <w:rsid w:val="00D328A4"/>
    <w:rsid w:val="00D33D4A"/>
    <w:rsid w:val="00D445BF"/>
    <w:rsid w:val="00D53184"/>
    <w:rsid w:val="00D55939"/>
    <w:rsid w:val="00D6311D"/>
    <w:rsid w:val="00D67550"/>
    <w:rsid w:val="00D70C7F"/>
    <w:rsid w:val="00D76F18"/>
    <w:rsid w:val="00D8199A"/>
    <w:rsid w:val="00D83BC7"/>
    <w:rsid w:val="00D84342"/>
    <w:rsid w:val="00D8642D"/>
    <w:rsid w:val="00D918F9"/>
    <w:rsid w:val="00D9384C"/>
    <w:rsid w:val="00D93DC1"/>
    <w:rsid w:val="00DA03FC"/>
    <w:rsid w:val="00DA14BB"/>
    <w:rsid w:val="00DB0951"/>
    <w:rsid w:val="00DB2373"/>
    <w:rsid w:val="00DB2B9D"/>
    <w:rsid w:val="00DB7A5F"/>
    <w:rsid w:val="00DC1961"/>
    <w:rsid w:val="00DC2316"/>
    <w:rsid w:val="00DC4581"/>
    <w:rsid w:val="00DC67F9"/>
    <w:rsid w:val="00DC76BD"/>
    <w:rsid w:val="00DD198E"/>
    <w:rsid w:val="00DD222D"/>
    <w:rsid w:val="00DD4E1D"/>
    <w:rsid w:val="00DE03D5"/>
    <w:rsid w:val="00DE352D"/>
    <w:rsid w:val="00DE3F1C"/>
    <w:rsid w:val="00DF0DD4"/>
    <w:rsid w:val="00DF1F03"/>
    <w:rsid w:val="00DF31CE"/>
    <w:rsid w:val="00DF7884"/>
    <w:rsid w:val="00E14083"/>
    <w:rsid w:val="00E17482"/>
    <w:rsid w:val="00E234DC"/>
    <w:rsid w:val="00E23673"/>
    <w:rsid w:val="00E24713"/>
    <w:rsid w:val="00E27A4D"/>
    <w:rsid w:val="00E4673A"/>
    <w:rsid w:val="00E748FE"/>
    <w:rsid w:val="00E77577"/>
    <w:rsid w:val="00E815D6"/>
    <w:rsid w:val="00E82CE7"/>
    <w:rsid w:val="00E8655C"/>
    <w:rsid w:val="00EB0D10"/>
    <w:rsid w:val="00EB1497"/>
    <w:rsid w:val="00EB3AEB"/>
    <w:rsid w:val="00EB6B00"/>
    <w:rsid w:val="00EC0C90"/>
    <w:rsid w:val="00EC192A"/>
    <w:rsid w:val="00ED5E5F"/>
    <w:rsid w:val="00EE7E07"/>
    <w:rsid w:val="00EF5FE6"/>
    <w:rsid w:val="00EF6B12"/>
    <w:rsid w:val="00F00A2D"/>
    <w:rsid w:val="00F054B3"/>
    <w:rsid w:val="00F06E2C"/>
    <w:rsid w:val="00F07218"/>
    <w:rsid w:val="00F11B8A"/>
    <w:rsid w:val="00F13A6D"/>
    <w:rsid w:val="00F13FB1"/>
    <w:rsid w:val="00F164E3"/>
    <w:rsid w:val="00F20431"/>
    <w:rsid w:val="00F2362C"/>
    <w:rsid w:val="00F30072"/>
    <w:rsid w:val="00F363B4"/>
    <w:rsid w:val="00F37E9F"/>
    <w:rsid w:val="00F413A8"/>
    <w:rsid w:val="00F43C1A"/>
    <w:rsid w:val="00F45FF1"/>
    <w:rsid w:val="00F466B1"/>
    <w:rsid w:val="00F560EA"/>
    <w:rsid w:val="00F614C7"/>
    <w:rsid w:val="00F801A4"/>
    <w:rsid w:val="00F83A73"/>
    <w:rsid w:val="00F90583"/>
    <w:rsid w:val="00F92475"/>
    <w:rsid w:val="00F94A09"/>
    <w:rsid w:val="00F94C8E"/>
    <w:rsid w:val="00FA0C75"/>
    <w:rsid w:val="00FB24E2"/>
    <w:rsid w:val="00FB4E00"/>
    <w:rsid w:val="00FB7A5D"/>
    <w:rsid w:val="00FD3AF0"/>
    <w:rsid w:val="00FD4A16"/>
    <w:rsid w:val="00FD72F4"/>
    <w:rsid w:val="00FD7FF7"/>
    <w:rsid w:val="00FE0A86"/>
    <w:rsid w:val="00FE4A4D"/>
    <w:rsid w:val="00FF3E89"/>
    <w:rsid w:val="00FF6F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eaeaea,#f3f3f3"/>
    </o:shapedefaults>
    <o:shapelayout v:ext="edit">
      <o:idmap v:ext="edit" data="1"/>
      <o:rules v:ext="edit">
        <o:r id="V:Rule4" type="arc" idref="#_x0000_s1035"/>
        <o:r id="V:Rule9" type="connector" idref="#_x0000_s1029"/>
        <o:r id="V:Rule10" type="connector" idref="#_x0000_s1032"/>
        <o:r id="V:Rule11" type="connector" idref="#_x0000_s1033"/>
        <o:r id="V:Rule12" type="connector" idref="#_x0000_s1027"/>
        <o:r id="V:Rule13" type="connector" idref="#_x0000_s1036"/>
        <o:r id="V:Rule14" type="connector" idref="#_x0000_s1028"/>
        <o:r id="V:Rule1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67F9"/>
    <w:pPr>
      <w:spacing w:after="200" w:line="276" w:lineRule="auto"/>
    </w:pPr>
    <w:rPr>
      <w:rFonts w:asciiTheme="minorHAnsi" w:eastAsiaTheme="minorHAnsi" w:hAnsiTheme="minorHAnsi" w:cstheme="minorBidi"/>
      <w:sz w:val="22"/>
      <w:szCs w:val="22"/>
      <w:lang w:eastAsia="en-US"/>
    </w:rPr>
  </w:style>
  <w:style w:type="paragraph" w:styleId="Nadpis1">
    <w:name w:val="heading 1"/>
    <w:aliases w:val="1 Nadpis 1"/>
    <w:basedOn w:val="Normln"/>
    <w:next w:val="2TEXT"/>
    <w:link w:val="Nadpis1Char"/>
    <w:qFormat/>
    <w:rsid w:val="00FE4A4D"/>
    <w:pPr>
      <w:keepNext/>
      <w:numPr>
        <w:numId w:val="7"/>
      </w:numPr>
      <w:pBdr>
        <w:bottom w:val="single" w:sz="4" w:space="1" w:color="auto"/>
      </w:pBdr>
      <w:spacing w:before="600" w:after="480" w:line="288" w:lineRule="auto"/>
      <w:outlineLvl w:val="0"/>
    </w:pPr>
    <w:rPr>
      <w:rFonts w:ascii="Arial Narrow" w:hAnsi="Arial Narrow" w:cs="Arial"/>
      <w:b/>
      <w:bCs/>
      <w:kern w:val="32"/>
      <w:sz w:val="40"/>
      <w:szCs w:val="32"/>
    </w:rPr>
  </w:style>
  <w:style w:type="paragraph" w:styleId="Nadpis2">
    <w:name w:val="heading 2"/>
    <w:basedOn w:val="Normln"/>
    <w:next w:val="Normln"/>
    <w:link w:val="Nadpis2Char"/>
    <w:uiPriority w:val="9"/>
    <w:unhideWhenUsed/>
    <w:qFormat/>
    <w:rsid w:val="00B710A8"/>
    <w:pPr>
      <w:keepNext/>
      <w:keepLines/>
      <w:numPr>
        <w:ilvl w:val="1"/>
        <w:numId w:val="7"/>
      </w:numPr>
      <w:spacing w:before="200" w:after="0"/>
      <w:outlineLvl w:val="1"/>
    </w:pPr>
    <w:rPr>
      <w:rFonts w:asciiTheme="majorHAnsi" w:eastAsiaTheme="majorEastAsia" w:hAnsiTheme="majorHAnsi" w:cstheme="majorBidi"/>
      <w:b/>
      <w:bCs/>
      <w:color w:val="00ADDC" w:themeColor="accent1"/>
      <w:sz w:val="26"/>
      <w:szCs w:val="26"/>
    </w:rPr>
  </w:style>
  <w:style w:type="paragraph" w:styleId="Nadpis3">
    <w:name w:val="heading 3"/>
    <w:basedOn w:val="Normln"/>
    <w:next w:val="Normln"/>
    <w:link w:val="Nadpis3Char"/>
    <w:uiPriority w:val="9"/>
    <w:unhideWhenUsed/>
    <w:qFormat/>
    <w:rsid w:val="00DC67F9"/>
    <w:pPr>
      <w:keepNext/>
      <w:keepLines/>
      <w:numPr>
        <w:ilvl w:val="2"/>
        <w:numId w:val="7"/>
      </w:numPr>
      <w:spacing w:before="200" w:after="0"/>
      <w:outlineLvl w:val="2"/>
    </w:pPr>
    <w:rPr>
      <w:rFonts w:asciiTheme="majorHAnsi" w:eastAsiaTheme="majorEastAsia" w:hAnsiTheme="majorHAnsi" w:cstheme="majorBidi"/>
      <w:b/>
      <w:bCs/>
      <w:color w:val="00ADD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710A8"/>
    <w:rPr>
      <w:rFonts w:asciiTheme="majorHAnsi" w:eastAsiaTheme="majorEastAsia" w:hAnsiTheme="majorHAnsi" w:cstheme="majorBidi"/>
      <w:b/>
      <w:bCs/>
      <w:color w:val="00ADDC" w:themeColor="accent1"/>
      <w:sz w:val="26"/>
      <w:szCs w:val="26"/>
      <w:lang w:eastAsia="en-US"/>
    </w:rPr>
  </w:style>
  <w:style w:type="character" w:customStyle="1" w:styleId="Nadpis3Char">
    <w:name w:val="Nadpis 3 Char"/>
    <w:basedOn w:val="Standardnpsmoodstavce"/>
    <w:link w:val="Nadpis3"/>
    <w:uiPriority w:val="9"/>
    <w:rsid w:val="00DC67F9"/>
    <w:rPr>
      <w:rFonts w:asciiTheme="majorHAnsi" w:eastAsiaTheme="majorEastAsia" w:hAnsiTheme="majorHAnsi" w:cstheme="majorBidi"/>
      <w:b/>
      <w:bCs/>
      <w:color w:val="00ADDC" w:themeColor="accent1"/>
      <w:sz w:val="22"/>
      <w:szCs w:val="22"/>
      <w:lang w:eastAsia="en-US"/>
    </w:rPr>
  </w:style>
  <w:style w:type="paragraph" w:styleId="Zhlav">
    <w:name w:val="header"/>
    <w:basedOn w:val="Normln"/>
    <w:link w:val="ZhlavChar"/>
    <w:uiPriority w:val="99"/>
    <w:rsid w:val="009C460C"/>
    <w:pPr>
      <w:tabs>
        <w:tab w:val="center" w:pos="4536"/>
        <w:tab w:val="right" w:pos="9072"/>
      </w:tabs>
    </w:pPr>
  </w:style>
  <w:style w:type="paragraph" w:styleId="Zpat">
    <w:name w:val="footer"/>
    <w:basedOn w:val="Normln"/>
    <w:link w:val="ZpatChar"/>
    <w:semiHidden/>
    <w:rsid w:val="009C460C"/>
    <w:pPr>
      <w:tabs>
        <w:tab w:val="center" w:pos="4536"/>
        <w:tab w:val="right" w:pos="9072"/>
      </w:tabs>
    </w:pPr>
  </w:style>
  <w:style w:type="character" w:styleId="slostrnky">
    <w:name w:val="page number"/>
    <w:basedOn w:val="Standardnpsmoodstavce"/>
    <w:semiHidden/>
    <w:rsid w:val="009C460C"/>
    <w:rPr>
      <w:rFonts w:ascii="Arial Narrow" w:hAnsi="Arial Narrow"/>
      <w:sz w:val="18"/>
    </w:rPr>
  </w:style>
  <w:style w:type="paragraph" w:customStyle="1" w:styleId="ipntext">
    <w:name w:val="ipn text"/>
    <w:basedOn w:val="Normln"/>
    <w:rsid w:val="009C460C"/>
    <w:rPr>
      <w:rFonts w:ascii="Arial Narrow" w:hAnsi="Arial Narrow"/>
      <w:position w:val="14"/>
    </w:rPr>
  </w:style>
  <w:style w:type="paragraph" w:styleId="Textbubliny">
    <w:name w:val="Balloon Text"/>
    <w:basedOn w:val="Normln"/>
    <w:link w:val="TextbublinyChar"/>
    <w:uiPriority w:val="99"/>
    <w:semiHidden/>
    <w:unhideWhenUsed/>
    <w:rsid w:val="00302637"/>
    <w:rPr>
      <w:rFonts w:ascii="Tahoma" w:hAnsi="Tahoma" w:cs="Tahoma"/>
      <w:sz w:val="16"/>
      <w:szCs w:val="16"/>
    </w:rPr>
  </w:style>
  <w:style w:type="character" w:customStyle="1" w:styleId="TextbublinyChar">
    <w:name w:val="Text bubliny Char"/>
    <w:basedOn w:val="Standardnpsmoodstavce"/>
    <w:link w:val="Textbubliny"/>
    <w:uiPriority w:val="99"/>
    <w:semiHidden/>
    <w:rsid w:val="00302637"/>
    <w:rPr>
      <w:rFonts w:ascii="Tahoma" w:hAnsi="Tahoma" w:cs="Tahoma"/>
      <w:sz w:val="16"/>
      <w:szCs w:val="16"/>
    </w:rPr>
  </w:style>
  <w:style w:type="character" w:styleId="Hypertextovodkaz">
    <w:name w:val="Hyperlink"/>
    <w:basedOn w:val="Standardnpsmoodstavce"/>
    <w:uiPriority w:val="99"/>
    <w:unhideWhenUsed/>
    <w:rsid w:val="00DC67F9"/>
    <w:rPr>
      <w:color w:val="EB8803" w:themeColor="hyperlink"/>
      <w:u w:val="single"/>
    </w:rPr>
  </w:style>
  <w:style w:type="paragraph" w:styleId="Textpoznpodarou">
    <w:name w:val="footnote text"/>
    <w:basedOn w:val="Normln"/>
    <w:link w:val="TextpoznpodarouChar"/>
    <w:uiPriority w:val="99"/>
    <w:semiHidden/>
    <w:unhideWhenUsed/>
    <w:rsid w:val="00DC67F9"/>
    <w:pPr>
      <w:suppressAutoHyphens/>
      <w:spacing w:after="0" w:line="240" w:lineRule="auto"/>
    </w:pPr>
    <w:rPr>
      <w:rFonts w:ascii="Times New Roman" w:eastAsia="Times New Roman" w:hAnsi="Times New Roman" w:cs="Times New Roman"/>
      <w:sz w:val="20"/>
      <w:szCs w:val="20"/>
      <w:lang w:eastAsia="ar-SA"/>
    </w:rPr>
  </w:style>
  <w:style w:type="character" w:customStyle="1" w:styleId="TextpoznpodarouChar">
    <w:name w:val="Text pozn. pod čarou Char"/>
    <w:basedOn w:val="Standardnpsmoodstavce"/>
    <w:link w:val="Textpoznpodarou"/>
    <w:uiPriority w:val="99"/>
    <w:semiHidden/>
    <w:rsid w:val="00DC67F9"/>
    <w:rPr>
      <w:lang w:eastAsia="ar-SA"/>
    </w:rPr>
  </w:style>
  <w:style w:type="paragraph" w:styleId="Odstavecseseznamem">
    <w:name w:val="List Paragraph"/>
    <w:basedOn w:val="Normln"/>
    <w:link w:val="OdstavecseseznamemChar"/>
    <w:uiPriority w:val="99"/>
    <w:qFormat/>
    <w:rsid w:val="00DC67F9"/>
    <w:pPr>
      <w:suppressAutoHyphens/>
      <w:spacing w:after="0" w:line="240" w:lineRule="auto"/>
      <w:ind w:left="720"/>
    </w:pPr>
    <w:rPr>
      <w:rFonts w:ascii="Calibri" w:eastAsia="Times New Roman" w:hAnsi="Calibri" w:cs="Times New Roman"/>
      <w:lang w:eastAsia="ar-SA"/>
    </w:rPr>
  </w:style>
  <w:style w:type="character" w:customStyle="1" w:styleId="OdstavecseseznamemChar">
    <w:name w:val="Odstavec se seznamem Char"/>
    <w:basedOn w:val="Standardnpsmoodstavce"/>
    <w:link w:val="Odstavecseseznamem"/>
    <w:uiPriority w:val="34"/>
    <w:rsid w:val="00007075"/>
    <w:rPr>
      <w:rFonts w:ascii="Calibri" w:hAnsi="Calibri"/>
      <w:sz w:val="22"/>
      <w:szCs w:val="22"/>
      <w:lang w:eastAsia="ar-SA"/>
    </w:rPr>
  </w:style>
  <w:style w:type="character" w:styleId="Znakapoznpodarou">
    <w:name w:val="footnote reference"/>
    <w:basedOn w:val="Standardnpsmoodstavce"/>
    <w:uiPriority w:val="99"/>
    <w:semiHidden/>
    <w:unhideWhenUsed/>
    <w:rsid w:val="00DC67F9"/>
    <w:rPr>
      <w:vertAlign w:val="superscript"/>
    </w:rPr>
  </w:style>
  <w:style w:type="table" w:customStyle="1" w:styleId="Stednstnovn1zvraznn51">
    <w:name w:val="Střední stínování 1 – zvýraznění 51"/>
    <w:basedOn w:val="Normlntabulka"/>
    <w:uiPriority w:val="63"/>
    <w:rsid w:val="00DC67F9"/>
    <w:tblPr>
      <w:tblStyleRowBandSize w:val="1"/>
      <w:tblStyleColBandSize w:val="1"/>
      <w:tblInd w:w="0" w:type="dxa"/>
      <w:tblBorders>
        <w:top w:val="single" w:sz="8" w:space="0" w:color="4ACF2B" w:themeColor="accent5" w:themeTint="BF"/>
        <w:left w:val="single" w:sz="8" w:space="0" w:color="4ACF2B" w:themeColor="accent5" w:themeTint="BF"/>
        <w:bottom w:val="single" w:sz="8" w:space="0" w:color="4ACF2B" w:themeColor="accent5" w:themeTint="BF"/>
        <w:right w:val="single" w:sz="8" w:space="0" w:color="4ACF2B" w:themeColor="accent5" w:themeTint="BF"/>
        <w:insideH w:val="single" w:sz="8" w:space="0" w:color="4ACF2B"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4ACF2B" w:themeColor="accent5" w:themeTint="BF"/>
          <w:left w:val="single" w:sz="8" w:space="0" w:color="4ACF2B" w:themeColor="accent5" w:themeTint="BF"/>
          <w:bottom w:val="single" w:sz="8" w:space="0" w:color="4ACF2B" w:themeColor="accent5" w:themeTint="BF"/>
          <w:right w:val="single" w:sz="8" w:space="0" w:color="4ACF2B" w:themeColor="accent5" w:themeTint="BF"/>
          <w:insideH w:val="nil"/>
          <w:insideV w:val="nil"/>
        </w:tcBorders>
        <w:shd w:val="clear" w:color="auto" w:fill="31881C" w:themeFill="accent5"/>
      </w:tcPr>
    </w:tblStylePr>
    <w:tblStylePr w:type="lastRow">
      <w:pPr>
        <w:spacing w:beforeLines="0" w:beforeAutospacing="0" w:afterLines="0" w:afterAutospacing="0" w:line="240" w:lineRule="auto"/>
      </w:pPr>
      <w:rPr>
        <w:b/>
        <w:bCs/>
      </w:rPr>
      <w:tblPr/>
      <w:tcPr>
        <w:tcBorders>
          <w:top w:val="double" w:sz="6" w:space="0" w:color="4ACF2B" w:themeColor="accent5" w:themeTint="BF"/>
          <w:left w:val="single" w:sz="8" w:space="0" w:color="4ACF2B" w:themeColor="accent5" w:themeTint="BF"/>
          <w:bottom w:val="single" w:sz="8" w:space="0" w:color="4ACF2B" w:themeColor="accent5" w:themeTint="BF"/>
          <w:right w:val="single" w:sz="8" w:space="0" w:color="4ACF2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F0B7" w:themeFill="accent5" w:themeFillTint="3F"/>
      </w:tcPr>
    </w:tblStylePr>
    <w:tblStylePr w:type="band1Horz">
      <w:tblPr/>
      <w:tcPr>
        <w:tcBorders>
          <w:insideH w:val="nil"/>
          <w:insideV w:val="nil"/>
        </w:tcBorders>
        <w:shd w:val="clear" w:color="auto" w:fill="C2F0B7" w:themeFill="accent5"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35"/>
    <w:unhideWhenUsed/>
    <w:qFormat/>
    <w:rsid w:val="0070252C"/>
    <w:pPr>
      <w:suppressAutoHyphens/>
      <w:spacing w:line="240" w:lineRule="auto"/>
    </w:pPr>
    <w:rPr>
      <w:rFonts w:ascii="Times New Roman" w:eastAsia="Times New Roman" w:hAnsi="Times New Roman" w:cs="Times New Roman"/>
      <w:b/>
      <w:bCs/>
      <w:color w:val="00ADDC" w:themeColor="accent1"/>
      <w:sz w:val="18"/>
      <w:szCs w:val="18"/>
      <w:lang w:eastAsia="ar-SA"/>
    </w:rPr>
  </w:style>
  <w:style w:type="character" w:customStyle="1" w:styleId="TitulekChar">
    <w:name w:val="Titulek Char"/>
    <w:basedOn w:val="Standardnpsmoodstavce"/>
    <w:link w:val="Titulek"/>
    <w:uiPriority w:val="35"/>
    <w:rsid w:val="00AD5B33"/>
    <w:rPr>
      <w:b/>
      <w:bCs/>
      <w:color w:val="00ADDC" w:themeColor="accent1"/>
      <w:sz w:val="18"/>
      <w:szCs w:val="18"/>
      <w:lang w:eastAsia="ar-SA"/>
    </w:rPr>
  </w:style>
  <w:style w:type="table" w:customStyle="1" w:styleId="Tabulkasmkou4zvraznn51">
    <w:name w:val="Tabulka s mřížkou 4 – zvýraznění 51"/>
    <w:basedOn w:val="Normlntabulka"/>
    <w:uiPriority w:val="49"/>
    <w:rsid w:val="0070252C"/>
    <w:tblPr>
      <w:tblStyleRowBandSize w:val="1"/>
      <w:tblStyleColBandSize w:val="1"/>
      <w:tblInd w:w="0" w:type="dxa"/>
      <w:tblBorders>
        <w:top w:val="single" w:sz="4" w:space="0" w:color="6CDB52" w:themeColor="accent5" w:themeTint="99"/>
        <w:left w:val="single" w:sz="4" w:space="0" w:color="6CDB52" w:themeColor="accent5" w:themeTint="99"/>
        <w:bottom w:val="single" w:sz="4" w:space="0" w:color="6CDB52" w:themeColor="accent5" w:themeTint="99"/>
        <w:right w:val="single" w:sz="4" w:space="0" w:color="6CDB52" w:themeColor="accent5" w:themeTint="99"/>
        <w:insideH w:val="single" w:sz="4" w:space="0" w:color="6CDB52" w:themeColor="accent5" w:themeTint="99"/>
        <w:insideV w:val="single" w:sz="4" w:space="0" w:color="6CDB5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1881C" w:themeColor="accent5"/>
          <w:left w:val="single" w:sz="4" w:space="0" w:color="31881C" w:themeColor="accent5"/>
          <w:bottom w:val="single" w:sz="4" w:space="0" w:color="31881C" w:themeColor="accent5"/>
          <w:right w:val="single" w:sz="4" w:space="0" w:color="31881C" w:themeColor="accent5"/>
          <w:insideH w:val="nil"/>
          <w:insideV w:val="nil"/>
        </w:tcBorders>
        <w:shd w:val="clear" w:color="auto" w:fill="31881C" w:themeFill="accent5"/>
      </w:tcPr>
    </w:tblStylePr>
    <w:tblStylePr w:type="lastRow">
      <w:rPr>
        <w:b/>
        <w:bCs/>
      </w:rPr>
      <w:tblPr/>
      <w:tcPr>
        <w:tcBorders>
          <w:top w:val="double" w:sz="4" w:space="0" w:color="31881C" w:themeColor="accent5"/>
        </w:tcBorders>
      </w:tcPr>
    </w:tblStylePr>
    <w:tblStylePr w:type="firstCol">
      <w:rPr>
        <w:b/>
        <w:bCs/>
      </w:rPr>
    </w:tblStylePr>
    <w:tblStylePr w:type="lastCol">
      <w:rPr>
        <w:b/>
        <w:bCs/>
      </w:rPr>
    </w:tblStylePr>
    <w:tblStylePr w:type="band1Vert">
      <w:tblPr/>
      <w:tcPr>
        <w:shd w:val="clear" w:color="auto" w:fill="CEF3C5" w:themeFill="accent5" w:themeFillTint="33"/>
      </w:tcPr>
    </w:tblStylePr>
    <w:tblStylePr w:type="band1Horz">
      <w:tblPr/>
      <w:tcPr>
        <w:shd w:val="clear" w:color="auto" w:fill="CEF3C5" w:themeFill="accent5" w:themeFillTint="33"/>
      </w:tcPr>
    </w:tblStylePr>
  </w:style>
  <w:style w:type="table" w:styleId="Stednstnovn1zvraznn5">
    <w:name w:val="Medium Shading 1 Accent 5"/>
    <w:basedOn w:val="Normlntabulka"/>
    <w:uiPriority w:val="63"/>
    <w:rsid w:val="0070252C"/>
    <w:tblPr>
      <w:tblStyleRowBandSize w:val="1"/>
      <w:tblStyleColBandSize w:val="1"/>
      <w:tblInd w:w="0" w:type="dxa"/>
      <w:tblBorders>
        <w:top w:val="single" w:sz="8" w:space="0" w:color="4ACF2B" w:themeColor="accent5" w:themeTint="BF"/>
        <w:left w:val="single" w:sz="8" w:space="0" w:color="4ACF2B" w:themeColor="accent5" w:themeTint="BF"/>
        <w:bottom w:val="single" w:sz="8" w:space="0" w:color="4ACF2B" w:themeColor="accent5" w:themeTint="BF"/>
        <w:right w:val="single" w:sz="8" w:space="0" w:color="4ACF2B" w:themeColor="accent5" w:themeTint="BF"/>
        <w:insideH w:val="single" w:sz="8" w:space="0" w:color="4ACF2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ACF2B" w:themeColor="accent5" w:themeTint="BF"/>
          <w:left w:val="single" w:sz="8" w:space="0" w:color="4ACF2B" w:themeColor="accent5" w:themeTint="BF"/>
          <w:bottom w:val="single" w:sz="8" w:space="0" w:color="4ACF2B" w:themeColor="accent5" w:themeTint="BF"/>
          <w:right w:val="single" w:sz="8" w:space="0" w:color="4ACF2B" w:themeColor="accent5" w:themeTint="BF"/>
          <w:insideH w:val="nil"/>
          <w:insideV w:val="nil"/>
        </w:tcBorders>
        <w:shd w:val="clear" w:color="auto" w:fill="31881C" w:themeFill="accent5"/>
      </w:tcPr>
    </w:tblStylePr>
    <w:tblStylePr w:type="lastRow">
      <w:pPr>
        <w:spacing w:before="0" w:after="0" w:line="240" w:lineRule="auto"/>
      </w:pPr>
      <w:rPr>
        <w:b/>
        <w:bCs/>
      </w:rPr>
      <w:tblPr/>
      <w:tcPr>
        <w:tcBorders>
          <w:top w:val="double" w:sz="6" w:space="0" w:color="4ACF2B" w:themeColor="accent5" w:themeTint="BF"/>
          <w:left w:val="single" w:sz="8" w:space="0" w:color="4ACF2B" w:themeColor="accent5" w:themeTint="BF"/>
          <w:bottom w:val="single" w:sz="8" w:space="0" w:color="4ACF2B" w:themeColor="accent5" w:themeTint="BF"/>
          <w:right w:val="single" w:sz="8" w:space="0" w:color="4ACF2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F0B7" w:themeFill="accent5" w:themeFillTint="3F"/>
      </w:tcPr>
    </w:tblStylePr>
    <w:tblStylePr w:type="band1Horz">
      <w:tblPr/>
      <w:tcPr>
        <w:tcBorders>
          <w:insideH w:val="nil"/>
          <w:insideV w:val="nil"/>
        </w:tcBorders>
        <w:shd w:val="clear" w:color="auto" w:fill="C2F0B7" w:themeFill="accent5" w:themeFillTint="3F"/>
      </w:tcPr>
    </w:tblStylePr>
    <w:tblStylePr w:type="band2Horz">
      <w:tblPr/>
      <w:tcPr>
        <w:tcBorders>
          <w:insideH w:val="nil"/>
          <w:insideV w:val="nil"/>
        </w:tcBorders>
      </w:tcPr>
    </w:tblStylePr>
  </w:style>
  <w:style w:type="paragraph" w:styleId="Textkomente">
    <w:name w:val="annotation text"/>
    <w:basedOn w:val="Normln"/>
    <w:link w:val="TextkomenteChar"/>
    <w:uiPriority w:val="99"/>
    <w:semiHidden/>
    <w:unhideWhenUsed/>
    <w:rsid w:val="004043E1"/>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4043E1"/>
    <w:rPr>
      <w:rFonts w:ascii="Calibri" w:eastAsia="Calibri" w:hAnsi="Calibri"/>
    </w:rPr>
  </w:style>
  <w:style w:type="character" w:customStyle="1" w:styleId="apple-converted-space">
    <w:name w:val="apple-converted-space"/>
    <w:basedOn w:val="Standardnpsmoodstavce"/>
    <w:rsid w:val="001726F3"/>
  </w:style>
  <w:style w:type="character" w:styleId="Zvraznn">
    <w:name w:val="Emphasis"/>
    <w:basedOn w:val="Standardnpsmoodstavce"/>
    <w:uiPriority w:val="20"/>
    <w:qFormat/>
    <w:rsid w:val="001726F3"/>
    <w:rPr>
      <w:i/>
      <w:iCs/>
    </w:rPr>
  </w:style>
  <w:style w:type="paragraph" w:customStyle="1" w:styleId="1Nadpis">
    <w:name w:val="1 Nadpis"/>
    <w:basedOn w:val="Odstavecseseznamem"/>
    <w:link w:val="1NadpisChar"/>
    <w:qFormat/>
    <w:rsid w:val="00007075"/>
    <w:pPr>
      <w:pBdr>
        <w:bottom w:val="single" w:sz="4" w:space="1" w:color="auto"/>
      </w:pBdr>
      <w:spacing w:before="720" w:after="480"/>
      <w:ind w:left="0"/>
      <w:jc w:val="both"/>
    </w:pPr>
    <w:rPr>
      <w:rFonts w:ascii="Arial Narrow" w:hAnsi="Arial Narrow"/>
      <w:b/>
      <w:bCs/>
      <w:sz w:val="40"/>
    </w:rPr>
  </w:style>
  <w:style w:type="character" w:customStyle="1" w:styleId="1NadpisChar">
    <w:name w:val="1 Nadpis Char"/>
    <w:basedOn w:val="OdstavecseseznamemChar"/>
    <w:link w:val="1Nadpis"/>
    <w:rsid w:val="00007075"/>
    <w:rPr>
      <w:rFonts w:ascii="Arial Narrow" w:hAnsi="Arial Narrow"/>
      <w:b/>
      <w:bCs/>
      <w:sz w:val="40"/>
      <w:szCs w:val="22"/>
      <w:lang w:eastAsia="ar-SA"/>
    </w:rPr>
  </w:style>
  <w:style w:type="paragraph" w:customStyle="1" w:styleId="11PODNADPIS">
    <w:name w:val="1.1 PODNADPIS"/>
    <w:basedOn w:val="1Nadpis"/>
    <w:next w:val="2TEXT"/>
    <w:link w:val="11PODNADPISChar"/>
    <w:qFormat/>
    <w:rsid w:val="00FD4A16"/>
    <w:pPr>
      <w:pBdr>
        <w:bottom w:val="none" w:sz="0" w:space="0" w:color="auto"/>
      </w:pBdr>
      <w:spacing w:before="360" w:after="360"/>
    </w:pPr>
    <w:rPr>
      <w:sz w:val="36"/>
      <w:szCs w:val="36"/>
    </w:rPr>
  </w:style>
  <w:style w:type="character" w:customStyle="1" w:styleId="11PODNADPISChar">
    <w:name w:val="1.1 PODNADPIS Char"/>
    <w:basedOn w:val="1NadpisChar"/>
    <w:link w:val="11PODNADPIS"/>
    <w:rsid w:val="00FD4A16"/>
    <w:rPr>
      <w:rFonts w:ascii="Arial Narrow" w:hAnsi="Arial Narrow"/>
      <w:b/>
      <w:bCs/>
      <w:sz w:val="36"/>
      <w:szCs w:val="36"/>
      <w:lang w:eastAsia="ar-SA"/>
    </w:rPr>
  </w:style>
  <w:style w:type="paragraph" w:customStyle="1" w:styleId="111PODPODNADPIS">
    <w:name w:val="1.1.1 PODPODNADPIS"/>
    <w:basedOn w:val="11PODNADPIS"/>
    <w:next w:val="2TEXT"/>
    <w:link w:val="111PODPODNADPISChar"/>
    <w:qFormat/>
    <w:rsid w:val="00FD4A16"/>
    <w:pPr>
      <w:spacing w:before="240" w:after="240"/>
    </w:pPr>
    <w:rPr>
      <w:sz w:val="28"/>
    </w:rPr>
  </w:style>
  <w:style w:type="character" w:customStyle="1" w:styleId="111PODPODNADPISChar">
    <w:name w:val="1.1.1 PODPODNADPIS Char"/>
    <w:basedOn w:val="11PODNADPISChar"/>
    <w:link w:val="111PODPODNADPIS"/>
    <w:rsid w:val="00FD4A16"/>
    <w:rPr>
      <w:rFonts w:ascii="Arial Narrow" w:hAnsi="Arial Narrow"/>
      <w:b/>
      <w:bCs/>
      <w:sz w:val="28"/>
      <w:szCs w:val="36"/>
      <w:lang w:eastAsia="ar-SA"/>
    </w:rPr>
  </w:style>
  <w:style w:type="paragraph" w:customStyle="1" w:styleId="2TEXT">
    <w:name w:val="2 TEXT"/>
    <w:basedOn w:val="Normln"/>
    <w:link w:val="2TEXTChar"/>
    <w:uiPriority w:val="99"/>
    <w:qFormat/>
    <w:rsid w:val="00AD5B33"/>
    <w:pPr>
      <w:spacing w:before="120" w:after="120" w:line="288" w:lineRule="auto"/>
      <w:jc w:val="both"/>
    </w:pPr>
    <w:rPr>
      <w:rFonts w:ascii="Arial Narrow" w:hAnsi="Arial Narrow" w:cs="Times New Roman"/>
      <w:sz w:val="24"/>
      <w:szCs w:val="32"/>
    </w:rPr>
  </w:style>
  <w:style w:type="character" w:customStyle="1" w:styleId="2TEXTChar">
    <w:name w:val="2 TEXT Char"/>
    <w:basedOn w:val="Standardnpsmoodstavce"/>
    <w:link w:val="2TEXT"/>
    <w:uiPriority w:val="99"/>
    <w:rsid w:val="00AD5B33"/>
    <w:rPr>
      <w:rFonts w:ascii="Arial Narrow" w:eastAsiaTheme="minorHAnsi" w:hAnsi="Arial Narrow"/>
      <w:sz w:val="24"/>
      <w:szCs w:val="32"/>
      <w:lang w:eastAsia="en-US"/>
    </w:rPr>
  </w:style>
  <w:style w:type="paragraph" w:customStyle="1" w:styleId="3GRAF">
    <w:name w:val="3 GRAF"/>
    <w:basedOn w:val="Titulek"/>
    <w:link w:val="3GRAFChar"/>
    <w:qFormat/>
    <w:rsid w:val="00AD5B33"/>
    <w:pPr>
      <w:keepNext/>
      <w:spacing w:before="120" w:after="60"/>
      <w:jc w:val="center"/>
    </w:pPr>
    <w:rPr>
      <w:rFonts w:ascii="Arial Narrow" w:hAnsi="Arial Narrow"/>
      <w:color w:val="auto"/>
      <w:sz w:val="22"/>
      <w:szCs w:val="22"/>
    </w:rPr>
  </w:style>
  <w:style w:type="character" w:customStyle="1" w:styleId="3GRAFChar">
    <w:name w:val="3 GRAF Char"/>
    <w:basedOn w:val="TitulekChar"/>
    <w:link w:val="3GRAF"/>
    <w:rsid w:val="00AD5B33"/>
    <w:rPr>
      <w:rFonts w:ascii="Arial Narrow" w:hAnsi="Arial Narrow"/>
      <w:b/>
      <w:bCs/>
      <w:color w:val="00ADDC" w:themeColor="accent1"/>
      <w:sz w:val="22"/>
      <w:szCs w:val="22"/>
      <w:lang w:eastAsia="ar-SA"/>
    </w:rPr>
  </w:style>
  <w:style w:type="paragraph" w:customStyle="1" w:styleId="5selnodrky">
    <w:name w:val="5 číselné odrážky"/>
    <w:basedOn w:val="2TEXT"/>
    <w:link w:val="5selnodrkyChar"/>
    <w:qFormat/>
    <w:rsid w:val="00403F64"/>
    <w:pPr>
      <w:numPr>
        <w:numId w:val="2"/>
      </w:numPr>
      <w:spacing w:before="60" w:after="60"/>
      <w:ind w:left="714" w:hanging="357"/>
    </w:pPr>
  </w:style>
  <w:style w:type="character" w:customStyle="1" w:styleId="5selnodrkyChar">
    <w:name w:val="5 číselné odrážky Char"/>
    <w:basedOn w:val="2TEXTChar"/>
    <w:link w:val="5selnodrky"/>
    <w:rsid w:val="00403F64"/>
    <w:rPr>
      <w:rFonts w:ascii="Arial Narrow" w:eastAsiaTheme="minorHAnsi" w:hAnsi="Arial Narrow"/>
      <w:sz w:val="24"/>
      <w:szCs w:val="32"/>
      <w:lang w:eastAsia="en-US"/>
    </w:rPr>
  </w:style>
  <w:style w:type="paragraph" w:customStyle="1" w:styleId="6odrky">
    <w:name w:val="6 odrážky"/>
    <w:basedOn w:val="2TEXT"/>
    <w:link w:val="6odrkyChar"/>
    <w:qFormat/>
    <w:rsid w:val="00403F64"/>
    <w:pPr>
      <w:numPr>
        <w:numId w:val="3"/>
      </w:numPr>
      <w:spacing w:before="60" w:after="60"/>
      <w:ind w:left="714" w:hanging="357"/>
    </w:pPr>
    <w:rPr>
      <w:szCs w:val="24"/>
    </w:rPr>
  </w:style>
  <w:style w:type="character" w:customStyle="1" w:styleId="6odrkyChar">
    <w:name w:val="6 odrážky Char"/>
    <w:basedOn w:val="2TEXTChar"/>
    <w:link w:val="6odrky"/>
    <w:rsid w:val="00403F64"/>
    <w:rPr>
      <w:rFonts w:ascii="Arial Narrow" w:eastAsiaTheme="minorHAnsi" w:hAnsi="Arial Narrow"/>
      <w:sz w:val="24"/>
      <w:szCs w:val="24"/>
      <w:lang w:eastAsia="en-US"/>
    </w:rPr>
  </w:style>
  <w:style w:type="paragraph" w:customStyle="1" w:styleId="4TABULKA">
    <w:name w:val="4 TABULKA"/>
    <w:basedOn w:val="3GRAF"/>
    <w:link w:val="4TABULKAChar"/>
    <w:qFormat/>
    <w:rsid w:val="00BC5EE4"/>
  </w:style>
  <w:style w:type="character" w:customStyle="1" w:styleId="4TABULKAChar">
    <w:name w:val="4 TABULKA Char"/>
    <w:basedOn w:val="3GRAFChar"/>
    <w:link w:val="4TABULKA"/>
    <w:rsid w:val="00BC5EE4"/>
    <w:rPr>
      <w:rFonts w:ascii="Arial Narrow" w:hAnsi="Arial Narrow"/>
      <w:b/>
      <w:bCs/>
      <w:color w:val="00ADDC" w:themeColor="accent1"/>
      <w:sz w:val="22"/>
      <w:szCs w:val="22"/>
      <w:lang w:eastAsia="ar-SA"/>
    </w:rPr>
  </w:style>
  <w:style w:type="paragraph" w:styleId="Obsah1">
    <w:name w:val="toc 1"/>
    <w:basedOn w:val="Normln"/>
    <w:next w:val="Normln"/>
    <w:autoRedefine/>
    <w:uiPriority w:val="39"/>
    <w:unhideWhenUsed/>
    <w:rsid w:val="00BA412B"/>
    <w:pPr>
      <w:tabs>
        <w:tab w:val="left" w:pos="340"/>
        <w:tab w:val="left" w:pos="567"/>
        <w:tab w:val="right" w:leader="dot" w:pos="9062"/>
      </w:tabs>
      <w:spacing w:after="100"/>
    </w:pPr>
    <w:rPr>
      <w:rFonts w:ascii="Arial Narrow" w:hAnsi="Arial Narrow"/>
    </w:rPr>
  </w:style>
  <w:style w:type="paragraph" w:styleId="Obsah2">
    <w:name w:val="toc 2"/>
    <w:basedOn w:val="Normln"/>
    <w:next w:val="Normln"/>
    <w:autoRedefine/>
    <w:uiPriority w:val="39"/>
    <w:unhideWhenUsed/>
    <w:rsid w:val="00BA412B"/>
    <w:pPr>
      <w:tabs>
        <w:tab w:val="left" w:pos="567"/>
        <w:tab w:val="left" w:pos="851"/>
        <w:tab w:val="right" w:leader="dot" w:pos="9062"/>
      </w:tabs>
      <w:spacing w:after="100"/>
      <w:ind w:left="1219" w:hanging="879"/>
    </w:pPr>
    <w:rPr>
      <w:rFonts w:ascii="Arial Narrow" w:hAnsi="Arial Narrow"/>
    </w:rPr>
  </w:style>
  <w:style w:type="paragraph" w:styleId="Obsah3">
    <w:name w:val="toc 3"/>
    <w:basedOn w:val="Normln"/>
    <w:next w:val="Normln"/>
    <w:autoRedefine/>
    <w:uiPriority w:val="39"/>
    <w:unhideWhenUsed/>
    <w:rsid w:val="00BA412B"/>
    <w:pPr>
      <w:tabs>
        <w:tab w:val="left" w:pos="1588"/>
      </w:tabs>
      <w:spacing w:after="100"/>
      <w:ind w:left="851"/>
    </w:pPr>
    <w:rPr>
      <w:rFonts w:ascii="Arial Narrow" w:hAnsi="Arial Narrow"/>
    </w:rPr>
  </w:style>
  <w:style w:type="paragraph" w:customStyle="1" w:styleId="7Obsahvod">
    <w:name w:val="7 Obsah+úvod"/>
    <w:basedOn w:val="1Nadpis"/>
    <w:link w:val="7ObsahvodChar"/>
    <w:qFormat/>
    <w:rsid w:val="00B710A8"/>
    <w:pPr>
      <w:ind w:left="432" w:hanging="432"/>
    </w:pPr>
  </w:style>
  <w:style w:type="character" w:customStyle="1" w:styleId="7ObsahvodChar">
    <w:name w:val="7 Obsah+úvod Char"/>
    <w:basedOn w:val="1NadpisChar"/>
    <w:link w:val="7Obsahvod"/>
    <w:rsid w:val="00B710A8"/>
    <w:rPr>
      <w:rFonts w:ascii="Arial Narrow" w:hAnsi="Arial Narrow"/>
      <w:b/>
      <w:bCs/>
      <w:sz w:val="40"/>
      <w:szCs w:val="22"/>
      <w:lang w:eastAsia="ar-SA"/>
    </w:rPr>
  </w:style>
  <w:style w:type="paragraph" w:customStyle="1" w:styleId="8aodrky">
    <w:name w:val="8 a) odrážky"/>
    <w:basedOn w:val="Odstavecseseznamem"/>
    <w:link w:val="8aodrkyChar"/>
    <w:qFormat/>
    <w:rsid w:val="00321B9F"/>
    <w:pPr>
      <w:numPr>
        <w:numId w:val="1"/>
      </w:numPr>
      <w:spacing w:after="120" w:line="288" w:lineRule="auto"/>
      <w:ind w:left="567" w:hanging="357"/>
    </w:pPr>
    <w:rPr>
      <w:rFonts w:ascii="Arial Narrow" w:hAnsi="Arial Narrow"/>
      <w:b/>
      <w:sz w:val="24"/>
      <w:szCs w:val="24"/>
    </w:rPr>
  </w:style>
  <w:style w:type="character" w:customStyle="1" w:styleId="8aodrkyChar">
    <w:name w:val="8 a) odrážky Char"/>
    <w:basedOn w:val="OdstavecseseznamemChar"/>
    <w:link w:val="8aodrky"/>
    <w:rsid w:val="00321B9F"/>
    <w:rPr>
      <w:rFonts w:ascii="Arial Narrow" w:hAnsi="Arial Narrow"/>
      <w:b/>
      <w:sz w:val="24"/>
      <w:szCs w:val="24"/>
      <w:lang w:eastAsia="ar-SA"/>
    </w:rPr>
  </w:style>
  <w:style w:type="table" w:customStyle="1" w:styleId="Stednstnovn1zvraznn11">
    <w:name w:val="Střední stínování 1 – zvýraznění 11"/>
    <w:basedOn w:val="Normlntabulka"/>
    <w:uiPriority w:val="63"/>
    <w:rsid w:val="009B1596"/>
    <w:tblPr>
      <w:tblStyleRowBandSize w:val="1"/>
      <w:tblStyleColBandSize w:val="1"/>
      <w:tblInd w:w="0" w:type="dxa"/>
      <w:tblBorders>
        <w:top w:val="single" w:sz="8" w:space="0" w:color="25D0FF" w:themeColor="accent1" w:themeTint="BF"/>
        <w:left w:val="single" w:sz="8" w:space="0" w:color="25D0FF" w:themeColor="accent1" w:themeTint="BF"/>
        <w:bottom w:val="single" w:sz="8" w:space="0" w:color="25D0FF" w:themeColor="accent1" w:themeTint="BF"/>
        <w:right w:val="single" w:sz="8" w:space="0" w:color="25D0FF" w:themeColor="accent1" w:themeTint="BF"/>
        <w:insideH w:val="single" w:sz="8" w:space="0" w:color="25D0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D0FF" w:themeColor="accent1" w:themeTint="BF"/>
          <w:left w:val="single" w:sz="8" w:space="0" w:color="25D0FF" w:themeColor="accent1" w:themeTint="BF"/>
          <w:bottom w:val="single" w:sz="8" w:space="0" w:color="25D0FF" w:themeColor="accent1" w:themeTint="BF"/>
          <w:right w:val="single" w:sz="8" w:space="0" w:color="25D0FF" w:themeColor="accent1" w:themeTint="BF"/>
          <w:insideH w:val="nil"/>
          <w:insideV w:val="nil"/>
        </w:tcBorders>
        <w:shd w:val="clear" w:color="auto" w:fill="00ADDC" w:themeFill="accent1"/>
      </w:tcPr>
    </w:tblStylePr>
    <w:tblStylePr w:type="lastRow">
      <w:pPr>
        <w:spacing w:before="0" w:after="0" w:line="240" w:lineRule="auto"/>
      </w:pPr>
      <w:rPr>
        <w:b/>
        <w:bCs/>
      </w:rPr>
      <w:tblPr/>
      <w:tcPr>
        <w:tcBorders>
          <w:top w:val="double" w:sz="6" w:space="0" w:color="25D0FF" w:themeColor="accent1" w:themeTint="BF"/>
          <w:left w:val="single" w:sz="8" w:space="0" w:color="25D0FF" w:themeColor="accent1" w:themeTint="BF"/>
          <w:bottom w:val="single" w:sz="8" w:space="0" w:color="25D0FF" w:themeColor="accent1" w:themeTint="BF"/>
          <w:right w:val="single" w:sz="8" w:space="0" w:color="25D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FF" w:themeFill="accent1" w:themeFillTint="3F"/>
      </w:tcPr>
    </w:tblStylePr>
    <w:tblStylePr w:type="band1Horz">
      <w:tblPr/>
      <w:tcPr>
        <w:tcBorders>
          <w:insideH w:val="nil"/>
          <w:insideV w:val="nil"/>
        </w:tcBorders>
        <w:shd w:val="clear" w:color="auto" w:fill="B7EFFF" w:themeFill="accent1" w:themeFillTint="3F"/>
      </w:tcPr>
    </w:tblStylePr>
    <w:tblStylePr w:type="band2Horz">
      <w:tblPr/>
      <w:tcPr>
        <w:tcBorders>
          <w:insideH w:val="nil"/>
          <w:insideV w:val="nil"/>
        </w:tcBorders>
      </w:tcPr>
    </w:tblStylePr>
  </w:style>
  <w:style w:type="table" w:styleId="Stednstnovn2zvraznn2">
    <w:name w:val="Medium Shading 2 Accent 2"/>
    <w:basedOn w:val="Normlntabulka"/>
    <w:uiPriority w:val="64"/>
    <w:rsid w:val="006108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D7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D745" w:themeFill="accent2"/>
      </w:tcPr>
    </w:tblStylePr>
    <w:tblStylePr w:type="lastCol">
      <w:rPr>
        <w:b/>
        <w:bCs/>
        <w:color w:val="FFFFFF" w:themeColor="background1"/>
      </w:rPr>
      <w:tblPr/>
      <w:tcPr>
        <w:tcBorders>
          <w:left w:val="nil"/>
          <w:right w:val="nil"/>
          <w:insideH w:val="nil"/>
          <w:insideV w:val="nil"/>
        </w:tcBorders>
        <w:shd w:val="clear" w:color="auto" w:fill="8BD7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mka3zvraznn2">
    <w:name w:val="Medium Grid 3 Accent 2"/>
    <w:basedOn w:val="Normlntabulka"/>
    <w:uiPriority w:val="69"/>
    <w:rsid w:val="006108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2F5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D7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D7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D7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D7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BA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BA2" w:themeFill="accent2" w:themeFillTint="7F"/>
      </w:tcPr>
    </w:tblStylePr>
  </w:style>
  <w:style w:type="table" w:styleId="Tmavseznamzvraznn2">
    <w:name w:val="Dark List Accent 2"/>
    <w:basedOn w:val="Normlntabulka"/>
    <w:uiPriority w:val="70"/>
    <w:rsid w:val="006108B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BD7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74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AE2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AE25" w:themeFill="accent2" w:themeFillShade="BF"/>
      </w:tcPr>
    </w:tblStylePr>
    <w:tblStylePr w:type="band1Vert">
      <w:tblPr/>
      <w:tcPr>
        <w:tcBorders>
          <w:top w:val="nil"/>
          <w:left w:val="nil"/>
          <w:bottom w:val="nil"/>
          <w:right w:val="nil"/>
          <w:insideH w:val="nil"/>
          <w:insideV w:val="nil"/>
        </w:tcBorders>
        <w:shd w:val="clear" w:color="auto" w:fill="67AE25" w:themeFill="accent2" w:themeFillShade="BF"/>
      </w:tcPr>
    </w:tblStylePr>
    <w:tblStylePr w:type="band1Horz">
      <w:tblPr/>
      <w:tcPr>
        <w:tcBorders>
          <w:top w:val="nil"/>
          <w:left w:val="nil"/>
          <w:bottom w:val="nil"/>
          <w:right w:val="nil"/>
          <w:insideH w:val="nil"/>
          <w:insideV w:val="nil"/>
        </w:tcBorders>
        <w:shd w:val="clear" w:color="auto" w:fill="67AE25" w:themeFill="accent2" w:themeFillShade="BF"/>
      </w:tcPr>
    </w:tblStylePr>
  </w:style>
  <w:style w:type="table" w:styleId="Stednstnovn1zvraznn2">
    <w:name w:val="Medium Shading 1 Accent 2"/>
    <w:basedOn w:val="Normlntabulka"/>
    <w:uiPriority w:val="63"/>
    <w:rsid w:val="006108B9"/>
    <w:tblPr>
      <w:tblStyleRowBandSize w:val="1"/>
      <w:tblStyleColBandSize w:val="1"/>
      <w:tblInd w:w="0" w:type="dxa"/>
      <w:tblBorders>
        <w:top w:val="single" w:sz="8" w:space="0" w:color="A7E173" w:themeColor="accent2" w:themeTint="BF"/>
        <w:left w:val="single" w:sz="8" w:space="0" w:color="A7E173" w:themeColor="accent2" w:themeTint="BF"/>
        <w:bottom w:val="single" w:sz="8" w:space="0" w:color="A7E173" w:themeColor="accent2" w:themeTint="BF"/>
        <w:right w:val="single" w:sz="8" w:space="0" w:color="A7E173" w:themeColor="accent2" w:themeTint="BF"/>
        <w:insideH w:val="single" w:sz="8" w:space="0" w:color="A7E173"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E173" w:themeColor="accent2" w:themeTint="BF"/>
          <w:left w:val="single" w:sz="8" w:space="0" w:color="A7E173" w:themeColor="accent2" w:themeTint="BF"/>
          <w:bottom w:val="single" w:sz="8" w:space="0" w:color="A7E173" w:themeColor="accent2" w:themeTint="BF"/>
          <w:right w:val="single" w:sz="8" w:space="0" w:color="A7E173" w:themeColor="accent2" w:themeTint="BF"/>
          <w:insideH w:val="nil"/>
          <w:insideV w:val="nil"/>
        </w:tcBorders>
        <w:shd w:val="clear" w:color="auto" w:fill="8BD745" w:themeFill="accent2"/>
      </w:tcPr>
    </w:tblStylePr>
    <w:tblStylePr w:type="lastRow">
      <w:pPr>
        <w:spacing w:before="0" w:after="0" w:line="240" w:lineRule="auto"/>
      </w:pPr>
      <w:rPr>
        <w:b/>
        <w:bCs/>
      </w:rPr>
      <w:tblPr/>
      <w:tcPr>
        <w:tcBorders>
          <w:top w:val="double" w:sz="6" w:space="0" w:color="A7E173" w:themeColor="accent2" w:themeTint="BF"/>
          <w:left w:val="single" w:sz="8" w:space="0" w:color="A7E173" w:themeColor="accent2" w:themeTint="BF"/>
          <w:bottom w:val="single" w:sz="8" w:space="0" w:color="A7E173" w:themeColor="accent2" w:themeTint="BF"/>
          <w:right w:val="single" w:sz="8" w:space="0" w:color="A7E1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5D0" w:themeFill="accent2" w:themeFillTint="3F"/>
      </w:tcPr>
    </w:tblStylePr>
    <w:tblStylePr w:type="band1Horz">
      <w:tblPr/>
      <w:tcPr>
        <w:tcBorders>
          <w:insideH w:val="nil"/>
          <w:insideV w:val="nil"/>
        </w:tcBorders>
        <w:shd w:val="clear" w:color="auto" w:fill="E2F5D0" w:themeFill="accent2" w:themeFillTint="3F"/>
      </w:tcPr>
    </w:tblStylePr>
    <w:tblStylePr w:type="band2Horz">
      <w:tblPr/>
      <w:tcPr>
        <w:tcBorders>
          <w:insideH w:val="nil"/>
          <w:insideV w:val="nil"/>
        </w:tcBorders>
      </w:tcPr>
    </w:tblStylePr>
  </w:style>
  <w:style w:type="table" w:styleId="Stednmka3zvraznn1">
    <w:name w:val="Medium Grid 3 Accent 1"/>
    <w:basedOn w:val="Normlntabulka"/>
    <w:uiPriority w:val="69"/>
    <w:rsid w:val="006108B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FFF" w:themeFill="accent1" w:themeFillTint="7F"/>
      </w:tcPr>
    </w:tblStylePr>
  </w:style>
  <w:style w:type="table" w:customStyle="1" w:styleId="Stednstnovn2zvraznn11">
    <w:name w:val="Střední stínování 2 – zvýraznění 11"/>
    <w:basedOn w:val="Normlntabulka"/>
    <w:uiPriority w:val="64"/>
    <w:rsid w:val="006108B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C" w:themeFill="accent1"/>
      </w:tcPr>
    </w:tblStylePr>
    <w:tblStylePr w:type="lastCol">
      <w:rPr>
        <w:b/>
        <w:bCs/>
        <w:color w:val="FFFFFF" w:themeColor="background1"/>
      </w:rPr>
      <w:tblPr/>
      <w:tcPr>
        <w:tcBorders>
          <w:left w:val="nil"/>
          <w:right w:val="nil"/>
          <w:insideH w:val="nil"/>
          <w:insideV w:val="nil"/>
        </w:tcBorders>
        <w:shd w:val="clear" w:color="auto" w:fill="00AD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2Text0">
    <w:name w:val="2 Text"/>
    <w:basedOn w:val="Normln"/>
    <w:link w:val="2TextChar0"/>
    <w:qFormat/>
    <w:rsid w:val="00532DF3"/>
    <w:pPr>
      <w:spacing w:before="120" w:after="120" w:line="288" w:lineRule="auto"/>
      <w:jc w:val="both"/>
    </w:pPr>
    <w:rPr>
      <w:rFonts w:ascii="Arial Narrow" w:hAnsi="Arial Narrow" w:cs="Times New Roman"/>
      <w:sz w:val="24"/>
      <w:szCs w:val="32"/>
    </w:rPr>
  </w:style>
  <w:style w:type="character" w:customStyle="1" w:styleId="2TextChar0">
    <w:name w:val="2 Text Char"/>
    <w:basedOn w:val="Standardnpsmoodstavce"/>
    <w:link w:val="2Text0"/>
    <w:locked/>
    <w:rsid w:val="00532DF3"/>
    <w:rPr>
      <w:rFonts w:ascii="Arial Narrow" w:eastAsiaTheme="minorHAnsi" w:hAnsi="Arial Narrow"/>
      <w:sz w:val="24"/>
      <w:szCs w:val="32"/>
      <w:lang w:eastAsia="en-US"/>
    </w:rPr>
  </w:style>
  <w:style w:type="character" w:styleId="Odkaznakoment">
    <w:name w:val="annotation reference"/>
    <w:basedOn w:val="Standardnpsmoodstavce"/>
    <w:uiPriority w:val="99"/>
    <w:semiHidden/>
    <w:unhideWhenUsed/>
    <w:rsid w:val="00532DF3"/>
    <w:rPr>
      <w:sz w:val="16"/>
      <w:szCs w:val="16"/>
    </w:rPr>
  </w:style>
  <w:style w:type="character" w:customStyle="1" w:styleId="Nadpis1Char">
    <w:name w:val="Nadpis 1 Char"/>
    <w:aliases w:val="1 Nadpis 1 Char1"/>
    <w:basedOn w:val="Standardnpsmoodstavce"/>
    <w:link w:val="Nadpis1"/>
    <w:rsid w:val="00FE4A4D"/>
    <w:rPr>
      <w:rFonts w:ascii="Arial Narrow" w:eastAsiaTheme="minorHAnsi" w:hAnsi="Arial Narrow" w:cs="Arial"/>
      <w:b/>
      <w:bCs/>
      <w:kern w:val="32"/>
      <w:sz w:val="40"/>
      <w:szCs w:val="32"/>
      <w:lang w:eastAsia="en-US"/>
    </w:rPr>
  </w:style>
  <w:style w:type="character" w:styleId="Sledovanodkaz">
    <w:name w:val="FollowedHyperlink"/>
    <w:basedOn w:val="Standardnpsmoodstavce"/>
    <w:uiPriority w:val="99"/>
    <w:semiHidden/>
    <w:unhideWhenUsed/>
    <w:rsid w:val="00532DF3"/>
    <w:rPr>
      <w:color w:val="5F7791" w:themeColor="followedHyperlink"/>
      <w:u w:val="single"/>
    </w:rPr>
  </w:style>
  <w:style w:type="character" w:customStyle="1" w:styleId="Nadpis1Char1">
    <w:name w:val="Nadpis 1 Char1"/>
    <w:aliases w:val="1 Nadpis 1 Char"/>
    <w:basedOn w:val="Standardnpsmoodstavce"/>
    <w:rsid w:val="00532DF3"/>
    <w:rPr>
      <w:rFonts w:asciiTheme="majorHAnsi" w:eastAsiaTheme="majorEastAsia" w:hAnsiTheme="majorHAnsi" w:cstheme="majorBidi"/>
      <w:b/>
      <w:bCs/>
      <w:color w:val="0081A4" w:themeColor="accent1" w:themeShade="BF"/>
      <w:sz w:val="28"/>
      <w:szCs w:val="28"/>
      <w:lang w:eastAsia="en-US"/>
    </w:rPr>
  </w:style>
  <w:style w:type="character" w:customStyle="1" w:styleId="ZhlavChar">
    <w:name w:val="Záhlaví Char"/>
    <w:basedOn w:val="Standardnpsmoodstavce"/>
    <w:link w:val="Zhlav"/>
    <w:uiPriority w:val="99"/>
    <w:rsid w:val="00532DF3"/>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semiHidden/>
    <w:rsid w:val="00532DF3"/>
    <w:rPr>
      <w:rFonts w:asciiTheme="minorHAnsi" w:eastAsiaTheme="minorHAnsi" w:hAnsiTheme="minorHAnsi" w:cstheme="minorBidi"/>
      <w:sz w:val="22"/>
      <w:szCs w:val="22"/>
      <w:lang w:eastAsia="en-US"/>
    </w:rPr>
  </w:style>
  <w:style w:type="paragraph" w:styleId="Seznamobrzk">
    <w:name w:val="table of figures"/>
    <w:basedOn w:val="Normln"/>
    <w:next w:val="Normln"/>
    <w:uiPriority w:val="99"/>
    <w:unhideWhenUsed/>
    <w:rsid w:val="00532DF3"/>
    <w:pPr>
      <w:spacing w:after="0"/>
    </w:pPr>
  </w:style>
  <w:style w:type="paragraph" w:styleId="Pedmtkomente">
    <w:name w:val="annotation subject"/>
    <w:basedOn w:val="Textkomente"/>
    <w:next w:val="Textkomente"/>
    <w:link w:val="PedmtkomenteChar"/>
    <w:uiPriority w:val="99"/>
    <w:semiHidden/>
    <w:unhideWhenUsed/>
    <w:rsid w:val="00532DF3"/>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532DF3"/>
    <w:rPr>
      <w:rFonts w:asciiTheme="minorHAnsi" w:eastAsiaTheme="minorHAnsi" w:hAnsiTheme="minorHAnsi" w:cstheme="minorBidi"/>
      <w:b/>
      <w:bCs/>
      <w:lang w:eastAsia="en-US"/>
    </w:rPr>
  </w:style>
  <w:style w:type="paragraph" w:styleId="Revize">
    <w:name w:val="Revision"/>
    <w:uiPriority w:val="99"/>
    <w:semiHidden/>
    <w:rsid w:val="00532DF3"/>
    <w:rPr>
      <w:rFonts w:asciiTheme="minorHAnsi" w:eastAsiaTheme="minorHAnsi" w:hAnsiTheme="minorHAnsi" w:cstheme="minorBidi"/>
      <w:sz w:val="22"/>
      <w:szCs w:val="22"/>
      <w:lang w:eastAsia="en-US"/>
    </w:rPr>
  </w:style>
  <w:style w:type="table" w:customStyle="1" w:styleId="Tmavtabulkasmkou5zvraznn11">
    <w:name w:val="Tmavá tabulka s mřížkou 5 – zvýraznění 11"/>
    <w:basedOn w:val="Normlntabulka"/>
    <w:uiPriority w:val="50"/>
    <w:rsid w:val="00532DF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D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D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D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DC" w:themeFill="accent1"/>
      </w:tcPr>
    </w:tblStylePr>
    <w:tblStylePr w:type="band1Vert">
      <w:tblPr/>
      <w:tcPr>
        <w:shd w:val="clear" w:color="auto" w:fill="8BE5FF" w:themeFill="accent1" w:themeFillTint="66"/>
      </w:tcPr>
    </w:tblStylePr>
    <w:tblStylePr w:type="band1Horz">
      <w:tblPr/>
      <w:tcPr>
        <w:shd w:val="clear" w:color="auto" w:fill="8BE5FF" w:themeFill="accent1" w:themeFillTint="66"/>
      </w:tcPr>
    </w:tblStylePr>
  </w:style>
  <w:style w:type="table" w:customStyle="1" w:styleId="Tabulkasmkou4zvraznn11">
    <w:name w:val="Tabulka s mřížkou 4 – zvýraznění 11"/>
    <w:basedOn w:val="Normlntabulka"/>
    <w:uiPriority w:val="49"/>
    <w:rsid w:val="00532DF3"/>
    <w:tblPr>
      <w:tblStyleRowBandSize w:val="1"/>
      <w:tblStyleColBandSize w:val="1"/>
      <w:tblInd w:w="0" w:type="dxa"/>
      <w:tblBorders>
        <w:top w:val="single" w:sz="4" w:space="0" w:color="51D9FF" w:themeColor="accent1" w:themeTint="99"/>
        <w:left w:val="single" w:sz="4" w:space="0" w:color="51D9FF" w:themeColor="accent1" w:themeTint="99"/>
        <w:bottom w:val="single" w:sz="4" w:space="0" w:color="51D9FF" w:themeColor="accent1" w:themeTint="99"/>
        <w:right w:val="single" w:sz="4" w:space="0" w:color="51D9FF" w:themeColor="accent1" w:themeTint="99"/>
        <w:insideH w:val="single" w:sz="4" w:space="0" w:color="51D9FF" w:themeColor="accent1" w:themeTint="99"/>
        <w:insideV w:val="single" w:sz="4" w:space="0" w:color="51D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DDC" w:themeColor="accent1"/>
          <w:left w:val="single" w:sz="4" w:space="0" w:color="00ADDC" w:themeColor="accent1"/>
          <w:bottom w:val="single" w:sz="4" w:space="0" w:color="00ADDC" w:themeColor="accent1"/>
          <w:right w:val="single" w:sz="4" w:space="0" w:color="00ADDC" w:themeColor="accent1"/>
          <w:insideH w:val="nil"/>
          <w:insideV w:val="nil"/>
        </w:tcBorders>
        <w:shd w:val="clear" w:color="auto" w:fill="00ADDC" w:themeFill="accent1"/>
      </w:tcPr>
    </w:tblStylePr>
    <w:tblStylePr w:type="lastRow">
      <w:rPr>
        <w:b/>
        <w:bCs/>
      </w:rPr>
      <w:tblPr/>
      <w:tcPr>
        <w:tcBorders>
          <w:top w:val="double" w:sz="4" w:space="0" w:color="00ADDC" w:themeColor="accent1"/>
        </w:tcBorders>
      </w:tcPr>
    </w:tblStylePr>
    <w:tblStylePr w:type="firstCol">
      <w:rPr>
        <w:b/>
        <w:bCs/>
      </w:rPr>
    </w:tblStylePr>
    <w:tblStylePr w:type="lastCol">
      <w:rPr>
        <w:b/>
        <w:bCs/>
      </w:rPr>
    </w:tblStylePr>
    <w:tblStylePr w:type="band1Vert">
      <w:tblPr/>
      <w:tcPr>
        <w:shd w:val="clear" w:color="auto" w:fill="C5F2FF" w:themeFill="accent1" w:themeFillTint="33"/>
      </w:tcPr>
    </w:tblStylePr>
    <w:tblStylePr w:type="band1Horz">
      <w:tblPr/>
      <w:tcPr>
        <w:shd w:val="clear" w:color="auto" w:fill="C5F2FF" w:themeFill="accent1" w:themeFillTint="33"/>
      </w:tcPr>
    </w:tblStylePr>
  </w:style>
  <w:style w:type="paragraph" w:customStyle="1" w:styleId="1Podnadpis11">
    <w:name w:val="1 Podnadpis 1.1"/>
    <w:basedOn w:val="Nadpis2"/>
    <w:link w:val="1Podnadpis11Char"/>
    <w:qFormat/>
    <w:rsid w:val="000252FF"/>
    <w:pPr>
      <w:spacing w:before="360" w:after="360" w:line="240" w:lineRule="auto"/>
    </w:pPr>
    <w:rPr>
      <w:rFonts w:ascii="Arial Narrow" w:hAnsi="Arial Narrow"/>
      <w:color w:val="auto"/>
      <w:sz w:val="36"/>
    </w:rPr>
  </w:style>
  <w:style w:type="paragraph" w:customStyle="1" w:styleId="1Podpodnadpis111">
    <w:name w:val="1 Podpodnadpis 1.1.1"/>
    <w:basedOn w:val="Nadpis3"/>
    <w:link w:val="1Podpodnadpis111Char"/>
    <w:qFormat/>
    <w:rsid w:val="000252FF"/>
    <w:pPr>
      <w:spacing w:before="240" w:after="240" w:line="240" w:lineRule="auto"/>
    </w:pPr>
    <w:rPr>
      <w:rFonts w:ascii="Arial Narrow" w:hAnsi="Arial Narrow"/>
      <w:color w:val="auto"/>
      <w:sz w:val="28"/>
    </w:rPr>
  </w:style>
  <w:style w:type="character" w:customStyle="1" w:styleId="1Podnadpis11Char">
    <w:name w:val="1 Podnadpis 1.1 Char"/>
    <w:basedOn w:val="Nadpis2Char"/>
    <w:link w:val="1Podnadpis11"/>
    <w:rsid w:val="000252FF"/>
    <w:rPr>
      <w:rFonts w:ascii="Arial Narrow" w:hAnsi="Arial Narrow"/>
      <w:b/>
      <w:bCs/>
      <w:sz w:val="36"/>
    </w:rPr>
  </w:style>
  <w:style w:type="character" w:customStyle="1" w:styleId="1Podpodnadpis111Char">
    <w:name w:val="1 Podpodnadpis 1.1.1 Char"/>
    <w:basedOn w:val="Nadpis3Char"/>
    <w:link w:val="1Podpodnadpis111"/>
    <w:rsid w:val="000252FF"/>
    <w:rPr>
      <w:rFonts w:ascii="Arial Narrow" w:eastAsiaTheme="majorEastAsia" w:hAnsi="Arial Narrow" w:cstheme="majorBidi"/>
      <w:b/>
      <w:bCs/>
      <w:color w:val="00ADDC" w:themeColor="accent1"/>
      <w:sz w:val="28"/>
      <w:szCs w:val="22"/>
      <w:lang w:eastAsia="en-US"/>
    </w:rPr>
  </w:style>
  <w:style w:type="paragraph" w:styleId="Podtitul">
    <w:name w:val="Subtitle"/>
    <w:basedOn w:val="Normln"/>
    <w:next w:val="Normln"/>
    <w:link w:val="PodtitulChar"/>
    <w:uiPriority w:val="11"/>
    <w:qFormat/>
    <w:rsid w:val="00DC2316"/>
    <w:rPr>
      <w:rFonts w:asciiTheme="majorHAnsi" w:eastAsiaTheme="majorEastAsia" w:hAnsiTheme="majorHAnsi" w:cstheme="majorBidi"/>
      <w:i/>
      <w:iCs/>
      <w:color w:val="00ADDC" w:themeColor="accent1"/>
      <w:spacing w:val="15"/>
      <w:sz w:val="24"/>
      <w:szCs w:val="24"/>
    </w:rPr>
  </w:style>
  <w:style w:type="character" w:customStyle="1" w:styleId="PodtitulChar">
    <w:name w:val="Podtitul Char"/>
    <w:basedOn w:val="Standardnpsmoodstavce"/>
    <w:link w:val="Podtitul"/>
    <w:uiPriority w:val="11"/>
    <w:rsid w:val="00DC2316"/>
    <w:rPr>
      <w:rFonts w:asciiTheme="majorHAnsi" w:eastAsiaTheme="majorEastAsia" w:hAnsiTheme="majorHAnsi" w:cstheme="majorBidi"/>
      <w:i/>
      <w:iCs/>
      <w:color w:val="00ADDC" w:themeColor="accent1"/>
      <w:spacing w:val="15"/>
      <w:sz w:val="24"/>
      <w:szCs w:val="24"/>
      <w:lang w:eastAsia="en-US"/>
    </w:rPr>
  </w:style>
  <w:style w:type="paragraph" w:customStyle="1" w:styleId="11Podnadpis0">
    <w:name w:val="1.1 Podnadpis"/>
    <w:basedOn w:val="1Nadpis"/>
    <w:qFormat/>
    <w:rsid w:val="009E7CB2"/>
    <w:pPr>
      <w:pBdr>
        <w:bottom w:val="none" w:sz="0" w:space="0" w:color="auto"/>
      </w:pBdr>
      <w:spacing w:before="360" w:after="360"/>
      <w:ind w:left="576" w:hanging="576"/>
    </w:pPr>
    <w:rPr>
      <w:sz w:val="36"/>
      <w:szCs w:val="36"/>
    </w:rPr>
  </w:style>
  <w:style w:type="paragraph" w:customStyle="1" w:styleId="111Podpodnadpis0">
    <w:name w:val="1.1.1 Podpodnadpis"/>
    <w:basedOn w:val="11Podnadpis0"/>
    <w:link w:val="111PodpodnadpisChar0"/>
    <w:qFormat/>
    <w:rsid w:val="009E7CB2"/>
    <w:pPr>
      <w:spacing w:before="240" w:after="240"/>
      <w:ind w:left="720" w:hanging="720"/>
    </w:pPr>
    <w:rPr>
      <w:sz w:val="28"/>
    </w:rPr>
  </w:style>
  <w:style w:type="character" w:customStyle="1" w:styleId="111PodpodnadpisChar0">
    <w:name w:val="1.1.1 Podpodnadpis Char"/>
    <w:basedOn w:val="Standardnpsmoodstavce"/>
    <w:link w:val="111Podpodnadpis0"/>
    <w:rsid w:val="009E7CB2"/>
    <w:rPr>
      <w:rFonts w:ascii="Arial Narrow" w:hAnsi="Arial Narrow"/>
      <w:b/>
      <w:bCs/>
      <w:sz w:val="28"/>
      <w:szCs w:val="36"/>
      <w:lang w:eastAsia="ar-SA"/>
    </w:rPr>
  </w:style>
  <w:style w:type="table" w:customStyle="1" w:styleId="GridTable4Accent2">
    <w:name w:val="Grid Table 4 Accent 2"/>
    <w:basedOn w:val="Normlntabulka"/>
    <w:uiPriority w:val="49"/>
    <w:rsid w:val="00D0791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9E78F" w:themeColor="accent2" w:themeTint="99"/>
        <w:left w:val="single" w:sz="4" w:space="0" w:color="B9E78F" w:themeColor="accent2" w:themeTint="99"/>
        <w:bottom w:val="single" w:sz="4" w:space="0" w:color="B9E78F" w:themeColor="accent2" w:themeTint="99"/>
        <w:right w:val="single" w:sz="4" w:space="0" w:color="B9E78F" w:themeColor="accent2" w:themeTint="99"/>
        <w:insideH w:val="single" w:sz="4" w:space="0" w:color="B9E78F" w:themeColor="accent2" w:themeTint="99"/>
        <w:insideV w:val="single" w:sz="4" w:space="0" w:color="B9E78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BD745" w:themeColor="accent2"/>
          <w:left w:val="single" w:sz="4" w:space="0" w:color="8BD745" w:themeColor="accent2"/>
          <w:bottom w:val="single" w:sz="4" w:space="0" w:color="8BD745" w:themeColor="accent2"/>
          <w:right w:val="single" w:sz="4" w:space="0" w:color="8BD745" w:themeColor="accent2"/>
          <w:insideH w:val="nil"/>
          <w:insideV w:val="nil"/>
        </w:tcBorders>
        <w:shd w:val="clear" w:color="auto" w:fill="8BD745" w:themeFill="accent2"/>
      </w:tcPr>
    </w:tblStylePr>
    <w:tblStylePr w:type="lastRow">
      <w:rPr>
        <w:b/>
        <w:bCs/>
      </w:rPr>
      <w:tblPr/>
      <w:tcPr>
        <w:tcBorders>
          <w:top w:val="double" w:sz="4" w:space="0" w:color="8BD745" w:themeColor="accent2"/>
        </w:tcBorders>
      </w:tcPr>
    </w:tblStylePr>
    <w:tblStylePr w:type="firstCol">
      <w:rPr>
        <w:b/>
        <w:bCs/>
      </w:rPr>
    </w:tblStylePr>
    <w:tblStylePr w:type="lastCol">
      <w:rPr>
        <w:b/>
        <w:bCs/>
      </w:rPr>
    </w:tblStylePr>
    <w:tblStylePr w:type="band1Vert">
      <w:tblPr/>
      <w:tcPr>
        <w:shd w:val="clear" w:color="auto" w:fill="E7F7D9" w:themeFill="accent2" w:themeFillTint="33"/>
      </w:tcPr>
    </w:tblStylePr>
    <w:tblStylePr w:type="band1Horz">
      <w:tblPr/>
      <w:tcPr>
        <w:shd w:val="clear" w:color="auto" w:fill="E7F7D9" w:themeFill="accent2" w:themeFillTint="33"/>
      </w:tcPr>
    </w:tblStylePr>
  </w:style>
  <w:style w:type="table" w:styleId="Mkatabulky">
    <w:name w:val="Table Grid"/>
    <w:basedOn w:val="Normlntabulka"/>
    <w:uiPriority w:val="59"/>
    <w:rsid w:val="00D07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40955">
      <w:bodyDiv w:val="1"/>
      <w:marLeft w:val="0"/>
      <w:marRight w:val="0"/>
      <w:marTop w:val="0"/>
      <w:marBottom w:val="0"/>
      <w:divBdr>
        <w:top w:val="none" w:sz="0" w:space="0" w:color="auto"/>
        <w:left w:val="none" w:sz="0" w:space="0" w:color="auto"/>
        <w:bottom w:val="none" w:sz="0" w:space="0" w:color="auto"/>
        <w:right w:val="none" w:sz="0" w:space="0" w:color="auto"/>
      </w:divBdr>
      <w:divsChild>
        <w:div w:id="662897454">
          <w:marLeft w:val="0"/>
          <w:marRight w:val="0"/>
          <w:marTop w:val="0"/>
          <w:marBottom w:val="0"/>
          <w:divBdr>
            <w:top w:val="none" w:sz="0" w:space="0" w:color="auto"/>
            <w:left w:val="none" w:sz="0" w:space="0" w:color="auto"/>
            <w:bottom w:val="none" w:sz="0" w:space="0" w:color="auto"/>
            <w:right w:val="none" w:sz="0" w:space="0" w:color="auto"/>
          </w:divBdr>
        </w:div>
      </w:divsChild>
    </w:div>
    <w:div w:id="101801329">
      <w:bodyDiv w:val="1"/>
      <w:marLeft w:val="0"/>
      <w:marRight w:val="0"/>
      <w:marTop w:val="0"/>
      <w:marBottom w:val="0"/>
      <w:divBdr>
        <w:top w:val="none" w:sz="0" w:space="0" w:color="auto"/>
        <w:left w:val="none" w:sz="0" w:space="0" w:color="auto"/>
        <w:bottom w:val="none" w:sz="0" w:space="0" w:color="auto"/>
        <w:right w:val="none" w:sz="0" w:space="0" w:color="auto"/>
      </w:divBdr>
    </w:div>
    <w:div w:id="249387125">
      <w:bodyDiv w:val="1"/>
      <w:marLeft w:val="0"/>
      <w:marRight w:val="0"/>
      <w:marTop w:val="0"/>
      <w:marBottom w:val="0"/>
      <w:divBdr>
        <w:top w:val="none" w:sz="0" w:space="0" w:color="auto"/>
        <w:left w:val="none" w:sz="0" w:space="0" w:color="auto"/>
        <w:bottom w:val="none" w:sz="0" w:space="0" w:color="auto"/>
        <w:right w:val="none" w:sz="0" w:space="0" w:color="auto"/>
      </w:divBdr>
    </w:div>
    <w:div w:id="261958616">
      <w:bodyDiv w:val="1"/>
      <w:marLeft w:val="0"/>
      <w:marRight w:val="0"/>
      <w:marTop w:val="0"/>
      <w:marBottom w:val="0"/>
      <w:divBdr>
        <w:top w:val="none" w:sz="0" w:space="0" w:color="auto"/>
        <w:left w:val="none" w:sz="0" w:space="0" w:color="auto"/>
        <w:bottom w:val="none" w:sz="0" w:space="0" w:color="auto"/>
        <w:right w:val="none" w:sz="0" w:space="0" w:color="auto"/>
      </w:divBdr>
    </w:div>
    <w:div w:id="404843422">
      <w:bodyDiv w:val="1"/>
      <w:marLeft w:val="60"/>
      <w:marRight w:val="60"/>
      <w:marTop w:val="60"/>
      <w:marBottom w:val="15"/>
      <w:divBdr>
        <w:top w:val="none" w:sz="0" w:space="0" w:color="auto"/>
        <w:left w:val="none" w:sz="0" w:space="0" w:color="auto"/>
        <w:bottom w:val="none" w:sz="0" w:space="0" w:color="auto"/>
        <w:right w:val="none" w:sz="0" w:space="0" w:color="auto"/>
      </w:divBdr>
      <w:divsChild>
        <w:div w:id="1684627757">
          <w:marLeft w:val="0"/>
          <w:marRight w:val="0"/>
          <w:marTop w:val="0"/>
          <w:marBottom w:val="0"/>
          <w:divBdr>
            <w:top w:val="none" w:sz="0" w:space="0" w:color="auto"/>
            <w:left w:val="none" w:sz="0" w:space="0" w:color="auto"/>
            <w:bottom w:val="none" w:sz="0" w:space="0" w:color="auto"/>
            <w:right w:val="none" w:sz="0" w:space="0" w:color="auto"/>
          </w:divBdr>
        </w:div>
      </w:divsChild>
    </w:div>
    <w:div w:id="584000725">
      <w:bodyDiv w:val="1"/>
      <w:marLeft w:val="0"/>
      <w:marRight w:val="0"/>
      <w:marTop w:val="0"/>
      <w:marBottom w:val="0"/>
      <w:divBdr>
        <w:top w:val="none" w:sz="0" w:space="0" w:color="auto"/>
        <w:left w:val="none" w:sz="0" w:space="0" w:color="auto"/>
        <w:bottom w:val="none" w:sz="0" w:space="0" w:color="auto"/>
        <w:right w:val="none" w:sz="0" w:space="0" w:color="auto"/>
      </w:divBdr>
    </w:div>
    <w:div w:id="664824636">
      <w:bodyDiv w:val="1"/>
      <w:marLeft w:val="0"/>
      <w:marRight w:val="0"/>
      <w:marTop w:val="0"/>
      <w:marBottom w:val="0"/>
      <w:divBdr>
        <w:top w:val="none" w:sz="0" w:space="0" w:color="auto"/>
        <w:left w:val="none" w:sz="0" w:space="0" w:color="auto"/>
        <w:bottom w:val="none" w:sz="0" w:space="0" w:color="auto"/>
        <w:right w:val="none" w:sz="0" w:space="0" w:color="auto"/>
      </w:divBdr>
    </w:div>
    <w:div w:id="683938356">
      <w:bodyDiv w:val="1"/>
      <w:marLeft w:val="0"/>
      <w:marRight w:val="0"/>
      <w:marTop w:val="0"/>
      <w:marBottom w:val="0"/>
      <w:divBdr>
        <w:top w:val="none" w:sz="0" w:space="0" w:color="auto"/>
        <w:left w:val="none" w:sz="0" w:space="0" w:color="auto"/>
        <w:bottom w:val="none" w:sz="0" w:space="0" w:color="auto"/>
        <w:right w:val="none" w:sz="0" w:space="0" w:color="auto"/>
      </w:divBdr>
    </w:div>
    <w:div w:id="698092936">
      <w:bodyDiv w:val="1"/>
      <w:marLeft w:val="0"/>
      <w:marRight w:val="0"/>
      <w:marTop w:val="0"/>
      <w:marBottom w:val="0"/>
      <w:divBdr>
        <w:top w:val="none" w:sz="0" w:space="0" w:color="auto"/>
        <w:left w:val="none" w:sz="0" w:space="0" w:color="auto"/>
        <w:bottom w:val="none" w:sz="0" w:space="0" w:color="auto"/>
        <w:right w:val="none" w:sz="0" w:space="0" w:color="auto"/>
      </w:divBdr>
    </w:div>
    <w:div w:id="882981940">
      <w:bodyDiv w:val="1"/>
      <w:marLeft w:val="0"/>
      <w:marRight w:val="0"/>
      <w:marTop w:val="0"/>
      <w:marBottom w:val="0"/>
      <w:divBdr>
        <w:top w:val="none" w:sz="0" w:space="0" w:color="auto"/>
        <w:left w:val="none" w:sz="0" w:space="0" w:color="auto"/>
        <w:bottom w:val="none" w:sz="0" w:space="0" w:color="auto"/>
        <w:right w:val="none" w:sz="0" w:space="0" w:color="auto"/>
      </w:divBdr>
    </w:div>
    <w:div w:id="921721177">
      <w:bodyDiv w:val="1"/>
      <w:marLeft w:val="0"/>
      <w:marRight w:val="0"/>
      <w:marTop w:val="0"/>
      <w:marBottom w:val="0"/>
      <w:divBdr>
        <w:top w:val="none" w:sz="0" w:space="0" w:color="auto"/>
        <w:left w:val="none" w:sz="0" w:space="0" w:color="auto"/>
        <w:bottom w:val="none" w:sz="0" w:space="0" w:color="auto"/>
        <w:right w:val="none" w:sz="0" w:space="0" w:color="auto"/>
      </w:divBdr>
    </w:div>
    <w:div w:id="1049380382">
      <w:bodyDiv w:val="1"/>
      <w:marLeft w:val="0"/>
      <w:marRight w:val="0"/>
      <w:marTop w:val="0"/>
      <w:marBottom w:val="0"/>
      <w:divBdr>
        <w:top w:val="none" w:sz="0" w:space="0" w:color="auto"/>
        <w:left w:val="none" w:sz="0" w:space="0" w:color="auto"/>
        <w:bottom w:val="none" w:sz="0" w:space="0" w:color="auto"/>
        <w:right w:val="none" w:sz="0" w:space="0" w:color="auto"/>
      </w:divBdr>
    </w:div>
    <w:div w:id="1095200867">
      <w:bodyDiv w:val="1"/>
      <w:marLeft w:val="0"/>
      <w:marRight w:val="0"/>
      <w:marTop w:val="0"/>
      <w:marBottom w:val="0"/>
      <w:divBdr>
        <w:top w:val="none" w:sz="0" w:space="0" w:color="auto"/>
        <w:left w:val="none" w:sz="0" w:space="0" w:color="auto"/>
        <w:bottom w:val="none" w:sz="0" w:space="0" w:color="auto"/>
        <w:right w:val="none" w:sz="0" w:space="0" w:color="auto"/>
      </w:divBdr>
    </w:div>
    <w:div w:id="1307199117">
      <w:bodyDiv w:val="1"/>
      <w:marLeft w:val="0"/>
      <w:marRight w:val="0"/>
      <w:marTop w:val="0"/>
      <w:marBottom w:val="0"/>
      <w:divBdr>
        <w:top w:val="none" w:sz="0" w:space="0" w:color="auto"/>
        <w:left w:val="none" w:sz="0" w:space="0" w:color="auto"/>
        <w:bottom w:val="none" w:sz="0" w:space="0" w:color="auto"/>
        <w:right w:val="none" w:sz="0" w:space="0" w:color="auto"/>
      </w:divBdr>
    </w:div>
    <w:div w:id="1626740752">
      <w:bodyDiv w:val="1"/>
      <w:marLeft w:val="0"/>
      <w:marRight w:val="0"/>
      <w:marTop w:val="0"/>
      <w:marBottom w:val="0"/>
      <w:divBdr>
        <w:top w:val="none" w:sz="0" w:space="0" w:color="auto"/>
        <w:left w:val="none" w:sz="0" w:space="0" w:color="auto"/>
        <w:bottom w:val="none" w:sz="0" w:space="0" w:color="auto"/>
        <w:right w:val="none" w:sz="0" w:space="0" w:color="auto"/>
      </w:divBdr>
    </w:div>
    <w:div w:id="1693412503">
      <w:bodyDiv w:val="1"/>
      <w:marLeft w:val="0"/>
      <w:marRight w:val="0"/>
      <w:marTop w:val="0"/>
      <w:marBottom w:val="0"/>
      <w:divBdr>
        <w:top w:val="none" w:sz="0" w:space="0" w:color="auto"/>
        <w:left w:val="none" w:sz="0" w:space="0" w:color="auto"/>
        <w:bottom w:val="none" w:sz="0" w:space="0" w:color="auto"/>
        <w:right w:val="none" w:sz="0" w:space="0" w:color="auto"/>
      </w:divBdr>
    </w:div>
    <w:div w:id="1713116657">
      <w:bodyDiv w:val="1"/>
      <w:marLeft w:val="0"/>
      <w:marRight w:val="0"/>
      <w:marTop w:val="0"/>
      <w:marBottom w:val="0"/>
      <w:divBdr>
        <w:top w:val="none" w:sz="0" w:space="0" w:color="auto"/>
        <w:left w:val="none" w:sz="0" w:space="0" w:color="auto"/>
        <w:bottom w:val="none" w:sz="0" w:space="0" w:color="auto"/>
        <w:right w:val="none" w:sz="0" w:space="0" w:color="auto"/>
      </w:divBdr>
    </w:div>
    <w:div w:id="1849127834">
      <w:bodyDiv w:val="1"/>
      <w:marLeft w:val="0"/>
      <w:marRight w:val="0"/>
      <w:marTop w:val="0"/>
      <w:marBottom w:val="0"/>
      <w:divBdr>
        <w:top w:val="none" w:sz="0" w:space="0" w:color="auto"/>
        <w:left w:val="none" w:sz="0" w:space="0" w:color="auto"/>
        <w:bottom w:val="none" w:sz="0" w:space="0" w:color="auto"/>
        <w:right w:val="none" w:sz="0" w:space="0" w:color="auto"/>
      </w:divBdr>
    </w:div>
    <w:div w:id="1908613908">
      <w:bodyDiv w:val="1"/>
      <w:marLeft w:val="0"/>
      <w:marRight w:val="0"/>
      <w:marTop w:val="0"/>
      <w:marBottom w:val="0"/>
      <w:divBdr>
        <w:top w:val="none" w:sz="0" w:space="0" w:color="auto"/>
        <w:left w:val="none" w:sz="0" w:space="0" w:color="auto"/>
        <w:bottom w:val="none" w:sz="0" w:space="0" w:color="auto"/>
        <w:right w:val="none" w:sz="0" w:space="0" w:color="auto"/>
      </w:divBdr>
    </w:div>
    <w:div w:id="20159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isk%20Google\Eurostudent\Z&#225;v&#283;re&#269;n&#225;%20zpr&#225;va\Hl.pap&#237;r_KREDO.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EU%20-%20SILC\data%202013\Vzo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ata\Misa\VSE\FIS\magistr\diplomka\TREXIMA\Vzo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ata\Misa\VSE\FIS\magistr\diplomka\TREXIMA\tiskovka_grafy_VO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ata\Misa\VSE\FIS\magistr\diplomka\TREXIMA\tiskovka_grafy_V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ata\Misa\VSE\FIS\magistr\diplomka\TREXIMA\tiskovka_grafy_V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18"/>
  <c:chart>
    <c:autoTitleDeleted val="1"/>
    <c:plotArea>
      <c:layout>
        <c:manualLayout>
          <c:layoutTarget val="inner"/>
          <c:xMode val="edge"/>
          <c:yMode val="edge"/>
          <c:x val="6.1236290904354944E-2"/>
          <c:y val="2.8252405949256338E-2"/>
          <c:w val="0.88430648524394717"/>
          <c:h val="0.66755010558874561"/>
        </c:manualLayout>
      </c:layout>
      <c:barChart>
        <c:barDir val="col"/>
        <c:grouping val="stacked"/>
        <c:ser>
          <c:idx val="0"/>
          <c:order val="0"/>
          <c:tx>
            <c:strRef>
              <c:f>Sloupcový!$A$21</c:f>
              <c:strCache>
                <c:ptCount val="1"/>
                <c:pt idx="0">
                  <c:v>Základní</c:v>
                </c:pt>
              </c:strCache>
            </c:strRef>
          </c:tx>
          <c:spPr>
            <a:solidFill>
              <a:srgbClr val="0091D2"/>
            </a:solidFill>
          </c:spPr>
          <c:dLbls>
            <c:spPr>
              <a:noFill/>
              <a:ln>
                <a:noFill/>
              </a:ln>
              <a:effectLst/>
            </c:spPr>
            <c:txPr>
              <a:bodyPr rot="0" vert="horz"/>
              <a:lstStyle/>
              <a:p>
                <a:pPr>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Sloupcový!$B$20:$K$20</c:f>
              <c:strCache>
                <c:ptCount val="10"/>
                <c:pt idx="0">
                  <c:v>I.</c:v>
                </c:pt>
                <c:pt idx="1">
                  <c:v>II.</c:v>
                </c:pt>
                <c:pt idx="2">
                  <c:v>III.</c:v>
                </c:pt>
                <c:pt idx="3">
                  <c:v>IV:</c:v>
                </c:pt>
                <c:pt idx="4">
                  <c:v>V.</c:v>
                </c:pt>
                <c:pt idx="5">
                  <c:v>VI.</c:v>
                </c:pt>
                <c:pt idx="6">
                  <c:v>VII.</c:v>
                </c:pt>
                <c:pt idx="7">
                  <c:v>VIII.</c:v>
                </c:pt>
                <c:pt idx="8">
                  <c:v>IX.</c:v>
                </c:pt>
                <c:pt idx="9">
                  <c:v>X.</c:v>
                </c:pt>
              </c:strCache>
            </c:strRef>
          </c:cat>
          <c:val>
            <c:numRef>
              <c:f>Sloupcový!$B$21:$K$21</c:f>
              <c:numCache>
                <c:formatCode>0.0</c:formatCode>
                <c:ptCount val="10"/>
                <c:pt idx="0">
                  <c:v>17.41</c:v>
                </c:pt>
                <c:pt idx="1">
                  <c:v>15.41</c:v>
                </c:pt>
                <c:pt idx="2">
                  <c:v>10.97</c:v>
                </c:pt>
                <c:pt idx="3">
                  <c:v>10.050000000000002</c:v>
                </c:pt>
                <c:pt idx="4">
                  <c:v>8.68</c:v>
                </c:pt>
                <c:pt idx="5">
                  <c:v>6.7700000000000014</c:v>
                </c:pt>
                <c:pt idx="6">
                  <c:v>5.6499999999999995</c:v>
                </c:pt>
                <c:pt idx="7">
                  <c:v>4.8499999999999996</c:v>
                </c:pt>
                <c:pt idx="8">
                  <c:v>2.59</c:v>
                </c:pt>
                <c:pt idx="9">
                  <c:v>0.750000000000001</c:v>
                </c:pt>
              </c:numCache>
            </c:numRef>
          </c:val>
        </c:ser>
        <c:ser>
          <c:idx val="1"/>
          <c:order val="1"/>
          <c:tx>
            <c:strRef>
              <c:f>Sloupcový!$A$22</c:f>
              <c:strCache>
                <c:ptCount val="1"/>
                <c:pt idx="0">
                  <c:v>Středoškolské bez maturity</c:v>
                </c:pt>
              </c:strCache>
            </c:strRef>
          </c:tx>
          <c:spPr>
            <a:solidFill>
              <a:srgbClr val="4BC8FF"/>
            </a:solidFill>
          </c:spPr>
          <c:dLbls>
            <c:spPr>
              <a:noFill/>
              <a:ln>
                <a:noFill/>
              </a:ln>
              <a:effectLst/>
            </c:spPr>
            <c:txPr>
              <a:bodyPr rot="0" vert="horz"/>
              <a:lstStyle/>
              <a:p>
                <a:pPr>
                  <a:defRPr/>
                </a:pPr>
                <a:endParaRPr lang="cs-CZ"/>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Sloupcový!$B$20:$K$20</c:f>
              <c:strCache>
                <c:ptCount val="10"/>
                <c:pt idx="0">
                  <c:v>I.</c:v>
                </c:pt>
                <c:pt idx="1">
                  <c:v>II.</c:v>
                </c:pt>
                <c:pt idx="2">
                  <c:v>III.</c:v>
                </c:pt>
                <c:pt idx="3">
                  <c:v>IV:</c:v>
                </c:pt>
                <c:pt idx="4">
                  <c:v>V.</c:v>
                </c:pt>
                <c:pt idx="5">
                  <c:v>VI.</c:v>
                </c:pt>
                <c:pt idx="6">
                  <c:v>VII.</c:v>
                </c:pt>
                <c:pt idx="7">
                  <c:v>VIII.</c:v>
                </c:pt>
                <c:pt idx="8">
                  <c:v>IX.</c:v>
                </c:pt>
                <c:pt idx="9">
                  <c:v>X.</c:v>
                </c:pt>
              </c:strCache>
            </c:strRef>
          </c:cat>
          <c:val>
            <c:numRef>
              <c:f>Sloupcový!$B$22:$K$22</c:f>
              <c:numCache>
                <c:formatCode>0.0</c:formatCode>
                <c:ptCount val="10"/>
                <c:pt idx="0">
                  <c:v>34.11</c:v>
                </c:pt>
                <c:pt idx="1">
                  <c:v>33.86</c:v>
                </c:pt>
                <c:pt idx="2">
                  <c:v>37.04</c:v>
                </c:pt>
                <c:pt idx="3">
                  <c:v>38.14</c:v>
                </c:pt>
                <c:pt idx="4">
                  <c:v>32.480000000000004</c:v>
                </c:pt>
                <c:pt idx="5">
                  <c:v>32.630000000000003</c:v>
                </c:pt>
                <c:pt idx="6">
                  <c:v>30.21</c:v>
                </c:pt>
                <c:pt idx="7">
                  <c:v>27.759999999999987</c:v>
                </c:pt>
                <c:pt idx="8">
                  <c:v>20.350000000000001</c:v>
                </c:pt>
                <c:pt idx="9">
                  <c:v>12.950000000000006</c:v>
                </c:pt>
              </c:numCache>
            </c:numRef>
          </c:val>
        </c:ser>
        <c:ser>
          <c:idx val="2"/>
          <c:order val="2"/>
          <c:tx>
            <c:strRef>
              <c:f>Sloupcový!$A$23</c:f>
              <c:strCache>
                <c:ptCount val="1"/>
                <c:pt idx="0">
                  <c:v>Středoškolské s maturitou</c:v>
                </c:pt>
              </c:strCache>
            </c:strRef>
          </c:tx>
          <c:spPr>
            <a:solidFill>
              <a:srgbClr val="9B0064"/>
            </a:solidFill>
          </c:spPr>
          <c:dLbls>
            <c:spPr>
              <a:noFill/>
              <a:ln>
                <a:noFill/>
              </a:ln>
              <a:effectLst/>
            </c:spPr>
            <c:txPr>
              <a:bodyPr/>
              <a:lstStyle/>
              <a:p>
                <a:pPr>
                  <a:defRPr>
                    <a:solidFill>
                      <a:schemeClr val="bg1"/>
                    </a:solidFill>
                  </a:defRPr>
                </a:pPr>
                <a:endParaRPr lang="cs-CZ"/>
              </a:p>
            </c:txPr>
            <c:showVal val="1"/>
            <c:extLst>
              <c:ext xmlns:c15="http://schemas.microsoft.com/office/drawing/2012/chart" uri="{CE6537A1-D6FC-4f65-9D91-7224C49458BB}">
                <c15:layout/>
                <c15:showLeaderLines val="0"/>
              </c:ext>
            </c:extLst>
          </c:dLbls>
          <c:cat>
            <c:strRef>
              <c:f>Sloupcový!$B$20:$K$20</c:f>
              <c:strCache>
                <c:ptCount val="10"/>
                <c:pt idx="0">
                  <c:v>I.</c:v>
                </c:pt>
                <c:pt idx="1">
                  <c:v>II.</c:v>
                </c:pt>
                <c:pt idx="2">
                  <c:v>III.</c:v>
                </c:pt>
                <c:pt idx="3">
                  <c:v>IV:</c:v>
                </c:pt>
                <c:pt idx="4">
                  <c:v>V.</c:v>
                </c:pt>
                <c:pt idx="5">
                  <c:v>VI.</c:v>
                </c:pt>
                <c:pt idx="6">
                  <c:v>VII.</c:v>
                </c:pt>
                <c:pt idx="7">
                  <c:v>VIII.</c:v>
                </c:pt>
                <c:pt idx="8">
                  <c:v>IX.</c:v>
                </c:pt>
                <c:pt idx="9">
                  <c:v>X.</c:v>
                </c:pt>
              </c:strCache>
            </c:strRef>
          </c:cat>
          <c:val>
            <c:numRef>
              <c:f>Sloupcový!$B$23:$K$23</c:f>
              <c:numCache>
                <c:formatCode>0.0</c:formatCode>
                <c:ptCount val="10"/>
                <c:pt idx="0">
                  <c:v>17.09</c:v>
                </c:pt>
                <c:pt idx="1">
                  <c:v>20.110000000000028</c:v>
                </c:pt>
                <c:pt idx="2">
                  <c:v>22.43</c:v>
                </c:pt>
                <c:pt idx="3">
                  <c:v>24.810000000000027</c:v>
                </c:pt>
                <c:pt idx="4">
                  <c:v>28.56</c:v>
                </c:pt>
                <c:pt idx="5">
                  <c:v>27.16</c:v>
                </c:pt>
                <c:pt idx="6">
                  <c:v>29.959999999999987</c:v>
                </c:pt>
                <c:pt idx="7">
                  <c:v>31.5</c:v>
                </c:pt>
                <c:pt idx="8">
                  <c:v>36.6</c:v>
                </c:pt>
                <c:pt idx="9">
                  <c:v>33.46</c:v>
                </c:pt>
              </c:numCache>
            </c:numRef>
          </c:val>
        </c:ser>
        <c:ser>
          <c:idx val="3"/>
          <c:order val="3"/>
          <c:tx>
            <c:strRef>
              <c:f>Sloupcový!$A$24</c:f>
              <c:strCache>
                <c:ptCount val="1"/>
                <c:pt idx="0">
                  <c:v>Terciární</c:v>
                </c:pt>
              </c:strCache>
            </c:strRef>
          </c:tx>
          <c:spPr>
            <a:solidFill>
              <a:srgbClr val="FFCD00"/>
            </a:solidFill>
          </c:spPr>
          <c:dLbls>
            <c:spPr>
              <a:noFill/>
              <a:ln>
                <a:noFill/>
              </a:ln>
              <a:effectLst/>
            </c:spPr>
            <c:showVal val="1"/>
            <c:extLst>
              <c:ext xmlns:c15="http://schemas.microsoft.com/office/drawing/2012/chart" uri="{CE6537A1-D6FC-4f65-9D91-7224C49458BB}">
                <c15:layout/>
                <c15:showLeaderLines val="0"/>
              </c:ext>
            </c:extLst>
          </c:dLbls>
          <c:cat>
            <c:strRef>
              <c:f>Sloupcový!$B$20:$K$20</c:f>
              <c:strCache>
                <c:ptCount val="10"/>
                <c:pt idx="0">
                  <c:v>I.</c:v>
                </c:pt>
                <c:pt idx="1">
                  <c:v>II.</c:v>
                </c:pt>
                <c:pt idx="2">
                  <c:v>III.</c:v>
                </c:pt>
                <c:pt idx="3">
                  <c:v>IV:</c:v>
                </c:pt>
                <c:pt idx="4">
                  <c:v>V.</c:v>
                </c:pt>
                <c:pt idx="5">
                  <c:v>VI.</c:v>
                </c:pt>
                <c:pt idx="6">
                  <c:v>VII.</c:v>
                </c:pt>
                <c:pt idx="7">
                  <c:v>VIII.</c:v>
                </c:pt>
                <c:pt idx="8">
                  <c:v>IX.</c:v>
                </c:pt>
                <c:pt idx="9">
                  <c:v>X.</c:v>
                </c:pt>
              </c:strCache>
            </c:strRef>
          </c:cat>
          <c:val>
            <c:numRef>
              <c:f>Sloupcový!$B$24:$K$24</c:f>
              <c:numCache>
                <c:formatCode>0.0</c:formatCode>
                <c:ptCount val="10"/>
                <c:pt idx="0">
                  <c:v>2.69</c:v>
                </c:pt>
                <c:pt idx="1">
                  <c:v>4.74</c:v>
                </c:pt>
                <c:pt idx="2">
                  <c:v>6.29</c:v>
                </c:pt>
                <c:pt idx="3">
                  <c:v>6.57</c:v>
                </c:pt>
                <c:pt idx="4">
                  <c:v>8.07</c:v>
                </c:pt>
                <c:pt idx="5">
                  <c:v>11.29</c:v>
                </c:pt>
                <c:pt idx="6">
                  <c:v>14.04</c:v>
                </c:pt>
                <c:pt idx="7">
                  <c:v>16.25</c:v>
                </c:pt>
                <c:pt idx="8">
                  <c:v>22.93</c:v>
                </c:pt>
                <c:pt idx="9">
                  <c:v>35.24</c:v>
                </c:pt>
              </c:numCache>
            </c:numRef>
          </c:val>
        </c:ser>
        <c:ser>
          <c:idx val="4"/>
          <c:order val="4"/>
          <c:tx>
            <c:strRef>
              <c:f>Sloupcový!$A$25</c:f>
              <c:strCache>
                <c:ptCount val="1"/>
                <c:pt idx="0">
                  <c:v>Děti do 18 let a studenti (do 26 let)</c:v>
                </c:pt>
              </c:strCache>
            </c:strRef>
          </c:tx>
          <c:spPr>
            <a:solidFill>
              <a:srgbClr val="7F7F7F"/>
            </a:solidFill>
          </c:spPr>
          <c:dLbls>
            <c:spPr>
              <a:noFill/>
              <a:ln>
                <a:noFill/>
              </a:ln>
              <a:effectLst/>
            </c:spPr>
            <c:txPr>
              <a:bodyPr/>
              <a:lstStyle/>
              <a:p>
                <a:pPr>
                  <a:defRPr>
                    <a:solidFill>
                      <a:schemeClr val="bg1"/>
                    </a:solidFill>
                  </a:defRPr>
                </a:pPr>
                <a:endParaRPr lang="cs-CZ"/>
              </a:p>
            </c:txPr>
            <c:showVal val="1"/>
            <c:extLst>
              <c:ext xmlns:c15="http://schemas.microsoft.com/office/drawing/2012/chart" uri="{CE6537A1-D6FC-4f65-9D91-7224C49458BB}">
                <c15:layout/>
                <c15:showLeaderLines val="0"/>
              </c:ext>
            </c:extLst>
          </c:dLbls>
          <c:cat>
            <c:strRef>
              <c:f>Sloupcový!$B$20:$K$20</c:f>
              <c:strCache>
                <c:ptCount val="10"/>
                <c:pt idx="0">
                  <c:v>I.</c:v>
                </c:pt>
                <c:pt idx="1">
                  <c:v>II.</c:v>
                </c:pt>
                <c:pt idx="2">
                  <c:v>III.</c:v>
                </c:pt>
                <c:pt idx="3">
                  <c:v>IV:</c:v>
                </c:pt>
                <c:pt idx="4">
                  <c:v>V.</c:v>
                </c:pt>
                <c:pt idx="5">
                  <c:v>VI.</c:v>
                </c:pt>
                <c:pt idx="6">
                  <c:v>VII.</c:v>
                </c:pt>
                <c:pt idx="7">
                  <c:v>VIII.</c:v>
                </c:pt>
                <c:pt idx="8">
                  <c:v>IX.</c:v>
                </c:pt>
                <c:pt idx="9">
                  <c:v>X.</c:v>
                </c:pt>
              </c:strCache>
            </c:strRef>
          </c:cat>
          <c:val>
            <c:numRef>
              <c:f>Sloupcový!$B$25:$K$25</c:f>
              <c:numCache>
                <c:formatCode>0.0</c:formatCode>
                <c:ptCount val="10"/>
                <c:pt idx="0">
                  <c:v>28.69</c:v>
                </c:pt>
                <c:pt idx="1">
                  <c:v>25.89</c:v>
                </c:pt>
                <c:pt idx="2">
                  <c:v>23.279999999999987</c:v>
                </c:pt>
                <c:pt idx="3">
                  <c:v>20.43</c:v>
                </c:pt>
                <c:pt idx="4">
                  <c:v>22.21</c:v>
                </c:pt>
                <c:pt idx="5">
                  <c:v>22.150000000000027</c:v>
                </c:pt>
                <c:pt idx="6">
                  <c:v>20.130000000000027</c:v>
                </c:pt>
                <c:pt idx="7">
                  <c:v>19.649999999999999</c:v>
                </c:pt>
                <c:pt idx="8">
                  <c:v>17.53</c:v>
                </c:pt>
                <c:pt idx="9">
                  <c:v>17.600000000000001</c:v>
                </c:pt>
              </c:numCache>
            </c:numRef>
          </c:val>
        </c:ser>
        <c:dLbls>
          <c:showVal val="1"/>
        </c:dLbls>
        <c:gapWidth val="50"/>
        <c:overlap val="100"/>
        <c:axId val="150448768"/>
        <c:axId val="150602880"/>
      </c:barChart>
      <c:catAx>
        <c:axId val="150448768"/>
        <c:scaling>
          <c:orientation val="minMax"/>
        </c:scaling>
        <c:axPos val="b"/>
        <c:numFmt formatCode="General" sourceLinked="1"/>
        <c:majorTickMark val="none"/>
        <c:tickLblPos val="nextTo"/>
        <c:spPr>
          <a:ln>
            <a:solidFill>
              <a:schemeClr val="bg1">
                <a:lumMod val="65000"/>
              </a:schemeClr>
            </a:solidFill>
          </a:ln>
        </c:spPr>
        <c:txPr>
          <a:bodyPr rot="-60000000" vert="horz"/>
          <a:lstStyle/>
          <a:p>
            <a:pPr>
              <a:defRPr/>
            </a:pPr>
            <a:endParaRPr lang="cs-CZ"/>
          </a:p>
        </c:txPr>
        <c:crossAx val="150602880"/>
        <c:crosses val="autoZero"/>
        <c:auto val="1"/>
        <c:lblAlgn val="ctr"/>
        <c:lblOffset val="100"/>
      </c:catAx>
      <c:valAx>
        <c:axId val="150602880"/>
        <c:scaling>
          <c:orientation val="minMax"/>
          <c:max val="100"/>
        </c:scaling>
        <c:axPos val="l"/>
        <c:majorGridlines>
          <c:spPr>
            <a:ln>
              <a:solidFill>
                <a:schemeClr val="bg1">
                  <a:lumMod val="75000"/>
                </a:schemeClr>
              </a:solidFill>
            </a:ln>
          </c:spPr>
        </c:majorGridlines>
        <c:numFmt formatCode="General" sourceLinked="0"/>
        <c:majorTickMark val="none"/>
        <c:tickLblPos val="nextTo"/>
        <c:spPr>
          <a:ln>
            <a:solidFill>
              <a:schemeClr val="bg1">
                <a:lumMod val="65000"/>
              </a:schemeClr>
            </a:solidFill>
          </a:ln>
        </c:spPr>
        <c:txPr>
          <a:bodyPr rot="-60000000" vert="horz"/>
          <a:lstStyle/>
          <a:p>
            <a:pPr>
              <a:defRPr/>
            </a:pPr>
            <a:endParaRPr lang="cs-CZ"/>
          </a:p>
        </c:txPr>
        <c:crossAx val="150448768"/>
        <c:crosses val="autoZero"/>
        <c:crossBetween val="between"/>
      </c:valAx>
      <c:spPr>
        <a:solidFill>
          <a:srgbClr val="F8F8F8"/>
        </a:solidFill>
        <a:ln>
          <a:solidFill>
            <a:schemeClr val="bg1">
              <a:lumMod val="65000"/>
            </a:schemeClr>
          </a:solidFill>
        </a:ln>
      </c:spPr>
    </c:plotArea>
    <c:legend>
      <c:legendPos val="b"/>
      <c:txPr>
        <a:bodyPr rot="0" vert="horz"/>
        <a:lstStyle/>
        <a:p>
          <a:pPr>
            <a:defRPr/>
          </a:pPr>
          <a:endParaRPr lang="cs-CZ"/>
        </a:p>
      </c:txPr>
    </c:legend>
    <c:plotVisOnly val="1"/>
    <c:dispBlanksAs val="gap"/>
  </c:chart>
  <c:spPr>
    <a:ln>
      <a:noFill/>
    </a:ln>
  </c:spPr>
  <c:txPr>
    <a:bodyPr/>
    <a:lstStyle/>
    <a:p>
      <a:pPr>
        <a:defRPr>
          <a:latin typeface="Arial Narrow"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18"/>
  <c:chart>
    <c:autoTitleDeleted val="1"/>
    <c:plotArea>
      <c:layout>
        <c:manualLayout>
          <c:layoutTarget val="inner"/>
          <c:xMode val="edge"/>
          <c:yMode val="edge"/>
          <c:x val="0.14462486165132973"/>
          <c:y val="4.0950881139857516E-2"/>
          <c:w val="0.80241140941719635"/>
          <c:h val="0.79002691330250385"/>
        </c:manualLayout>
      </c:layout>
      <c:lineChart>
        <c:grouping val="standard"/>
        <c:ser>
          <c:idx val="0"/>
          <c:order val="0"/>
          <c:tx>
            <c:strRef>
              <c:f>Spojnicový!$B$21</c:f>
              <c:strCache>
                <c:ptCount val="1"/>
                <c:pt idx="0">
                  <c:v>Lorenzova křivka</c:v>
                </c:pt>
              </c:strCache>
            </c:strRef>
          </c:tx>
          <c:spPr>
            <a:ln>
              <a:solidFill>
                <a:srgbClr val="9B0064"/>
              </a:solidFill>
            </a:ln>
          </c:spPr>
          <c:marker>
            <c:symbol val="diamond"/>
            <c:size val="5"/>
            <c:spPr>
              <a:solidFill>
                <a:srgbClr val="FFCD00"/>
              </a:solidFill>
              <a:ln>
                <a:noFill/>
              </a:ln>
            </c:spPr>
          </c:marker>
          <c:dLbls>
            <c:dLbl>
              <c:idx val="0"/>
              <c:delete val="1"/>
            </c:dLbl>
            <c:dLbl>
              <c:idx val="10"/>
              <c:delete val="1"/>
            </c:dLbl>
            <c:numFmt formatCode="0%" sourceLinked="0"/>
            <c:spPr>
              <a:noFill/>
              <a:ln>
                <a:noFill/>
              </a:ln>
              <a:effectLst/>
            </c:spPr>
            <c:txPr>
              <a:bodyPr rot="0" vert="horz"/>
              <a:lstStyle/>
              <a:p>
                <a:pPr>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Spojnicový!$A$22:$A$32</c:f>
              <c:numCache>
                <c:formatCode>0%</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Spojnicový!$B$22:$B$32</c:f>
              <c:numCache>
                <c:formatCode>0.00%</c:formatCode>
                <c:ptCount val="11"/>
                <c:pt idx="0" formatCode="0%">
                  <c:v>0</c:v>
                </c:pt>
                <c:pt idx="1">
                  <c:v>4.2497804005833861E-2</c:v>
                </c:pt>
                <c:pt idx="2">
                  <c:v>0.10358572849435878</c:v>
                </c:pt>
                <c:pt idx="3">
                  <c:v>0.17365415009137294</c:v>
                </c:pt>
                <c:pt idx="4">
                  <c:v>0.25094820628075082</c:v>
                </c:pt>
                <c:pt idx="5">
                  <c:v>0.33544669760058154</c:v>
                </c:pt>
                <c:pt idx="6">
                  <c:v>0.42826768399851484</c:v>
                </c:pt>
                <c:pt idx="7">
                  <c:v>0.5313400860453189</c:v>
                </c:pt>
                <c:pt idx="8">
                  <c:v>0.64783598994341163</c:v>
                </c:pt>
                <c:pt idx="9">
                  <c:v>0.78563830599860596</c:v>
                </c:pt>
                <c:pt idx="10">
                  <c:v>0.99999999999999067</c:v>
                </c:pt>
              </c:numCache>
            </c:numRef>
          </c:val>
        </c:ser>
        <c:ser>
          <c:idx val="1"/>
          <c:order val="1"/>
          <c:tx>
            <c:strRef>
              <c:f>Spojnicový!$C$21</c:f>
              <c:strCache>
                <c:ptCount val="1"/>
                <c:pt idx="0">
                  <c:v>absolutní rovnost</c:v>
                </c:pt>
              </c:strCache>
            </c:strRef>
          </c:tx>
          <c:spPr>
            <a:ln>
              <a:solidFill>
                <a:srgbClr val="4BC8FF"/>
              </a:solidFill>
            </a:ln>
          </c:spPr>
          <c:marker>
            <c:symbol val="triangle"/>
            <c:size val="5"/>
            <c:spPr>
              <a:solidFill>
                <a:srgbClr val="7F7F7F"/>
              </a:solidFill>
              <a:ln>
                <a:noFill/>
              </a:ln>
            </c:spPr>
          </c:marker>
          <c:dLbls>
            <c:dLbl>
              <c:idx val="0"/>
              <c:delete val="1"/>
            </c:dLbl>
            <c:spPr>
              <a:noFill/>
              <a:ln>
                <a:noFill/>
              </a:ln>
              <a:effectLst/>
            </c:spPr>
            <c:txPr>
              <a:bodyPr rot="0" vert="horz"/>
              <a:lstStyle/>
              <a:p>
                <a:pPr>
                  <a:defRPr/>
                </a:pPr>
                <a:endParaRPr lang="cs-CZ"/>
              </a:p>
            </c:txPr>
            <c:dLblPos val="l"/>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Spojnicový!$A$22:$A$32</c:f>
              <c:numCache>
                <c:formatCode>0%</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Spojnicový!$C$22:$C$32</c:f>
              <c:numCache>
                <c:formatCode>0%</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val>
        </c:ser>
        <c:dLbls>
          <c:showVal val="1"/>
        </c:dLbls>
        <c:marker val="1"/>
        <c:axId val="158657536"/>
        <c:axId val="158660096"/>
      </c:lineChart>
      <c:catAx>
        <c:axId val="158657536"/>
        <c:scaling>
          <c:orientation val="minMax"/>
        </c:scaling>
        <c:axPos val="b"/>
        <c:majorGridlines>
          <c:spPr>
            <a:ln w="3175"/>
          </c:spPr>
        </c:majorGridlines>
        <c:title>
          <c:tx>
            <c:rich>
              <a:bodyPr/>
              <a:lstStyle/>
              <a:p>
                <a:pPr>
                  <a:defRPr/>
                </a:pPr>
                <a:r>
                  <a:rPr lang="en-US"/>
                  <a:t>osoby dle </a:t>
                </a:r>
                <a:r>
                  <a:rPr lang="cs-CZ"/>
                  <a:t>měsíčního</a:t>
                </a:r>
                <a:r>
                  <a:rPr lang="en-US"/>
                  <a:t> disponibilního příjmu na EJ</a:t>
                </a:r>
              </a:p>
            </c:rich>
          </c:tx>
          <c:layout>
            <c:manualLayout>
              <c:xMode val="edge"/>
              <c:yMode val="edge"/>
              <c:x val="0.25556626317232989"/>
              <c:y val="0.92884722742990966"/>
            </c:manualLayout>
          </c:layout>
        </c:title>
        <c:numFmt formatCode="0%" sourceLinked="1"/>
        <c:majorTickMark val="none"/>
        <c:tickLblPos val="nextTo"/>
        <c:spPr>
          <a:ln>
            <a:solidFill>
              <a:schemeClr val="bg1">
                <a:lumMod val="65000"/>
              </a:schemeClr>
            </a:solidFill>
          </a:ln>
        </c:spPr>
        <c:txPr>
          <a:bodyPr rot="-60000000" vert="horz"/>
          <a:lstStyle/>
          <a:p>
            <a:pPr>
              <a:defRPr/>
            </a:pPr>
            <a:endParaRPr lang="cs-CZ"/>
          </a:p>
        </c:txPr>
        <c:crossAx val="158660096"/>
        <c:crosses val="autoZero"/>
        <c:auto val="1"/>
        <c:lblAlgn val="ctr"/>
        <c:lblOffset val="100"/>
        <c:tickLblSkip val="1"/>
      </c:catAx>
      <c:valAx>
        <c:axId val="158660096"/>
        <c:scaling>
          <c:orientation val="minMax"/>
          <c:max val="1"/>
        </c:scaling>
        <c:axPos val="l"/>
        <c:majorGridlines/>
        <c:title>
          <c:tx>
            <c:rich>
              <a:bodyPr rot="-5400000" vert="horz"/>
              <a:lstStyle/>
              <a:p>
                <a:pPr>
                  <a:defRPr/>
                </a:pPr>
                <a:r>
                  <a:rPr lang="en-US"/>
                  <a:t>celkové příjmy osob</a:t>
                </a:r>
              </a:p>
            </c:rich>
          </c:tx>
          <c:layout>
            <c:manualLayout>
              <c:xMode val="edge"/>
              <c:yMode val="edge"/>
              <c:x val="0"/>
              <c:y val="0.29659925842602625"/>
            </c:manualLayout>
          </c:layout>
        </c:title>
        <c:numFmt formatCode="0%" sourceLinked="0"/>
        <c:majorTickMark val="none"/>
        <c:tickLblPos val="nextTo"/>
        <c:spPr>
          <a:ln>
            <a:solidFill>
              <a:schemeClr val="bg1">
                <a:lumMod val="65000"/>
              </a:schemeClr>
            </a:solidFill>
          </a:ln>
        </c:spPr>
        <c:txPr>
          <a:bodyPr rot="-60000000" vert="horz"/>
          <a:lstStyle/>
          <a:p>
            <a:pPr>
              <a:defRPr/>
            </a:pPr>
            <a:endParaRPr lang="cs-CZ"/>
          </a:p>
        </c:txPr>
        <c:crossAx val="158657536"/>
        <c:crosses val="autoZero"/>
        <c:crossBetween val="midCat"/>
      </c:valAx>
      <c:spPr>
        <a:solidFill>
          <a:srgbClr val="F8F8F8"/>
        </a:solidFill>
        <a:ln>
          <a:noFill/>
        </a:ln>
      </c:spPr>
    </c:plotArea>
    <c:legend>
      <c:legendPos val="r"/>
      <c:layout>
        <c:manualLayout>
          <c:xMode val="edge"/>
          <c:yMode val="edge"/>
          <c:x val="0.5675760048066214"/>
          <c:y val="0.60086455859684262"/>
          <c:w val="0.37459266989217177"/>
          <c:h val="0.15664441944757107"/>
        </c:manualLayout>
      </c:layout>
      <c:txPr>
        <a:bodyPr rot="0" vert="horz"/>
        <a:lstStyle/>
        <a:p>
          <a:pPr>
            <a:defRPr/>
          </a:pPr>
          <a:endParaRPr lang="cs-CZ"/>
        </a:p>
      </c:txPr>
    </c:legend>
    <c:plotVisOnly val="1"/>
    <c:dispBlanksAs val="gap"/>
  </c:chart>
  <c:spPr>
    <a:ln>
      <a:noFill/>
    </a:ln>
  </c:spPr>
  <c:txPr>
    <a:bodyPr/>
    <a:lstStyle/>
    <a:p>
      <a:pPr>
        <a:defRPr>
          <a:latin typeface="Arial Narrow" pitchFamily="34" charset="0"/>
        </a:defRPr>
      </a:pPr>
      <a:endParaRPr lang="cs-CZ"/>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18"/>
  <c:chart>
    <c:autoTitleDeleted val="1"/>
    <c:plotArea>
      <c:layout>
        <c:manualLayout>
          <c:layoutTarget val="inner"/>
          <c:xMode val="edge"/>
          <c:yMode val="edge"/>
          <c:x val="0.12492582044265831"/>
          <c:y val="2.8252417645655281E-2"/>
          <c:w val="0.75588466335325488"/>
          <c:h val="0.80845649641388906"/>
        </c:manualLayout>
      </c:layout>
      <c:barChart>
        <c:barDir val="col"/>
        <c:grouping val="stacked"/>
        <c:ser>
          <c:idx val="0"/>
          <c:order val="0"/>
          <c:tx>
            <c:strRef>
              <c:f>box_plot!$C$21</c:f>
              <c:strCache>
                <c:ptCount val="1"/>
                <c:pt idx="0">
                  <c:v>0,2</c:v>
                </c:pt>
              </c:strCache>
            </c:strRef>
          </c:tx>
          <c:spPr>
            <a:noFill/>
            <a:ln>
              <a:noFill/>
            </a:ln>
          </c:spPr>
          <c:cat>
            <c:strRef>
              <c:f>box_plot!$A$22:$A$26</c:f>
              <c:strCache>
                <c:ptCount val="5"/>
                <c:pt idx="0">
                  <c:v>osoby celkem</c:v>
                </c:pt>
                <c:pt idx="1">
                  <c:v>Základní</c:v>
                </c:pt>
                <c:pt idx="2">
                  <c:v>Středoškolské bez maturity</c:v>
                </c:pt>
                <c:pt idx="3">
                  <c:v>Středoškolské s maturitou</c:v>
                </c:pt>
                <c:pt idx="4">
                  <c:v>Terciární</c:v>
                </c:pt>
              </c:strCache>
            </c:strRef>
          </c:cat>
          <c:val>
            <c:numRef>
              <c:f>box_plot!$C$22:$C$26</c:f>
              <c:numCache>
                <c:formatCode>_-* #,##0\ _K_č_-;\-* #,##0\ _K_č_-;_-* "-"??\ _K_č_-;_-@_-</c:formatCode>
                <c:ptCount val="5"/>
                <c:pt idx="0">
                  <c:v>12016</c:v>
                </c:pt>
                <c:pt idx="1">
                  <c:v>9919</c:v>
                </c:pt>
                <c:pt idx="2">
                  <c:v>11641.055555555555</c:v>
                </c:pt>
                <c:pt idx="3">
                  <c:v>13160</c:v>
                </c:pt>
                <c:pt idx="4">
                  <c:v>15683.84920634921</c:v>
                </c:pt>
              </c:numCache>
            </c:numRef>
          </c:val>
        </c:ser>
        <c:ser>
          <c:idx val="1"/>
          <c:order val="1"/>
          <c:tx>
            <c:strRef>
              <c:f>box_plot!$D$21</c:f>
              <c:strCache>
                <c:ptCount val="1"/>
                <c:pt idx="0">
                  <c:v>0,5</c:v>
                </c:pt>
              </c:strCache>
            </c:strRef>
          </c:tx>
          <c:spPr>
            <a:solidFill>
              <a:srgbClr val="4BC8FF"/>
            </a:solidFill>
            <a:scene3d>
              <a:camera prst="orthographicFront"/>
              <a:lightRig rig="threePt" dir="t"/>
            </a:scene3d>
            <a:sp3d>
              <a:bevelT w="57150" h="57150"/>
              <a:bevelB/>
            </a:sp3d>
          </c:spPr>
          <c:cat>
            <c:strRef>
              <c:f>box_plot!$A$22:$A$26</c:f>
              <c:strCache>
                <c:ptCount val="5"/>
                <c:pt idx="0">
                  <c:v>osoby celkem</c:v>
                </c:pt>
                <c:pt idx="1">
                  <c:v>Základní</c:v>
                </c:pt>
                <c:pt idx="2">
                  <c:v>Středoškolské bez maturity</c:v>
                </c:pt>
                <c:pt idx="3">
                  <c:v>Středoškolské s maturitou</c:v>
                </c:pt>
                <c:pt idx="4">
                  <c:v>Terciární</c:v>
                </c:pt>
              </c:strCache>
            </c:strRef>
          </c:cat>
          <c:val>
            <c:numRef>
              <c:f>box_plot!$D$22:$D$26</c:f>
              <c:numCache>
                <c:formatCode>_-* #,##0\ _K_č_-;\-* #,##0\ _K_č_-;_-* "-"??\ _K_č_-;_-@_-</c:formatCode>
                <c:ptCount val="5"/>
                <c:pt idx="0">
                  <c:v>4107.9682539682535</c:v>
                </c:pt>
                <c:pt idx="1">
                  <c:v>3244.8888888888887</c:v>
                </c:pt>
                <c:pt idx="2">
                  <c:v>3329.4494949494965</c:v>
                </c:pt>
                <c:pt idx="3">
                  <c:v>4347.1296296296914</c:v>
                </c:pt>
                <c:pt idx="4">
                  <c:v>5218.75079365082</c:v>
                </c:pt>
              </c:numCache>
            </c:numRef>
          </c:val>
        </c:ser>
        <c:ser>
          <c:idx val="2"/>
          <c:order val="2"/>
          <c:tx>
            <c:strRef>
              <c:f>box_plot!$E$21</c:f>
              <c:strCache>
                <c:ptCount val="1"/>
                <c:pt idx="0">
                  <c:v>0,8</c:v>
                </c:pt>
              </c:strCache>
            </c:strRef>
          </c:tx>
          <c:spPr>
            <a:solidFill>
              <a:srgbClr val="9B0064"/>
            </a:solidFill>
            <a:scene3d>
              <a:camera prst="orthographicFront"/>
              <a:lightRig rig="threePt" dir="t"/>
            </a:scene3d>
            <a:sp3d>
              <a:bevelT w="57150" h="57150"/>
              <a:bevelB/>
            </a:sp3d>
          </c:spPr>
          <c:errBars>
            <c:errBarType val="both"/>
            <c:errValType val="cust"/>
            <c:plus>
              <c:numRef>
                <c:f>box_plot!$F$22:$F$26</c:f>
                <c:numCache>
                  <c:formatCode>General</c:formatCode>
                  <c:ptCount val="5"/>
                  <c:pt idx="0">
                    <c:v>5319.9888888888663</c:v>
                  </c:pt>
                  <c:pt idx="1">
                    <c:v>2814.8333333333658</c:v>
                  </c:pt>
                  <c:pt idx="2">
                    <c:v>3631.1538461538457</c:v>
                  </c:pt>
                  <c:pt idx="3">
                    <c:v>5006.9444444444416</c:v>
                  </c:pt>
                  <c:pt idx="4">
                    <c:v>9008.5972222222226</c:v>
                  </c:pt>
                </c:numCache>
              </c:numRef>
            </c:plus>
            <c:minus>
              <c:numRef>
                <c:f>box_plot!$B$22:$B$26</c:f>
                <c:numCache>
                  <c:formatCode>General</c:formatCode>
                  <c:ptCount val="5"/>
                  <c:pt idx="0">
                    <c:v>12700.285714285705</c:v>
                  </c:pt>
                  <c:pt idx="1">
                    <c:v>8989.7777777777774</c:v>
                  </c:pt>
                  <c:pt idx="2">
                    <c:v>10159.106570512869</c:v>
                  </c:pt>
                  <c:pt idx="3">
                    <c:v>13427.571428571438</c:v>
                  </c:pt>
                  <c:pt idx="4">
                    <c:v>19167.777777777756</c:v>
                  </c:pt>
                </c:numCache>
              </c:numRef>
            </c:minus>
            <c:spPr>
              <a:ln>
                <a:solidFill>
                  <a:schemeClr val="tx1"/>
                </a:solidFill>
              </a:ln>
            </c:spPr>
          </c:errBars>
          <c:cat>
            <c:strRef>
              <c:f>box_plot!$A$22:$A$26</c:f>
              <c:strCache>
                <c:ptCount val="5"/>
                <c:pt idx="0">
                  <c:v>osoby celkem</c:v>
                </c:pt>
                <c:pt idx="1">
                  <c:v>Základní</c:v>
                </c:pt>
                <c:pt idx="2">
                  <c:v>Středoškolské bez maturity</c:v>
                </c:pt>
                <c:pt idx="3">
                  <c:v>Středoškolské s maturitou</c:v>
                </c:pt>
                <c:pt idx="4">
                  <c:v>Terciární</c:v>
                </c:pt>
              </c:strCache>
            </c:strRef>
          </c:cat>
          <c:val>
            <c:numRef>
              <c:f>box_plot!$E$22:$E$26</c:f>
              <c:numCache>
                <c:formatCode>_-* #,##0\ _K_č_-;\-* #,##0\ _K_č_-;_-* "-"??\ _K_č_-;_-@_-</c:formatCode>
                <c:ptCount val="5"/>
                <c:pt idx="0">
                  <c:v>6683.9761904761872</c:v>
                </c:pt>
                <c:pt idx="1">
                  <c:v>3842.5555555555729</c:v>
                </c:pt>
                <c:pt idx="2">
                  <c:v>4957.5077700077691</c:v>
                </c:pt>
                <c:pt idx="3">
                  <c:v>7031.8703703703686</c:v>
                </c:pt>
                <c:pt idx="4">
                  <c:v>11543.177777777775</c:v>
                </c:pt>
              </c:numCache>
            </c:numRef>
          </c:val>
        </c:ser>
        <c:gapWidth val="130"/>
        <c:overlap val="100"/>
        <c:axId val="139981952"/>
        <c:axId val="139983872"/>
      </c:barChart>
      <c:lineChart>
        <c:grouping val="standard"/>
        <c:ser>
          <c:idx val="3"/>
          <c:order val="3"/>
          <c:tx>
            <c:strRef>
              <c:f>box_plot!$G$21</c:f>
              <c:strCache>
                <c:ptCount val="1"/>
                <c:pt idx="0">
                  <c:v>průměr</c:v>
                </c:pt>
              </c:strCache>
            </c:strRef>
          </c:tx>
          <c:spPr>
            <a:ln>
              <a:noFill/>
            </a:ln>
          </c:spPr>
          <c:marker>
            <c:symbol val="square"/>
            <c:size val="7"/>
            <c:spPr>
              <a:solidFill>
                <a:srgbClr val="FFCD00"/>
              </a:solidFill>
              <a:ln>
                <a:solidFill>
                  <a:srgbClr val="7F7F7F"/>
                </a:solidFill>
              </a:ln>
              <a:scene3d>
                <a:camera prst="orthographicFront"/>
                <a:lightRig rig="threePt" dir="t"/>
              </a:scene3d>
              <a:sp3d>
                <a:bevelT w="12700"/>
              </a:sp3d>
            </c:spPr>
          </c:marker>
          <c:dLbls>
            <c:dLbl>
              <c:idx val="0"/>
              <c:layout>
                <c:manualLayout>
                  <c:x val="9.4562647754137547E-3"/>
                  <c:y val="3.5650623885918005E-2"/>
                </c:manualLayout>
              </c:layout>
              <c:tx>
                <c:rich>
                  <a:bodyPr/>
                  <a:lstStyle/>
                  <a:p>
                    <a:r>
                      <a:rPr lang="cs-CZ"/>
                      <a:t>16 124</a:t>
                    </a:r>
                    <a:endParaRPr lang="en-US"/>
                  </a:p>
                </c:rich>
              </c:tx>
              <c:dLblPos val="r"/>
              <c:showVal val="1"/>
            </c:dLbl>
            <c:dLbl>
              <c:idx val="1"/>
              <c:layout>
                <c:manualLayout>
                  <c:x val="1.1820330969267328E-2"/>
                  <c:y val="1.0694906452201496E-2"/>
                </c:manualLayout>
              </c:layout>
              <c:tx>
                <c:rich>
                  <a:bodyPr/>
                  <a:lstStyle/>
                  <a:p>
                    <a:r>
                      <a:rPr lang="cs-CZ"/>
                      <a:t>13 164</a:t>
                    </a:r>
                    <a:endParaRPr lang="en-US"/>
                  </a:p>
                </c:rich>
              </c:tx>
              <c:dLblPos val="r"/>
              <c:showVal val="1"/>
            </c:dLbl>
            <c:dLbl>
              <c:idx val="2"/>
              <c:layout>
                <c:manualLayout>
                  <c:x val="1.1820330969267288E-2"/>
                  <c:y val="4.6345811051693414E-2"/>
                </c:manualLayout>
              </c:layout>
              <c:tx>
                <c:rich>
                  <a:bodyPr/>
                  <a:lstStyle/>
                  <a:p>
                    <a:r>
                      <a:rPr lang="cs-CZ"/>
                      <a:t>14 971</a:t>
                    </a:r>
                    <a:endParaRPr lang="en-US"/>
                  </a:p>
                </c:rich>
              </c:tx>
              <c:dLblPos val="r"/>
              <c:showVal val="1"/>
            </c:dLbl>
            <c:dLbl>
              <c:idx val="3"/>
              <c:layout>
                <c:manualLayout>
                  <c:x val="1.1820144822322761E-2"/>
                  <c:y val="3.2085000070178657E-2"/>
                </c:manualLayout>
              </c:layout>
              <c:tx>
                <c:rich>
                  <a:bodyPr/>
                  <a:lstStyle/>
                  <a:p>
                    <a:r>
                      <a:rPr lang="cs-CZ"/>
                      <a:t>17 507</a:t>
                    </a:r>
                    <a:endParaRPr lang="en-US"/>
                  </a:p>
                </c:rich>
              </c:tx>
              <c:dLblPos val="r"/>
              <c:showVal val="1"/>
            </c:dLbl>
            <c:dLbl>
              <c:idx val="4"/>
              <c:layout>
                <c:manualLayout>
                  <c:x val="2.1276595744680847E-2"/>
                  <c:y val="8.1996434937611426E-2"/>
                </c:manualLayout>
              </c:layout>
              <c:tx>
                <c:rich>
                  <a:bodyPr/>
                  <a:lstStyle/>
                  <a:p>
                    <a:r>
                      <a:rPr lang="cs-CZ"/>
                      <a:t>21 617</a:t>
                    </a:r>
                    <a:endParaRPr lang="en-US"/>
                  </a:p>
                </c:rich>
              </c:tx>
              <c:dLblPos val="r"/>
              <c:showVal val="1"/>
            </c:dLbl>
            <c:numFmt formatCode="#,##0" sourceLinked="0"/>
            <c:txPr>
              <a:bodyPr/>
              <a:lstStyle/>
              <a:p>
                <a:pPr>
                  <a:defRPr sz="1200"/>
                </a:pPr>
                <a:endParaRPr lang="cs-CZ"/>
              </a:p>
            </c:txPr>
            <c:dLblPos val="r"/>
            <c:showVal val="1"/>
          </c:dLbls>
          <c:cat>
            <c:strRef>
              <c:f>box_plot!$A$22:$A$26</c:f>
              <c:strCache>
                <c:ptCount val="5"/>
                <c:pt idx="0">
                  <c:v>osoby celkem</c:v>
                </c:pt>
                <c:pt idx="1">
                  <c:v>Základní</c:v>
                </c:pt>
                <c:pt idx="2">
                  <c:v>Středoškolské bez maturity</c:v>
                </c:pt>
                <c:pt idx="3">
                  <c:v>Středoškolské s maturitou</c:v>
                </c:pt>
                <c:pt idx="4">
                  <c:v>Terciární</c:v>
                </c:pt>
              </c:strCache>
            </c:strRef>
          </c:cat>
          <c:val>
            <c:numRef>
              <c:f>box_plot!$G$22:$G$26</c:f>
              <c:numCache>
                <c:formatCode>_-* #,##0\ _K_č_-;\-* #,##0\ _K_č_-;_-* "-"??\ _K_č_-;_-@_-</c:formatCode>
                <c:ptCount val="5"/>
                <c:pt idx="0">
                  <c:v>18221.760042907947</c:v>
                </c:pt>
                <c:pt idx="1">
                  <c:v>13613.271127586455</c:v>
                </c:pt>
                <c:pt idx="2">
                  <c:v>16215.732572360877</c:v>
                </c:pt>
                <c:pt idx="3">
                  <c:v>19466.234094406649</c:v>
                </c:pt>
                <c:pt idx="4">
                  <c:v>25141.965582743542</c:v>
                </c:pt>
              </c:numCache>
            </c:numRef>
          </c:val>
        </c:ser>
        <c:marker val="1"/>
        <c:axId val="139981952"/>
        <c:axId val="139983872"/>
      </c:lineChart>
      <c:catAx>
        <c:axId val="139981952"/>
        <c:scaling>
          <c:orientation val="minMax"/>
        </c:scaling>
        <c:axPos val="b"/>
        <c:title>
          <c:tx>
            <c:rich>
              <a:bodyPr/>
              <a:lstStyle/>
              <a:p>
                <a:pPr>
                  <a:defRPr/>
                </a:pPr>
                <a:r>
                  <a:rPr lang="en-US"/>
                  <a:t>Nejvyšší dokončené vzdělání</a:t>
                </a:r>
              </a:p>
            </c:rich>
          </c:tx>
          <c:layout>
            <c:manualLayout>
              <c:xMode val="edge"/>
              <c:yMode val="edge"/>
              <c:x val="0.36221998845888947"/>
              <c:y val="0.94513986553820062"/>
            </c:manualLayout>
          </c:layout>
        </c:title>
        <c:numFmt formatCode="General" sourceLinked="1"/>
        <c:majorTickMark val="none"/>
        <c:tickLblPos val="nextTo"/>
        <c:spPr>
          <a:ln>
            <a:solidFill>
              <a:schemeClr val="bg1">
                <a:lumMod val="65000"/>
              </a:schemeClr>
            </a:solidFill>
          </a:ln>
        </c:spPr>
        <c:txPr>
          <a:bodyPr rot="-60000000" vert="horz"/>
          <a:lstStyle/>
          <a:p>
            <a:pPr>
              <a:defRPr/>
            </a:pPr>
            <a:endParaRPr lang="cs-CZ"/>
          </a:p>
        </c:txPr>
        <c:crossAx val="139983872"/>
        <c:crosses val="autoZero"/>
        <c:auto val="1"/>
        <c:lblAlgn val="ctr"/>
        <c:lblOffset val="100"/>
      </c:catAx>
      <c:valAx>
        <c:axId val="139983872"/>
        <c:scaling>
          <c:orientation val="minMax"/>
          <c:max val="40000"/>
        </c:scaling>
        <c:axPos val="l"/>
        <c:majorGridlines/>
        <c:title>
          <c:tx>
            <c:rich>
              <a:bodyPr rot="-5400000" vert="horz"/>
              <a:lstStyle/>
              <a:p>
                <a:pPr>
                  <a:defRPr/>
                </a:pPr>
                <a:r>
                  <a:rPr lang="en-US"/>
                  <a:t>Ner</a:t>
                </a:r>
                <a:r>
                  <a:rPr lang="cs-CZ"/>
                  <a:t>o</a:t>
                </a:r>
                <a:r>
                  <a:rPr lang="en-US"/>
                  <a:t>vnost příjm</a:t>
                </a:r>
                <a:r>
                  <a:rPr lang="cs-CZ"/>
                  <a:t>ů</a:t>
                </a:r>
                <a:r>
                  <a:rPr lang="cs-CZ" baseline="0"/>
                  <a:t> (Kč/ měsíc)</a:t>
                </a:r>
                <a:endParaRPr lang="en-US"/>
              </a:p>
            </c:rich>
          </c:tx>
          <c:layout>
            <c:manualLayout>
              <c:xMode val="edge"/>
              <c:yMode val="edge"/>
              <c:x val="1.2489806485744628E-3"/>
              <c:y val="0.19715478273549239"/>
            </c:manualLayout>
          </c:layout>
        </c:title>
        <c:numFmt formatCode="#,##0" sourceLinked="0"/>
        <c:majorTickMark val="none"/>
        <c:tickLblPos val="nextTo"/>
        <c:spPr>
          <a:ln>
            <a:solidFill>
              <a:schemeClr val="bg1">
                <a:lumMod val="65000"/>
              </a:schemeClr>
            </a:solidFill>
          </a:ln>
        </c:spPr>
        <c:txPr>
          <a:bodyPr rot="-60000000" vert="horz"/>
          <a:lstStyle/>
          <a:p>
            <a:pPr>
              <a:defRPr/>
            </a:pPr>
            <a:endParaRPr lang="cs-CZ"/>
          </a:p>
        </c:txPr>
        <c:crossAx val="139981952"/>
        <c:crosses val="autoZero"/>
        <c:crossBetween val="between"/>
      </c:valAx>
      <c:spPr>
        <a:solidFill>
          <a:srgbClr val="F8F8F8"/>
        </a:solidFill>
        <a:ln>
          <a:solidFill>
            <a:schemeClr val="bg1">
              <a:lumMod val="65000"/>
            </a:schemeClr>
          </a:solidFill>
        </a:ln>
      </c:spPr>
    </c:plotArea>
    <c:plotVisOnly val="1"/>
    <c:dispBlanksAs val="gap"/>
  </c:chart>
  <c:spPr>
    <a:ln>
      <a:noFill/>
    </a:ln>
  </c:spPr>
  <c:txPr>
    <a:bodyPr/>
    <a:lstStyle/>
    <a:p>
      <a:pPr>
        <a:defRPr>
          <a:latin typeface="Arial Narrow" pitchFamily="34" charset="0"/>
        </a:defRPr>
      </a:pPr>
      <a:endParaRPr lang="cs-CZ"/>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18"/>
  <c:chart>
    <c:autoTitleDeleted val="1"/>
    <c:plotArea>
      <c:layout>
        <c:manualLayout>
          <c:layoutTarget val="inner"/>
          <c:xMode val="edge"/>
          <c:yMode val="edge"/>
          <c:x val="0.15244848537579436"/>
          <c:y val="1.8728658917635397E-2"/>
          <c:w val="0.66966720320181405"/>
          <c:h val="0.84187882764655086"/>
        </c:manualLayout>
      </c:layout>
      <c:barChart>
        <c:barDir val="col"/>
        <c:grouping val="stacked"/>
        <c:ser>
          <c:idx val="0"/>
          <c:order val="0"/>
          <c:tx>
            <c:strRef>
              <c:f>Sloupcový!$A$20</c:f>
              <c:strCache>
                <c:ptCount val="1"/>
                <c:pt idx="0">
                  <c:v>Základní</c:v>
                </c:pt>
              </c:strCache>
            </c:strRef>
          </c:tx>
          <c:spPr>
            <a:solidFill>
              <a:srgbClr val="0091D2"/>
            </a:solidFill>
          </c:spPr>
          <c:dLbls>
            <c:spPr>
              <a:noFill/>
              <a:ln>
                <a:noFill/>
              </a:ln>
              <a:effectLst/>
            </c:spPr>
            <c:txPr>
              <a:bodyPr rot="0" vert="horz"/>
              <a:lstStyle/>
              <a:p>
                <a:pPr>
                  <a:defRPr>
                    <a:solidFill>
                      <a:schemeClr val="bg1"/>
                    </a:solidFill>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Sloupcový!$B$19:$C$19</c:f>
              <c:strCache>
                <c:ptCount val="2"/>
                <c:pt idx="0">
                  <c:v>n</c:v>
                </c:pt>
                <c:pt idx="1">
                  <c:v>w</c:v>
                </c:pt>
              </c:strCache>
            </c:strRef>
          </c:cat>
          <c:val>
            <c:numRef>
              <c:f>Sloupcový!$B$20:$C$20</c:f>
              <c:numCache>
                <c:formatCode>0.0%</c:formatCode>
                <c:ptCount val="2"/>
                <c:pt idx="0">
                  <c:v>0.10624328598998445</c:v>
                </c:pt>
                <c:pt idx="1">
                  <c:v>7.805648837717287E-2</c:v>
                </c:pt>
              </c:numCache>
            </c:numRef>
          </c:val>
        </c:ser>
        <c:ser>
          <c:idx val="1"/>
          <c:order val="1"/>
          <c:tx>
            <c:strRef>
              <c:f>Sloupcový!$A$21</c:f>
              <c:strCache>
                <c:ptCount val="1"/>
                <c:pt idx="0">
                  <c:v>Středoškolské bez maturity</c:v>
                </c:pt>
              </c:strCache>
            </c:strRef>
          </c:tx>
          <c:spPr>
            <a:solidFill>
              <a:srgbClr val="4BC8FF"/>
            </a:solidFill>
          </c:spPr>
          <c:dLbls>
            <c:spPr>
              <a:noFill/>
              <a:ln>
                <a:noFill/>
              </a:ln>
              <a:effectLst/>
            </c:spPr>
            <c:txPr>
              <a:bodyPr rot="0" vert="horz"/>
              <a:lstStyle/>
              <a:p>
                <a:pPr>
                  <a:defRPr/>
                </a:pPr>
                <a:endParaRPr lang="cs-CZ"/>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Sloupcový!$B$19:$C$19</c:f>
              <c:strCache>
                <c:ptCount val="2"/>
                <c:pt idx="0">
                  <c:v>n</c:v>
                </c:pt>
                <c:pt idx="1">
                  <c:v>w</c:v>
                </c:pt>
              </c:strCache>
            </c:strRef>
          </c:cat>
          <c:val>
            <c:numRef>
              <c:f>Sloupcový!$B$21:$C$21</c:f>
              <c:numCache>
                <c:formatCode>0.0%</c:formatCode>
                <c:ptCount val="2"/>
                <c:pt idx="0">
                  <c:v>0.38283192478345501</c:v>
                </c:pt>
                <c:pt idx="1">
                  <c:v>0.33503466224771927</c:v>
                </c:pt>
              </c:numCache>
            </c:numRef>
          </c:val>
        </c:ser>
        <c:ser>
          <c:idx val="2"/>
          <c:order val="2"/>
          <c:tx>
            <c:strRef>
              <c:f>Sloupcový!$A$22</c:f>
              <c:strCache>
                <c:ptCount val="1"/>
                <c:pt idx="0">
                  <c:v>Středoškolské s maturitou</c:v>
                </c:pt>
              </c:strCache>
            </c:strRef>
          </c:tx>
          <c:spPr>
            <a:solidFill>
              <a:srgbClr val="9B0064"/>
            </a:solidFill>
          </c:spPr>
          <c:dLbls>
            <c:txPr>
              <a:bodyPr/>
              <a:lstStyle/>
              <a:p>
                <a:pPr>
                  <a:defRPr>
                    <a:solidFill>
                      <a:schemeClr val="bg1"/>
                    </a:solidFill>
                  </a:defRPr>
                </a:pPr>
                <a:endParaRPr lang="cs-CZ"/>
              </a:p>
            </c:txPr>
            <c:showVal val="1"/>
          </c:dLbls>
          <c:cat>
            <c:strRef>
              <c:f>Sloupcový!$B$19:$C$19</c:f>
              <c:strCache>
                <c:ptCount val="2"/>
                <c:pt idx="0">
                  <c:v>n</c:v>
                </c:pt>
                <c:pt idx="1">
                  <c:v>w</c:v>
                </c:pt>
              </c:strCache>
            </c:strRef>
          </c:cat>
          <c:val>
            <c:numRef>
              <c:f>Sloupcový!$B$22:$C$22</c:f>
              <c:numCache>
                <c:formatCode>0.0%</c:formatCode>
                <c:ptCount val="2"/>
                <c:pt idx="0">
                  <c:v>0.34722296608927078</c:v>
                </c:pt>
                <c:pt idx="1">
                  <c:v>0.36478368394762056</c:v>
                </c:pt>
              </c:numCache>
            </c:numRef>
          </c:val>
        </c:ser>
        <c:ser>
          <c:idx val="3"/>
          <c:order val="3"/>
          <c:tx>
            <c:strRef>
              <c:f>Sloupcový!$A$23</c:f>
              <c:strCache>
                <c:ptCount val="1"/>
                <c:pt idx="0">
                  <c:v>Terciární</c:v>
                </c:pt>
              </c:strCache>
            </c:strRef>
          </c:tx>
          <c:spPr>
            <a:solidFill>
              <a:srgbClr val="FFCD00"/>
            </a:solidFill>
          </c:spPr>
          <c:cat>
            <c:strRef>
              <c:f>Sloupcový!$B$19:$C$19</c:f>
              <c:strCache>
                <c:ptCount val="2"/>
                <c:pt idx="0">
                  <c:v>n</c:v>
                </c:pt>
                <c:pt idx="1">
                  <c:v>w</c:v>
                </c:pt>
              </c:strCache>
            </c:strRef>
          </c:cat>
          <c:val>
            <c:numRef>
              <c:f>Sloupcový!$B$23:$C$23</c:f>
              <c:numCache>
                <c:formatCode>0.0%</c:formatCode>
                <c:ptCount val="2"/>
                <c:pt idx="0">
                  <c:v>0.16370182313729653</c:v>
                </c:pt>
                <c:pt idx="1">
                  <c:v>0.22212516542749391</c:v>
                </c:pt>
              </c:numCache>
            </c:numRef>
          </c:val>
        </c:ser>
        <c:dLbls>
          <c:showVal val="1"/>
        </c:dLbls>
        <c:gapWidth val="50"/>
        <c:overlap val="100"/>
        <c:axId val="150415232"/>
        <c:axId val="150552576"/>
      </c:barChart>
      <c:catAx>
        <c:axId val="150415232"/>
        <c:scaling>
          <c:orientation val="minMax"/>
        </c:scaling>
        <c:axPos val="b"/>
        <c:title>
          <c:tx>
            <c:rich>
              <a:bodyPr/>
              <a:lstStyle/>
              <a:p>
                <a:pPr>
                  <a:defRPr/>
                </a:pPr>
                <a:r>
                  <a:rPr lang="en-US"/>
                  <a:t>Rozdělení počtu osob a celkov</a:t>
                </a:r>
                <a:r>
                  <a:rPr lang="cs-CZ"/>
                  <a:t>ých</a:t>
                </a:r>
                <a:r>
                  <a:rPr lang="cs-CZ" baseline="0"/>
                  <a:t> ekvalizovaných příjmů</a:t>
                </a:r>
                <a:endParaRPr lang="en-US"/>
              </a:p>
            </c:rich>
          </c:tx>
        </c:title>
        <c:numFmt formatCode="General" sourceLinked="1"/>
        <c:majorTickMark val="none"/>
        <c:tickLblPos val="nextTo"/>
        <c:spPr>
          <a:ln>
            <a:solidFill>
              <a:schemeClr val="bg1">
                <a:lumMod val="65000"/>
              </a:schemeClr>
            </a:solidFill>
          </a:ln>
        </c:spPr>
        <c:txPr>
          <a:bodyPr rot="-60000000" vert="horz"/>
          <a:lstStyle/>
          <a:p>
            <a:pPr>
              <a:defRPr/>
            </a:pPr>
            <a:endParaRPr lang="cs-CZ"/>
          </a:p>
        </c:txPr>
        <c:crossAx val="150552576"/>
        <c:crosses val="autoZero"/>
        <c:auto val="1"/>
        <c:lblAlgn val="ctr"/>
        <c:lblOffset val="100"/>
      </c:catAx>
      <c:valAx>
        <c:axId val="150552576"/>
        <c:scaling>
          <c:orientation val="minMax"/>
          <c:max val="1"/>
        </c:scaling>
        <c:axPos val="l"/>
        <c:title>
          <c:tx>
            <c:rich>
              <a:bodyPr rot="-5400000" vert="horz"/>
              <a:lstStyle/>
              <a:p>
                <a:pPr>
                  <a:defRPr/>
                </a:pPr>
                <a:r>
                  <a:rPr lang="cs-CZ"/>
                  <a:t>Relativní zastoupení jednotlivých skupin</a:t>
                </a:r>
              </a:p>
            </c:rich>
          </c:tx>
        </c:title>
        <c:numFmt formatCode="0%" sourceLinked="0"/>
        <c:majorTickMark val="none"/>
        <c:tickLblPos val="nextTo"/>
        <c:spPr>
          <a:ln>
            <a:solidFill>
              <a:schemeClr val="bg1">
                <a:lumMod val="65000"/>
              </a:schemeClr>
            </a:solidFill>
          </a:ln>
        </c:spPr>
        <c:txPr>
          <a:bodyPr rot="-60000000" vert="horz"/>
          <a:lstStyle/>
          <a:p>
            <a:pPr>
              <a:defRPr/>
            </a:pPr>
            <a:endParaRPr lang="cs-CZ"/>
          </a:p>
        </c:txPr>
        <c:crossAx val="150415232"/>
        <c:crosses val="autoZero"/>
        <c:crossBetween val="between"/>
      </c:valAx>
      <c:spPr>
        <a:solidFill>
          <a:srgbClr val="F8F8F8"/>
        </a:solidFill>
        <a:ln>
          <a:solidFill>
            <a:schemeClr val="bg1">
              <a:lumMod val="65000"/>
            </a:schemeClr>
          </a:solidFill>
        </a:ln>
      </c:spPr>
    </c:plotArea>
    <c:legend>
      <c:legendPos val="r"/>
      <c:layout>
        <c:manualLayout>
          <c:xMode val="edge"/>
          <c:yMode val="edge"/>
          <c:x val="0.83865373181943415"/>
          <c:y val="0.29041484397784051"/>
          <c:w val="0.16134626818056591"/>
          <c:h val="0.45446415689435088"/>
        </c:manualLayout>
      </c:layout>
      <c:txPr>
        <a:bodyPr rot="0" vert="horz"/>
        <a:lstStyle/>
        <a:p>
          <a:pPr>
            <a:defRPr/>
          </a:pPr>
          <a:endParaRPr lang="cs-CZ"/>
        </a:p>
      </c:txPr>
    </c:legend>
    <c:plotVisOnly val="1"/>
    <c:dispBlanksAs val="gap"/>
  </c:chart>
  <c:spPr>
    <a:ln>
      <a:noFill/>
    </a:ln>
  </c:spPr>
  <c:txPr>
    <a:bodyPr/>
    <a:lstStyle/>
    <a:p>
      <a:pPr>
        <a:defRPr>
          <a:latin typeface="Arial Narrow" pitchFamily="34" charset="0"/>
        </a:defRPr>
      </a:pPr>
      <a:endParaRPr lang="cs-CZ"/>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18"/>
  <c:chart>
    <c:autoTitleDeleted val="1"/>
    <c:plotArea>
      <c:layout>
        <c:manualLayout>
          <c:layoutTarget val="inner"/>
          <c:xMode val="edge"/>
          <c:yMode val="edge"/>
          <c:x val="4.0361674974114969E-2"/>
          <c:y val="3.9627070411223812E-2"/>
          <c:w val="0.52881016109472856"/>
          <c:h val="0.96037295741258388"/>
        </c:manualLayout>
      </c:layout>
      <c:pieChart>
        <c:varyColors val="1"/>
        <c:ser>
          <c:idx val="0"/>
          <c:order val="0"/>
          <c:tx>
            <c:strRef>
              <c:f>Kruový!$B$12</c:f>
              <c:strCache>
                <c:ptCount val="1"/>
                <c:pt idx="0">
                  <c:v>2013</c:v>
                </c:pt>
              </c:strCache>
            </c:strRef>
          </c:tx>
          <c:dPt>
            <c:idx val="0"/>
            <c:spPr>
              <a:solidFill>
                <a:srgbClr val="0091D2"/>
              </a:solidFill>
            </c:spPr>
          </c:dPt>
          <c:dPt>
            <c:idx val="1"/>
            <c:spPr>
              <a:solidFill>
                <a:srgbClr val="4BC8FF"/>
              </a:solidFill>
            </c:spPr>
          </c:dPt>
          <c:dPt>
            <c:idx val="2"/>
            <c:spPr>
              <a:solidFill>
                <a:srgbClr val="9B0064"/>
              </a:solidFill>
            </c:spPr>
          </c:dPt>
          <c:dPt>
            <c:idx val="3"/>
            <c:spPr>
              <a:solidFill>
                <a:srgbClr val="FFCD00"/>
              </a:solidFill>
            </c:spPr>
          </c:dPt>
          <c:dPt>
            <c:idx val="4"/>
            <c:spPr>
              <a:solidFill>
                <a:srgbClr val="7F7F7F"/>
              </a:solidFill>
            </c:spPr>
          </c:dPt>
          <c:dLbls>
            <c:dLbl>
              <c:idx val="0"/>
              <c:spPr>
                <a:noFill/>
                <a:ln>
                  <a:noFill/>
                </a:ln>
                <a:effectLst/>
              </c:spPr>
              <c:txPr>
                <a:bodyPr rot="0" vert="horz"/>
                <a:lstStyle/>
                <a:p>
                  <a:pPr>
                    <a:defRPr sz="1200">
                      <a:solidFill>
                        <a:schemeClr val="bg1"/>
                      </a:solidFill>
                    </a:defRPr>
                  </a:pPr>
                  <a:endParaRPr lang="cs-CZ"/>
                </a:p>
              </c:txPr>
            </c:dLbl>
            <c:dLbl>
              <c:idx val="2"/>
              <c:spPr>
                <a:noFill/>
                <a:ln>
                  <a:noFill/>
                </a:ln>
                <a:effectLst/>
              </c:spPr>
              <c:txPr>
                <a:bodyPr rot="0" vert="horz"/>
                <a:lstStyle/>
                <a:p>
                  <a:pPr>
                    <a:defRPr sz="1200">
                      <a:solidFill>
                        <a:schemeClr val="bg1"/>
                      </a:solidFill>
                    </a:defRPr>
                  </a:pPr>
                  <a:endParaRPr lang="cs-CZ"/>
                </a:p>
              </c:txPr>
            </c:dLbl>
            <c:dLbl>
              <c:idx val="4"/>
              <c:layout>
                <c:manualLayout>
                  <c:x val="6.3335869948726822E-2"/>
                  <c:y val="0.12860765388197443"/>
                </c:manualLayout>
              </c:layout>
              <c:spPr/>
              <c:txPr>
                <a:bodyPr rot="0" vert="horz"/>
                <a:lstStyle/>
                <a:p>
                  <a:pPr>
                    <a:defRPr sz="1200">
                      <a:solidFill>
                        <a:schemeClr val="bg1"/>
                      </a:solidFill>
                    </a:defRPr>
                  </a:pPr>
                  <a:endParaRPr lang="cs-CZ"/>
                </a:p>
              </c:txPr>
              <c:dLblPos val="bestFit"/>
              <c:showVal val="1"/>
              <c:extLst>
                <c:ext xmlns:c15="http://schemas.microsoft.com/office/drawing/2012/chart" uri="{CE6537A1-D6FC-4f65-9D91-7224C49458BB}"/>
              </c:extLst>
            </c:dLbl>
            <c:dLbl>
              <c:idx val="5"/>
              <c:spPr/>
              <c:txPr>
                <a:bodyPr rot="0" vert="horz"/>
                <a:lstStyle/>
                <a:p>
                  <a:pPr>
                    <a:defRPr sz="1200">
                      <a:solidFill>
                        <a:sysClr val="windowText" lastClr="000000"/>
                      </a:solidFill>
                    </a:defRPr>
                  </a:pPr>
                  <a:endParaRPr lang="cs-CZ"/>
                </a:p>
              </c:txPr>
            </c:dLbl>
            <c:spPr>
              <a:noFill/>
              <a:ln>
                <a:noFill/>
              </a:ln>
              <a:effectLst/>
            </c:spPr>
            <c:txPr>
              <a:bodyPr rot="0" vert="horz"/>
              <a:lstStyle/>
              <a:p>
                <a:pPr>
                  <a:defRPr sz="1200">
                    <a:solidFill>
                      <a:sysClr val="windowText" lastClr="000000"/>
                    </a:solidFill>
                  </a:defRPr>
                </a:pPr>
                <a:endParaRPr lang="cs-CZ"/>
              </a:p>
            </c:txPr>
            <c:dLblPos val="inEnd"/>
            <c:showVal val="1"/>
            <c:showLeaderLines val="1"/>
            <c:extLst>
              <c:ext xmlns:c15="http://schemas.microsoft.com/office/drawing/2012/chart" uri="{CE6537A1-D6FC-4f65-9D91-7224C49458BB}"/>
            </c:extLst>
          </c:dLbls>
          <c:cat>
            <c:strRef>
              <c:f>Kruový!$A$13:$A$17</c:f>
              <c:strCache>
                <c:ptCount val="5"/>
                <c:pt idx="0">
                  <c:v>Základní</c:v>
                </c:pt>
                <c:pt idx="1">
                  <c:v>Středoškolské bez maturity</c:v>
                </c:pt>
                <c:pt idx="2">
                  <c:v>Středoškolské s maturitou</c:v>
                </c:pt>
                <c:pt idx="3">
                  <c:v>Terciární</c:v>
                </c:pt>
                <c:pt idx="4">
                  <c:v>Meziskupinový příspěvek</c:v>
                </c:pt>
              </c:strCache>
            </c:strRef>
          </c:cat>
          <c:val>
            <c:numRef>
              <c:f>Kruový!$B$13:$B$17</c:f>
              <c:numCache>
                <c:formatCode>0.0%</c:formatCode>
                <c:ptCount val="5"/>
                <c:pt idx="0">
                  <c:v>4.6434619805970904E-2</c:v>
                </c:pt>
                <c:pt idx="1">
                  <c:v>0.23721776531242109</c:v>
                </c:pt>
                <c:pt idx="2">
                  <c:v>0.31366310327873548</c:v>
                </c:pt>
                <c:pt idx="3">
                  <c:v>0.24401323346566442</c:v>
                </c:pt>
                <c:pt idx="4">
                  <c:v>0.15867127813721071</c:v>
                </c:pt>
              </c:numCache>
            </c:numRef>
          </c:val>
        </c:ser>
        <c:dLbls>
          <c:showVal val="1"/>
        </c:dLbls>
        <c:firstSliceAng val="0"/>
      </c:pieChart>
    </c:plotArea>
    <c:legend>
      <c:legendPos val="r"/>
      <c:layout>
        <c:manualLayout>
          <c:xMode val="edge"/>
          <c:yMode val="edge"/>
          <c:x val="0.60219996258567499"/>
          <c:y val="6.0129183070866087E-2"/>
          <c:w val="0.22789362992692869"/>
          <c:h val="0.86338664698162726"/>
        </c:manualLayout>
      </c:layout>
      <c:txPr>
        <a:bodyPr rot="0" vert="horz"/>
        <a:lstStyle/>
        <a:p>
          <a:pPr>
            <a:defRPr sz="1200"/>
          </a:pPr>
          <a:endParaRPr lang="cs-CZ"/>
        </a:p>
      </c:txPr>
    </c:legend>
    <c:plotVisOnly val="1"/>
    <c:dispBlanksAs val="zero"/>
  </c:chart>
  <c:spPr>
    <a:ln>
      <a:noFill/>
    </a:ln>
  </c:spPr>
  <c:txPr>
    <a:bodyPr/>
    <a:lstStyle/>
    <a:p>
      <a:pPr>
        <a:defRPr>
          <a:latin typeface="Arial Narrow"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0.22701</cdr:x>
      <cdr:y>0.19029</cdr:y>
    </cdr:from>
    <cdr:to>
      <cdr:x>0.49362</cdr:x>
      <cdr:y>0.27836</cdr:y>
    </cdr:to>
    <cdr:sp macro="" textlink="">
      <cdr:nvSpPr>
        <cdr:cNvPr id="2" name="TextovéPole 1"/>
        <cdr:cNvSpPr txBox="1"/>
      </cdr:nvSpPr>
      <cdr:spPr>
        <a:xfrm xmlns:a="http://schemas.openxmlformats.org/drawingml/2006/main">
          <a:off x="1104900" y="641645"/>
          <a:ext cx="1297678" cy="296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400" b="1"/>
            <a:t>Gini= 0,246</a:t>
          </a:r>
        </a:p>
      </cdr:txBody>
    </cdr:sp>
  </cdr:relSizeAnchor>
  <cdr:relSizeAnchor xmlns:cdr="http://schemas.openxmlformats.org/drawingml/2006/chartDrawing">
    <cdr:from>
      <cdr:x>0.21379</cdr:x>
      <cdr:y>0.15909</cdr:y>
    </cdr:from>
    <cdr:to>
      <cdr:x>0.45877</cdr:x>
      <cdr:y>0.30398</cdr:y>
    </cdr:to>
    <cdr:sp macro="" textlink="">
      <cdr:nvSpPr>
        <cdr:cNvPr id="3" name="Elipsa 2"/>
        <cdr:cNvSpPr/>
      </cdr:nvSpPr>
      <cdr:spPr>
        <a:xfrm xmlns:a="http://schemas.openxmlformats.org/drawingml/2006/main">
          <a:off x="963194" y="533400"/>
          <a:ext cx="1103731" cy="485775"/>
        </a:xfrm>
        <a:prstGeom xmlns:a="http://schemas.openxmlformats.org/drawingml/2006/main" prst="ellipse">
          <a:avLst/>
        </a:prstGeom>
        <a:noFill xmlns:a="http://schemas.openxmlformats.org/drawingml/2006/main"/>
        <a:ln xmlns:a="http://schemas.openxmlformats.org/drawingml/2006/main" w="12700" cap="flat" cmpd="sng" algn="ctr">
          <a:solidFill>
            <a:srgbClr val="0091D2"/>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cs-CZ"/>
        </a:p>
      </cdr:txBody>
    </cdr:sp>
  </cdr:relSizeAnchor>
</c:userShapes>
</file>

<file path=word/drawings/drawing2.xml><?xml version="1.0" encoding="utf-8"?>
<c:userShapes xmlns:c="http://schemas.openxmlformats.org/drawingml/2006/chart">
  <cdr:relSizeAnchor xmlns:cdr="http://schemas.openxmlformats.org/drawingml/2006/chartDrawing">
    <cdr:from>
      <cdr:x>0.12234</cdr:x>
      <cdr:y>0.67379</cdr:y>
    </cdr:from>
    <cdr:to>
      <cdr:x>0.31206</cdr:x>
      <cdr:y>0.74866</cdr:y>
    </cdr:to>
    <cdr:sp macro="" textlink="">
      <cdr:nvSpPr>
        <cdr:cNvPr id="7" name="TextovéPole 6"/>
        <cdr:cNvSpPr txBox="1"/>
      </cdr:nvSpPr>
      <cdr:spPr>
        <a:xfrm xmlns:a="http://schemas.openxmlformats.org/drawingml/2006/main">
          <a:off x="657223" y="2400276"/>
          <a:ext cx="1019178" cy="2667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200" b="1">
              <a:latin typeface="Arial Narrow" pitchFamily="34" charset="0"/>
            </a:rPr>
            <a:t>S80/S20=</a:t>
          </a:r>
          <a:r>
            <a:rPr lang="cs-CZ" sz="1200" b="1" baseline="0">
              <a:latin typeface="Arial Narrow" pitchFamily="34" charset="0"/>
            </a:rPr>
            <a:t> 3,4</a:t>
          </a:r>
          <a:endParaRPr lang="cs-CZ" sz="1200" b="1">
            <a:latin typeface="Arial Narrow" pitchFamily="34" charset="0"/>
          </a:endParaRPr>
        </a:p>
      </cdr:txBody>
    </cdr:sp>
  </cdr:relSizeAnchor>
  <cdr:relSizeAnchor xmlns:cdr="http://schemas.openxmlformats.org/drawingml/2006/chartDrawing">
    <cdr:from>
      <cdr:x>0.31206</cdr:x>
      <cdr:y>0.67379</cdr:y>
    </cdr:from>
    <cdr:to>
      <cdr:x>0.39007</cdr:x>
      <cdr:y>0.74866</cdr:y>
    </cdr:to>
    <cdr:sp macro="" textlink="">
      <cdr:nvSpPr>
        <cdr:cNvPr id="8" name="TextovéPole 1"/>
        <cdr:cNvSpPr txBox="1"/>
      </cdr:nvSpPr>
      <cdr:spPr>
        <a:xfrm xmlns:a="http://schemas.openxmlformats.org/drawingml/2006/main">
          <a:off x="1676418" y="2400292"/>
          <a:ext cx="419077" cy="2667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200" b="0">
              <a:latin typeface="Arial Narrow" pitchFamily="34" charset="0"/>
            </a:rPr>
            <a:t>2,8</a:t>
          </a:r>
        </a:p>
      </cdr:txBody>
    </cdr:sp>
  </cdr:relSizeAnchor>
  <cdr:relSizeAnchor xmlns:cdr="http://schemas.openxmlformats.org/drawingml/2006/chartDrawing">
    <cdr:from>
      <cdr:x>0.4734</cdr:x>
      <cdr:y>0.67379</cdr:y>
    </cdr:from>
    <cdr:to>
      <cdr:x>0.55142</cdr:x>
      <cdr:y>0.74866</cdr:y>
    </cdr:to>
    <cdr:sp macro="" textlink="">
      <cdr:nvSpPr>
        <cdr:cNvPr id="9" name="TextovéPole 1"/>
        <cdr:cNvSpPr txBox="1"/>
      </cdr:nvSpPr>
      <cdr:spPr>
        <a:xfrm xmlns:a="http://schemas.openxmlformats.org/drawingml/2006/main">
          <a:off x="2543152" y="2400292"/>
          <a:ext cx="419131" cy="2667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200" b="0">
              <a:latin typeface="Arial Narrow" pitchFamily="34" charset="0"/>
            </a:rPr>
            <a:t>2,8</a:t>
          </a:r>
        </a:p>
      </cdr:txBody>
    </cdr:sp>
  </cdr:relSizeAnchor>
  <cdr:relSizeAnchor xmlns:cdr="http://schemas.openxmlformats.org/drawingml/2006/chartDrawing">
    <cdr:from>
      <cdr:x>0.62234</cdr:x>
      <cdr:y>0.67379</cdr:y>
    </cdr:from>
    <cdr:to>
      <cdr:x>0.70036</cdr:x>
      <cdr:y>0.74866</cdr:y>
    </cdr:to>
    <cdr:sp macro="" textlink="">
      <cdr:nvSpPr>
        <cdr:cNvPr id="10" name="TextovéPole 1"/>
        <cdr:cNvSpPr txBox="1"/>
      </cdr:nvSpPr>
      <cdr:spPr>
        <a:xfrm xmlns:a="http://schemas.openxmlformats.org/drawingml/2006/main">
          <a:off x="3343273" y="2400292"/>
          <a:ext cx="419131" cy="2667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200" b="0">
              <a:latin typeface="Arial Narrow" pitchFamily="34" charset="0"/>
            </a:rPr>
            <a:t>3,1</a:t>
          </a:r>
        </a:p>
      </cdr:txBody>
    </cdr:sp>
  </cdr:relSizeAnchor>
  <cdr:relSizeAnchor xmlns:cdr="http://schemas.openxmlformats.org/drawingml/2006/chartDrawing">
    <cdr:from>
      <cdr:x>0.76951</cdr:x>
      <cdr:y>0.67379</cdr:y>
    </cdr:from>
    <cdr:to>
      <cdr:x>0.84752</cdr:x>
      <cdr:y>0.74866</cdr:y>
    </cdr:to>
    <cdr:sp macro="" textlink="">
      <cdr:nvSpPr>
        <cdr:cNvPr id="11" name="TextovéPole 1"/>
        <cdr:cNvSpPr txBox="1"/>
      </cdr:nvSpPr>
      <cdr:spPr>
        <a:xfrm xmlns:a="http://schemas.openxmlformats.org/drawingml/2006/main">
          <a:off x="4133885" y="2400292"/>
          <a:ext cx="419077" cy="2667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1200" b="0">
              <a:latin typeface="Arial Narrow" pitchFamily="34" charset="0"/>
            </a:rPr>
            <a:t>3,6</a:t>
          </a:r>
        </a:p>
      </cdr:txBody>
    </cdr:sp>
  </cdr:relSizeAnchor>
  <cdr:relSizeAnchor xmlns:cdr="http://schemas.openxmlformats.org/drawingml/2006/chartDrawing">
    <cdr:from>
      <cdr:x>0.13121</cdr:x>
      <cdr:y>0.1123</cdr:y>
    </cdr:from>
    <cdr:to>
      <cdr:x>0.30674</cdr:x>
      <cdr:y>0.18716</cdr:y>
    </cdr:to>
    <cdr:sp macro="" textlink="">
      <cdr:nvSpPr>
        <cdr:cNvPr id="12" name="TextovéPole 1"/>
        <cdr:cNvSpPr txBox="1"/>
      </cdr:nvSpPr>
      <cdr:spPr>
        <a:xfrm xmlns:a="http://schemas.openxmlformats.org/drawingml/2006/main">
          <a:off x="704869" y="400065"/>
          <a:ext cx="942964" cy="266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200" b="1">
              <a:latin typeface="Arial Narrow" pitchFamily="34" charset="0"/>
            </a:rPr>
            <a:t>Gini= 0,246</a:t>
          </a:r>
        </a:p>
      </cdr:txBody>
    </cdr:sp>
  </cdr:relSizeAnchor>
  <cdr:relSizeAnchor xmlns:cdr="http://schemas.openxmlformats.org/drawingml/2006/chartDrawing">
    <cdr:from>
      <cdr:x>0.30851</cdr:x>
      <cdr:y>0.1123</cdr:y>
    </cdr:from>
    <cdr:to>
      <cdr:x>0.42198</cdr:x>
      <cdr:y>0.18716</cdr:y>
    </cdr:to>
    <cdr:sp macro="" textlink="">
      <cdr:nvSpPr>
        <cdr:cNvPr id="13" name="TextovéPole 1"/>
        <cdr:cNvSpPr txBox="1"/>
      </cdr:nvSpPr>
      <cdr:spPr>
        <a:xfrm xmlns:a="http://schemas.openxmlformats.org/drawingml/2006/main">
          <a:off x="1657363" y="400065"/>
          <a:ext cx="609572" cy="266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200" b="0">
              <a:latin typeface="Arial Narrow" pitchFamily="34" charset="0"/>
            </a:rPr>
            <a:t>0,196</a:t>
          </a:r>
        </a:p>
      </cdr:txBody>
    </cdr:sp>
  </cdr:relSizeAnchor>
  <cdr:relSizeAnchor xmlns:cdr="http://schemas.openxmlformats.org/drawingml/2006/chartDrawing">
    <cdr:from>
      <cdr:x>0.45568</cdr:x>
      <cdr:y>0.1123</cdr:y>
    </cdr:from>
    <cdr:to>
      <cdr:x>0.56915</cdr:x>
      <cdr:y>0.18716</cdr:y>
    </cdr:to>
    <cdr:sp macro="" textlink="">
      <cdr:nvSpPr>
        <cdr:cNvPr id="14" name="TextovéPole 1"/>
        <cdr:cNvSpPr txBox="1"/>
      </cdr:nvSpPr>
      <cdr:spPr>
        <a:xfrm xmlns:a="http://schemas.openxmlformats.org/drawingml/2006/main">
          <a:off x="2447942" y="400065"/>
          <a:ext cx="609572" cy="266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1200" b="0">
              <a:latin typeface="Arial Narrow" pitchFamily="34" charset="0"/>
            </a:rPr>
            <a:t>0,205</a:t>
          </a:r>
        </a:p>
      </cdr:txBody>
    </cdr:sp>
  </cdr:relSizeAnchor>
  <cdr:relSizeAnchor xmlns:cdr="http://schemas.openxmlformats.org/drawingml/2006/chartDrawing">
    <cdr:from>
      <cdr:x>0.60816</cdr:x>
      <cdr:y>0.1123</cdr:y>
    </cdr:from>
    <cdr:to>
      <cdr:x>0.72163</cdr:x>
      <cdr:y>0.18716</cdr:y>
    </cdr:to>
    <cdr:sp macro="" textlink="">
      <cdr:nvSpPr>
        <cdr:cNvPr id="15" name="TextovéPole 1"/>
        <cdr:cNvSpPr txBox="1"/>
      </cdr:nvSpPr>
      <cdr:spPr>
        <a:xfrm xmlns:a="http://schemas.openxmlformats.org/drawingml/2006/main">
          <a:off x="3267080" y="400065"/>
          <a:ext cx="609572" cy="266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1200" b="0">
              <a:latin typeface="Arial Narrow" pitchFamily="34" charset="0"/>
            </a:rPr>
            <a:t>0,230</a:t>
          </a:r>
        </a:p>
      </cdr:txBody>
    </cdr:sp>
  </cdr:relSizeAnchor>
  <cdr:relSizeAnchor xmlns:cdr="http://schemas.openxmlformats.org/drawingml/2006/chartDrawing">
    <cdr:from>
      <cdr:x>0.7695</cdr:x>
      <cdr:y>0.1123</cdr:y>
    </cdr:from>
    <cdr:to>
      <cdr:x>0.88298</cdr:x>
      <cdr:y>0.18716</cdr:y>
    </cdr:to>
    <cdr:sp macro="" textlink="">
      <cdr:nvSpPr>
        <cdr:cNvPr id="16" name="TextovéPole 1"/>
        <cdr:cNvSpPr txBox="1"/>
      </cdr:nvSpPr>
      <cdr:spPr>
        <a:xfrm xmlns:a="http://schemas.openxmlformats.org/drawingml/2006/main">
          <a:off x="4133831" y="400065"/>
          <a:ext cx="609626" cy="266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1200" b="0">
              <a:latin typeface="Arial Narrow" pitchFamily="34" charset="0"/>
            </a:rPr>
            <a:t>0,261</a:t>
          </a:r>
        </a:p>
      </cdr:txBody>
    </cdr:sp>
  </cdr:relSizeAnchor>
  <cdr:relSizeAnchor xmlns:cdr="http://schemas.openxmlformats.org/drawingml/2006/chartDrawing">
    <cdr:from>
      <cdr:x>0.12943</cdr:x>
      <cdr:y>0.09358</cdr:y>
    </cdr:from>
    <cdr:to>
      <cdr:x>0.289</cdr:x>
      <cdr:y>0.19518</cdr:y>
    </cdr:to>
    <cdr:sp macro="" textlink="">
      <cdr:nvSpPr>
        <cdr:cNvPr id="17" name="Elipsa 16"/>
        <cdr:cNvSpPr/>
      </cdr:nvSpPr>
      <cdr:spPr>
        <a:xfrm xmlns:a="http://schemas.openxmlformats.org/drawingml/2006/main">
          <a:off x="695332" y="333378"/>
          <a:ext cx="857226" cy="361935"/>
        </a:xfrm>
        <a:prstGeom xmlns:a="http://schemas.openxmlformats.org/drawingml/2006/main" prst="ellipse">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0.30496</cdr:x>
      <cdr:y>0.12032</cdr:y>
    </cdr:from>
    <cdr:to>
      <cdr:x>0.39716</cdr:x>
      <cdr:y>0.17647</cdr:y>
    </cdr:to>
    <cdr:sp macro="" textlink="">
      <cdr:nvSpPr>
        <cdr:cNvPr id="18" name="Elipsa 17"/>
        <cdr:cNvSpPr/>
      </cdr:nvSpPr>
      <cdr:spPr>
        <a:xfrm xmlns:a="http://schemas.openxmlformats.org/drawingml/2006/main">
          <a:off x="1638280" y="428622"/>
          <a:ext cx="495308" cy="200026"/>
        </a:xfrm>
        <a:prstGeom xmlns:a="http://schemas.openxmlformats.org/drawingml/2006/main" prst="ellipse">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0.45567</cdr:x>
      <cdr:y>0.11765</cdr:y>
    </cdr:from>
    <cdr:to>
      <cdr:x>0.54787</cdr:x>
      <cdr:y>0.1738</cdr:y>
    </cdr:to>
    <cdr:sp macro="" textlink="">
      <cdr:nvSpPr>
        <cdr:cNvPr id="19" name="Elipsa 18"/>
        <cdr:cNvSpPr/>
      </cdr:nvSpPr>
      <cdr:spPr>
        <a:xfrm xmlns:a="http://schemas.openxmlformats.org/drawingml/2006/main">
          <a:off x="2447905" y="419097"/>
          <a:ext cx="495307" cy="200026"/>
        </a:xfrm>
        <a:prstGeom xmlns:a="http://schemas.openxmlformats.org/drawingml/2006/main" prst="ellipse">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0.60816</cdr:x>
      <cdr:y>0.11765</cdr:y>
    </cdr:from>
    <cdr:to>
      <cdr:x>0.70036</cdr:x>
      <cdr:y>0.1738</cdr:y>
    </cdr:to>
    <cdr:sp macro="" textlink="">
      <cdr:nvSpPr>
        <cdr:cNvPr id="20" name="Elipsa 19"/>
        <cdr:cNvSpPr/>
      </cdr:nvSpPr>
      <cdr:spPr>
        <a:xfrm xmlns:a="http://schemas.openxmlformats.org/drawingml/2006/main">
          <a:off x="3267080" y="419097"/>
          <a:ext cx="495308" cy="200026"/>
        </a:xfrm>
        <a:prstGeom xmlns:a="http://schemas.openxmlformats.org/drawingml/2006/main" prst="ellipse">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0.76241</cdr:x>
      <cdr:y>0.11765</cdr:y>
    </cdr:from>
    <cdr:to>
      <cdr:x>0.85461</cdr:x>
      <cdr:y>0.1738</cdr:y>
    </cdr:to>
    <cdr:sp macro="" textlink="">
      <cdr:nvSpPr>
        <cdr:cNvPr id="21" name="Elipsa 20"/>
        <cdr:cNvSpPr/>
      </cdr:nvSpPr>
      <cdr:spPr>
        <a:xfrm xmlns:a="http://schemas.openxmlformats.org/drawingml/2006/main">
          <a:off x="4095726" y="419097"/>
          <a:ext cx="495308" cy="200026"/>
        </a:xfrm>
        <a:prstGeom xmlns:a="http://schemas.openxmlformats.org/drawingml/2006/main" prst="ellipse">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0.13476</cdr:x>
      <cdr:y>0.6738</cdr:y>
    </cdr:from>
    <cdr:to>
      <cdr:x>0.28369</cdr:x>
      <cdr:y>0.72727</cdr:y>
    </cdr:to>
    <cdr:sp macro="" textlink="">
      <cdr:nvSpPr>
        <cdr:cNvPr id="22" name="Obdélník 21"/>
        <cdr:cNvSpPr/>
      </cdr:nvSpPr>
      <cdr:spPr>
        <a:xfrm xmlns:a="http://schemas.openxmlformats.org/drawingml/2006/main">
          <a:off x="723944" y="2400311"/>
          <a:ext cx="800056" cy="190489"/>
        </a:xfrm>
        <a:prstGeom xmlns:a="http://schemas.openxmlformats.org/drawingml/2006/main" prst="rect">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0.32093</cdr:x>
      <cdr:y>0.68448</cdr:y>
    </cdr:from>
    <cdr:to>
      <cdr:x>0.38121</cdr:x>
      <cdr:y>0.73261</cdr:y>
    </cdr:to>
    <cdr:sp macro="" textlink="">
      <cdr:nvSpPr>
        <cdr:cNvPr id="23" name="Obdélník 22"/>
        <cdr:cNvSpPr/>
      </cdr:nvSpPr>
      <cdr:spPr>
        <a:xfrm xmlns:a="http://schemas.openxmlformats.org/drawingml/2006/main">
          <a:off x="1724068" y="2438373"/>
          <a:ext cx="323830" cy="171456"/>
        </a:xfrm>
        <a:prstGeom xmlns:a="http://schemas.openxmlformats.org/drawingml/2006/main" prst="rect">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0.47695</cdr:x>
      <cdr:y>0.68181</cdr:y>
    </cdr:from>
    <cdr:to>
      <cdr:x>0.53723</cdr:x>
      <cdr:y>0.72994</cdr:y>
    </cdr:to>
    <cdr:sp macro="" textlink="">
      <cdr:nvSpPr>
        <cdr:cNvPr id="24" name="Obdélník 23"/>
        <cdr:cNvSpPr/>
      </cdr:nvSpPr>
      <cdr:spPr>
        <a:xfrm xmlns:a="http://schemas.openxmlformats.org/drawingml/2006/main">
          <a:off x="2562223" y="2428862"/>
          <a:ext cx="323830" cy="171456"/>
        </a:xfrm>
        <a:prstGeom xmlns:a="http://schemas.openxmlformats.org/drawingml/2006/main" prst="rect">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0.62766</cdr:x>
      <cdr:y>0.68181</cdr:y>
    </cdr:from>
    <cdr:to>
      <cdr:x>0.68794</cdr:x>
      <cdr:y>0.72994</cdr:y>
    </cdr:to>
    <cdr:sp macro="" textlink="">
      <cdr:nvSpPr>
        <cdr:cNvPr id="25" name="Obdélník 24"/>
        <cdr:cNvSpPr/>
      </cdr:nvSpPr>
      <cdr:spPr>
        <a:xfrm xmlns:a="http://schemas.openxmlformats.org/drawingml/2006/main">
          <a:off x="3371852" y="2428862"/>
          <a:ext cx="323830" cy="171456"/>
        </a:xfrm>
        <a:prstGeom xmlns:a="http://schemas.openxmlformats.org/drawingml/2006/main" prst="rect">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0.77483</cdr:x>
      <cdr:y>0.67914</cdr:y>
    </cdr:from>
    <cdr:to>
      <cdr:x>0.83511</cdr:x>
      <cdr:y>0.72727</cdr:y>
    </cdr:to>
    <cdr:sp macro="" textlink="">
      <cdr:nvSpPr>
        <cdr:cNvPr id="26" name="Obdélník 25"/>
        <cdr:cNvSpPr/>
      </cdr:nvSpPr>
      <cdr:spPr>
        <a:xfrm xmlns:a="http://schemas.openxmlformats.org/drawingml/2006/main">
          <a:off x="4162464" y="2419350"/>
          <a:ext cx="323830" cy="171456"/>
        </a:xfrm>
        <a:prstGeom xmlns:a="http://schemas.openxmlformats.org/drawingml/2006/main" prst="rect">
          <a:avLst/>
        </a:prstGeom>
        <a:noFill xmlns:a="http://schemas.openxmlformats.org/drawingml/2006/main"/>
        <a:ln xmlns:a="http://schemas.openxmlformats.org/drawingml/2006/main" w="12700">
          <a:solidFill>
            <a:srgbClr val="7F7F7F"/>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3.xml><?xml version="1.0" encoding="utf-8"?>
<c:userShapes xmlns:c="http://schemas.openxmlformats.org/drawingml/2006/chart">
  <cdr:relSizeAnchor xmlns:cdr="http://schemas.openxmlformats.org/drawingml/2006/chartDrawing">
    <cdr:from>
      <cdr:x>0.4293</cdr:x>
      <cdr:y>0.15321</cdr:y>
    </cdr:from>
    <cdr:to>
      <cdr:x>0.54185</cdr:x>
      <cdr:y>0.79992</cdr:y>
    </cdr:to>
    <cdr:grpSp>
      <cdr:nvGrpSpPr>
        <cdr:cNvPr id="7" name="Skupina 6"/>
        <cdr:cNvGrpSpPr/>
      </cdr:nvGrpSpPr>
      <cdr:grpSpPr>
        <a:xfrm xmlns:a="http://schemas.openxmlformats.org/drawingml/2006/main">
          <a:off x="2138590" y="588108"/>
          <a:ext cx="560676" cy="2482445"/>
          <a:chOff x="1752599" y="495301"/>
          <a:chExt cx="495300" cy="2057400"/>
        </a:xfrm>
      </cdr:grpSpPr>
      <cdr:sp macro="" textlink="">
        <cdr:nvSpPr>
          <cdr:cNvPr id="3" name="Přímá spojovací čára 2"/>
          <cdr:cNvSpPr/>
        </cdr:nvSpPr>
        <cdr:spPr>
          <a:xfrm xmlns:a="http://schemas.openxmlformats.org/drawingml/2006/main">
            <a:off x="1752599" y="495301"/>
            <a:ext cx="495300" cy="152400"/>
          </a:xfrm>
          <a:prstGeom xmlns:a="http://schemas.openxmlformats.org/drawingml/2006/main" prst="line">
            <a:avLst/>
          </a:prstGeom>
          <a:ln xmlns:a="http://schemas.openxmlformats.org/drawingml/2006/main">
            <a:solidFill>
              <a:srgbClr val="7F7F7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sp macro="" textlink="">
        <cdr:nvSpPr>
          <cdr:cNvPr id="4" name="Přímá spojovací čára 3"/>
          <cdr:cNvSpPr/>
        </cdr:nvSpPr>
        <cdr:spPr>
          <a:xfrm xmlns:a="http://schemas.openxmlformats.org/drawingml/2006/main">
            <a:off x="1762125" y="1457324"/>
            <a:ext cx="476249" cy="190501"/>
          </a:xfrm>
          <a:prstGeom xmlns:a="http://schemas.openxmlformats.org/drawingml/2006/main" prst="line">
            <a:avLst/>
          </a:prstGeom>
          <a:ln xmlns:a="http://schemas.openxmlformats.org/drawingml/2006/main">
            <a:solidFill>
              <a:srgbClr val="7F7F7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sp macro="" textlink="">
        <cdr:nvSpPr>
          <cdr:cNvPr id="5" name="Přímá spojovací čára 4"/>
          <cdr:cNvSpPr/>
        </cdr:nvSpPr>
        <cdr:spPr>
          <a:xfrm xmlns:a="http://schemas.openxmlformats.org/drawingml/2006/main">
            <a:off x="1762125" y="2476500"/>
            <a:ext cx="466724" cy="76201"/>
          </a:xfrm>
          <a:prstGeom xmlns:a="http://schemas.openxmlformats.org/drawingml/2006/main" prst="line">
            <a:avLst/>
          </a:prstGeom>
          <a:ln xmlns:a="http://schemas.openxmlformats.org/drawingml/2006/main">
            <a:solidFill>
              <a:srgbClr val="7F7F7F"/>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cs-CZ"/>
          </a:p>
        </cdr:txBody>
      </cdr:sp>
    </cdr:grpSp>
  </cdr:relSizeAnchor>
</c:userShapes>
</file>

<file path=word/theme/theme1.xml><?xml version="1.0" encoding="utf-8"?>
<a:theme xmlns:a="http://schemas.openxmlformats.org/drawingml/2006/main" name="Motiv sady Office">
  <a:themeElements>
    <a:clrScheme name="DOKTORANDI">
      <a:dk1>
        <a:sysClr val="windowText" lastClr="000000"/>
      </a:dk1>
      <a:lt1>
        <a:sysClr val="window" lastClr="FFFFFF"/>
      </a:lt1>
      <a:dk2>
        <a:srgbClr val="4E5B6F"/>
      </a:dk2>
      <a:lt2>
        <a:srgbClr val="D6ECFF"/>
      </a:lt2>
      <a:accent1>
        <a:srgbClr val="00ADDC"/>
      </a:accent1>
      <a:accent2>
        <a:srgbClr val="8BD745"/>
      </a:accent2>
      <a:accent3>
        <a:srgbClr val="FBD805"/>
      </a:accent3>
      <a:accent4>
        <a:srgbClr val="FC1C51"/>
      </a:accent4>
      <a:accent5>
        <a:srgbClr val="31881C"/>
      </a:accent5>
      <a:accent6>
        <a:srgbClr val="004F96"/>
      </a:accent6>
      <a:hlink>
        <a:srgbClr val="EB8803"/>
      </a:hlink>
      <a:folHlink>
        <a:srgbClr val="5F77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0301-8E05-4F67-AE0A-DA8B2CFD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Hl.papír_KREDO.dotx</Template>
  <TotalTime>23</TotalTime>
  <Pages>12</Pages>
  <Words>2811</Words>
  <Characters>16587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Vážení,</vt:lpstr>
    </vt:vector>
  </TitlesOfParts>
  <Company>VŠE</Company>
  <LinksUpToDate>false</LinksUpToDate>
  <CharactersWithSpaces>19360</CharactersWithSpaces>
  <SharedDoc>false</SharedDoc>
  <HLinks>
    <vt:vector size="24" baseType="variant">
      <vt:variant>
        <vt:i4>1048623</vt:i4>
      </vt:variant>
      <vt:variant>
        <vt:i4>1036</vt:i4>
      </vt:variant>
      <vt:variant>
        <vt:i4>1025</vt:i4>
      </vt:variant>
      <vt:variant>
        <vt:i4>1</vt:i4>
      </vt:variant>
      <vt:variant>
        <vt:lpwstr>LOGO IPN pro hl_PAP.jpg</vt:lpwstr>
      </vt:variant>
      <vt:variant>
        <vt:lpwstr/>
      </vt:variant>
      <vt:variant>
        <vt:i4>5308444</vt:i4>
      </vt:variant>
      <vt:variant>
        <vt:i4>1063</vt:i4>
      </vt:variant>
      <vt:variant>
        <vt:i4>1026</vt:i4>
      </vt:variant>
      <vt:variant>
        <vt:i4>1</vt:i4>
      </vt:variant>
      <vt:variant>
        <vt:lpwstr>..\OPVK_hor_zakladni_logolink_CB_cz.jpg</vt:lpwstr>
      </vt:variant>
      <vt:variant>
        <vt:lpwstr/>
      </vt:variant>
      <vt:variant>
        <vt:i4>29294619</vt:i4>
      </vt:variant>
      <vt:variant>
        <vt:i4>-1</vt:i4>
      </vt:variant>
      <vt:variant>
        <vt:i4>1025</vt:i4>
      </vt:variant>
      <vt:variant>
        <vt:i4>0</vt:i4>
      </vt:variant>
      <vt:variant>
        <vt:lpwstr>F:\ZAKAZKY\zedníčková\MŠMT\HLAVIČKOVÝ PAPÍR\pozadí1.jpg</vt:lpwstr>
      </vt:variant>
      <vt:variant>
        <vt:lpwstr/>
      </vt:variant>
      <vt:variant>
        <vt:i4>5243173</vt:i4>
      </vt:variant>
      <vt:variant>
        <vt:i4>-1</vt:i4>
      </vt:variant>
      <vt:variant>
        <vt:i4>2051</vt:i4>
      </vt:variant>
      <vt:variant>
        <vt:i4>1</vt:i4>
      </vt:variant>
      <vt:variant>
        <vt:lpwstr>kuličky dole.jpg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Vážení,</dc:title>
  <dc:creator>Martina Šimková</dc:creator>
  <cp:lastModifiedBy>chramecky3167</cp:lastModifiedBy>
  <cp:revision>3</cp:revision>
  <cp:lastPrinted>2015-03-04T13:25:00Z</cp:lastPrinted>
  <dcterms:created xsi:type="dcterms:W3CDTF">2015-03-11T11:01:00Z</dcterms:created>
  <dcterms:modified xsi:type="dcterms:W3CDTF">2015-03-11T14:08:00Z</dcterms:modified>
</cp:coreProperties>
</file>