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5A" w:rsidRDefault="00F27A5A" w:rsidP="00E42E00">
      <w:pPr>
        <w:pStyle w:val="Datum"/>
      </w:pPr>
      <w:r>
        <w:t>13.2.2015</w:t>
      </w:r>
    </w:p>
    <w:p w:rsidR="00F27A5A" w:rsidRPr="00A56C80" w:rsidRDefault="00F27A5A" w:rsidP="00A56C80">
      <w:pPr>
        <w:pStyle w:val="Nzev"/>
      </w:pPr>
      <w:r>
        <w:t>2014: Česká ekonomika překonala dvouletou recesi</w:t>
      </w:r>
    </w:p>
    <w:p w:rsidR="00F27A5A" w:rsidRPr="008853DA" w:rsidRDefault="00F27A5A" w:rsidP="00F16453">
      <w:pPr>
        <w:rPr>
          <w:rFonts w:cs="Arial"/>
          <w:b/>
          <w:szCs w:val="20"/>
        </w:rPr>
      </w:pPr>
      <w:r w:rsidRPr="008853DA">
        <w:rPr>
          <w:rFonts w:cs="Arial"/>
          <w:b/>
          <w:szCs w:val="20"/>
        </w:rPr>
        <w:t>Mozaika dat z reálné ekonomiky pomalu zaplňuje obrázek roku 2014, v němž Česká republika konečně překonala dvouletou recesi. Jaký byl vývoj nabídkové strany ekonomiky podle dat z produkčních statistik?</w:t>
      </w:r>
    </w:p>
    <w:p w:rsidR="00F27A5A" w:rsidRPr="006F15DF" w:rsidRDefault="00F27A5A" w:rsidP="00E42E00">
      <w:pPr>
        <w:pStyle w:val="Nadpis1"/>
        <w:rPr>
          <w:sz w:val="12"/>
          <w:szCs w:val="12"/>
        </w:rPr>
      </w:pPr>
    </w:p>
    <w:p w:rsidR="00F27A5A" w:rsidRPr="008853DA" w:rsidRDefault="00F27A5A" w:rsidP="00F16453">
      <w:pPr>
        <w:rPr>
          <w:rFonts w:cs="Arial"/>
          <w:szCs w:val="20"/>
        </w:rPr>
      </w:pPr>
      <w:r w:rsidRPr="008853DA">
        <w:rPr>
          <w:rFonts w:cs="Arial"/>
          <w:szCs w:val="20"/>
        </w:rPr>
        <w:t xml:space="preserve">Byl to opět – stejně jako po krizi v roce 2009 - především zpracovatelský průmysl a také oživující spotřeba domácností projevující se v útratách za zboží u obchodníků, které loni </w:t>
      </w:r>
      <w:r>
        <w:rPr>
          <w:rFonts w:cs="Arial"/>
          <w:szCs w:val="20"/>
        </w:rPr>
        <w:t>p</w:t>
      </w:r>
      <w:r w:rsidRPr="008853DA">
        <w:rPr>
          <w:rFonts w:cs="Arial"/>
          <w:szCs w:val="20"/>
        </w:rPr>
        <w:t>omohly české ekonomice zv</w:t>
      </w:r>
      <w:r>
        <w:rPr>
          <w:rFonts w:cs="Arial"/>
          <w:szCs w:val="20"/>
        </w:rPr>
        <w:t>ýšit</w:t>
      </w:r>
      <w:r w:rsidRPr="008853DA">
        <w:rPr>
          <w:rFonts w:cs="Arial"/>
          <w:szCs w:val="20"/>
        </w:rPr>
        <w:t xml:space="preserve"> její výkonnost  Po většinu roku bylo možno těžit i ze zahraniční poptávky po českém zboží, když meziročně opět rostl především export aut. Poprvé po </w:t>
      </w:r>
      <w:r>
        <w:rPr>
          <w:rFonts w:cs="Arial"/>
          <w:szCs w:val="20"/>
        </w:rPr>
        <w:t>pěti</w:t>
      </w:r>
      <w:r w:rsidRPr="008853DA">
        <w:rPr>
          <w:rFonts w:cs="Arial"/>
          <w:szCs w:val="20"/>
        </w:rPr>
        <w:t xml:space="preserve"> letech v červených číslech ožilo loni i stavebnictví. Kde hledat příčiny tohoto příznivého vývoje?</w:t>
      </w:r>
    </w:p>
    <w:p w:rsidR="00F27A5A" w:rsidRPr="00B2574A" w:rsidRDefault="00F27A5A" w:rsidP="00F16453">
      <w:pPr>
        <w:rPr>
          <w:rFonts w:cs="Arial"/>
          <w:sz w:val="12"/>
          <w:szCs w:val="12"/>
        </w:rPr>
      </w:pPr>
    </w:p>
    <w:p w:rsidR="00F27A5A" w:rsidRPr="004F1BD5" w:rsidRDefault="00F27A5A" w:rsidP="00F16453">
      <w:pPr>
        <w:rPr>
          <w:rFonts w:cs="Arial"/>
          <w:b/>
          <w:szCs w:val="20"/>
        </w:rPr>
      </w:pPr>
      <w:r w:rsidRPr="004F1BD5">
        <w:rPr>
          <w:rFonts w:cs="Arial"/>
          <w:b/>
          <w:szCs w:val="20"/>
        </w:rPr>
        <w:t>Průmysl „vytáhl“ ekonomiku z recese</w:t>
      </w:r>
    </w:p>
    <w:p w:rsidR="00F27A5A" w:rsidRPr="006F15DF" w:rsidRDefault="00F27A5A" w:rsidP="00F16453">
      <w:pPr>
        <w:rPr>
          <w:rFonts w:cs="Arial"/>
          <w:sz w:val="12"/>
          <w:szCs w:val="12"/>
        </w:rPr>
      </w:pPr>
    </w:p>
    <w:p w:rsidR="00F27A5A" w:rsidRDefault="00F27A5A" w:rsidP="00F16453">
      <w:pPr>
        <w:rPr>
          <w:rFonts w:cs="Arial"/>
          <w:szCs w:val="20"/>
        </w:rPr>
      </w:pPr>
      <w:r>
        <w:rPr>
          <w:rFonts w:cs="Arial"/>
          <w:szCs w:val="20"/>
        </w:rPr>
        <w:t xml:space="preserve">Z makroekonomického pohledu „zařídily“ většinu růstu české ekonomiky v loňském roce zřejmě investice – jak fixní, tak i ty spojené se zvyšováním zásob. Lze na to s vysokou pravděpodobností soudit z dosud známých dat národního účetnictví za první tři čtvrtletí. Sílit začala i spotřeba domácností. A i když v České republice rostlo hospodářství téměř dvakrát tak rychle než v úhrnu za EU 28, stačila zahraniční poptávka dále dynamizovat český export. </w:t>
      </w:r>
      <w:r w:rsidRPr="008853DA">
        <w:rPr>
          <w:rFonts w:cs="Arial"/>
          <w:szCs w:val="20"/>
        </w:rPr>
        <w:t xml:space="preserve">Důležité </w:t>
      </w:r>
      <w:r>
        <w:rPr>
          <w:rFonts w:cs="Arial"/>
          <w:szCs w:val="20"/>
        </w:rPr>
        <w:t xml:space="preserve">však </w:t>
      </w:r>
      <w:r w:rsidRPr="008853DA">
        <w:rPr>
          <w:rFonts w:cs="Arial"/>
          <w:szCs w:val="20"/>
        </w:rPr>
        <w:t xml:space="preserve">bylo, že „naskočila“ </w:t>
      </w:r>
      <w:r>
        <w:rPr>
          <w:rFonts w:cs="Arial"/>
          <w:szCs w:val="20"/>
        </w:rPr>
        <w:t xml:space="preserve">i </w:t>
      </w:r>
      <w:r w:rsidRPr="008853DA">
        <w:rPr>
          <w:rFonts w:cs="Arial"/>
          <w:szCs w:val="20"/>
        </w:rPr>
        <w:t xml:space="preserve">poptávka domácí, a to nejen </w:t>
      </w:r>
      <w:r>
        <w:rPr>
          <w:rFonts w:cs="Arial"/>
          <w:szCs w:val="20"/>
        </w:rPr>
        <w:t>ta</w:t>
      </w:r>
      <w:r w:rsidRPr="008853DA">
        <w:rPr>
          <w:rFonts w:cs="Arial"/>
          <w:szCs w:val="20"/>
        </w:rPr>
        <w:t xml:space="preserve"> po dováženém zbož</w:t>
      </w:r>
      <w:r>
        <w:rPr>
          <w:rFonts w:cs="Arial"/>
          <w:szCs w:val="20"/>
        </w:rPr>
        <w:t>í</w:t>
      </w:r>
      <w:r w:rsidRPr="008853DA">
        <w:rPr>
          <w:rFonts w:cs="Arial"/>
          <w:szCs w:val="20"/>
        </w:rPr>
        <w:t xml:space="preserve">, ale i po zboží </w:t>
      </w:r>
      <w:r>
        <w:rPr>
          <w:rFonts w:cs="Arial"/>
          <w:szCs w:val="20"/>
        </w:rPr>
        <w:t xml:space="preserve">vyráběném doma. </w:t>
      </w:r>
    </w:p>
    <w:p w:rsidR="00F27A5A" w:rsidRPr="006F15DF" w:rsidRDefault="00F27A5A" w:rsidP="00F16453">
      <w:pPr>
        <w:rPr>
          <w:rFonts w:cs="Arial"/>
          <w:sz w:val="12"/>
          <w:szCs w:val="12"/>
        </w:rPr>
      </w:pPr>
    </w:p>
    <w:p w:rsidR="00F27A5A" w:rsidRPr="006F15DF" w:rsidRDefault="00F27A5A" w:rsidP="00E42E00">
      <w:pPr>
        <w:pStyle w:val="Nadpis1"/>
        <w:rPr>
          <w:sz w:val="12"/>
          <w:szCs w:val="12"/>
        </w:rPr>
      </w:pPr>
    </w:p>
    <w:p w:rsidR="00F27A5A" w:rsidRDefault="00F27A5A" w:rsidP="00F16453">
      <w:pPr>
        <w:rPr>
          <w:rFonts w:cs="Arial"/>
          <w:szCs w:val="20"/>
        </w:rPr>
      </w:pPr>
      <w:r w:rsidRPr="00462B26">
        <w:rPr>
          <w:rFonts w:cs="Arial"/>
          <w:b/>
          <w:szCs w:val="20"/>
        </w:rPr>
        <w:t>Graf 1: Index průmyslové produkce</w:t>
      </w:r>
      <w:r>
        <w:rPr>
          <w:rFonts w:cs="Arial"/>
          <w:szCs w:val="20"/>
        </w:rPr>
        <w:t xml:space="preserve"> (reálně, meziroční změna)</w:t>
      </w:r>
    </w:p>
    <w:p w:rsidR="00F27A5A" w:rsidRPr="00462B26" w:rsidRDefault="00F27A5A" w:rsidP="00F16453">
      <w:pPr>
        <w:rPr>
          <w:rFonts w:cs="Arial"/>
          <w:sz w:val="4"/>
          <w:szCs w:val="4"/>
        </w:rPr>
      </w:pPr>
      <w:r>
        <w:rPr>
          <w:rFonts w:cs="Arial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A5A" w:rsidRDefault="00D95184" w:rsidP="00F1645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190.5pt">
            <v:imagedata r:id="rId6" o:title=""/>
          </v:shape>
        </w:pict>
      </w:r>
    </w:p>
    <w:p w:rsidR="00F27A5A" w:rsidRDefault="00F27A5A" w:rsidP="00F16453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Zdroj</w:t>
      </w:r>
      <w:r w:rsidRPr="00462B26">
        <w:rPr>
          <w:rFonts w:cs="Arial"/>
          <w:sz w:val="18"/>
          <w:szCs w:val="18"/>
        </w:rPr>
        <w:t>: ČSÚ</w:t>
      </w:r>
    </w:p>
    <w:p w:rsidR="00F27A5A" w:rsidRPr="00462B26" w:rsidRDefault="00F27A5A" w:rsidP="00F16453">
      <w:pPr>
        <w:jc w:val="right"/>
        <w:rPr>
          <w:rFonts w:cs="Arial"/>
          <w:sz w:val="18"/>
          <w:szCs w:val="18"/>
        </w:rPr>
      </w:pPr>
    </w:p>
    <w:p w:rsidR="00F27A5A" w:rsidRDefault="00F27A5A" w:rsidP="00D766C4">
      <w:pPr>
        <w:rPr>
          <w:rFonts w:cs="Arial"/>
          <w:szCs w:val="20"/>
        </w:rPr>
      </w:pPr>
      <w:r>
        <w:rPr>
          <w:rFonts w:cs="Arial"/>
          <w:szCs w:val="20"/>
        </w:rPr>
        <w:t xml:space="preserve">Podle produkčních statistik stoupla v roce 2014 proti roku 2013 průmyslová produkce reálně o 4,9 %, přičemž samotní zpracovatelé zvýšili svůj výkon o 6,4 % - vyjádřeno v tržbách pak šlo o růsty +8,4 %, resp. +10,6 %. Umělé oslabení koruny napomohlo výraznému nárůstu tržeb </w:t>
      </w:r>
      <w:r>
        <w:rPr>
          <w:rFonts w:cs="Arial"/>
          <w:szCs w:val="20"/>
        </w:rPr>
        <w:lastRenderedPageBreak/>
        <w:t>především v odvětvích orientovaných silně na export  - automobilky stržily meziročně o téměř pětinu (+19,5 %), producenti počítačů a elektronických přístrojů o 17,3 %. Průmysl v logice věci nabíral zaměstnance a kromě toho stoupla i průměrná nominální měsíční mzda v tomto odvětví</w:t>
      </w:r>
      <w:r>
        <w:rPr>
          <w:rStyle w:val="Znakapoznpodarou"/>
          <w:rFonts w:cs="Arial"/>
          <w:szCs w:val="20"/>
        </w:rPr>
        <w:footnoteReference w:id="1"/>
      </w:r>
      <w:r>
        <w:rPr>
          <w:rFonts w:cs="Arial"/>
          <w:szCs w:val="20"/>
        </w:rPr>
        <w:t xml:space="preserve"> na 27 608 korun (s rostoucí dynamikou v průběhu roku, když v posledním čtvrtletí dosáhla 29 234 korun).</w:t>
      </w:r>
    </w:p>
    <w:p w:rsidR="00F27A5A" w:rsidRDefault="00F27A5A" w:rsidP="00F16453">
      <w:pPr>
        <w:rPr>
          <w:rFonts w:cs="Arial"/>
          <w:szCs w:val="20"/>
        </w:rPr>
      </w:pPr>
    </w:p>
    <w:p w:rsidR="00F27A5A" w:rsidRDefault="00F27A5A" w:rsidP="00F16453">
      <w:pPr>
        <w:rPr>
          <w:rFonts w:cs="Arial"/>
          <w:szCs w:val="20"/>
        </w:rPr>
      </w:pPr>
      <w:r w:rsidRPr="00B2574A">
        <w:rPr>
          <w:rFonts w:cs="Arial"/>
          <w:b/>
          <w:szCs w:val="20"/>
        </w:rPr>
        <w:t>Graf 2</w:t>
      </w:r>
      <w:r w:rsidRPr="00462B26">
        <w:rPr>
          <w:rFonts w:cs="Arial"/>
          <w:b/>
          <w:szCs w:val="20"/>
        </w:rPr>
        <w:t xml:space="preserve">: Průmyslová produkce </w:t>
      </w:r>
      <w:r w:rsidRPr="00462B26">
        <w:rPr>
          <w:rFonts w:cs="Arial"/>
          <w:szCs w:val="20"/>
        </w:rPr>
        <w:t>(reálně)</w:t>
      </w:r>
      <w:r w:rsidRPr="00462B26">
        <w:rPr>
          <w:rFonts w:cs="Arial"/>
          <w:b/>
          <w:szCs w:val="20"/>
        </w:rPr>
        <w:t xml:space="preserve">, tržby v průmyslu </w:t>
      </w:r>
      <w:r w:rsidRPr="00AA7627">
        <w:rPr>
          <w:rFonts w:cs="Arial"/>
          <w:szCs w:val="20"/>
        </w:rPr>
        <w:t>(</w:t>
      </w:r>
      <w:r w:rsidRPr="00462B26">
        <w:rPr>
          <w:rFonts w:cs="Arial"/>
          <w:szCs w:val="20"/>
        </w:rPr>
        <w:t>v běžných cenách)</w:t>
      </w:r>
      <w:r w:rsidRPr="00462B26">
        <w:rPr>
          <w:rFonts w:cs="Arial"/>
          <w:b/>
          <w:szCs w:val="20"/>
        </w:rPr>
        <w:t xml:space="preserve"> a hodnota nových průmyslových zakázek </w:t>
      </w:r>
      <w:r w:rsidRPr="00462B26">
        <w:rPr>
          <w:rFonts w:cs="Arial"/>
          <w:szCs w:val="20"/>
        </w:rPr>
        <w:t>ve vybraných odvětvích zpracovatelského průmyslu</w:t>
      </w:r>
      <w:r>
        <w:rPr>
          <w:rFonts w:cs="Arial"/>
          <w:szCs w:val="20"/>
        </w:rPr>
        <w:t xml:space="preserve"> (index meziroční změny)</w:t>
      </w:r>
    </w:p>
    <w:p w:rsidR="00F27A5A" w:rsidRDefault="00D00EC8" w:rsidP="00F16453">
      <w:r>
        <w:pict>
          <v:shape id="_x0000_i1026" type="#_x0000_t75" style="width:424.5pt;height:196.5pt">
            <v:imagedata r:id="rId7" o:title=""/>
          </v:shape>
        </w:pict>
      </w:r>
    </w:p>
    <w:p w:rsidR="00F27A5A" w:rsidRPr="00981080" w:rsidRDefault="00F27A5A" w:rsidP="00F16453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Zdroj</w:t>
      </w:r>
      <w:r w:rsidRPr="00981080">
        <w:rPr>
          <w:rFonts w:cs="Arial"/>
          <w:sz w:val="18"/>
          <w:szCs w:val="18"/>
        </w:rPr>
        <w:t>: ČSÚ</w:t>
      </w:r>
    </w:p>
    <w:p w:rsidR="00F27A5A" w:rsidRPr="00B00933" w:rsidRDefault="00F27A5A" w:rsidP="00F16453">
      <w:pPr>
        <w:rPr>
          <w:rFonts w:cs="Arial"/>
          <w:sz w:val="10"/>
          <w:szCs w:val="10"/>
        </w:rPr>
      </w:pPr>
    </w:p>
    <w:p w:rsidR="00F27A5A" w:rsidRDefault="00F27A5A" w:rsidP="00F16453">
      <w:pPr>
        <w:rPr>
          <w:rFonts w:cs="Arial"/>
          <w:szCs w:val="20"/>
        </w:rPr>
      </w:pPr>
    </w:p>
    <w:p w:rsidR="00F27A5A" w:rsidRPr="008F4ACA" w:rsidRDefault="00F27A5A" w:rsidP="00F16453">
      <w:pPr>
        <w:rPr>
          <w:rFonts w:cs="Arial"/>
          <w:b/>
          <w:szCs w:val="20"/>
        </w:rPr>
      </w:pPr>
      <w:r w:rsidRPr="008F4ACA">
        <w:rPr>
          <w:rFonts w:cs="Arial"/>
          <w:b/>
          <w:szCs w:val="20"/>
        </w:rPr>
        <w:t xml:space="preserve">Disponibilní příjmy </w:t>
      </w:r>
      <w:r>
        <w:rPr>
          <w:rFonts w:cs="Arial"/>
          <w:b/>
          <w:szCs w:val="20"/>
        </w:rPr>
        <w:t>domácností</w:t>
      </w:r>
      <w:r>
        <w:rPr>
          <w:rStyle w:val="Znakapoznpodarou"/>
          <w:rFonts w:cs="Arial"/>
          <w:b/>
          <w:szCs w:val="20"/>
        </w:rPr>
        <w:footnoteReference w:id="2"/>
      </w:r>
      <w:r>
        <w:rPr>
          <w:rFonts w:cs="Arial"/>
          <w:b/>
          <w:szCs w:val="20"/>
        </w:rPr>
        <w:t xml:space="preserve"> </w:t>
      </w:r>
      <w:r w:rsidRPr="008F4ACA">
        <w:rPr>
          <w:rFonts w:cs="Arial"/>
          <w:b/>
          <w:szCs w:val="20"/>
        </w:rPr>
        <w:t xml:space="preserve">rostou </w:t>
      </w:r>
      <w:r>
        <w:rPr>
          <w:rFonts w:cs="Arial"/>
          <w:b/>
          <w:szCs w:val="20"/>
        </w:rPr>
        <w:t xml:space="preserve">rychleji oproti tempům </w:t>
      </w:r>
      <w:r w:rsidRPr="008F4ACA">
        <w:rPr>
          <w:rFonts w:cs="Arial"/>
          <w:b/>
          <w:szCs w:val="20"/>
        </w:rPr>
        <w:t>roku 2013</w:t>
      </w:r>
      <w:r>
        <w:rPr>
          <w:rFonts w:cs="Arial"/>
          <w:b/>
          <w:szCs w:val="20"/>
        </w:rPr>
        <w:t>…</w:t>
      </w:r>
    </w:p>
    <w:p w:rsidR="00F27A5A" w:rsidRPr="00F96C5E" w:rsidRDefault="00F27A5A" w:rsidP="00F16453">
      <w:pPr>
        <w:rPr>
          <w:rFonts w:cs="Arial"/>
          <w:szCs w:val="20"/>
        </w:rPr>
      </w:pPr>
    </w:p>
    <w:p w:rsidR="00F27A5A" w:rsidRDefault="00F27A5A" w:rsidP="00816603">
      <w:pPr>
        <w:rPr>
          <w:rFonts w:cs="Arial"/>
          <w:szCs w:val="20"/>
        </w:rPr>
      </w:pPr>
      <w:r>
        <w:rPr>
          <w:rFonts w:cs="Arial"/>
          <w:szCs w:val="20"/>
        </w:rPr>
        <w:t xml:space="preserve">Zvýšené šance uplatnit se na trhu práce a rostoucí reálná mzda – inflace si „ukrojila“ loni z přírůstku nominální mzdy jen minimálně, protože spotřebitelské ceny vzrostly meziročně pouze o 0,4 % – se však netýkaly pouze zaměstnaných v průmyslu.    </w:t>
      </w:r>
    </w:p>
    <w:p w:rsidR="00F27A5A" w:rsidRDefault="00F27A5A" w:rsidP="00F16453">
      <w:pPr>
        <w:rPr>
          <w:rFonts w:cs="Arial"/>
          <w:szCs w:val="20"/>
        </w:rPr>
      </w:pPr>
    </w:p>
    <w:p w:rsidR="00F27A5A" w:rsidRDefault="00F27A5A" w:rsidP="00F16453">
      <w:pPr>
        <w:rPr>
          <w:rFonts w:cs="Arial"/>
          <w:szCs w:val="20"/>
        </w:rPr>
      </w:pPr>
      <w:r>
        <w:rPr>
          <w:rFonts w:cs="Arial"/>
          <w:szCs w:val="20"/>
        </w:rPr>
        <w:t xml:space="preserve">Lidé </w:t>
      </w:r>
      <w:r w:rsidRPr="008853DA">
        <w:rPr>
          <w:rFonts w:cs="Arial"/>
          <w:szCs w:val="20"/>
        </w:rPr>
        <w:t xml:space="preserve">odložili </w:t>
      </w:r>
      <w:r>
        <w:rPr>
          <w:rFonts w:cs="Arial"/>
          <w:szCs w:val="20"/>
        </w:rPr>
        <w:t xml:space="preserve">- </w:t>
      </w:r>
      <w:r w:rsidRPr="008853DA">
        <w:rPr>
          <w:rFonts w:cs="Arial"/>
          <w:szCs w:val="20"/>
        </w:rPr>
        <w:t xml:space="preserve">alespoň zčásti </w:t>
      </w:r>
      <w:r>
        <w:rPr>
          <w:rFonts w:cs="Arial"/>
          <w:szCs w:val="20"/>
        </w:rPr>
        <w:t xml:space="preserve">- </w:t>
      </w:r>
      <w:r w:rsidRPr="008853DA">
        <w:rPr>
          <w:rFonts w:cs="Arial"/>
          <w:szCs w:val="20"/>
        </w:rPr>
        <w:t>předchozí skepsi</w:t>
      </w:r>
      <w:r>
        <w:rPr>
          <w:rFonts w:cs="Arial"/>
          <w:szCs w:val="20"/>
        </w:rPr>
        <w:t xml:space="preserve">, s penězi však zacházejí přesto opatrně. Jejich disponibilní příjmy podle známých dat za tři čtvrtletí 2014 narůstaly, v průměru meziročně o 2,7 % - ovšem s postupně slábnoucí dynamikou přírůstků -, což bylo v kontrastu se snižováním těchto příjmů ve stejném období 2013 (v průměru o 0,8 % v každé čtvrtletí). To je jistě dobrá zpráva pro rodinné rozpočty. </w:t>
      </w:r>
    </w:p>
    <w:p w:rsidR="00F27A5A" w:rsidRPr="00B00933" w:rsidRDefault="00F27A5A" w:rsidP="00F16453">
      <w:pPr>
        <w:rPr>
          <w:rFonts w:cs="Arial"/>
          <w:sz w:val="12"/>
          <w:szCs w:val="12"/>
        </w:rPr>
      </w:pPr>
    </w:p>
    <w:p w:rsidR="00F27A5A" w:rsidRPr="00B2574A" w:rsidRDefault="00F27A5A" w:rsidP="00F16453">
      <w:pPr>
        <w:rPr>
          <w:rFonts w:cs="Arial"/>
          <w:sz w:val="18"/>
          <w:szCs w:val="18"/>
        </w:rPr>
      </w:pPr>
      <w:r>
        <w:rPr>
          <w:rFonts w:cs="Arial"/>
          <w:szCs w:val="20"/>
        </w:rPr>
        <w:lastRenderedPageBreak/>
        <w:t xml:space="preserve">V průběhu roku šly meziročně výš nejen mzdy a platy (v podobě náhrad zaměstnancům +3,4 % v průměru za první tři čtvrtletí 2014 proti +1 % za stejné období 2013, ale opět ve snižujícím se tempu). Rostly i zisky živnostníků (+1,6 % v průměru každé čtvrtletí, zatímco rok předtím ve stejnou dobu srovnatelně o 0,8 % klesaly). V čistých příjmech z vlastnictví obdrželi lidé sice proti stejnému období roku 2013 o 3,7 mld. korun méně, ale naopak rostly příjmy domácností ve formě sociálních příspěvků a dávek, a to každé čtvrtletí rychleji (od +1,9 % v prvním po +3,4 % ve třetím čtvrtletí 2014, v průměru pak o 2,6 %, přičemž za stejné období roku </w:t>
      </w:r>
      <w:r w:rsidRPr="00B2574A">
        <w:rPr>
          <w:rFonts w:cs="Arial"/>
          <w:sz w:val="18"/>
          <w:szCs w:val="18"/>
        </w:rPr>
        <w:t xml:space="preserve">2013 jen o 0,9 %). </w:t>
      </w:r>
    </w:p>
    <w:p w:rsidR="00F27A5A" w:rsidRDefault="00F27A5A" w:rsidP="00F16453">
      <w:pPr>
        <w:rPr>
          <w:rFonts w:cs="Arial"/>
          <w:szCs w:val="20"/>
        </w:rPr>
      </w:pPr>
    </w:p>
    <w:p w:rsidR="00F27A5A" w:rsidRDefault="00F27A5A" w:rsidP="00F16453">
      <w:pPr>
        <w:rPr>
          <w:rFonts w:cs="Arial"/>
          <w:szCs w:val="20"/>
        </w:rPr>
      </w:pPr>
      <w:r w:rsidRPr="00981080">
        <w:rPr>
          <w:rFonts w:cs="Arial"/>
          <w:b/>
          <w:szCs w:val="20"/>
        </w:rPr>
        <w:t>Graf 3: Hrubý disponibilní důchod domácností</w:t>
      </w:r>
      <w:r>
        <w:rPr>
          <w:rFonts w:cs="Arial"/>
          <w:szCs w:val="20"/>
        </w:rPr>
        <w:t xml:space="preserve"> </w:t>
      </w:r>
      <w:r w:rsidRPr="00981080">
        <w:rPr>
          <w:rFonts w:cs="Arial"/>
          <w:b/>
          <w:szCs w:val="20"/>
        </w:rPr>
        <w:t>a tržby v</w:t>
      </w:r>
      <w:r>
        <w:rPr>
          <w:rFonts w:cs="Arial"/>
          <w:b/>
          <w:szCs w:val="20"/>
        </w:rPr>
        <w:t> </w:t>
      </w:r>
      <w:r w:rsidRPr="00981080">
        <w:rPr>
          <w:rFonts w:cs="Arial"/>
          <w:b/>
          <w:szCs w:val="20"/>
        </w:rPr>
        <w:t>maloobc</w:t>
      </w:r>
      <w:r>
        <w:rPr>
          <w:rFonts w:cs="Arial"/>
          <w:b/>
          <w:szCs w:val="20"/>
        </w:rPr>
        <w:t>h</w:t>
      </w:r>
      <w:r w:rsidRPr="00981080">
        <w:rPr>
          <w:rFonts w:cs="Arial"/>
          <w:b/>
          <w:szCs w:val="20"/>
        </w:rPr>
        <w:t>odě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(v běžných cenách, NACE 47, y/y v %)  </w:t>
      </w:r>
    </w:p>
    <w:p w:rsidR="00F27A5A" w:rsidRPr="00F96C5E" w:rsidRDefault="00F27A5A" w:rsidP="00F16453">
      <w:pPr>
        <w:rPr>
          <w:rFonts w:cs="Arial"/>
          <w:szCs w:val="20"/>
        </w:rPr>
      </w:pPr>
    </w:p>
    <w:p w:rsidR="00F27A5A" w:rsidRPr="00756666" w:rsidRDefault="00D00EC8" w:rsidP="00F16453">
      <w:pPr>
        <w:jc w:val="center"/>
      </w:pPr>
      <w:r>
        <w:pict>
          <v:shape id="_x0000_i1027" type="#_x0000_t75" style="width:398.25pt;height:182.25pt">
            <v:imagedata r:id="rId8" o:title=""/>
          </v:shape>
        </w:pict>
      </w:r>
    </w:p>
    <w:p w:rsidR="00F27A5A" w:rsidRPr="00981080" w:rsidRDefault="00F27A5A" w:rsidP="00F16453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Zdroj</w:t>
      </w:r>
      <w:r w:rsidRPr="00981080">
        <w:rPr>
          <w:rFonts w:cs="Arial"/>
          <w:sz w:val="18"/>
          <w:szCs w:val="18"/>
        </w:rPr>
        <w:t>: ČSÚ</w:t>
      </w:r>
    </w:p>
    <w:p w:rsidR="00F27A5A" w:rsidRDefault="00F27A5A" w:rsidP="00F16453">
      <w:pPr>
        <w:rPr>
          <w:rFonts w:cs="Arial"/>
          <w:b/>
          <w:szCs w:val="20"/>
        </w:rPr>
      </w:pPr>
    </w:p>
    <w:p w:rsidR="00F27A5A" w:rsidRPr="008F4ACA" w:rsidRDefault="00F27A5A" w:rsidP="00F1645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… i p</w:t>
      </w:r>
      <w:r w:rsidRPr="008F4ACA">
        <w:rPr>
          <w:rFonts w:cs="Arial"/>
          <w:b/>
          <w:szCs w:val="20"/>
        </w:rPr>
        <w:t xml:space="preserve">ráce je víc a důvěra </w:t>
      </w:r>
      <w:r>
        <w:rPr>
          <w:rFonts w:cs="Arial"/>
          <w:b/>
          <w:szCs w:val="20"/>
        </w:rPr>
        <w:t>narůstá</w:t>
      </w:r>
    </w:p>
    <w:p w:rsidR="00F27A5A" w:rsidRPr="00B00933" w:rsidRDefault="00F27A5A" w:rsidP="00F16453">
      <w:pPr>
        <w:rPr>
          <w:rFonts w:cs="Arial"/>
          <w:sz w:val="12"/>
          <w:szCs w:val="12"/>
        </w:rPr>
      </w:pPr>
    </w:p>
    <w:p w:rsidR="00F27A5A" w:rsidRDefault="00F27A5A" w:rsidP="00F16453">
      <w:pPr>
        <w:rPr>
          <w:rFonts w:cs="Arial"/>
          <w:szCs w:val="20"/>
        </w:rPr>
      </w:pPr>
      <w:r>
        <w:rPr>
          <w:rFonts w:cs="Arial"/>
          <w:szCs w:val="20"/>
        </w:rPr>
        <w:t xml:space="preserve">Zaměstnanost roste a obecná míra nezaměstnanosti je tak nízká, že konkuruje stavu na konci dlouhé konjunktury české ekonomiky, resp. posledního čtvrtletí 2008 (tehdy přicházela ekonomická krize s propady vnější poptávky, ale trh práce v této době ještě zasažen nebyl). Není tedy divu, že spolu se zlepšením příjmové situace a obecně příznivými zprávami o ekonomice jako celku se optimismus domácností zvyšuje. </w:t>
      </w:r>
    </w:p>
    <w:p w:rsidR="00F27A5A" w:rsidRDefault="00F27A5A" w:rsidP="00F16453">
      <w:pPr>
        <w:rPr>
          <w:rFonts w:cs="Arial"/>
          <w:szCs w:val="20"/>
        </w:rPr>
      </w:pPr>
    </w:p>
    <w:p w:rsidR="00F27A5A" w:rsidRDefault="00F27A5A" w:rsidP="00F16453">
      <w:pPr>
        <w:rPr>
          <w:rFonts w:cs="Arial"/>
          <w:szCs w:val="20"/>
        </w:rPr>
      </w:pPr>
      <w:r>
        <w:rPr>
          <w:rFonts w:cs="Arial"/>
          <w:szCs w:val="20"/>
        </w:rPr>
        <w:t>Důvěra spotřebitelů byla letos v lednu tak vysoká, že se vyrovnala historicky nejvyšší hodnotě v časové řadě od roku 1998 – a to optimismu lidí z března 2007. Tehdejší výjimečná kondice české ekonomiky byla ovlivněná vstupem země do Evropské unie, vysokou investiční aktivitou firem, přílivem zahraničních investic, počínajícími a dále pokračujícími velmi dobrými výsledky zahraničního obchodu. Rostla také silně spotřeba domácností generovaná růsty nominálních mezd zvyšujících se v průměru kolem 7-8  % ročně. Kromě spotřeby se rychle rozvíjely i investice domácností do bydlení, financované v širokém měřítku dluhem. Tyto okolnosti, stimuly tehdejší dlouhé a relativně silné konjunktury české ekonomiky, však lze pokládat za stěží opakovatelné v plné šíři.</w:t>
      </w:r>
    </w:p>
    <w:p w:rsidR="00F27A5A" w:rsidRDefault="00F27A5A" w:rsidP="00F16453">
      <w:pPr>
        <w:rPr>
          <w:rFonts w:cs="Arial"/>
          <w:szCs w:val="20"/>
        </w:rPr>
      </w:pPr>
    </w:p>
    <w:p w:rsidR="00F27A5A" w:rsidRDefault="00F27A5A" w:rsidP="00F16453">
      <w:pPr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 xml:space="preserve">Graf 4: Mzdy a důvěra spotřebitelů </w:t>
      </w:r>
      <w:r w:rsidRPr="00981080">
        <w:rPr>
          <w:rFonts w:cs="Arial"/>
          <w:szCs w:val="20"/>
        </w:rPr>
        <w:t>(průměrná hrubá měsíční mzda na přepočtené počty pracovníků, index meziročních změn, data za</w:t>
      </w:r>
      <w:r>
        <w:rPr>
          <w:rFonts w:cs="Arial"/>
          <w:szCs w:val="20"/>
        </w:rPr>
        <w:t xml:space="preserve"> </w:t>
      </w:r>
      <w:r w:rsidRPr="00981080">
        <w:rPr>
          <w:rFonts w:cs="Arial"/>
          <w:szCs w:val="20"/>
        </w:rPr>
        <w:t>zaměstna</w:t>
      </w:r>
      <w:r>
        <w:rPr>
          <w:rFonts w:cs="Arial"/>
          <w:szCs w:val="20"/>
        </w:rPr>
        <w:t>n</w:t>
      </w:r>
      <w:r w:rsidRPr="00981080">
        <w:rPr>
          <w:rFonts w:cs="Arial"/>
          <w:szCs w:val="20"/>
        </w:rPr>
        <w:t>ce v pracovním poměru; salda indikátorů důvěry v sezónním očištění</w:t>
      </w:r>
      <w:r>
        <w:rPr>
          <w:rFonts w:cs="Arial"/>
          <w:szCs w:val="20"/>
        </w:rPr>
        <w:t>, báze roku 2005</w:t>
      </w:r>
      <w:r w:rsidRPr="00981080">
        <w:rPr>
          <w:rFonts w:cs="Arial"/>
          <w:szCs w:val="20"/>
        </w:rPr>
        <w:t xml:space="preserve">) </w:t>
      </w:r>
    </w:p>
    <w:p w:rsidR="00F27A5A" w:rsidRPr="00981080" w:rsidRDefault="00F27A5A" w:rsidP="00F16453">
      <w:pPr>
        <w:rPr>
          <w:rFonts w:cs="Arial"/>
          <w:szCs w:val="20"/>
        </w:rPr>
      </w:pPr>
    </w:p>
    <w:p w:rsidR="00F27A5A" w:rsidRDefault="00D00EC8" w:rsidP="00F16453">
      <w:pPr>
        <w:jc w:val="center"/>
      </w:pPr>
      <w:r>
        <w:pict>
          <v:shape id="_x0000_i1028" type="#_x0000_t75" style="width:399pt;height:182.25pt">
            <v:imagedata r:id="rId9" o:title=""/>
          </v:shape>
        </w:pict>
      </w:r>
    </w:p>
    <w:p w:rsidR="00F27A5A" w:rsidRPr="00B33B9F" w:rsidRDefault="00F27A5A" w:rsidP="00F16453">
      <w:pPr>
        <w:jc w:val="right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Zdroj</w:t>
      </w:r>
      <w:r w:rsidRPr="00981080">
        <w:rPr>
          <w:rFonts w:cs="Arial"/>
          <w:sz w:val="18"/>
          <w:szCs w:val="18"/>
        </w:rPr>
        <w:t>: ČSÚ</w:t>
      </w:r>
    </w:p>
    <w:p w:rsidR="00F27A5A" w:rsidRDefault="00F27A5A" w:rsidP="00F16453">
      <w:pPr>
        <w:rPr>
          <w:rFonts w:cs="Arial"/>
          <w:b/>
          <w:szCs w:val="20"/>
        </w:rPr>
      </w:pPr>
    </w:p>
    <w:p w:rsidR="00F27A5A" w:rsidRPr="00703450" w:rsidRDefault="00F27A5A" w:rsidP="00F16453">
      <w:pPr>
        <w:rPr>
          <w:rFonts w:cs="Arial"/>
          <w:b/>
          <w:szCs w:val="20"/>
        </w:rPr>
      </w:pPr>
      <w:r w:rsidRPr="00703450">
        <w:rPr>
          <w:rFonts w:cs="Arial"/>
          <w:b/>
          <w:szCs w:val="20"/>
        </w:rPr>
        <w:t>S</w:t>
      </w:r>
      <w:r>
        <w:rPr>
          <w:rFonts w:cs="Arial"/>
          <w:b/>
          <w:szCs w:val="20"/>
        </w:rPr>
        <w:t xml:space="preserve"> novými </w:t>
      </w:r>
      <w:r w:rsidRPr="00703450">
        <w:rPr>
          <w:rFonts w:cs="Arial"/>
          <w:b/>
          <w:szCs w:val="20"/>
        </w:rPr>
        <w:t>dluhy jsou domácnosti opatrn</w:t>
      </w:r>
      <w:r>
        <w:rPr>
          <w:rFonts w:cs="Arial"/>
          <w:b/>
          <w:szCs w:val="20"/>
        </w:rPr>
        <w:t>é</w:t>
      </w:r>
    </w:p>
    <w:p w:rsidR="00F27A5A" w:rsidRPr="00B00933" w:rsidRDefault="00F27A5A" w:rsidP="00F16453">
      <w:pPr>
        <w:rPr>
          <w:rFonts w:cs="Arial"/>
          <w:sz w:val="12"/>
          <w:szCs w:val="12"/>
        </w:rPr>
      </w:pPr>
    </w:p>
    <w:p w:rsidR="00F27A5A" w:rsidRDefault="00F27A5A" w:rsidP="00F16453">
      <w:pPr>
        <w:rPr>
          <w:rFonts w:cs="Arial"/>
          <w:szCs w:val="20"/>
        </w:rPr>
      </w:pPr>
      <w:r>
        <w:rPr>
          <w:rFonts w:cs="Arial"/>
          <w:szCs w:val="20"/>
        </w:rPr>
        <w:t xml:space="preserve">A právě v současnosti patrná změna v nazírání na zadluženost dokresluje chování českých domácností ve fázi nynějšího oživení ekonomiky. I když existuje podle nich několik důvodů k optimismu, jsou v přijímání nových půjček opatrní. Koncem prosince 2014 byly stavy jejich půjček na spotřebu nižší o téměř dvě miliardy (-1 %). Lidé se chovají rozumně a redukují především své „nejdražší“ půjčky. To znamená ty v podobě kontokorentů (povolených debetů na svých žirových účtech), které byly proti konci roku 2013 nižší o 7,3 % a také dluhů na kartách (-6,9 %). Snížili tak jen na těchto dvou úvěrových produktech své dluhy meziročně o víc než 2,5 mld. korun. </w:t>
      </w:r>
    </w:p>
    <w:p w:rsidR="00F27A5A" w:rsidRDefault="00F27A5A" w:rsidP="00F16453">
      <w:pPr>
        <w:rPr>
          <w:rFonts w:cs="Arial"/>
          <w:szCs w:val="20"/>
        </w:rPr>
      </w:pPr>
    </w:p>
    <w:p w:rsidR="00F27A5A" w:rsidRDefault="00F27A5A" w:rsidP="00F16453">
      <w:pPr>
        <w:rPr>
          <w:rFonts w:cs="Arial"/>
          <w:szCs w:val="20"/>
        </w:rPr>
      </w:pPr>
      <w:r>
        <w:rPr>
          <w:rFonts w:cs="Arial"/>
          <w:szCs w:val="20"/>
        </w:rPr>
        <w:t xml:space="preserve">Naopak půjčky na bydlení stouply´meziročně +5,6 %, když zřejmě zapůsobil efekt nízkých úrokových sazeb a také zprávy, že ceny bytů porostou. Dynamika z předchozích dvou let se však zejména u hypotečních úvěrů významněji nezvyšuje (+6,7 % v roce 2014, +6,6 % v roce </w:t>
      </w:r>
      <w:smartTag w:uri="urn:schemas-microsoft-com:office:smarttags" w:element="metricconverter">
        <w:smartTagPr>
          <w:attr w:name="ProductID" w:val="2013 a"/>
        </w:smartTagPr>
        <w:r>
          <w:rPr>
            <w:rFonts w:cs="Arial"/>
            <w:szCs w:val="20"/>
          </w:rPr>
          <w:t>2013 a</w:t>
        </w:r>
      </w:smartTag>
      <w:r>
        <w:rPr>
          <w:rFonts w:cs="Arial"/>
          <w:szCs w:val="20"/>
        </w:rPr>
        <w:t xml:space="preserve"> +6,3 % v roce 2012). Pokračující přírůstky těchto úvěrů na bydlení ovlivňuje i okolnost, že klientský segment, který hypotečních úvěrů využívá, je charakterizován vyšší bonitou a navíc možnostmi pořizovat si bydlení kromě vlastní potřeby i jako investici. </w:t>
      </w:r>
    </w:p>
    <w:p w:rsidR="00F27A5A" w:rsidRPr="006C1CE5" w:rsidRDefault="00F27A5A" w:rsidP="00F16453">
      <w:pPr>
        <w:rPr>
          <w:rFonts w:cs="Arial"/>
          <w:szCs w:val="20"/>
        </w:rPr>
      </w:pPr>
    </w:p>
    <w:p w:rsidR="00F27A5A" w:rsidRPr="00703450" w:rsidRDefault="00F27A5A" w:rsidP="00F1645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Roční d</w:t>
      </w:r>
      <w:r w:rsidRPr="00703450">
        <w:rPr>
          <w:rFonts w:cs="Arial"/>
          <w:b/>
          <w:szCs w:val="20"/>
        </w:rPr>
        <w:t>ovoz a vývoz zboží s dvojcifernými tempy</w:t>
      </w:r>
    </w:p>
    <w:p w:rsidR="00F27A5A" w:rsidRPr="008853DA" w:rsidRDefault="00F27A5A" w:rsidP="00F16453">
      <w:pPr>
        <w:rPr>
          <w:rFonts w:cs="Arial"/>
          <w:szCs w:val="20"/>
        </w:rPr>
      </w:pPr>
    </w:p>
    <w:p w:rsidR="00F27A5A" w:rsidRDefault="00F27A5A" w:rsidP="00F16453">
      <w:pPr>
        <w:rPr>
          <w:rFonts w:cs="Arial"/>
          <w:szCs w:val="20"/>
        </w:rPr>
      </w:pPr>
      <w:r w:rsidRPr="008853DA">
        <w:rPr>
          <w:rFonts w:cs="Arial"/>
          <w:szCs w:val="20"/>
        </w:rPr>
        <w:t xml:space="preserve">Výsledek obchodu </w:t>
      </w:r>
      <w:r>
        <w:rPr>
          <w:rFonts w:cs="Arial"/>
          <w:szCs w:val="20"/>
        </w:rPr>
        <w:t xml:space="preserve">ČR </w:t>
      </w:r>
      <w:r w:rsidRPr="008853DA">
        <w:rPr>
          <w:rFonts w:cs="Arial"/>
          <w:szCs w:val="20"/>
        </w:rPr>
        <w:t>s</w:t>
      </w:r>
      <w:r>
        <w:rPr>
          <w:rFonts w:cs="Arial"/>
          <w:szCs w:val="20"/>
        </w:rPr>
        <w:t>e</w:t>
      </w:r>
      <w:r w:rsidRPr="008853DA">
        <w:rPr>
          <w:rFonts w:cs="Arial"/>
          <w:szCs w:val="20"/>
        </w:rPr>
        <w:t> </w:t>
      </w:r>
      <w:r>
        <w:rPr>
          <w:rFonts w:cs="Arial"/>
          <w:szCs w:val="20"/>
        </w:rPr>
        <w:t>zahraničím</w:t>
      </w:r>
      <w:r w:rsidRPr="008853DA">
        <w:rPr>
          <w:rFonts w:cs="Arial"/>
          <w:szCs w:val="20"/>
        </w:rPr>
        <w:t xml:space="preserve"> je i podle dat v národním pojetí velmi příznivý – exportéři  vyvezli o </w:t>
      </w:r>
      <w:r>
        <w:rPr>
          <w:rFonts w:cs="Arial"/>
          <w:szCs w:val="20"/>
        </w:rPr>
        <w:t>157,1</w:t>
      </w:r>
      <w:r w:rsidRPr="008853DA">
        <w:rPr>
          <w:rFonts w:cs="Arial"/>
          <w:szCs w:val="20"/>
        </w:rPr>
        <w:t xml:space="preserve"> mld. korun více zboží</w:t>
      </w:r>
      <w:r>
        <w:rPr>
          <w:rFonts w:cs="Arial"/>
          <w:szCs w:val="20"/>
        </w:rPr>
        <w:t>,</w:t>
      </w:r>
      <w:r w:rsidRPr="008853DA">
        <w:rPr>
          <w:rFonts w:cs="Arial"/>
          <w:szCs w:val="20"/>
        </w:rPr>
        <w:t xml:space="preserve"> než kolik ho importující firmy dovezly</w:t>
      </w:r>
      <w:r>
        <w:rPr>
          <w:rFonts w:cs="Arial"/>
          <w:szCs w:val="20"/>
        </w:rPr>
        <w:t>. T</w:t>
      </w:r>
      <w:r w:rsidRPr="008853DA">
        <w:rPr>
          <w:rFonts w:cs="Arial"/>
          <w:szCs w:val="20"/>
        </w:rPr>
        <w:t xml:space="preserve">ato bilance byla vyšší než kdykoli předtím. I když </w:t>
      </w:r>
      <w:r>
        <w:rPr>
          <w:rFonts w:cs="Arial"/>
          <w:szCs w:val="20"/>
        </w:rPr>
        <w:t xml:space="preserve">přetrvávající </w:t>
      </w:r>
      <w:r w:rsidRPr="008853DA">
        <w:rPr>
          <w:rFonts w:cs="Arial"/>
          <w:szCs w:val="20"/>
        </w:rPr>
        <w:t>křehkost vývoje evropské ekonomiky žádný velký optimismus nenavozovala</w:t>
      </w:r>
      <w:r>
        <w:rPr>
          <w:rFonts w:cs="Arial"/>
          <w:szCs w:val="20"/>
        </w:rPr>
        <w:t xml:space="preserve">, </w:t>
      </w:r>
      <w:r w:rsidRPr="008853DA">
        <w:rPr>
          <w:rFonts w:cs="Arial"/>
          <w:szCs w:val="20"/>
        </w:rPr>
        <w:t xml:space="preserve">přesto český export </w:t>
      </w:r>
      <w:r w:rsidRPr="00D766C4">
        <w:rPr>
          <w:rFonts w:cs="Arial"/>
          <w:szCs w:val="20"/>
        </w:rPr>
        <w:t>na trhy EU</w:t>
      </w:r>
      <w:r>
        <w:rPr>
          <w:rFonts w:cs="Arial"/>
          <w:szCs w:val="20"/>
        </w:rPr>
        <w:t xml:space="preserve"> narostl v roce 2014 meziročně o 15 %,</w:t>
      </w:r>
      <w:r w:rsidRPr="008853DA">
        <w:rPr>
          <w:rFonts w:cs="Arial"/>
          <w:szCs w:val="20"/>
        </w:rPr>
        <w:t xml:space="preserve"> do </w:t>
      </w:r>
      <w:r>
        <w:rPr>
          <w:rFonts w:cs="Arial"/>
          <w:szCs w:val="20"/>
        </w:rPr>
        <w:t xml:space="preserve">ostatního </w:t>
      </w:r>
      <w:r w:rsidRPr="008853DA">
        <w:rPr>
          <w:rFonts w:cs="Arial"/>
          <w:szCs w:val="20"/>
        </w:rPr>
        <w:t xml:space="preserve">světa pak o </w:t>
      </w:r>
      <w:r>
        <w:rPr>
          <w:rFonts w:cs="Arial"/>
          <w:szCs w:val="20"/>
        </w:rPr>
        <w:t>7,5</w:t>
      </w:r>
      <w:r w:rsidRPr="008853DA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 (v úhrnu o 12,7 %)</w:t>
      </w:r>
      <w:r w:rsidRPr="008853DA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Nadějné</w:t>
      </w:r>
      <w:r w:rsidRPr="008853DA">
        <w:rPr>
          <w:rFonts w:cs="Arial"/>
          <w:szCs w:val="20"/>
        </w:rPr>
        <w:t xml:space="preserve"> oživ</w:t>
      </w:r>
      <w:r>
        <w:rPr>
          <w:rFonts w:cs="Arial"/>
          <w:szCs w:val="20"/>
        </w:rPr>
        <w:t>ování</w:t>
      </w:r>
      <w:r w:rsidRPr="008853DA">
        <w:rPr>
          <w:rFonts w:cs="Arial"/>
          <w:szCs w:val="20"/>
        </w:rPr>
        <w:t xml:space="preserve"> domácí poptávky </w:t>
      </w:r>
      <w:r w:rsidRPr="008853DA">
        <w:rPr>
          <w:rFonts w:cs="Arial"/>
          <w:szCs w:val="20"/>
        </w:rPr>
        <w:lastRenderedPageBreak/>
        <w:t>navozovalo dojem, že tempo dovozu bude přestihovat tempo vývozu. To ale platilo jen v</w:t>
      </w:r>
      <w:r>
        <w:rPr>
          <w:rFonts w:cs="Arial"/>
          <w:szCs w:val="20"/>
        </w:rPr>
        <w:t> datech za druhé čtvrtletí. Z</w:t>
      </w:r>
      <w:r w:rsidRPr="008853DA">
        <w:rPr>
          <w:rFonts w:cs="Arial"/>
          <w:szCs w:val="20"/>
        </w:rPr>
        <w:t xml:space="preserve">a celý rok </w:t>
      </w:r>
      <w:r>
        <w:rPr>
          <w:rFonts w:cs="Arial"/>
          <w:szCs w:val="20"/>
        </w:rPr>
        <w:t xml:space="preserve">2014 </w:t>
      </w:r>
      <w:r w:rsidRPr="008853DA">
        <w:rPr>
          <w:rFonts w:cs="Arial"/>
          <w:szCs w:val="20"/>
        </w:rPr>
        <w:t xml:space="preserve">stoupl vývoz </w:t>
      </w:r>
      <w:r>
        <w:rPr>
          <w:rFonts w:cs="Arial"/>
          <w:szCs w:val="20"/>
        </w:rPr>
        <w:t xml:space="preserve">z ČR </w:t>
      </w:r>
      <w:r w:rsidRPr="008853DA">
        <w:rPr>
          <w:rFonts w:cs="Arial"/>
          <w:szCs w:val="20"/>
        </w:rPr>
        <w:t>o 12,</w:t>
      </w:r>
      <w:r>
        <w:rPr>
          <w:rFonts w:cs="Arial"/>
          <w:szCs w:val="20"/>
        </w:rPr>
        <w:t>7</w:t>
      </w:r>
      <w:r w:rsidRPr="008853DA">
        <w:rPr>
          <w:rFonts w:cs="Arial"/>
          <w:szCs w:val="20"/>
        </w:rPr>
        <w:t xml:space="preserve"> %, zatímco dovoz o 11</w:t>
      </w:r>
      <w:r>
        <w:rPr>
          <w:rFonts w:cs="Arial"/>
          <w:szCs w:val="20"/>
        </w:rPr>
        <w:t>,4</w:t>
      </w:r>
      <w:r w:rsidRPr="008853DA">
        <w:rPr>
          <w:rFonts w:cs="Arial"/>
          <w:szCs w:val="20"/>
        </w:rPr>
        <w:t xml:space="preserve"> %. </w:t>
      </w:r>
    </w:p>
    <w:p w:rsidR="00F27A5A" w:rsidRDefault="00F27A5A" w:rsidP="00F16453">
      <w:pPr>
        <w:rPr>
          <w:rFonts w:cs="Arial"/>
          <w:szCs w:val="20"/>
        </w:rPr>
      </w:pPr>
    </w:p>
    <w:p w:rsidR="00F27A5A" w:rsidRDefault="00F27A5A" w:rsidP="00F16453">
      <w:pPr>
        <w:rPr>
          <w:rFonts w:cs="Arial"/>
          <w:szCs w:val="20"/>
        </w:rPr>
      </w:pPr>
      <w:r w:rsidRPr="00DF3F8F">
        <w:rPr>
          <w:rFonts w:cs="Arial"/>
          <w:b/>
          <w:szCs w:val="20"/>
        </w:rPr>
        <w:t>Graf 5: Bilance zahraničního obchodu ČR se zbožím</w:t>
      </w:r>
      <w:r>
        <w:rPr>
          <w:rFonts w:cs="Arial"/>
          <w:szCs w:val="20"/>
        </w:rPr>
        <w:t xml:space="preserve"> (v mil. korun, národní pojetí zahraničního obchodu)</w:t>
      </w:r>
    </w:p>
    <w:p w:rsidR="00F27A5A" w:rsidRDefault="00F27A5A" w:rsidP="00F16453">
      <w:pPr>
        <w:rPr>
          <w:rFonts w:cs="Arial"/>
          <w:szCs w:val="20"/>
        </w:rPr>
      </w:pPr>
    </w:p>
    <w:p w:rsidR="00F27A5A" w:rsidRDefault="00D00EC8" w:rsidP="00F16453">
      <w:pPr>
        <w:jc w:val="center"/>
      </w:pPr>
      <w:r>
        <w:pict>
          <v:shape id="_x0000_i1029" type="#_x0000_t75" style="width:384pt;height:178.5pt">
            <v:imagedata r:id="rId10" o:title=""/>
          </v:shape>
        </w:pict>
      </w:r>
    </w:p>
    <w:p w:rsidR="00F27A5A" w:rsidRPr="00DF3F8F" w:rsidRDefault="00F27A5A" w:rsidP="00F16453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Zdroj</w:t>
      </w:r>
      <w:r w:rsidRPr="00DF3F8F">
        <w:rPr>
          <w:rFonts w:cs="Arial"/>
          <w:sz w:val="18"/>
          <w:szCs w:val="18"/>
        </w:rPr>
        <w:t>: ČSÚ</w:t>
      </w:r>
    </w:p>
    <w:p w:rsidR="00F27A5A" w:rsidRPr="00BF08E1" w:rsidRDefault="00F27A5A" w:rsidP="00F16453">
      <w:pPr>
        <w:rPr>
          <w:rFonts w:cs="Arial"/>
          <w:sz w:val="12"/>
          <w:szCs w:val="12"/>
        </w:rPr>
      </w:pPr>
    </w:p>
    <w:p w:rsidR="00F27A5A" w:rsidRDefault="00F27A5A" w:rsidP="00F16453">
      <w:pPr>
        <w:rPr>
          <w:rFonts w:cs="Arial"/>
          <w:b/>
          <w:szCs w:val="20"/>
        </w:rPr>
      </w:pPr>
    </w:p>
    <w:p w:rsidR="00F27A5A" w:rsidRPr="00D123E5" w:rsidRDefault="00F27A5A" w:rsidP="00F16453">
      <w:pPr>
        <w:rPr>
          <w:rFonts w:cs="Arial"/>
          <w:b/>
          <w:szCs w:val="20"/>
        </w:rPr>
      </w:pPr>
      <w:r w:rsidRPr="00D123E5">
        <w:rPr>
          <w:rFonts w:cs="Arial"/>
          <w:b/>
          <w:szCs w:val="20"/>
        </w:rPr>
        <w:t>Výkyvy v očekáváních a nejistota v Evropě</w:t>
      </w:r>
    </w:p>
    <w:p w:rsidR="00F27A5A" w:rsidRPr="00F96C5E" w:rsidRDefault="00F27A5A" w:rsidP="00F16453">
      <w:pPr>
        <w:rPr>
          <w:rFonts w:cs="Arial"/>
          <w:szCs w:val="20"/>
        </w:rPr>
      </w:pPr>
    </w:p>
    <w:p w:rsidR="00F27A5A" w:rsidRDefault="00F27A5A" w:rsidP="00F16453">
      <w:pPr>
        <w:rPr>
          <w:rFonts w:cs="Arial"/>
          <w:szCs w:val="20"/>
        </w:rPr>
      </w:pPr>
      <w:r w:rsidRPr="00703450">
        <w:rPr>
          <w:rFonts w:cs="Arial"/>
          <w:szCs w:val="20"/>
        </w:rPr>
        <w:t>Riziko se zdálo relativně vysoké začátkem podzimu, kdy velké evropské ekonomiky -  s výjimkou Velké Británie - naznačovaly podle předstihových indikátorů možn</w:t>
      </w:r>
      <w:r>
        <w:rPr>
          <w:rFonts w:cs="Arial"/>
          <w:szCs w:val="20"/>
        </w:rPr>
        <w:t>ý</w:t>
      </w:r>
      <w:r w:rsidRPr="00703450">
        <w:rPr>
          <w:rFonts w:cs="Arial"/>
          <w:szCs w:val="20"/>
        </w:rPr>
        <w:t xml:space="preserve"> návrat do recese. K tomu sice nedošlo, ale o síle obav svědčily např. i snížené predikce Bundesbanky pro ekonomiku Německa, a to jak pro rok 2014, tak i další dva následující roky. </w:t>
      </w:r>
      <w:r>
        <w:rPr>
          <w:rFonts w:cs="Arial"/>
          <w:szCs w:val="20"/>
        </w:rPr>
        <w:t>O n</w:t>
      </w:r>
      <w:r w:rsidRPr="00703450">
        <w:rPr>
          <w:rFonts w:cs="Arial"/>
          <w:szCs w:val="20"/>
        </w:rPr>
        <w:t>ejistotách budoucího vývoje svědčí i fakt, že tři měsíce poté naopak zvýšila německá vláda odhad růstu svého hospodářství (z říjnových +</w:t>
      </w:r>
      <w:r>
        <w:rPr>
          <w:rFonts w:cs="Arial"/>
          <w:szCs w:val="20"/>
        </w:rPr>
        <w:t>1,5</w:t>
      </w:r>
      <w:r w:rsidRPr="00703450">
        <w:rPr>
          <w:rFonts w:cs="Arial"/>
          <w:szCs w:val="20"/>
        </w:rPr>
        <w:t xml:space="preserve"> % na lednových +</w:t>
      </w:r>
      <w:r>
        <w:rPr>
          <w:rFonts w:cs="Arial"/>
          <w:szCs w:val="20"/>
        </w:rPr>
        <w:t>1,7</w:t>
      </w:r>
      <w:r w:rsidRPr="00703450">
        <w:rPr>
          <w:rFonts w:cs="Arial"/>
          <w:szCs w:val="20"/>
        </w:rPr>
        <w:t xml:space="preserve"> %). </w:t>
      </w:r>
    </w:p>
    <w:p w:rsidR="00F27A5A" w:rsidRDefault="00F27A5A" w:rsidP="00F16453">
      <w:pPr>
        <w:rPr>
          <w:rFonts w:cs="Arial"/>
          <w:szCs w:val="20"/>
        </w:rPr>
      </w:pPr>
    </w:p>
    <w:p w:rsidR="00F27A5A" w:rsidRDefault="00F27A5A" w:rsidP="00F16453">
      <w:r w:rsidRPr="00703450">
        <w:rPr>
          <w:rFonts w:cs="Arial"/>
          <w:szCs w:val="20"/>
        </w:rPr>
        <w:t xml:space="preserve">V novém roce stouply vesměs i všechny hlavní publikované předstihové ukazatele pro Německo produkované několika institucemi, a to jak co se týká spotřebitelů, tak i firem </w:t>
      </w:r>
      <w:r>
        <w:rPr>
          <w:rFonts w:cs="Arial"/>
          <w:szCs w:val="20"/>
        </w:rPr>
        <w:t>-</w:t>
      </w:r>
      <w:r w:rsidRPr="00703450">
        <w:rPr>
          <w:rFonts w:cs="Arial"/>
          <w:szCs w:val="20"/>
        </w:rPr>
        <w:t xml:space="preserve"> nejenže byly vyšší než v předchozím období, ale překonaly i očekávané hodnoty. Německý růst má být tažen především exportem, což však může být poněkud kaleno skutečností, že velké rozvíjející se ekonomiky svoji dynam</w:t>
      </w:r>
      <w:r>
        <w:rPr>
          <w:rFonts w:cs="Arial"/>
          <w:szCs w:val="20"/>
        </w:rPr>
        <w:t>i</w:t>
      </w:r>
      <w:r w:rsidRPr="00703450">
        <w:rPr>
          <w:rFonts w:cs="Arial"/>
          <w:szCs w:val="20"/>
        </w:rPr>
        <w:t>ku tlumí. V každém případě je však pro ekonomiku ČR příznivé, že nadcházející měsíce by z pohledu zahraniční poptávky neměly představovat takový problém, jaký se jevil během podzimu – tehdy tempo exportu z ČR skutečně zpomalilo</w:t>
      </w:r>
      <w:r>
        <w:rPr>
          <w:rFonts w:cs="Arial"/>
          <w:szCs w:val="20"/>
        </w:rPr>
        <w:t xml:space="preserve"> na jednociferné hodnoty</w:t>
      </w:r>
      <w:r w:rsidRPr="00703450">
        <w:rPr>
          <w:rFonts w:cs="Arial"/>
          <w:szCs w:val="20"/>
        </w:rPr>
        <w:t>. Prosincový deficit obchodní bilance</w:t>
      </w:r>
      <w:r>
        <w:rPr>
          <w:rFonts w:cs="Arial"/>
          <w:szCs w:val="20"/>
        </w:rPr>
        <w:t xml:space="preserve"> (graf 5), který je patrný </w:t>
      </w:r>
      <w:r w:rsidRPr="00703450">
        <w:rPr>
          <w:rFonts w:cs="Arial"/>
          <w:szCs w:val="20"/>
        </w:rPr>
        <w:t>každý rok a působí ho silné dovozy v závěru roku, b</w:t>
      </w:r>
      <w:r>
        <w:rPr>
          <w:rFonts w:cs="Arial"/>
          <w:szCs w:val="20"/>
        </w:rPr>
        <w:t>yl loni relativně velmi malý (-</w:t>
      </w:r>
      <w:r w:rsidRPr="00703450">
        <w:rPr>
          <w:rFonts w:cs="Arial"/>
          <w:szCs w:val="20"/>
        </w:rPr>
        <w:t>3 mld. korun byl</w:t>
      </w:r>
      <w:r>
        <w:rPr>
          <w:rFonts w:cs="Arial"/>
          <w:szCs w:val="20"/>
        </w:rPr>
        <w:t>o</w:t>
      </w:r>
      <w:r w:rsidRPr="00703450">
        <w:rPr>
          <w:rFonts w:cs="Arial"/>
          <w:szCs w:val="20"/>
        </w:rPr>
        <w:t xml:space="preserve"> nejméně za posledních sedm let</w:t>
      </w:r>
      <w:r>
        <w:t>).</w:t>
      </w:r>
    </w:p>
    <w:p w:rsidR="00F27A5A" w:rsidRPr="00DF3F8F" w:rsidRDefault="00F27A5A" w:rsidP="00F16453">
      <w:pPr>
        <w:rPr>
          <w:rFonts w:cs="Arial"/>
          <w:szCs w:val="20"/>
        </w:rPr>
      </w:pPr>
      <w:r>
        <w:t xml:space="preserve"> </w:t>
      </w:r>
    </w:p>
    <w:p w:rsidR="00F27A5A" w:rsidRDefault="00F27A5A" w:rsidP="00F16453">
      <w:pPr>
        <w:rPr>
          <w:rFonts w:cs="Arial"/>
          <w:b/>
          <w:szCs w:val="20"/>
        </w:rPr>
      </w:pPr>
    </w:p>
    <w:p w:rsidR="00F27A5A" w:rsidRDefault="00F27A5A" w:rsidP="00F16453">
      <w:pPr>
        <w:rPr>
          <w:rFonts w:cs="Arial"/>
          <w:szCs w:val="20"/>
        </w:rPr>
      </w:pPr>
      <w:r w:rsidRPr="00DF3F8F">
        <w:rPr>
          <w:rFonts w:cs="Arial"/>
          <w:b/>
          <w:szCs w:val="20"/>
        </w:rPr>
        <w:t>Graf 6: Bilance zahraničního obchodu ČT se zbožím v kumulativním vyjádření</w:t>
      </w:r>
      <w:r>
        <w:rPr>
          <w:rFonts w:cs="Arial"/>
          <w:szCs w:val="20"/>
        </w:rPr>
        <w:t xml:space="preserve"> (období 2009-2014, v mil. korun)</w:t>
      </w:r>
    </w:p>
    <w:p w:rsidR="00F27A5A" w:rsidRDefault="00F27A5A" w:rsidP="00F16453">
      <w:pPr>
        <w:rPr>
          <w:rFonts w:cs="Arial"/>
          <w:szCs w:val="20"/>
        </w:rPr>
      </w:pPr>
    </w:p>
    <w:p w:rsidR="00F27A5A" w:rsidRDefault="00D00EC8" w:rsidP="00F16453">
      <w:pPr>
        <w:jc w:val="center"/>
      </w:pPr>
      <w:r>
        <w:rPr>
          <w:noProof/>
          <w:lang w:eastAsia="cs-CZ"/>
        </w:rPr>
        <w:pict>
          <v:shape id="Graf 1" o:spid="_x0000_i1030" type="#_x0000_t75" style="width:404.25pt;height:18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">
            <v:imagedata r:id="rId11" o:title=""/>
            <o:lock v:ext="edit" aspectratio="f"/>
          </v:shape>
        </w:pict>
      </w:r>
    </w:p>
    <w:p w:rsidR="00F27A5A" w:rsidRPr="00EE2E07" w:rsidRDefault="00F27A5A" w:rsidP="00F16453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Zdroj</w:t>
      </w:r>
      <w:r w:rsidRPr="00EE2E07">
        <w:rPr>
          <w:rFonts w:cs="Arial"/>
          <w:sz w:val="18"/>
          <w:szCs w:val="18"/>
        </w:rPr>
        <w:t>: ČSÚ</w:t>
      </w:r>
    </w:p>
    <w:p w:rsidR="00F27A5A" w:rsidRPr="00DF3F8F" w:rsidRDefault="00F27A5A" w:rsidP="00F16453">
      <w:pPr>
        <w:rPr>
          <w:rFonts w:cs="Arial"/>
          <w:szCs w:val="20"/>
        </w:rPr>
      </w:pPr>
    </w:p>
    <w:p w:rsidR="00F27A5A" w:rsidRPr="00DF3F8F" w:rsidRDefault="00F27A5A" w:rsidP="00F16453">
      <w:pPr>
        <w:rPr>
          <w:rFonts w:cs="Arial"/>
          <w:b/>
          <w:szCs w:val="20"/>
        </w:rPr>
      </w:pPr>
      <w:r w:rsidRPr="00DF3F8F">
        <w:rPr>
          <w:rFonts w:cs="Arial"/>
          <w:b/>
          <w:szCs w:val="20"/>
        </w:rPr>
        <w:t>Potáhnou export opět automobilky?</w:t>
      </w:r>
    </w:p>
    <w:p w:rsidR="00F27A5A" w:rsidRPr="00D766C4" w:rsidRDefault="00F27A5A" w:rsidP="00F16453">
      <w:pPr>
        <w:rPr>
          <w:rFonts w:cs="Arial"/>
          <w:sz w:val="12"/>
          <w:szCs w:val="12"/>
        </w:rPr>
      </w:pPr>
    </w:p>
    <w:p w:rsidR="00F27A5A" w:rsidRPr="00DF3F8F" w:rsidRDefault="00F27A5A" w:rsidP="00F16453">
      <w:pPr>
        <w:rPr>
          <w:rFonts w:cs="Arial"/>
          <w:szCs w:val="20"/>
        </w:rPr>
      </w:pPr>
      <w:r w:rsidRPr="00DF3F8F">
        <w:rPr>
          <w:rFonts w:cs="Arial"/>
          <w:szCs w:val="20"/>
        </w:rPr>
        <w:t xml:space="preserve">Tempo celkových vývozů z ČR předstihl výrazně export motorových vozidel (meziročně + </w:t>
      </w:r>
      <w:r>
        <w:rPr>
          <w:rFonts w:cs="Arial"/>
          <w:szCs w:val="20"/>
        </w:rPr>
        <w:t xml:space="preserve">22 </w:t>
      </w:r>
      <w:r w:rsidRPr="00DF3F8F">
        <w:rPr>
          <w:rFonts w:cs="Arial"/>
          <w:szCs w:val="20"/>
        </w:rPr>
        <w:t>% proti již zmíněným</w:t>
      </w:r>
      <w:r>
        <w:rPr>
          <w:rFonts w:cs="Arial"/>
          <w:szCs w:val="20"/>
        </w:rPr>
        <w:t xml:space="preserve"> +12,7 </w:t>
      </w:r>
      <w:r w:rsidRPr="00DF3F8F">
        <w:rPr>
          <w:rFonts w:cs="Arial"/>
          <w:szCs w:val="20"/>
        </w:rPr>
        <w:t xml:space="preserve">% </w:t>
      </w:r>
      <w:r>
        <w:rPr>
          <w:rFonts w:cs="Arial"/>
          <w:szCs w:val="20"/>
        </w:rPr>
        <w:t xml:space="preserve">u </w:t>
      </w:r>
      <w:r w:rsidRPr="00DF3F8F">
        <w:rPr>
          <w:rFonts w:cs="Arial"/>
          <w:szCs w:val="20"/>
        </w:rPr>
        <w:t>celkových vývozů). Ten mohl těžit z ožive</w:t>
      </w:r>
      <w:r>
        <w:rPr>
          <w:rFonts w:cs="Arial"/>
          <w:szCs w:val="20"/>
        </w:rPr>
        <w:t>ní evropského trhu s automobily</w:t>
      </w:r>
      <w:r w:rsidRPr="00DF3F8F">
        <w:rPr>
          <w:rFonts w:cs="Arial"/>
          <w:szCs w:val="20"/>
        </w:rPr>
        <w:t xml:space="preserve"> (re</w:t>
      </w:r>
      <w:r>
        <w:rPr>
          <w:rFonts w:cs="Arial"/>
          <w:szCs w:val="20"/>
        </w:rPr>
        <w:t xml:space="preserve">gistrace nových vozidel rostly </w:t>
      </w:r>
      <w:r w:rsidRPr="00DF3F8F">
        <w:rPr>
          <w:rFonts w:cs="Arial"/>
          <w:szCs w:val="20"/>
        </w:rPr>
        <w:t>v úhrnu za EU 28 vč. Norska a Švýcarska meziročně od září 2013 nepřetržitě a za rok 2014 byly proti roku 2013 vyšší o 5,7 %). I když Evropské sdružení výrobců automobilů - které uvádí, že zmíněný růst v loňském roce byl prvním meziročním růstem od finanční krize v roce 2008 -, předpokládá, že letošní přírůstek registrací nových vozidel bude nižší (+2,1 %) a má se soustředit především do Itálie a Španělska a dále pak do Německa a Velké Británie. Přitom do těchto zemí směřuje téměř polovina (45,3 % v roce 2013) vývozu silničních vozidel z ČR a podíl dále narůstá (47,</w:t>
      </w:r>
      <w:r>
        <w:rPr>
          <w:rFonts w:cs="Arial"/>
          <w:szCs w:val="20"/>
        </w:rPr>
        <w:t>4</w:t>
      </w:r>
      <w:r w:rsidRPr="00DF3F8F">
        <w:rPr>
          <w:rFonts w:cs="Arial"/>
          <w:szCs w:val="20"/>
        </w:rPr>
        <w:t xml:space="preserve"> % </w:t>
      </w:r>
      <w:r>
        <w:rPr>
          <w:rFonts w:cs="Arial"/>
          <w:szCs w:val="20"/>
        </w:rPr>
        <w:t xml:space="preserve">v roce </w:t>
      </w:r>
      <w:r w:rsidRPr="00DF3F8F">
        <w:rPr>
          <w:rFonts w:cs="Arial"/>
          <w:szCs w:val="20"/>
        </w:rPr>
        <w:t>2014). Největším odběratelem je Německo s podílem 31,1 % resp. 32,</w:t>
      </w:r>
      <w:r>
        <w:rPr>
          <w:rFonts w:cs="Arial"/>
          <w:szCs w:val="20"/>
        </w:rPr>
        <w:t>5</w:t>
      </w:r>
      <w:r w:rsidRPr="00DF3F8F">
        <w:rPr>
          <w:rFonts w:cs="Arial"/>
          <w:szCs w:val="20"/>
        </w:rPr>
        <w:t xml:space="preserve"> %, ale významnou část těchto exportů </w:t>
      </w:r>
      <w:r>
        <w:rPr>
          <w:rFonts w:cs="Arial"/>
          <w:szCs w:val="20"/>
        </w:rPr>
        <w:t xml:space="preserve">do této země </w:t>
      </w:r>
      <w:r w:rsidRPr="00DF3F8F">
        <w:rPr>
          <w:rFonts w:cs="Arial"/>
          <w:szCs w:val="20"/>
        </w:rPr>
        <w:t>představují díly a příslušenství motorových vozidel.</w:t>
      </w:r>
      <w:r>
        <w:rPr>
          <w:rFonts w:cs="Arial"/>
          <w:szCs w:val="20"/>
        </w:rPr>
        <w:t xml:space="preserve"> Export samotných osobních aut </w:t>
      </w:r>
      <w:r w:rsidRPr="00DF3F8F">
        <w:rPr>
          <w:rFonts w:cs="Arial"/>
          <w:szCs w:val="20"/>
        </w:rPr>
        <w:t xml:space="preserve">z ČR do Německa pak tvoří méně, </w:t>
      </w:r>
      <w:r>
        <w:rPr>
          <w:rFonts w:cs="Arial"/>
          <w:szCs w:val="20"/>
        </w:rPr>
        <w:t>necelou</w:t>
      </w:r>
      <w:r w:rsidRPr="00DF3F8F">
        <w:rPr>
          <w:rFonts w:cs="Arial"/>
          <w:szCs w:val="20"/>
        </w:rPr>
        <w:t xml:space="preserve"> čtvrtinu (</w:t>
      </w:r>
      <w:r>
        <w:rPr>
          <w:rFonts w:cs="Arial"/>
          <w:szCs w:val="20"/>
        </w:rPr>
        <w:t>23,7</w:t>
      </w:r>
      <w:r w:rsidRPr="00DF3F8F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 v roce 2014</w:t>
      </w:r>
      <w:r w:rsidRPr="00DF3F8F">
        <w:rPr>
          <w:rFonts w:cs="Arial"/>
          <w:szCs w:val="20"/>
        </w:rPr>
        <w:t>) celkového vývozu těchto automobilů</w:t>
      </w:r>
      <w:r>
        <w:rPr>
          <w:rFonts w:cs="Arial"/>
          <w:szCs w:val="20"/>
        </w:rPr>
        <w:t>. Z</w:t>
      </w:r>
      <w:r w:rsidRPr="00DF3F8F">
        <w:rPr>
          <w:rFonts w:cs="Arial"/>
          <w:szCs w:val="20"/>
        </w:rPr>
        <w:t xml:space="preserve">míněné čtyři země v úhrnu na něm participují ze 44 %. </w:t>
      </w:r>
    </w:p>
    <w:p w:rsidR="00F27A5A" w:rsidRPr="00D766C4" w:rsidRDefault="00F27A5A" w:rsidP="00F16453">
      <w:pPr>
        <w:rPr>
          <w:rFonts w:cs="Arial"/>
          <w:sz w:val="12"/>
          <w:szCs w:val="12"/>
        </w:rPr>
      </w:pPr>
    </w:p>
    <w:p w:rsidR="00F27A5A" w:rsidRPr="00DF3F8F" w:rsidRDefault="00F27A5A" w:rsidP="00F16453">
      <w:pPr>
        <w:rPr>
          <w:rFonts w:cs="Arial"/>
          <w:szCs w:val="20"/>
        </w:rPr>
      </w:pPr>
      <w:r w:rsidRPr="00DF3F8F">
        <w:rPr>
          <w:rFonts w:cs="Arial"/>
          <w:szCs w:val="20"/>
        </w:rPr>
        <w:t xml:space="preserve">Z toho je vidět, že ani v roce 2015 byl podle zmíněných tržních odhadů export motorových vozidel z ČR neměl nijak výrazně ztrácet. </w:t>
      </w:r>
    </w:p>
    <w:p w:rsidR="00F27A5A" w:rsidRPr="00DF3F8F" w:rsidRDefault="00F27A5A" w:rsidP="00F16453">
      <w:pPr>
        <w:rPr>
          <w:rFonts w:cs="Arial"/>
          <w:szCs w:val="20"/>
        </w:rPr>
      </w:pPr>
    </w:p>
    <w:p w:rsidR="00F27A5A" w:rsidRPr="00EE2E07" w:rsidRDefault="00F27A5A" w:rsidP="00F16453">
      <w:pPr>
        <w:rPr>
          <w:rFonts w:cs="Arial"/>
          <w:b/>
          <w:szCs w:val="20"/>
        </w:rPr>
      </w:pPr>
      <w:r w:rsidRPr="00EE2E07">
        <w:rPr>
          <w:rFonts w:cs="Arial"/>
          <w:b/>
          <w:szCs w:val="20"/>
        </w:rPr>
        <w:t>A stavebnictví?</w:t>
      </w:r>
    </w:p>
    <w:p w:rsidR="00F27A5A" w:rsidRPr="00D766C4" w:rsidRDefault="00F27A5A" w:rsidP="00F16453">
      <w:pPr>
        <w:rPr>
          <w:rFonts w:cs="Arial"/>
          <w:b/>
          <w:sz w:val="12"/>
          <w:szCs w:val="12"/>
        </w:rPr>
      </w:pPr>
    </w:p>
    <w:p w:rsidR="00F27A5A" w:rsidRPr="00DF3F8F" w:rsidRDefault="00F27A5A" w:rsidP="00F16453">
      <w:pPr>
        <w:rPr>
          <w:rFonts w:cs="Arial"/>
          <w:szCs w:val="20"/>
        </w:rPr>
      </w:pPr>
      <w:r w:rsidRPr="00DF3F8F">
        <w:rPr>
          <w:rFonts w:cs="Arial"/>
          <w:szCs w:val="20"/>
        </w:rPr>
        <w:t>Loňský rok poprvé byla výroba tohoto odv</w:t>
      </w:r>
      <w:r>
        <w:rPr>
          <w:rFonts w:cs="Arial"/>
          <w:szCs w:val="20"/>
        </w:rPr>
        <w:t xml:space="preserve">ětví reálně o 2,3 % vyšší než rok předtím, </w:t>
      </w:r>
      <w:r w:rsidRPr="00DF3F8F">
        <w:rPr>
          <w:rFonts w:cs="Arial"/>
          <w:szCs w:val="20"/>
        </w:rPr>
        <w:t xml:space="preserve">když se po </w:t>
      </w:r>
      <w:r>
        <w:rPr>
          <w:rFonts w:cs="Arial"/>
          <w:szCs w:val="20"/>
        </w:rPr>
        <w:t>pěti</w:t>
      </w:r>
      <w:r w:rsidRPr="00DF3F8F">
        <w:rPr>
          <w:rFonts w:cs="Arial"/>
          <w:szCs w:val="20"/>
        </w:rPr>
        <w:t xml:space="preserve"> letech soustavných poklesů zdálo, že už snad není kam padat. Na roční růst zejména inženýrských staveb zřejmě zapůsobila okolnost, že byly i vlivem financování z evropských fondů znovu obnoveny velké infrastrukturní stavby, předtím „zmrazené“ (zejména ty po roce 2010). Možná i právě to vysvětluje skutečnost, že závěr roku přinesl jisté zklamání, kdy právě tento segment v datech za prosinec meziročně klesl. Vyčerp</w:t>
      </w:r>
      <w:r>
        <w:rPr>
          <w:rFonts w:cs="Arial"/>
          <w:szCs w:val="20"/>
        </w:rPr>
        <w:t>ává</w:t>
      </w:r>
      <w:r w:rsidRPr="00DF3F8F">
        <w:rPr>
          <w:rFonts w:cs="Arial"/>
          <w:szCs w:val="20"/>
        </w:rPr>
        <w:t xml:space="preserve"> se snad již potenciál předchozích období, kdy vyprojektované stavby čekaly na svou realizaci? A jak dlouho bude </w:t>
      </w:r>
      <w:r w:rsidRPr="00DF3F8F">
        <w:rPr>
          <w:rFonts w:cs="Arial"/>
          <w:szCs w:val="20"/>
        </w:rPr>
        <w:lastRenderedPageBreak/>
        <w:t>trvat zpracování projektové dokumentac</w:t>
      </w:r>
      <w:r>
        <w:rPr>
          <w:rFonts w:cs="Arial"/>
          <w:szCs w:val="20"/>
        </w:rPr>
        <w:t>e staveb nových, když</w:t>
      </w:r>
      <w:r w:rsidRPr="00DF3F8F">
        <w:rPr>
          <w:rFonts w:cs="Arial"/>
          <w:szCs w:val="20"/>
        </w:rPr>
        <w:t xml:space="preserve"> je známo, že cyklus přípravy je relativně velmi náročný na čas. </w:t>
      </w:r>
    </w:p>
    <w:p w:rsidR="00F27A5A" w:rsidRPr="00D766C4" w:rsidRDefault="00F27A5A" w:rsidP="00F16453">
      <w:pPr>
        <w:rPr>
          <w:rFonts w:cs="Arial"/>
          <w:sz w:val="12"/>
          <w:szCs w:val="12"/>
        </w:rPr>
      </w:pPr>
    </w:p>
    <w:p w:rsidR="00F27A5A" w:rsidRPr="00DF3F8F" w:rsidRDefault="00F27A5A" w:rsidP="00F16453">
      <w:pPr>
        <w:rPr>
          <w:rFonts w:cs="Arial"/>
          <w:szCs w:val="20"/>
        </w:rPr>
      </w:pPr>
      <w:r>
        <w:rPr>
          <w:rFonts w:cs="Arial"/>
          <w:szCs w:val="20"/>
        </w:rPr>
        <w:t xml:space="preserve">Optimismem bychom neměli hýřit </w:t>
      </w:r>
      <w:r w:rsidRPr="00DF3F8F">
        <w:rPr>
          <w:rFonts w:cs="Arial"/>
          <w:szCs w:val="20"/>
        </w:rPr>
        <w:t>co se týká vývoje stavebnictví v nadcházejících čtvrtletích i z jiného důvodu – čísla o produkci narazí totiž na docela silnou statistickou základnu roku 2014 (v  jeho prvním čtvrtletí stoupl</w:t>
      </w:r>
      <w:r>
        <w:rPr>
          <w:rFonts w:cs="Arial"/>
          <w:szCs w:val="20"/>
        </w:rPr>
        <w:t xml:space="preserve">o inženýrské stavitelství </w:t>
      </w:r>
      <w:r w:rsidRPr="00DF3F8F">
        <w:rPr>
          <w:rFonts w:cs="Arial"/>
          <w:szCs w:val="20"/>
        </w:rPr>
        <w:t xml:space="preserve">sice jen spoře, </w:t>
      </w:r>
      <w:r>
        <w:rPr>
          <w:rFonts w:cs="Arial"/>
          <w:szCs w:val="20"/>
        </w:rPr>
        <w:t>meziročně +1,4</w:t>
      </w:r>
      <w:r w:rsidRPr="00DF3F8F">
        <w:rPr>
          <w:rFonts w:cs="Arial"/>
          <w:szCs w:val="20"/>
        </w:rPr>
        <w:t xml:space="preserve"> %, ale ve druhém a třetím čtvrtletí již dosti výrazně, a to +</w:t>
      </w:r>
      <w:r>
        <w:rPr>
          <w:rFonts w:cs="Arial"/>
          <w:szCs w:val="20"/>
        </w:rPr>
        <w:t>9,2</w:t>
      </w:r>
      <w:r w:rsidRPr="00DF3F8F">
        <w:rPr>
          <w:rFonts w:cs="Arial"/>
          <w:szCs w:val="20"/>
        </w:rPr>
        <w:t xml:space="preserve"> %, resp. +</w:t>
      </w:r>
      <w:r>
        <w:rPr>
          <w:rFonts w:cs="Arial"/>
          <w:szCs w:val="20"/>
        </w:rPr>
        <w:t>12,3</w:t>
      </w:r>
      <w:r w:rsidRPr="00DF3F8F">
        <w:rPr>
          <w:rFonts w:cs="Arial"/>
          <w:szCs w:val="20"/>
        </w:rPr>
        <w:t xml:space="preserve"> %). </w:t>
      </w:r>
      <w:r>
        <w:rPr>
          <w:rFonts w:cs="Arial"/>
          <w:szCs w:val="20"/>
        </w:rPr>
        <w:t>Spolu s pozemním stavitelstvím dosahovala loňská kvartální tempa stavební produkce v ČR v meziročním vyjádření +8,3 %, +3,9 % a +1,2 %. Proto</w:t>
      </w:r>
      <w:r w:rsidRPr="00DF3F8F">
        <w:rPr>
          <w:rFonts w:cs="Arial"/>
          <w:szCs w:val="20"/>
        </w:rPr>
        <w:t xml:space="preserve"> výjimečně silným růstovým impulsem pro ekonomiku ČR tak stavebnictví v příštím roce vůbec být nemusí, i když developery a potažmo i stavební firmy bude jistě lákat investování do trhu nemovitostí, protože úrokové sazby úvěrů na bydlení zůstanou vlivem slabé inflace nízko a optimismus domácností co se týká budoucího vývoje výrazně narostl. Navíc ceny nemovitostí již rostou.  </w:t>
      </w:r>
    </w:p>
    <w:p w:rsidR="00F27A5A" w:rsidRDefault="00F27A5A" w:rsidP="00F16453">
      <w:pPr>
        <w:rPr>
          <w:rFonts w:cs="Arial"/>
          <w:szCs w:val="20"/>
        </w:rPr>
      </w:pPr>
    </w:p>
    <w:p w:rsidR="00F27A5A" w:rsidRPr="00D766C4" w:rsidRDefault="00F27A5A" w:rsidP="00F16453">
      <w:pPr>
        <w:rPr>
          <w:rFonts w:cs="Arial"/>
          <w:sz w:val="4"/>
          <w:szCs w:val="4"/>
        </w:rPr>
      </w:pPr>
    </w:p>
    <w:p w:rsidR="00F27A5A" w:rsidRPr="00AA7627" w:rsidRDefault="00F27A5A" w:rsidP="00AA7627">
      <w:pPr>
        <w:rPr>
          <w:rFonts w:cs="Arial"/>
          <w:szCs w:val="20"/>
        </w:rPr>
      </w:pPr>
      <w:r w:rsidRPr="002C4609">
        <w:rPr>
          <w:rFonts w:cs="Arial"/>
          <w:b/>
          <w:szCs w:val="20"/>
        </w:rPr>
        <w:t>Graf 7: Stavební produkce celkem, inženýrské stavitelství</w:t>
      </w:r>
      <w:r>
        <w:rPr>
          <w:rFonts w:cs="Arial"/>
          <w:szCs w:val="20"/>
        </w:rPr>
        <w:t xml:space="preserve"> (reálně; index meziročních změn)</w:t>
      </w:r>
    </w:p>
    <w:p w:rsidR="00F27A5A" w:rsidRPr="002C4609" w:rsidRDefault="00F27A5A" w:rsidP="00F16453">
      <w:pPr>
        <w:jc w:val="right"/>
        <w:rPr>
          <w:rFonts w:cs="Arial"/>
          <w:sz w:val="18"/>
          <w:szCs w:val="18"/>
        </w:rPr>
      </w:pPr>
    </w:p>
    <w:p w:rsidR="00F27A5A" w:rsidRDefault="00D00EC8" w:rsidP="00AA7627">
      <w:pPr>
        <w:jc w:val="right"/>
        <w:rPr>
          <w:rFonts w:cs="Arial"/>
          <w:sz w:val="18"/>
          <w:szCs w:val="18"/>
        </w:rPr>
      </w:pPr>
      <w:r>
        <w:pict>
          <v:shape id="_x0000_i1031" type="#_x0000_t75" style="width:417.75pt;height:184.5pt" o:bordertopcolor="this" o:borderleftcolor="this" o:borderbottomcolor="this" o:borderrightcolor="this">
            <v:imagedata r:id="rId12" o:title=""/>
            <w10:borderleft type="single" width="2"/>
            <w10:borderbottom type="single" width="2"/>
            <w10:borderright type="single" width="2"/>
          </v:shape>
        </w:pict>
      </w:r>
      <w:r w:rsidR="00F27A5A" w:rsidRPr="00AA7627">
        <w:rPr>
          <w:rFonts w:cs="Arial"/>
          <w:sz w:val="18"/>
          <w:szCs w:val="18"/>
        </w:rPr>
        <w:t xml:space="preserve"> </w:t>
      </w:r>
      <w:r w:rsidR="00F27A5A">
        <w:rPr>
          <w:rFonts w:cs="Arial"/>
          <w:sz w:val="18"/>
          <w:szCs w:val="18"/>
        </w:rPr>
        <w:t>Zdroj</w:t>
      </w:r>
      <w:r w:rsidR="00F27A5A" w:rsidRPr="002C4609">
        <w:rPr>
          <w:rFonts w:cs="Arial"/>
          <w:sz w:val="18"/>
          <w:szCs w:val="18"/>
        </w:rPr>
        <w:t>: ČSÚ</w:t>
      </w:r>
    </w:p>
    <w:p w:rsidR="00F27A5A" w:rsidRDefault="00F27A5A" w:rsidP="00F16453">
      <w:pPr>
        <w:rPr>
          <w:b/>
        </w:rPr>
      </w:pPr>
    </w:p>
    <w:p w:rsidR="00F27A5A" w:rsidRDefault="00F27A5A" w:rsidP="00F16453">
      <w:pPr>
        <w:rPr>
          <w:b/>
        </w:rPr>
      </w:pPr>
      <w:r>
        <w:rPr>
          <w:b/>
        </w:rPr>
        <w:t>Tržby ve službách loni poprvé po pěti letech poklesů vzrostly</w:t>
      </w:r>
    </w:p>
    <w:p w:rsidR="00F27A5A" w:rsidRDefault="00F27A5A" w:rsidP="00F16453">
      <w:pPr>
        <w:rPr>
          <w:rFonts w:cs="Arial"/>
          <w:szCs w:val="20"/>
        </w:rPr>
      </w:pPr>
    </w:p>
    <w:p w:rsidR="00F27A5A" w:rsidRDefault="00F27A5A" w:rsidP="00F16453">
      <w:pPr>
        <w:rPr>
          <w:rFonts w:cs="Arial"/>
          <w:szCs w:val="20"/>
        </w:rPr>
      </w:pPr>
      <w:r>
        <w:rPr>
          <w:rFonts w:cs="Arial"/>
          <w:szCs w:val="20"/>
        </w:rPr>
        <w:t xml:space="preserve">Tržby ve službách jako segmentu, které je co do podílu na zaměstnanosti v české ekonomice i její vyprodukované hrubé přidané hodnotě větší než průmysl, stouply loni meziročně reálně sice jen o 0,6 %. Ovšem i to je pozitivní posun proti předchozím nepřetržitým poklesům, které začaly v roce 2009. Tehdy se tržby ve službách propadly o téměř desetinu (-9,9 %), hlavně ty, které byly spojené s výrobou (doprava, skladování, ale i další). Právě ty rostly loni tempem vyšším než průměrným, spolu s tržbami hotelů, agentur práce a také prakticky všechny činnosti spojené s ICT. </w:t>
      </w:r>
    </w:p>
    <w:p w:rsidR="00F27A5A" w:rsidRDefault="00F27A5A" w:rsidP="00F16453">
      <w:pPr>
        <w:rPr>
          <w:rFonts w:cs="Arial"/>
          <w:szCs w:val="20"/>
        </w:rPr>
      </w:pPr>
    </w:p>
    <w:p w:rsidR="00F27A5A" w:rsidRDefault="00F27A5A" w:rsidP="00F16453">
      <w:pPr>
        <w:rPr>
          <w:b/>
        </w:rPr>
      </w:pPr>
      <w:r>
        <w:rPr>
          <w:rFonts w:cs="Arial"/>
          <w:szCs w:val="20"/>
        </w:rPr>
        <w:t>V úhrnu tak data z reálné ekonomiky vykreslila příznivý obrázek loňského roku, v němž pokračovalo oživení patrné již v posledním čtvrtletí 2013</w:t>
      </w:r>
    </w:p>
    <w:p w:rsidR="00F27A5A" w:rsidRDefault="00F27A5A" w:rsidP="00F16453">
      <w:pPr>
        <w:rPr>
          <w:b/>
        </w:rPr>
      </w:pPr>
    </w:p>
    <w:p w:rsidR="00F27A5A" w:rsidRPr="009711FC" w:rsidRDefault="00F27A5A" w:rsidP="00F16453">
      <w:pPr>
        <w:rPr>
          <w:b/>
        </w:rPr>
      </w:pPr>
      <w:r w:rsidRPr="009711FC">
        <w:rPr>
          <w:b/>
        </w:rPr>
        <w:lastRenderedPageBreak/>
        <w:t>Možná rizika</w:t>
      </w:r>
    </w:p>
    <w:p w:rsidR="00F27A5A" w:rsidRDefault="00F27A5A" w:rsidP="00F16453"/>
    <w:p w:rsidR="00F27A5A" w:rsidRDefault="00F27A5A" w:rsidP="00F16453">
      <w:pPr>
        <w:rPr>
          <w:rFonts w:cs="Arial"/>
          <w:szCs w:val="20"/>
        </w:rPr>
      </w:pPr>
      <w:r w:rsidRPr="00083197">
        <w:rPr>
          <w:rFonts w:cs="Arial"/>
          <w:szCs w:val="20"/>
        </w:rPr>
        <w:t>Pozitivní vývoj ve zpracovatelském průmyslu, odraz stavebnictví ode dna, velmi příznivý nominální výsledek zahraničního obchodu a prodeje v „tradičním“ maloobchodě (tj. bez zahrn</w:t>
      </w:r>
      <w:r>
        <w:rPr>
          <w:rFonts w:cs="Arial"/>
          <w:szCs w:val="20"/>
        </w:rPr>
        <w:t>utí</w:t>
      </w:r>
      <w:r w:rsidRPr="00083197">
        <w:rPr>
          <w:rFonts w:cs="Arial"/>
          <w:szCs w:val="20"/>
        </w:rPr>
        <w:t xml:space="preserve"> tržeb za obchod a opravy aut)</w:t>
      </w:r>
      <w:r>
        <w:rPr>
          <w:rFonts w:cs="Arial"/>
          <w:szCs w:val="20"/>
        </w:rPr>
        <w:t>,</w:t>
      </w:r>
      <w:r w:rsidRPr="0008319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které se </w:t>
      </w:r>
      <w:r w:rsidRPr="00083197">
        <w:rPr>
          <w:rFonts w:cs="Arial"/>
          <w:szCs w:val="20"/>
        </w:rPr>
        <w:t xml:space="preserve">v ročním tempu </w:t>
      </w:r>
      <w:r>
        <w:rPr>
          <w:rFonts w:cs="Arial"/>
          <w:szCs w:val="20"/>
        </w:rPr>
        <w:t xml:space="preserve">přiblížily roku 2008, </w:t>
      </w:r>
      <w:r w:rsidRPr="00083197">
        <w:rPr>
          <w:rFonts w:cs="Arial"/>
          <w:szCs w:val="20"/>
        </w:rPr>
        <w:t xml:space="preserve">přispěly </w:t>
      </w:r>
      <w:r>
        <w:rPr>
          <w:rFonts w:cs="Arial"/>
          <w:szCs w:val="20"/>
        </w:rPr>
        <w:t xml:space="preserve">ve svém úhrnu </w:t>
      </w:r>
      <w:r w:rsidRPr="00083197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 opětovnému </w:t>
      </w:r>
      <w:r w:rsidRPr="00083197">
        <w:rPr>
          <w:rFonts w:cs="Arial"/>
          <w:szCs w:val="20"/>
        </w:rPr>
        <w:t>„ukotven</w:t>
      </w:r>
      <w:r>
        <w:rPr>
          <w:rFonts w:cs="Arial"/>
          <w:szCs w:val="20"/>
        </w:rPr>
        <w:t>í</w:t>
      </w:r>
      <w:r w:rsidRPr="00083197">
        <w:rPr>
          <w:rFonts w:cs="Arial"/>
          <w:szCs w:val="20"/>
        </w:rPr>
        <w:t xml:space="preserve">“ </w:t>
      </w:r>
      <w:r>
        <w:rPr>
          <w:rFonts w:cs="Arial"/>
          <w:szCs w:val="20"/>
        </w:rPr>
        <w:t xml:space="preserve">nabídkové strany </w:t>
      </w:r>
      <w:r w:rsidRPr="00083197">
        <w:rPr>
          <w:rFonts w:cs="Arial"/>
          <w:szCs w:val="20"/>
        </w:rPr>
        <w:t>české ekonomiky</w:t>
      </w:r>
      <w:r>
        <w:rPr>
          <w:rFonts w:cs="Arial"/>
          <w:szCs w:val="20"/>
        </w:rPr>
        <w:t xml:space="preserve"> v pozitivním pásmu, tj. v meziročně vyšší výkonnosti, než ukázaly předchozí dva roky.  V širším kontextu je mimoto patrných i několik dalších pozitivních aspektů, především zlepšování deficitu státních financí. </w:t>
      </w:r>
    </w:p>
    <w:p w:rsidR="00F27A5A" w:rsidRDefault="00F27A5A" w:rsidP="00F16453">
      <w:pPr>
        <w:rPr>
          <w:rFonts w:cs="Arial"/>
          <w:szCs w:val="20"/>
        </w:rPr>
      </w:pPr>
    </w:p>
    <w:p w:rsidR="00F27A5A" w:rsidRPr="00F16453" w:rsidRDefault="00F27A5A" w:rsidP="00E42E00">
      <w:pPr>
        <w:rPr>
          <w:rFonts w:cs="Arial"/>
          <w:szCs w:val="20"/>
        </w:rPr>
      </w:pPr>
      <w:r>
        <w:rPr>
          <w:rFonts w:cs="Arial"/>
          <w:szCs w:val="20"/>
        </w:rPr>
        <w:t>Za jakých okolností by ekonomika ČR opustila trajektorii oživení? Rizikem pro budoucí vývoj by bylo další zpomalování tempa mezd - což by však mělo být méně pravděpodobné s ohledem na jejich nedávné zvýšení v nepodnikatelské sféře a relativné dobrý vývoj firemních tržeb – anebo případný větší výkyv v zahraniční poptávce. Na ten v současné době předstihové indikátory neukazují, z pohledu základní ekonomické logiky by naopak měla pozitivně zapůsobit nízká ceny ropy redukující náklady firem. Nejistoty tak leží spíše v rovině geopolitické.</w:t>
      </w:r>
    </w:p>
    <w:p w:rsidR="00F27A5A" w:rsidRDefault="00F27A5A" w:rsidP="00E42E00"/>
    <w:p w:rsidR="00F27A5A" w:rsidRDefault="00F27A5A" w:rsidP="00E42E00">
      <w:pPr>
        <w:rPr>
          <w:b/>
        </w:rPr>
      </w:pPr>
      <w:r>
        <w:rPr>
          <w:b/>
        </w:rPr>
        <w:t>Autorka</w:t>
      </w:r>
    </w:p>
    <w:p w:rsidR="00F27A5A" w:rsidRDefault="00F27A5A" w:rsidP="00E42E00">
      <w:r>
        <w:t>Drahomíra Dubská</w:t>
      </w:r>
    </w:p>
    <w:p w:rsidR="00F27A5A" w:rsidRDefault="00F27A5A" w:rsidP="00E42E00">
      <w:r>
        <w:t>analytička</w:t>
      </w:r>
    </w:p>
    <w:p w:rsidR="00F27A5A" w:rsidRDefault="00F27A5A" w:rsidP="00E42E00">
      <w:r>
        <w:t>Oddělení svodných analýz</w:t>
      </w:r>
    </w:p>
    <w:p w:rsidR="00F27A5A" w:rsidRDefault="00F27A5A" w:rsidP="00E42E00">
      <w:r>
        <w:t>Tel.: 2 405 4041</w:t>
      </w:r>
    </w:p>
    <w:p w:rsidR="00F27A5A" w:rsidRPr="004920AD" w:rsidRDefault="00F27A5A" w:rsidP="00E42E00">
      <w:r>
        <w:t>E-mail: drahomira.dubska@czso.cz</w:t>
      </w:r>
    </w:p>
    <w:sectPr w:rsidR="00F27A5A" w:rsidRPr="004920AD" w:rsidSect="00405244">
      <w:headerReference w:type="default" r:id="rId13"/>
      <w:footerReference w:type="default" r:id="rId14"/>
      <w:pgSz w:w="11907" w:h="16839" w:code="9"/>
      <w:pgMar w:top="2948" w:right="1418" w:bottom="1985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70" w:rsidRDefault="002A1F70" w:rsidP="00BA6370">
      <w:r>
        <w:separator/>
      </w:r>
    </w:p>
  </w:endnote>
  <w:endnote w:type="continuationSeparator" w:id="0">
    <w:p w:rsidR="002A1F70" w:rsidRDefault="002A1F7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5A" w:rsidRDefault="00D9518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5" type="#_x0000_t202" style="position:absolute;left:0;text-align:left;margin-left:99.2pt;margin-top:773.95pt;width:426.5pt;height:39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27A5A" w:rsidRPr="001404AB" w:rsidRDefault="00F27A5A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F27A5A" w:rsidRPr="00A81EB3" w:rsidRDefault="00F27A5A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95184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95184" w:rsidRPr="004E479E">
                  <w:rPr>
                    <w:rFonts w:cs="Arial"/>
                    <w:szCs w:val="15"/>
                  </w:rPr>
                  <w:fldChar w:fldCharType="separate"/>
                </w:r>
                <w:r w:rsidR="00FB4DFD">
                  <w:rPr>
                    <w:rFonts w:cs="Arial"/>
                    <w:noProof/>
                    <w:szCs w:val="15"/>
                  </w:rPr>
                  <w:t>4</w:t>
                </w:r>
                <w:r w:rsidR="00D9518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66" style="position:absolute;left:0;text-align:left;flip:y;z-index:1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70" w:rsidRDefault="002A1F70" w:rsidP="00BA6370">
      <w:r>
        <w:separator/>
      </w:r>
    </w:p>
  </w:footnote>
  <w:footnote w:type="continuationSeparator" w:id="0">
    <w:p w:rsidR="002A1F70" w:rsidRDefault="002A1F70" w:rsidP="00BA6370">
      <w:r>
        <w:continuationSeparator/>
      </w:r>
    </w:p>
  </w:footnote>
  <w:footnote w:id="1">
    <w:p w:rsidR="00F27A5A" w:rsidRDefault="00F27A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A1137">
        <w:rPr>
          <w:sz w:val="16"/>
          <w:szCs w:val="16"/>
        </w:rPr>
        <w:t>V</w:t>
      </w:r>
      <w:r>
        <w:rPr>
          <w:sz w:val="16"/>
          <w:szCs w:val="16"/>
        </w:rPr>
        <w:t xml:space="preserve"> průmyslových </w:t>
      </w:r>
      <w:r w:rsidRPr="007A1137">
        <w:rPr>
          <w:rFonts w:cs="Arial"/>
          <w:sz w:val="16"/>
          <w:szCs w:val="16"/>
        </w:rPr>
        <w:t>podnicích s padesáti a více zaměstnanci. Číslo vychází z u</w:t>
      </w:r>
      <w:r w:rsidRPr="007A1137">
        <w:rPr>
          <w:rFonts w:cs="Arial"/>
          <w:iCs/>
          <w:sz w:val="16"/>
          <w:szCs w:val="16"/>
        </w:rPr>
        <w:t xml:space="preserve">kazatele průměrného evidenčního počtu zaměstnanců </w:t>
      </w:r>
      <w:r>
        <w:rPr>
          <w:rFonts w:cs="Arial"/>
          <w:iCs/>
          <w:sz w:val="16"/>
          <w:szCs w:val="16"/>
        </w:rPr>
        <w:t xml:space="preserve">a </w:t>
      </w:r>
      <w:r w:rsidRPr="007A1137">
        <w:rPr>
          <w:rFonts w:cs="Arial"/>
          <w:iCs/>
          <w:sz w:val="16"/>
          <w:szCs w:val="16"/>
        </w:rPr>
        <w:t>nezahrnuje osoby pracující na dohody o provedení práce a o pracovní činnosti, pracující majitele podniků a spolupracující členy domácnosti, kteří nejsou v zaměstnaneckém poměru. Do údaje o evidenčním počtu zaměstnanců v průmyslu nejsou rovněž zahrnuti zaměstnanci agentur, kteří jsou v zaměstnaneckém poměru v odvětví služeb (CZ-NACE 78.2).</w:t>
      </w:r>
    </w:p>
  </w:footnote>
  <w:footnote w:id="2">
    <w:p w:rsidR="00F27A5A" w:rsidRDefault="00F27A5A">
      <w:pPr>
        <w:pStyle w:val="Textpoznpodarou"/>
      </w:pPr>
      <w:r w:rsidRPr="007A1137">
        <w:rPr>
          <w:rStyle w:val="Znakapoznpodarou"/>
          <w:sz w:val="16"/>
          <w:szCs w:val="16"/>
        </w:rPr>
        <w:footnoteRef/>
      </w:r>
      <w:r w:rsidRPr="007A1137">
        <w:rPr>
          <w:sz w:val="16"/>
          <w:szCs w:val="16"/>
        </w:rPr>
        <w:t xml:space="preserve"> Podle údajů o hrubém disponibilním důchodu v sek</w:t>
      </w:r>
      <w:r>
        <w:rPr>
          <w:sz w:val="16"/>
          <w:szCs w:val="16"/>
        </w:rPr>
        <w:t>t</w:t>
      </w:r>
      <w:r w:rsidRPr="007A1137">
        <w:rPr>
          <w:sz w:val="16"/>
          <w:szCs w:val="16"/>
        </w:rPr>
        <w:t xml:space="preserve">oru domácností </w:t>
      </w:r>
      <w:r>
        <w:rPr>
          <w:sz w:val="16"/>
          <w:szCs w:val="16"/>
        </w:rPr>
        <w:t xml:space="preserve">ze </w:t>
      </w:r>
      <w:r w:rsidRPr="007A1137">
        <w:rPr>
          <w:sz w:val="16"/>
          <w:szCs w:val="16"/>
        </w:rPr>
        <w:t>čtvrtletních národních účtů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5A" w:rsidRDefault="00D95184">
    <w:pPr>
      <w:pStyle w:val="Zhlav"/>
    </w:pPr>
    <w:r>
      <w:rPr>
        <w:noProof/>
        <w:lang w:eastAsia="cs-CZ"/>
      </w:rPr>
      <w:pict>
        <v:group id="_x0000_s2049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0" style="position:absolute;left:1219;top:896;width:676;height:154" fillcolor="#0071bc" stroked="f"/>
          <v:rect id="_x0000_s2051" style="position:absolute;left:571;top:1126;width:1324;height:154" fillcolor="#0071bc" stroked="f"/>
          <v:rect id="_x0000_s2052" style="position:absolute;left:1292;top:1356;width:603;height:153" fillcolor="#0071bc" stroked="f"/>
          <v:shape id="_x0000_s2053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4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5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6" style="position:absolute;left:1963;top:1925;width:8575;height:568" fillcolor="#0071bc" stroked="f"/>
          <v:shape id="_x0000_s2057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58" style="position:absolute;left:2394;top:2129;width:187;height:186" coordsize="373,374" path="m,l97,,276,229,276,r97,l373,374r-97,l97,146r,228l,374,,xe" stroked="f">
            <v:path arrowok="t"/>
          </v:shape>
          <v:shape id="_x0000_s2059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0" style="position:absolute;left:2820;top:2129;width:106;height:186" coordsize="213,374" path="m97,292r116,l213,374,,374,,,97,r,292xe" stroked="f">
            <v:path arrowok="t"/>
          </v:shape>
          <v:shape id="_x0000_s2061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2" style="position:absolute;left:3099;top:2129;width:170;height:186" coordsize="340,374" path="m320,292r,82l,374,177,82,30,82,30,,340,,163,292r157,xe" stroked="f">
            <v:path arrowok="t"/>
          </v:shape>
          <v:shape id="_x0000_s2063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4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5DF"/>
    <w:rsid w:val="00043BF4"/>
    <w:rsid w:val="00083197"/>
    <w:rsid w:val="000843A5"/>
    <w:rsid w:val="000A37FA"/>
    <w:rsid w:val="000B6F63"/>
    <w:rsid w:val="000F5B28"/>
    <w:rsid w:val="00127216"/>
    <w:rsid w:val="001404AB"/>
    <w:rsid w:val="00144B9B"/>
    <w:rsid w:val="001658A9"/>
    <w:rsid w:val="0017231D"/>
    <w:rsid w:val="00175ABA"/>
    <w:rsid w:val="001810DC"/>
    <w:rsid w:val="001A59BF"/>
    <w:rsid w:val="001B607F"/>
    <w:rsid w:val="001D369A"/>
    <w:rsid w:val="001F6C45"/>
    <w:rsid w:val="002070FB"/>
    <w:rsid w:val="00213729"/>
    <w:rsid w:val="002406FA"/>
    <w:rsid w:val="002A1F70"/>
    <w:rsid w:val="002B16FB"/>
    <w:rsid w:val="002B2E47"/>
    <w:rsid w:val="002C3E7B"/>
    <w:rsid w:val="002C4609"/>
    <w:rsid w:val="002D6A6C"/>
    <w:rsid w:val="003301A3"/>
    <w:rsid w:val="0036777B"/>
    <w:rsid w:val="0037406E"/>
    <w:rsid w:val="0038282A"/>
    <w:rsid w:val="00386FBA"/>
    <w:rsid w:val="00397580"/>
    <w:rsid w:val="003A1794"/>
    <w:rsid w:val="003A45C8"/>
    <w:rsid w:val="003C2DCF"/>
    <w:rsid w:val="003C7FE7"/>
    <w:rsid w:val="003D0499"/>
    <w:rsid w:val="003F526A"/>
    <w:rsid w:val="00405244"/>
    <w:rsid w:val="0041758E"/>
    <w:rsid w:val="00441F40"/>
    <w:rsid w:val="004436EE"/>
    <w:rsid w:val="00446101"/>
    <w:rsid w:val="0045547F"/>
    <w:rsid w:val="00461AA0"/>
    <w:rsid w:val="00462B26"/>
    <w:rsid w:val="004844E7"/>
    <w:rsid w:val="004920AD"/>
    <w:rsid w:val="004A096F"/>
    <w:rsid w:val="004D05B3"/>
    <w:rsid w:val="004E479E"/>
    <w:rsid w:val="004F1BD5"/>
    <w:rsid w:val="004F78E6"/>
    <w:rsid w:val="00512D99"/>
    <w:rsid w:val="00531DBB"/>
    <w:rsid w:val="005320B3"/>
    <w:rsid w:val="00553DAA"/>
    <w:rsid w:val="005646B3"/>
    <w:rsid w:val="00581280"/>
    <w:rsid w:val="005F699D"/>
    <w:rsid w:val="005F79FB"/>
    <w:rsid w:val="00604406"/>
    <w:rsid w:val="00605F4A"/>
    <w:rsid w:val="00607822"/>
    <w:rsid w:val="006103AA"/>
    <w:rsid w:val="00613BBF"/>
    <w:rsid w:val="00620C6A"/>
    <w:rsid w:val="00622B80"/>
    <w:rsid w:val="0064139A"/>
    <w:rsid w:val="006C09DD"/>
    <w:rsid w:val="006C1CE5"/>
    <w:rsid w:val="006C494C"/>
    <w:rsid w:val="006D5D44"/>
    <w:rsid w:val="006E024F"/>
    <w:rsid w:val="006E4E81"/>
    <w:rsid w:val="006E5640"/>
    <w:rsid w:val="006F15DF"/>
    <w:rsid w:val="00703450"/>
    <w:rsid w:val="00707F7D"/>
    <w:rsid w:val="00717EC5"/>
    <w:rsid w:val="00737B80"/>
    <w:rsid w:val="00756666"/>
    <w:rsid w:val="00767059"/>
    <w:rsid w:val="007A1137"/>
    <w:rsid w:val="007A57F2"/>
    <w:rsid w:val="007B1333"/>
    <w:rsid w:val="007E23A3"/>
    <w:rsid w:val="007F4AEB"/>
    <w:rsid w:val="007F75B2"/>
    <w:rsid w:val="008043C4"/>
    <w:rsid w:val="00815588"/>
    <w:rsid w:val="00816603"/>
    <w:rsid w:val="00830309"/>
    <w:rsid w:val="00831B1B"/>
    <w:rsid w:val="00861D0E"/>
    <w:rsid w:val="00867569"/>
    <w:rsid w:val="008853DA"/>
    <w:rsid w:val="008A18A9"/>
    <w:rsid w:val="008A750A"/>
    <w:rsid w:val="008C384C"/>
    <w:rsid w:val="008D0F11"/>
    <w:rsid w:val="008D583F"/>
    <w:rsid w:val="008D627B"/>
    <w:rsid w:val="008F4ACA"/>
    <w:rsid w:val="008F73B4"/>
    <w:rsid w:val="0090741A"/>
    <w:rsid w:val="00931A52"/>
    <w:rsid w:val="009711FC"/>
    <w:rsid w:val="00972152"/>
    <w:rsid w:val="00981080"/>
    <w:rsid w:val="00996AF9"/>
    <w:rsid w:val="009B55B1"/>
    <w:rsid w:val="00A35896"/>
    <w:rsid w:val="00A4343D"/>
    <w:rsid w:val="00A502F1"/>
    <w:rsid w:val="00A56C80"/>
    <w:rsid w:val="00A70A83"/>
    <w:rsid w:val="00A81EB3"/>
    <w:rsid w:val="00AA7627"/>
    <w:rsid w:val="00B00933"/>
    <w:rsid w:val="00B00C1D"/>
    <w:rsid w:val="00B2574A"/>
    <w:rsid w:val="00B33194"/>
    <w:rsid w:val="00B33B9F"/>
    <w:rsid w:val="00B47F2C"/>
    <w:rsid w:val="00BA439F"/>
    <w:rsid w:val="00BA6370"/>
    <w:rsid w:val="00BB6B9A"/>
    <w:rsid w:val="00BC748B"/>
    <w:rsid w:val="00BF08E1"/>
    <w:rsid w:val="00BF7EF5"/>
    <w:rsid w:val="00C269D4"/>
    <w:rsid w:val="00C4160D"/>
    <w:rsid w:val="00C8406E"/>
    <w:rsid w:val="00CA3090"/>
    <w:rsid w:val="00CB20DD"/>
    <w:rsid w:val="00CB2709"/>
    <w:rsid w:val="00CB6F89"/>
    <w:rsid w:val="00CE228C"/>
    <w:rsid w:val="00CF545B"/>
    <w:rsid w:val="00D00EC8"/>
    <w:rsid w:val="00D123E5"/>
    <w:rsid w:val="00D27D69"/>
    <w:rsid w:val="00D448C2"/>
    <w:rsid w:val="00D666C3"/>
    <w:rsid w:val="00D766C4"/>
    <w:rsid w:val="00D95184"/>
    <w:rsid w:val="00DB4B4C"/>
    <w:rsid w:val="00DD1EAE"/>
    <w:rsid w:val="00DF1001"/>
    <w:rsid w:val="00DF3F8F"/>
    <w:rsid w:val="00DF47FE"/>
    <w:rsid w:val="00E26704"/>
    <w:rsid w:val="00E31980"/>
    <w:rsid w:val="00E42E00"/>
    <w:rsid w:val="00E6423C"/>
    <w:rsid w:val="00E93830"/>
    <w:rsid w:val="00E93E0E"/>
    <w:rsid w:val="00EA7B94"/>
    <w:rsid w:val="00EB1ED3"/>
    <w:rsid w:val="00EC2D51"/>
    <w:rsid w:val="00EC31F2"/>
    <w:rsid w:val="00ED7B69"/>
    <w:rsid w:val="00EE2E07"/>
    <w:rsid w:val="00EE3E2F"/>
    <w:rsid w:val="00F13564"/>
    <w:rsid w:val="00F16453"/>
    <w:rsid w:val="00F26395"/>
    <w:rsid w:val="00F27A5A"/>
    <w:rsid w:val="00F32DA4"/>
    <w:rsid w:val="00F8248A"/>
    <w:rsid w:val="00F96C5E"/>
    <w:rsid w:val="00FB4DFD"/>
    <w:rsid w:val="00FB687C"/>
    <w:rsid w:val="00FC2730"/>
    <w:rsid w:val="00FF3AB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jc w:val="left"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jc w:val="lef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sz w:val="28"/>
      <w:szCs w:val="22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szCs w:val="22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7A113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A1137"/>
    <w:rPr>
      <w:rFonts w:ascii="Arial" w:hAnsi="Arial" w:cs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7A11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SKA~1\AppData\Local\Temp\Anal&#253;za%20CZ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Analýza CZ-1.dotx</Template>
  <TotalTime>6</TotalTime>
  <Pages>8</Pages>
  <Words>2054</Words>
  <Characters>12124</Characters>
  <Application>Microsoft Office Word</Application>
  <DocSecurity>0</DocSecurity>
  <Lines>101</Lines>
  <Paragraphs>28</Paragraphs>
  <ScaleCrop>false</ScaleCrop>
  <Company>ČSÚ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dubska1552</dc:creator>
  <cp:lastModifiedBy>dubska1552</cp:lastModifiedBy>
  <cp:revision>2</cp:revision>
  <cp:lastPrinted>2015-02-06T07:01:00Z</cp:lastPrinted>
  <dcterms:created xsi:type="dcterms:W3CDTF">2015-02-13T07:14:00Z</dcterms:created>
  <dcterms:modified xsi:type="dcterms:W3CDTF">2015-02-13T07:14:00Z</dcterms:modified>
</cp:coreProperties>
</file>