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FB" w:rsidRPr="00CD7FD4" w:rsidRDefault="00CD7FD4" w:rsidP="00EE61FB">
      <w:pPr>
        <w:pStyle w:val="Datum0"/>
      </w:pPr>
      <w:r w:rsidRPr="00CD7FD4">
        <w:t>27</w:t>
      </w:r>
      <w:r w:rsidR="00D42FCC" w:rsidRPr="00CD7FD4">
        <w:t>. 1. 2015</w:t>
      </w:r>
    </w:p>
    <w:p w:rsidR="00EE61FB" w:rsidRPr="005022A3" w:rsidRDefault="0034405D" w:rsidP="0039190E">
      <w:pPr>
        <w:pStyle w:val="Nzev"/>
        <w:spacing w:before="240" w:after="240"/>
        <w:rPr>
          <w:spacing w:val="-2"/>
        </w:rPr>
      </w:pPr>
      <w:r>
        <w:rPr>
          <w:spacing w:val="-2"/>
        </w:rPr>
        <w:t>K růstu</w:t>
      </w:r>
      <w:r w:rsidR="00483E81">
        <w:rPr>
          <w:spacing w:val="-2"/>
        </w:rPr>
        <w:t xml:space="preserve"> zisků</w:t>
      </w:r>
      <w:r>
        <w:rPr>
          <w:spacing w:val="-2"/>
        </w:rPr>
        <w:t xml:space="preserve"> firem</w:t>
      </w:r>
      <w:r w:rsidR="00483E81">
        <w:rPr>
          <w:spacing w:val="-2"/>
        </w:rPr>
        <w:t xml:space="preserve"> přispívá</w:t>
      </w:r>
      <w:r w:rsidR="00971F8F">
        <w:rPr>
          <w:spacing w:val="-2"/>
        </w:rPr>
        <w:t xml:space="preserve"> i</w:t>
      </w:r>
      <w:r w:rsidR="00451462">
        <w:rPr>
          <w:spacing w:val="-2"/>
        </w:rPr>
        <w:t xml:space="preserve"> jejich</w:t>
      </w:r>
      <w:r w:rsidR="00971F8F">
        <w:rPr>
          <w:spacing w:val="-2"/>
        </w:rPr>
        <w:t xml:space="preserve"> </w:t>
      </w:r>
      <w:r w:rsidR="00451462">
        <w:rPr>
          <w:spacing w:val="-2"/>
        </w:rPr>
        <w:t>opatrná</w:t>
      </w:r>
      <w:r w:rsidR="00483E81">
        <w:rPr>
          <w:spacing w:val="-2"/>
        </w:rPr>
        <w:t xml:space="preserve"> personální politika</w:t>
      </w:r>
    </w:p>
    <w:p w:rsidR="00483E81" w:rsidRPr="006D6A9C" w:rsidRDefault="007A0B43" w:rsidP="00E05E5D">
      <w:pPr>
        <w:rPr>
          <w:b/>
          <w:spacing w:val="-4"/>
        </w:rPr>
      </w:pPr>
      <w:r w:rsidRPr="006D6A9C">
        <w:rPr>
          <w:b/>
          <w:spacing w:val="-4"/>
        </w:rPr>
        <w:t>V roce 2014 česká ekonomika dále ožívala a firmám se dařilo. Jak vyplývá z</w:t>
      </w:r>
      <w:r w:rsidR="001A3A67" w:rsidRPr="006D6A9C">
        <w:rPr>
          <w:b/>
          <w:spacing w:val="-4"/>
        </w:rPr>
        <w:t xml:space="preserve"> nominálních údajů </w:t>
      </w:r>
      <w:r w:rsidRPr="006D6A9C">
        <w:rPr>
          <w:b/>
          <w:spacing w:val="-4"/>
        </w:rPr>
        <w:t>za</w:t>
      </w:r>
      <w:r w:rsidR="003B5732" w:rsidRPr="006D6A9C">
        <w:rPr>
          <w:b/>
          <w:spacing w:val="-4"/>
        </w:rPr>
        <w:t> </w:t>
      </w:r>
      <w:r w:rsidR="001A3A67" w:rsidRPr="006D6A9C">
        <w:rPr>
          <w:b/>
          <w:spacing w:val="-4"/>
        </w:rPr>
        <w:t xml:space="preserve">první tři </w:t>
      </w:r>
      <w:r w:rsidRPr="006D6A9C">
        <w:rPr>
          <w:b/>
          <w:spacing w:val="-4"/>
        </w:rPr>
        <w:t xml:space="preserve">čtvrtletí, </w:t>
      </w:r>
      <w:r w:rsidR="00483E81" w:rsidRPr="006D6A9C">
        <w:rPr>
          <w:b/>
          <w:spacing w:val="-4"/>
        </w:rPr>
        <w:t>tržby v průmyslu, maloobchodě a službách meziročně posilovaly, stavební produkce</w:t>
      </w:r>
      <w:r w:rsidR="001E4154">
        <w:rPr>
          <w:b/>
          <w:spacing w:val="-4"/>
        </w:rPr>
        <w:t xml:space="preserve"> se vymanila z poklesů. Pocítili</w:t>
      </w:r>
      <w:r w:rsidR="00483E81" w:rsidRPr="006D6A9C">
        <w:rPr>
          <w:b/>
          <w:spacing w:val="-4"/>
        </w:rPr>
        <w:t xml:space="preserve"> tento příznivý vývoj i zaměstnanci? Ano, ale jen velmi mírně, personální politika firem totiž byla </w:t>
      </w:r>
      <w:r w:rsidR="00A23E54">
        <w:rPr>
          <w:b/>
          <w:spacing w:val="-4"/>
        </w:rPr>
        <w:t>opatrná</w:t>
      </w:r>
      <w:r w:rsidR="00483E81" w:rsidRPr="006D6A9C">
        <w:rPr>
          <w:b/>
          <w:spacing w:val="-4"/>
        </w:rPr>
        <w:t xml:space="preserve">. Evidenční počty zaměstnanců v nefinančních podnicích narostly jen o 1,0 % meziročně, jejich </w:t>
      </w:r>
      <w:r w:rsidR="00586D4C">
        <w:rPr>
          <w:b/>
          <w:spacing w:val="-4"/>
        </w:rPr>
        <w:t>průměrná nominální mzda posílila</w:t>
      </w:r>
      <w:r w:rsidR="00483E81" w:rsidRPr="006D6A9C">
        <w:rPr>
          <w:b/>
          <w:spacing w:val="-4"/>
        </w:rPr>
        <w:t xml:space="preserve"> o 2,2 %. Zisky </w:t>
      </w:r>
      <w:r w:rsidR="006D6A9C" w:rsidRPr="006D6A9C">
        <w:rPr>
          <w:b/>
          <w:spacing w:val="-4"/>
        </w:rPr>
        <w:t>firem</w:t>
      </w:r>
      <w:r w:rsidR="00483E81" w:rsidRPr="006D6A9C">
        <w:rPr>
          <w:b/>
          <w:spacing w:val="-4"/>
        </w:rPr>
        <w:t xml:space="preserve"> tak mohly růst – </w:t>
      </w:r>
      <w:r w:rsidR="006D6A9C" w:rsidRPr="006D6A9C">
        <w:rPr>
          <w:b/>
          <w:spacing w:val="-4"/>
        </w:rPr>
        <w:t xml:space="preserve">hrubý provozní přebytek nefinančních podniků se v úhrnu </w:t>
      </w:r>
      <w:r w:rsidR="00483E81" w:rsidRPr="006D6A9C">
        <w:rPr>
          <w:b/>
          <w:spacing w:val="-4"/>
        </w:rPr>
        <w:t xml:space="preserve">za první tři kvartály roku 2014 </w:t>
      </w:r>
      <w:r w:rsidR="006D6A9C" w:rsidRPr="006D6A9C">
        <w:rPr>
          <w:b/>
          <w:spacing w:val="-4"/>
        </w:rPr>
        <w:t>meziročně zvýšil</w:t>
      </w:r>
      <w:r w:rsidR="00483E81" w:rsidRPr="006D6A9C">
        <w:rPr>
          <w:b/>
          <w:spacing w:val="-4"/>
        </w:rPr>
        <w:t xml:space="preserve"> o 14,8 %, více než ve srovnatelných obdobích je</w:t>
      </w:r>
      <w:r w:rsidR="00EA7D54">
        <w:rPr>
          <w:b/>
          <w:spacing w:val="-4"/>
        </w:rPr>
        <w:t>dnotlivých let konjunktury 2005</w:t>
      </w:r>
      <w:r w:rsidR="00EA7D54" w:rsidRPr="00EA7D54">
        <w:rPr>
          <w:b/>
          <w:spacing w:val="-2"/>
        </w:rPr>
        <w:t>–</w:t>
      </w:r>
      <w:r w:rsidR="00483E81" w:rsidRPr="006D6A9C">
        <w:rPr>
          <w:b/>
          <w:spacing w:val="-4"/>
        </w:rPr>
        <w:t>2008.</w:t>
      </w:r>
    </w:p>
    <w:p w:rsidR="00B92F72" w:rsidRDefault="00B92F72" w:rsidP="00EE61FB">
      <w:pPr>
        <w:rPr>
          <w:b/>
          <w:spacing w:val="-2"/>
        </w:rPr>
      </w:pPr>
    </w:p>
    <w:p w:rsidR="00D42FCC" w:rsidRPr="007A0B43" w:rsidRDefault="003703E5" w:rsidP="00D42FCC">
      <w:pPr>
        <w:rPr>
          <w:spacing w:val="-2"/>
        </w:rPr>
      </w:pPr>
      <w:r w:rsidRPr="007A0B43">
        <w:rPr>
          <w:spacing w:val="-2"/>
        </w:rPr>
        <w:t>Před dvěma roky</w:t>
      </w:r>
      <w:r w:rsidR="00F35986" w:rsidRPr="007A0B43">
        <w:rPr>
          <w:spacing w:val="-2"/>
        </w:rPr>
        <w:t xml:space="preserve">, </w:t>
      </w:r>
      <w:r w:rsidRPr="007A0B43">
        <w:rPr>
          <w:spacing w:val="-2"/>
        </w:rPr>
        <w:t>v 1. čtvrtletí</w:t>
      </w:r>
      <w:r w:rsidR="00F35986" w:rsidRPr="007A0B43">
        <w:rPr>
          <w:spacing w:val="-2"/>
        </w:rPr>
        <w:t xml:space="preserve"> roku 2013</w:t>
      </w:r>
      <w:r w:rsidR="00DE398D" w:rsidRPr="007A0B43">
        <w:rPr>
          <w:spacing w:val="-2"/>
        </w:rPr>
        <w:t xml:space="preserve">, </w:t>
      </w:r>
      <w:r w:rsidR="00797BEF" w:rsidRPr="007A0B43">
        <w:rPr>
          <w:spacing w:val="-2"/>
        </w:rPr>
        <w:t>svírala českou ekonomiku recese</w:t>
      </w:r>
      <w:r w:rsidR="00C743AE" w:rsidRPr="007A0B43">
        <w:rPr>
          <w:spacing w:val="-2"/>
        </w:rPr>
        <w:t xml:space="preserve">. </w:t>
      </w:r>
      <w:r w:rsidR="00C557AC" w:rsidRPr="007A0B43">
        <w:rPr>
          <w:spacing w:val="-2"/>
        </w:rPr>
        <w:t>Přestože</w:t>
      </w:r>
      <w:r w:rsidR="00DE398D" w:rsidRPr="007A0B43">
        <w:rPr>
          <w:spacing w:val="-2"/>
        </w:rPr>
        <w:t xml:space="preserve"> nebyla </w:t>
      </w:r>
      <w:r w:rsidR="00240ED1" w:rsidRPr="007A0B43">
        <w:rPr>
          <w:spacing w:val="-2"/>
        </w:rPr>
        <w:t xml:space="preserve">tak </w:t>
      </w:r>
      <w:r w:rsidR="00DE398D" w:rsidRPr="007A0B43">
        <w:rPr>
          <w:spacing w:val="-2"/>
        </w:rPr>
        <w:t>hluboká</w:t>
      </w:r>
      <w:r w:rsidR="00C557AC" w:rsidRPr="007A0B43">
        <w:rPr>
          <w:spacing w:val="-2"/>
        </w:rPr>
        <w:t xml:space="preserve"> </w:t>
      </w:r>
      <w:r w:rsidR="00DE398D" w:rsidRPr="007A0B43">
        <w:rPr>
          <w:spacing w:val="-2"/>
        </w:rPr>
        <w:t xml:space="preserve">jako </w:t>
      </w:r>
      <w:r w:rsidR="00045217" w:rsidRPr="007A0B43">
        <w:rPr>
          <w:spacing w:val="-2"/>
        </w:rPr>
        <w:t>ta</w:t>
      </w:r>
      <w:r w:rsidR="00DE398D" w:rsidRPr="007A0B43">
        <w:rPr>
          <w:spacing w:val="-2"/>
        </w:rPr>
        <w:t xml:space="preserve"> </w:t>
      </w:r>
      <w:r w:rsidR="003D5A9A" w:rsidRPr="007A0B43">
        <w:rPr>
          <w:spacing w:val="-2"/>
        </w:rPr>
        <w:t>v roce</w:t>
      </w:r>
      <w:r w:rsidR="00DE398D" w:rsidRPr="007A0B43">
        <w:rPr>
          <w:spacing w:val="-2"/>
        </w:rPr>
        <w:t xml:space="preserve"> 2</w:t>
      </w:r>
      <w:r w:rsidR="00C557AC" w:rsidRPr="007A0B43">
        <w:rPr>
          <w:spacing w:val="-2"/>
        </w:rPr>
        <w:t>009</w:t>
      </w:r>
      <w:r w:rsidR="00916F34" w:rsidRPr="007A0B43">
        <w:rPr>
          <w:spacing w:val="-2"/>
        </w:rPr>
        <w:t xml:space="preserve"> (</w:t>
      </w:r>
      <w:r w:rsidR="00045217" w:rsidRPr="007A0B43">
        <w:rPr>
          <w:spacing w:val="-2"/>
        </w:rPr>
        <w:t>HDP v 1. čtvrtletí 2013 kles</w:t>
      </w:r>
      <w:r w:rsidR="00240ED1" w:rsidRPr="007A0B43">
        <w:rPr>
          <w:spacing w:val="-2"/>
        </w:rPr>
        <w:t>l</w:t>
      </w:r>
      <w:r w:rsidR="00916F34" w:rsidRPr="007A0B43">
        <w:rPr>
          <w:spacing w:val="-2"/>
        </w:rPr>
        <w:t xml:space="preserve"> v meziročním srovnání o 2,7 %</w:t>
      </w:r>
      <w:r w:rsidR="008C099F" w:rsidRPr="007A0B43">
        <w:rPr>
          <w:rStyle w:val="Znakapoznpodarou"/>
          <w:spacing w:val="-2"/>
        </w:rPr>
        <w:footnoteReference w:id="1"/>
      </w:r>
      <w:r w:rsidR="00916F34" w:rsidRPr="007A0B43">
        <w:rPr>
          <w:spacing w:val="-2"/>
        </w:rPr>
        <w:t xml:space="preserve">, v roce 2009 se HDP </w:t>
      </w:r>
      <w:r w:rsidR="00082FD4" w:rsidRPr="007A0B43">
        <w:rPr>
          <w:spacing w:val="-2"/>
        </w:rPr>
        <w:t>snižoval</w:t>
      </w:r>
      <w:r w:rsidR="00916F34" w:rsidRPr="007A0B43">
        <w:rPr>
          <w:spacing w:val="-2"/>
        </w:rPr>
        <w:t xml:space="preserve"> dvojnásobně rychleji)</w:t>
      </w:r>
      <w:r w:rsidR="00C557AC" w:rsidRPr="007A0B43">
        <w:rPr>
          <w:spacing w:val="-2"/>
        </w:rPr>
        <w:t xml:space="preserve">, </w:t>
      </w:r>
      <w:r w:rsidR="00797BEF" w:rsidRPr="007A0B43">
        <w:rPr>
          <w:spacing w:val="-2"/>
        </w:rPr>
        <w:t xml:space="preserve">byla velmi vážná. </w:t>
      </w:r>
      <w:r w:rsidR="004D74AA" w:rsidRPr="007A0B43">
        <w:rPr>
          <w:spacing w:val="-2"/>
        </w:rPr>
        <w:t>Firmy odkládaly</w:t>
      </w:r>
      <w:r w:rsidR="00DE398D" w:rsidRPr="007A0B43">
        <w:rPr>
          <w:spacing w:val="-2"/>
        </w:rPr>
        <w:t xml:space="preserve"> </w:t>
      </w:r>
      <w:r w:rsidR="004D74AA" w:rsidRPr="007A0B43">
        <w:rPr>
          <w:spacing w:val="-2"/>
        </w:rPr>
        <w:t xml:space="preserve">své investice, </w:t>
      </w:r>
      <w:r w:rsidR="00C208F4" w:rsidRPr="007A0B43">
        <w:rPr>
          <w:spacing w:val="-2"/>
        </w:rPr>
        <w:t>spotřebitelé šetřili a omezovali</w:t>
      </w:r>
      <w:r w:rsidR="004D74AA" w:rsidRPr="007A0B43">
        <w:rPr>
          <w:spacing w:val="-2"/>
        </w:rPr>
        <w:t xml:space="preserve"> </w:t>
      </w:r>
      <w:r w:rsidR="00C208F4" w:rsidRPr="007A0B43">
        <w:rPr>
          <w:spacing w:val="-2"/>
        </w:rPr>
        <w:t>jak svá spotřební vydání, tak nákupy nemovitostí</w:t>
      </w:r>
      <w:r w:rsidR="00DE398D" w:rsidRPr="007A0B43">
        <w:rPr>
          <w:spacing w:val="-2"/>
        </w:rPr>
        <w:t xml:space="preserve">. </w:t>
      </w:r>
      <w:r w:rsidR="00797BEF" w:rsidRPr="007A0B43">
        <w:rPr>
          <w:spacing w:val="-2"/>
        </w:rPr>
        <w:t>Ze</w:t>
      </w:r>
      <w:r w:rsidR="00916F34" w:rsidRPr="007A0B43">
        <w:rPr>
          <w:spacing w:val="-2"/>
        </w:rPr>
        <w:t> </w:t>
      </w:r>
      <w:r w:rsidR="00797BEF" w:rsidRPr="007A0B43">
        <w:rPr>
          <w:spacing w:val="-2"/>
        </w:rPr>
        <w:t>zahraničí žádný v</w:t>
      </w:r>
      <w:r w:rsidR="00270BA9">
        <w:rPr>
          <w:spacing w:val="-2"/>
        </w:rPr>
        <w:t>ýznamnější</w:t>
      </w:r>
      <w:r w:rsidR="00797BEF" w:rsidRPr="007A0B43">
        <w:rPr>
          <w:spacing w:val="-2"/>
        </w:rPr>
        <w:t xml:space="preserve"> růstový impuls nepřicházel, naopak, v 1. čtvrtletí objem českého </w:t>
      </w:r>
      <w:r w:rsidR="0046073D">
        <w:rPr>
          <w:spacing w:val="-2"/>
        </w:rPr>
        <w:t>vývozu</w:t>
      </w:r>
      <w:r w:rsidR="008A2DFA" w:rsidRPr="007A0B43">
        <w:rPr>
          <w:spacing w:val="-2"/>
        </w:rPr>
        <w:t xml:space="preserve"> výrazně</w:t>
      </w:r>
      <w:r w:rsidR="00797BEF" w:rsidRPr="007A0B43">
        <w:rPr>
          <w:spacing w:val="-2"/>
        </w:rPr>
        <w:t xml:space="preserve"> poklesl</w:t>
      </w:r>
      <w:r w:rsidR="004D74AA" w:rsidRPr="007A0B43">
        <w:rPr>
          <w:spacing w:val="-2"/>
        </w:rPr>
        <w:t>, meziročně byl nižší o </w:t>
      </w:r>
      <w:r w:rsidR="008A2DFA" w:rsidRPr="007A0B43">
        <w:rPr>
          <w:spacing w:val="-2"/>
        </w:rPr>
        <w:t>více než 6</w:t>
      </w:r>
      <w:r w:rsidR="004D74AA" w:rsidRPr="007A0B43">
        <w:rPr>
          <w:spacing w:val="-2"/>
        </w:rPr>
        <w:t xml:space="preserve"> %</w:t>
      </w:r>
      <w:r w:rsidR="00797BEF" w:rsidRPr="007A0B43">
        <w:rPr>
          <w:spacing w:val="-2"/>
        </w:rPr>
        <w:t>. Konjunkturální průzkumy sice ukazovaly na</w:t>
      </w:r>
      <w:r w:rsidR="007A0B43">
        <w:rPr>
          <w:spacing w:val="-2"/>
        </w:rPr>
        <w:t> </w:t>
      </w:r>
      <w:r w:rsidR="007645A2" w:rsidRPr="007A0B43">
        <w:rPr>
          <w:spacing w:val="-2"/>
        </w:rPr>
        <w:t>posilování</w:t>
      </w:r>
      <w:r w:rsidR="00797BEF" w:rsidRPr="007A0B43">
        <w:rPr>
          <w:spacing w:val="-2"/>
        </w:rPr>
        <w:t xml:space="preserve"> důvěry spotřebitelů v ekonomiku, to ale bylo</w:t>
      </w:r>
      <w:r w:rsidR="00F35986" w:rsidRPr="007A0B43">
        <w:rPr>
          <w:spacing w:val="-2"/>
        </w:rPr>
        <w:t xml:space="preserve"> jen</w:t>
      </w:r>
      <w:r w:rsidR="00797BEF" w:rsidRPr="007A0B43">
        <w:rPr>
          <w:spacing w:val="-2"/>
        </w:rPr>
        <w:t xml:space="preserve"> velmi </w:t>
      </w:r>
      <w:r w:rsidR="00916F34" w:rsidRPr="007A0B43">
        <w:rPr>
          <w:spacing w:val="-2"/>
        </w:rPr>
        <w:t>pozvolné</w:t>
      </w:r>
      <w:r w:rsidR="00F35986" w:rsidRPr="007A0B43">
        <w:rPr>
          <w:spacing w:val="-2"/>
        </w:rPr>
        <w:t>. D</w:t>
      </w:r>
      <w:r w:rsidR="00797BEF" w:rsidRPr="007A0B43">
        <w:rPr>
          <w:spacing w:val="-2"/>
        </w:rPr>
        <w:t xml:space="preserve">ůvěra podnikatelů </w:t>
      </w:r>
      <w:r w:rsidR="00916F34" w:rsidRPr="007A0B43">
        <w:rPr>
          <w:spacing w:val="-2"/>
        </w:rPr>
        <w:t xml:space="preserve">nijak nenarůstala, </w:t>
      </w:r>
      <w:r w:rsidR="00797BEF" w:rsidRPr="007A0B43">
        <w:rPr>
          <w:spacing w:val="-2"/>
        </w:rPr>
        <w:t>byla</w:t>
      </w:r>
      <w:r w:rsidR="00F35986" w:rsidRPr="007A0B43">
        <w:rPr>
          <w:spacing w:val="-2"/>
        </w:rPr>
        <w:t xml:space="preserve"> st</w:t>
      </w:r>
      <w:r w:rsidR="00916F34" w:rsidRPr="007A0B43">
        <w:rPr>
          <w:spacing w:val="-2"/>
        </w:rPr>
        <w:t>ejně slabá jako</w:t>
      </w:r>
      <w:r w:rsidR="001E4154">
        <w:rPr>
          <w:spacing w:val="-2"/>
        </w:rPr>
        <w:t xml:space="preserve"> na</w:t>
      </w:r>
      <w:r w:rsidR="00916F34" w:rsidRPr="007A0B43">
        <w:rPr>
          <w:spacing w:val="-2"/>
        </w:rPr>
        <w:t xml:space="preserve"> konci roku 2008 –</w:t>
      </w:r>
      <w:r w:rsidR="00F35986" w:rsidRPr="007A0B43">
        <w:rPr>
          <w:spacing w:val="-2"/>
        </w:rPr>
        <w:t xml:space="preserve"> </w:t>
      </w:r>
      <w:r w:rsidR="008B68CF" w:rsidRPr="007A0B43">
        <w:rPr>
          <w:spacing w:val="-2"/>
        </w:rPr>
        <w:t>tj.</w:t>
      </w:r>
      <w:r w:rsidR="00F35986" w:rsidRPr="007A0B43">
        <w:rPr>
          <w:spacing w:val="-2"/>
        </w:rPr>
        <w:t xml:space="preserve"> v době, kdy</w:t>
      </w:r>
      <w:r w:rsidR="00916F34" w:rsidRPr="007A0B43">
        <w:rPr>
          <w:spacing w:val="-2"/>
        </w:rPr>
        <w:t> </w:t>
      </w:r>
      <w:r w:rsidR="00F35986" w:rsidRPr="007A0B43">
        <w:rPr>
          <w:spacing w:val="-2"/>
        </w:rPr>
        <w:t xml:space="preserve">se již v ekonomice </w:t>
      </w:r>
      <w:r w:rsidR="00C557AC" w:rsidRPr="007A0B43">
        <w:rPr>
          <w:spacing w:val="-2"/>
        </w:rPr>
        <w:t>USA</w:t>
      </w:r>
      <w:r w:rsidR="00F35986" w:rsidRPr="007A0B43">
        <w:rPr>
          <w:spacing w:val="-2"/>
        </w:rPr>
        <w:t xml:space="preserve"> v plné síle projevovaly dopady finanční krize</w:t>
      </w:r>
      <w:r w:rsidR="004D74AA" w:rsidRPr="007A0B43">
        <w:rPr>
          <w:spacing w:val="-2"/>
        </w:rPr>
        <w:t>, a</w:t>
      </w:r>
      <w:r w:rsidR="00B02B97" w:rsidRPr="007A0B43">
        <w:rPr>
          <w:spacing w:val="-2"/>
        </w:rPr>
        <w:t> </w:t>
      </w:r>
      <w:r w:rsidR="004D74AA" w:rsidRPr="007A0B43">
        <w:rPr>
          <w:spacing w:val="-2"/>
        </w:rPr>
        <w:t>dalo se očekávat, že v blízké době dorazí i</w:t>
      </w:r>
      <w:r w:rsidR="007A0B43">
        <w:rPr>
          <w:spacing w:val="-2"/>
        </w:rPr>
        <w:t> </w:t>
      </w:r>
      <w:r w:rsidR="004D74AA" w:rsidRPr="007A0B43">
        <w:rPr>
          <w:spacing w:val="-2"/>
        </w:rPr>
        <w:t>do</w:t>
      </w:r>
      <w:r w:rsidR="007A0B43">
        <w:rPr>
          <w:spacing w:val="-2"/>
        </w:rPr>
        <w:t> </w:t>
      </w:r>
      <w:r w:rsidR="004D74AA" w:rsidRPr="007A0B43">
        <w:rPr>
          <w:spacing w:val="-2"/>
        </w:rPr>
        <w:t>Česka</w:t>
      </w:r>
      <w:r w:rsidR="0046073D">
        <w:rPr>
          <w:spacing w:val="-2"/>
        </w:rPr>
        <w:t>. Téměř</w:t>
      </w:r>
      <w:r w:rsidR="00F35986" w:rsidRPr="007A0B43">
        <w:rPr>
          <w:spacing w:val="-2"/>
        </w:rPr>
        <w:t xml:space="preserve"> nic tedy </w:t>
      </w:r>
      <w:r w:rsidR="003B5732">
        <w:rPr>
          <w:spacing w:val="-2"/>
        </w:rPr>
        <w:t>nenasvědčovalo</w:t>
      </w:r>
      <w:r w:rsidR="00F35986" w:rsidRPr="007A0B43">
        <w:rPr>
          <w:spacing w:val="-2"/>
        </w:rPr>
        <w:t xml:space="preserve"> tomu, že by se situace v české ekonomice mohla změnit k</w:t>
      </w:r>
      <w:r w:rsidR="00C557AC" w:rsidRPr="007A0B43">
        <w:rPr>
          <w:spacing w:val="-2"/>
        </w:rPr>
        <w:t> </w:t>
      </w:r>
      <w:r w:rsidR="00F35986" w:rsidRPr="007A0B43">
        <w:rPr>
          <w:spacing w:val="-2"/>
        </w:rPr>
        <w:t xml:space="preserve">lepšímu. Jeden náznak zde ale přesto byl </w:t>
      </w:r>
      <w:r w:rsidR="00916F34" w:rsidRPr="007A0B43">
        <w:rPr>
          <w:spacing w:val="-2"/>
        </w:rPr>
        <w:t>–</w:t>
      </w:r>
      <w:r w:rsidR="00F35986" w:rsidRPr="007A0B43">
        <w:rPr>
          <w:spacing w:val="-2"/>
        </w:rPr>
        <w:t xml:space="preserve"> změnil se postoj</w:t>
      </w:r>
      <w:r w:rsidR="008B68CF" w:rsidRPr="007A0B43">
        <w:rPr>
          <w:spacing w:val="-2"/>
        </w:rPr>
        <w:t> </w:t>
      </w:r>
      <w:r w:rsidR="00F35986" w:rsidRPr="007A0B43">
        <w:rPr>
          <w:spacing w:val="-2"/>
        </w:rPr>
        <w:t>fiskálních autorit, co se týče snahy</w:t>
      </w:r>
      <w:r w:rsidR="00495D23" w:rsidRPr="007A0B43">
        <w:rPr>
          <w:spacing w:val="-2"/>
        </w:rPr>
        <w:t xml:space="preserve"> rychle</w:t>
      </w:r>
      <w:r w:rsidR="00F35986" w:rsidRPr="007A0B43">
        <w:rPr>
          <w:spacing w:val="-2"/>
        </w:rPr>
        <w:t xml:space="preserve"> </w:t>
      </w:r>
      <w:r w:rsidR="00495D23" w:rsidRPr="007A0B43">
        <w:rPr>
          <w:spacing w:val="-2"/>
        </w:rPr>
        <w:t>z</w:t>
      </w:r>
      <w:r w:rsidR="00F35986" w:rsidRPr="007A0B43">
        <w:rPr>
          <w:spacing w:val="-2"/>
        </w:rPr>
        <w:t>konsolidovat veřejné finance. Ve</w:t>
      </w:r>
      <w:r w:rsidR="00B02B97" w:rsidRPr="007A0B43">
        <w:rPr>
          <w:spacing w:val="-2"/>
        </w:rPr>
        <w:t> </w:t>
      </w:r>
      <w:r w:rsidR="00F35986" w:rsidRPr="007A0B43">
        <w:rPr>
          <w:spacing w:val="-2"/>
        </w:rPr>
        <w:t xml:space="preserve">veřejném sektoru </w:t>
      </w:r>
      <w:r w:rsidR="002B6595" w:rsidRPr="007A0B43">
        <w:rPr>
          <w:spacing w:val="-2"/>
        </w:rPr>
        <w:t>polevily tendence omezovat výdaje</w:t>
      </w:r>
      <w:r w:rsidR="00F35986" w:rsidRPr="007A0B43">
        <w:rPr>
          <w:spacing w:val="-2"/>
        </w:rPr>
        <w:t xml:space="preserve"> a</w:t>
      </w:r>
      <w:r w:rsidR="00916F34" w:rsidRPr="007A0B43">
        <w:rPr>
          <w:spacing w:val="-2"/>
        </w:rPr>
        <w:t> </w:t>
      </w:r>
      <w:r w:rsidR="002B6595" w:rsidRPr="007A0B43">
        <w:rPr>
          <w:spacing w:val="-2"/>
        </w:rPr>
        <w:t xml:space="preserve">spotřeba vládních institucí začala </w:t>
      </w:r>
      <w:r w:rsidR="00F35986" w:rsidRPr="007A0B43">
        <w:rPr>
          <w:spacing w:val="-2"/>
        </w:rPr>
        <w:t>po</w:t>
      </w:r>
      <w:r w:rsidR="00C557AC" w:rsidRPr="007A0B43">
        <w:rPr>
          <w:spacing w:val="-2"/>
        </w:rPr>
        <w:t xml:space="preserve"> více jak</w:t>
      </w:r>
      <w:r w:rsidR="002B6595" w:rsidRPr="007A0B43">
        <w:rPr>
          <w:spacing w:val="-2"/>
        </w:rPr>
        <w:t> </w:t>
      </w:r>
      <w:r w:rsidR="00F35986" w:rsidRPr="007A0B43">
        <w:rPr>
          <w:spacing w:val="-2"/>
        </w:rPr>
        <w:t>dvou</w:t>
      </w:r>
      <w:r w:rsidR="008B68CF" w:rsidRPr="007A0B43">
        <w:rPr>
          <w:spacing w:val="-2"/>
        </w:rPr>
        <w:t> </w:t>
      </w:r>
      <w:r w:rsidR="00F35986" w:rsidRPr="007A0B43">
        <w:rPr>
          <w:spacing w:val="-2"/>
        </w:rPr>
        <w:t xml:space="preserve">letech </w:t>
      </w:r>
      <w:r w:rsidR="00893F1E" w:rsidRPr="007A0B43">
        <w:rPr>
          <w:spacing w:val="-2"/>
        </w:rPr>
        <w:t>opět růst.</w:t>
      </w:r>
    </w:p>
    <w:p w:rsidR="004D74AA" w:rsidRDefault="004D74AA" w:rsidP="00D42FCC"/>
    <w:p w:rsidR="00D42FCC" w:rsidRPr="00675BB6" w:rsidRDefault="004D74AA" w:rsidP="00D42FCC">
      <w:r w:rsidRPr="00634147">
        <w:t>V polovině roku 2013</w:t>
      </w:r>
      <w:r w:rsidR="001E4154">
        <w:t xml:space="preserve"> se zlepšil ekonomický vývoj v </w:t>
      </w:r>
      <w:proofErr w:type="spellStart"/>
      <w:r w:rsidR="001E4154">
        <w:t>e</w:t>
      </w:r>
      <w:r w:rsidRPr="00634147">
        <w:t>urozóně</w:t>
      </w:r>
      <w:proofErr w:type="spellEnd"/>
      <w:r w:rsidRPr="00634147">
        <w:t>,</w:t>
      </w:r>
      <w:r w:rsidR="00C557AC" w:rsidRPr="00634147">
        <w:t xml:space="preserve"> z čehož Česká</w:t>
      </w:r>
      <w:r w:rsidR="00C557AC">
        <w:t xml:space="preserve"> republika</w:t>
      </w:r>
      <w:r w:rsidRPr="00675BB6">
        <w:t xml:space="preserve"> jakožto výrazně exportně zaměřená ekonomika začala profitovat. Výrobním podnikům zprvu narůstaly jen zakázky, ty se ale velmi brzy překlopily i do skutečné výroby a </w:t>
      </w:r>
      <w:r w:rsidR="00675BB6" w:rsidRPr="00675BB6">
        <w:t>ve 3. čtvrtletí i</w:t>
      </w:r>
      <w:r w:rsidRPr="00675BB6">
        <w:t xml:space="preserve"> do</w:t>
      </w:r>
      <w:r w:rsidR="00675BB6" w:rsidRPr="00675BB6">
        <w:t xml:space="preserve"> významnějšího</w:t>
      </w:r>
      <w:r w:rsidRPr="00675BB6">
        <w:t xml:space="preserve"> růstu exportu. </w:t>
      </w:r>
      <w:r w:rsidR="00CB4547" w:rsidRPr="00675BB6">
        <w:t xml:space="preserve">Celková spotřeba v ekonomice – </w:t>
      </w:r>
      <w:r w:rsidR="001E4154">
        <w:t>pozitivně ovlivňovaná</w:t>
      </w:r>
      <w:r w:rsidR="00CB4547" w:rsidRPr="00675BB6">
        <w:t xml:space="preserve"> uvolněnou fiskální politikou, </w:t>
      </w:r>
      <w:r w:rsidR="001E4154">
        <w:t>ale již</w:t>
      </w:r>
      <w:r w:rsidR="00CB4547" w:rsidRPr="00675BB6">
        <w:t xml:space="preserve"> i rostoucími výdaji domácností – </w:t>
      </w:r>
      <w:r w:rsidR="008A5D67" w:rsidRPr="00675BB6">
        <w:t>posilovala</w:t>
      </w:r>
      <w:r w:rsidR="00CB4547" w:rsidRPr="00675BB6">
        <w:t xml:space="preserve"> nejrychleji od</w:t>
      </w:r>
      <w:r w:rsidR="00B02B97">
        <w:t> </w:t>
      </w:r>
      <w:r w:rsidR="00CB4547" w:rsidRPr="00675BB6">
        <w:t>začátku roku 2009. 3.</w:t>
      </w:r>
      <w:r w:rsidR="008A5D67" w:rsidRPr="00675BB6">
        <w:t> č</w:t>
      </w:r>
      <w:r w:rsidR="00CB4547" w:rsidRPr="00675BB6">
        <w:t xml:space="preserve">tvrtletí 2013 tak bylo </w:t>
      </w:r>
      <w:r w:rsidR="00332409">
        <w:t>prvním</w:t>
      </w:r>
      <w:r w:rsidR="007322EF">
        <w:t xml:space="preserve"> „</w:t>
      </w:r>
      <w:proofErr w:type="spellStart"/>
      <w:r w:rsidR="007322EF">
        <w:t>porecesním</w:t>
      </w:r>
      <w:proofErr w:type="spellEnd"/>
      <w:r w:rsidR="007322EF">
        <w:t>“</w:t>
      </w:r>
      <w:r w:rsidR="00CB4547" w:rsidRPr="00675BB6">
        <w:t>, kdy</w:t>
      </w:r>
      <w:r w:rsidR="008A5D67" w:rsidRPr="00675BB6">
        <w:t xml:space="preserve"> česká</w:t>
      </w:r>
      <w:r w:rsidR="00CB4547" w:rsidRPr="00675BB6">
        <w:t xml:space="preserve"> </w:t>
      </w:r>
      <w:r w:rsidR="00495D23" w:rsidRPr="00675BB6">
        <w:t xml:space="preserve">ekonomika </w:t>
      </w:r>
      <w:r w:rsidR="00BA768E">
        <w:t>zaznamenala</w:t>
      </w:r>
      <w:r w:rsidR="00495D23" w:rsidRPr="00675BB6">
        <w:t xml:space="preserve"> </w:t>
      </w:r>
      <w:r w:rsidR="00332409">
        <w:t>nárůst</w:t>
      </w:r>
      <w:r w:rsidR="00495D23" w:rsidRPr="00675BB6">
        <w:t xml:space="preserve"> HDP</w:t>
      </w:r>
      <w:r w:rsidR="00484798">
        <w:t xml:space="preserve"> v meziročním srovnání</w:t>
      </w:r>
      <w:r w:rsidR="00495D23" w:rsidRPr="00675BB6">
        <w:t>.</w:t>
      </w:r>
    </w:p>
    <w:p w:rsidR="00CB4547" w:rsidRDefault="00CB4547" w:rsidP="00D42FCC"/>
    <w:p w:rsidR="00CB4547" w:rsidRDefault="00C855F8" w:rsidP="00D42FCC">
      <w:pPr>
        <w:rPr>
          <w:spacing w:val="-2"/>
        </w:rPr>
      </w:pPr>
      <w:r w:rsidRPr="002B6595">
        <w:rPr>
          <w:spacing w:val="-2"/>
        </w:rPr>
        <w:t>Třetí</w:t>
      </w:r>
      <w:r w:rsidR="00BE0665" w:rsidRPr="002B6595">
        <w:rPr>
          <w:spacing w:val="-2"/>
        </w:rPr>
        <w:t xml:space="preserve"> pozitivní </w:t>
      </w:r>
      <w:r w:rsidR="00E05E5D" w:rsidRPr="002B6595">
        <w:rPr>
          <w:spacing w:val="-2"/>
        </w:rPr>
        <w:t>impuls pro ekonomický vývoj v </w:t>
      </w:r>
      <w:r w:rsidR="00B92F72" w:rsidRPr="002B6595">
        <w:rPr>
          <w:spacing w:val="-2"/>
        </w:rPr>
        <w:t>ČR</w:t>
      </w:r>
      <w:r w:rsidR="00BE0665" w:rsidRPr="002B6595">
        <w:rPr>
          <w:spacing w:val="-2"/>
        </w:rPr>
        <w:t xml:space="preserve"> přišel v listopadu, kdy Česká národní banka</w:t>
      </w:r>
      <w:r w:rsidR="008A5D67" w:rsidRPr="002B6595">
        <w:rPr>
          <w:spacing w:val="-2"/>
        </w:rPr>
        <w:t xml:space="preserve"> (ČNB)</w:t>
      </w:r>
      <w:r w:rsidRPr="002B6595">
        <w:rPr>
          <w:spacing w:val="-2"/>
        </w:rPr>
        <w:t>,</w:t>
      </w:r>
      <w:r w:rsidR="00BE0665" w:rsidRPr="002B6595">
        <w:rPr>
          <w:spacing w:val="-2"/>
        </w:rPr>
        <w:t xml:space="preserve"> ve snaze </w:t>
      </w:r>
      <w:r w:rsidR="0046073D">
        <w:rPr>
          <w:spacing w:val="-2"/>
        </w:rPr>
        <w:t>zrychlit</w:t>
      </w:r>
      <w:r w:rsidR="00BE0665" w:rsidRPr="002B6595">
        <w:rPr>
          <w:spacing w:val="-2"/>
        </w:rPr>
        <w:t xml:space="preserve"> růst spotřebitelských cen</w:t>
      </w:r>
      <w:r w:rsidRPr="002B6595">
        <w:rPr>
          <w:spacing w:val="-2"/>
        </w:rPr>
        <w:t>,</w:t>
      </w:r>
      <w:r w:rsidR="00BE0665" w:rsidRPr="002B6595">
        <w:rPr>
          <w:spacing w:val="-2"/>
        </w:rPr>
        <w:t xml:space="preserve"> oslabila korunu. Její efekt se</w:t>
      </w:r>
      <w:r w:rsidR="00E05E5D" w:rsidRPr="002B6595">
        <w:rPr>
          <w:spacing w:val="-2"/>
        </w:rPr>
        <w:t xml:space="preserve"> z finančního trhu do reálné ekonomiky přenesl</w:t>
      </w:r>
      <w:r w:rsidR="00BE0665" w:rsidRPr="002B6595">
        <w:rPr>
          <w:spacing w:val="-2"/>
        </w:rPr>
        <w:t xml:space="preserve"> </w:t>
      </w:r>
      <w:r w:rsidR="00E05E5D" w:rsidRPr="002B6595">
        <w:rPr>
          <w:spacing w:val="-2"/>
        </w:rPr>
        <w:t>rychle</w:t>
      </w:r>
      <w:r w:rsidR="00B92F72" w:rsidRPr="002B6595">
        <w:rPr>
          <w:spacing w:val="-2"/>
        </w:rPr>
        <w:t>, slabší koruna se projevila v</w:t>
      </w:r>
      <w:r w:rsidR="003F1F0C">
        <w:rPr>
          <w:spacing w:val="-2"/>
        </w:rPr>
        <w:t>e</w:t>
      </w:r>
      <w:r w:rsidR="00B92F72" w:rsidRPr="002B6595">
        <w:rPr>
          <w:spacing w:val="-2"/>
        </w:rPr>
        <w:t> </w:t>
      </w:r>
      <w:r w:rsidR="003F1F0C">
        <w:rPr>
          <w:spacing w:val="-2"/>
        </w:rPr>
        <w:t>zvýšení</w:t>
      </w:r>
      <w:r w:rsidR="00B92F72" w:rsidRPr="002B6595">
        <w:rPr>
          <w:spacing w:val="-2"/>
        </w:rPr>
        <w:t xml:space="preserve"> cen zahraničního obchodu</w:t>
      </w:r>
      <w:r w:rsidR="003B5732">
        <w:rPr>
          <w:spacing w:val="-2"/>
        </w:rPr>
        <w:t>.</w:t>
      </w:r>
      <w:r w:rsidR="00B92F72" w:rsidRPr="002B6595">
        <w:rPr>
          <w:spacing w:val="-2"/>
        </w:rPr>
        <w:t> </w:t>
      </w:r>
      <w:r w:rsidR="003B5732">
        <w:rPr>
          <w:spacing w:val="-2"/>
        </w:rPr>
        <w:t>E</w:t>
      </w:r>
      <w:r w:rsidR="003703E5" w:rsidRPr="002B6595">
        <w:rPr>
          <w:spacing w:val="-2"/>
        </w:rPr>
        <w:t>xportně zaměřeným firmám mohly začít narůstat příjmy.</w:t>
      </w:r>
      <w:r w:rsidR="00BE0665" w:rsidRPr="002B6595">
        <w:rPr>
          <w:spacing w:val="-2"/>
        </w:rPr>
        <w:t xml:space="preserve"> </w:t>
      </w:r>
      <w:r w:rsidR="007645A2" w:rsidRPr="002B6595">
        <w:rPr>
          <w:spacing w:val="-2"/>
        </w:rPr>
        <w:t>Do roku 2014</w:t>
      </w:r>
      <w:r w:rsidR="00495D23" w:rsidRPr="002B6595">
        <w:rPr>
          <w:spacing w:val="-2"/>
        </w:rPr>
        <w:t xml:space="preserve"> </w:t>
      </w:r>
      <w:r w:rsidR="001B06A1" w:rsidRPr="002B6595">
        <w:rPr>
          <w:spacing w:val="-2"/>
        </w:rPr>
        <w:t>výrobní</w:t>
      </w:r>
      <w:r w:rsidR="002B6595">
        <w:rPr>
          <w:spacing w:val="-2"/>
        </w:rPr>
        <w:t xml:space="preserve"> podniky</w:t>
      </w:r>
      <w:r w:rsidR="00B92F72" w:rsidRPr="002B6595">
        <w:rPr>
          <w:spacing w:val="-2"/>
        </w:rPr>
        <w:t xml:space="preserve"> s orientací k zahraniční </w:t>
      </w:r>
      <w:r w:rsidR="002B6595">
        <w:rPr>
          <w:spacing w:val="-2"/>
        </w:rPr>
        <w:t>poptávce</w:t>
      </w:r>
      <w:r w:rsidR="00495D23" w:rsidRPr="002B6595">
        <w:rPr>
          <w:spacing w:val="-2"/>
        </w:rPr>
        <w:t xml:space="preserve"> vst</w:t>
      </w:r>
      <w:r w:rsidR="008A5D67" w:rsidRPr="002B6595">
        <w:rPr>
          <w:spacing w:val="-2"/>
        </w:rPr>
        <w:t>upovaly</w:t>
      </w:r>
      <w:r w:rsidR="00495D23" w:rsidRPr="002B6595">
        <w:rPr>
          <w:spacing w:val="-2"/>
        </w:rPr>
        <w:t xml:space="preserve"> </w:t>
      </w:r>
      <w:r w:rsidR="00B92F72" w:rsidRPr="002B6595">
        <w:rPr>
          <w:spacing w:val="-2"/>
        </w:rPr>
        <w:t xml:space="preserve">s nadějemi, </w:t>
      </w:r>
      <w:r w:rsidR="001B06A1" w:rsidRPr="002B6595">
        <w:rPr>
          <w:spacing w:val="-2"/>
        </w:rPr>
        <w:t>nevýrobní</w:t>
      </w:r>
      <w:r w:rsidR="00B92F72" w:rsidRPr="002B6595">
        <w:rPr>
          <w:spacing w:val="-2"/>
        </w:rPr>
        <w:t xml:space="preserve"> spíše s</w:t>
      </w:r>
      <w:r w:rsidR="001B06A1" w:rsidRPr="002B6595">
        <w:rPr>
          <w:spacing w:val="-2"/>
        </w:rPr>
        <w:t> očekáváním a</w:t>
      </w:r>
      <w:r w:rsidR="002B6595">
        <w:rPr>
          <w:spacing w:val="-2"/>
        </w:rPr>
        <w:t> </w:t>
      </w:r>
      <w:r w:rsidR="001B06A1" w:rsidRPr="002B6595">
        <w:rPr>
          <w:spacing w:val="-2"/>
        </w:rPr>
        <w:t>dovozně náročné</w:t>
      </w:r>
      <w:r w:rsidR="002B6595">
        <w:rPr>
          <w:spacing w:val="-2"/>
        </w:rPr>
        <w:t xml:space="preserve"> –</w:t>
      </w:r>
      <w:r w:rsidR="002B6595" w:rsidRPr="002B6595">
        <w:rPr>
          <w:spacing w:val="-2"/>
        </w:rPr>
        <w:t xml:space="preserve"> jejichž produ</w:t>
      </w:r>
      <w:r w:rsidR="00185233">
        <w:rPr>
          <w:spacing w:val="-2"/>
        </w:rPr>
        <w:t>kce končí</w:t>
      </w:r>
      <w:r w:rsidR="002B6595">
        <w:rPr>
          <w:spacing w:val="-2"/>
        </w:rPr>
        <w:t xml:space="preserve"> jen na tuzemském trhu</w:t>
      </w:r>
      <w:r w:rsidR="003B5732">
        <w:rPr>
          <w:spacing w:val="-2"/>
        </w:rPr>
        <w:t xml:space="preserve"> a slabší kurz koruny tak na ně v logice věci dopadl nepříznivě</w:t>
      </w:r>
      <w:r w:rsidR="002B6595">
        <w:rPr>
          <w:spacing w:val="-2"/>
        </w:rPr>
        <w:t xml:space="preserve"> –</w:t>
      </w:r>
      <w:r w:rsidR="001B06A1" w:rsidRPr="002B6595">
        <w:rPr>
          <w:spacing w:val="-2"/>
        </w:rPr>
        <w:t xml:space="preserve"> patrně s obavami.</w:t>
      </w:r>
    </w:p>
    <w:p w:rsidR="00BE0665" w:rsidRPr="00BE0665" w:rsidRDefault="004B2143" w:rsidP="00115C2A">
      <w:pPr>
        <w:spacing w:after="120"/>
        <w:jc w:val="left"/>
        <w:rPr>
          <w:b/>
        </w:rPr>
      </w:pPr>
      <w:r>
        <w:rPr>
          <w:b/>
        </w:rPr>
        <w:lastRenderedPageBreak/>
        <w:t>Firmám se v prvních třech čtvrtletích roku 2014 dařilo</w:t>
      </w:r>
      <w:r w:rsidR="00B32969" w:rsidRPr="00B32969">
        <w:rPr>
          <w:rStyle w:val="Znakapoznpodarou"/>
        </w:rPr>
        <w:footnoteReference w:id="2"/>
      </w:r>
      <w:r>
        <w:rPr>
          <w:b/>
        </w:rPr>
        <w:t xml:space="preserve"> – tržby v průmyslu, maloobchodě a službách </w:t>
      </w:r>
      <w:r w:rsidR="001A3A67">
        <w:rPr>
          <w:b/>
        </w:rPr>
        <w:t xml:space="preserve">meziročně </w:t>
      </w:r>
      <w:r>
        <w:rPr>
          <w:b/>
        </w:rPr>
        <w:t xml:space="preserve">posilovaly, produkce stavebnictví </w:t>
      </w:r>
      <w:r w:rsidR="00E70E0B">
        <w:rPr>
          <w:b/>
        </w:rPr>
        <w:t>se zvyšovala</w:t>
      </w:r>
      <w:r>
        <w:rPr>
          <w:b/>
        </w:rPr>
        <w:t>, …</w:t>
      </w:r>
    </w:p>
    <w:p w:rsidR="00CB4547" w:rsidRDefault="008A2DFA" w:rsidP="00D42FCC">
      <w:r>
        <w:t>Zda se podnikům v</w:t>
      </w:r>
      <w:r w:rsidR="00F1185D">
        <w:t> prvních třech čtvrtletích roku 2014</w:t>
      </w:r>
      <w:r w:rsidR="00193F7D">
        <w:t xml:space="preserve"> skutečně</w:t>
      </w:r>
      <w:r>
        <w:t xml:space="preserve"> dařilo,</w:t>
      </w:r>
      <w:r w:rsidR="00C855F8">
        <w:t xml:space="preserve"> a pokud ano, tak kterým,</w:t>
      </w:r>
      <w:r w:rsidR="008A5D67">
        <w:t xml:space="preserve"> je patrné z</w:t>
      </w:r>
      <w:r w:rsidR="00B02B97">
        <w:t> </w:t>
      </w:r>
      <w:r>
        <w:t>rozboru</w:t>
      </w:r>
      <w:r w:rsidR="00B02B97">
        <w:t xml:space="preserve"> nominální hodnoty</w:t>
      </w:r>
      <w:r w:rsidR="008A5D67">
        <w:t> </w:t>
      </w:r>
      <w:r w:rsidR="005F3B47">
        <w:t xml:space="preserve">tržeb jednotlivých </w:t>
      </w:r>
      <w:r w:rsidR="005C6955">
        <w:t>odvětví</w:t>
      </w:r>
      <w:r w:rsidR="005F3B47">
        <w:t xml:space="preserve">, tj. průmyslu, </w:t>
      </w:r>
      <w:r w:rsidR="00241D6E">
        <w:t>malo</w:t>
      </w:r>
      <w:r w:rsidR="005F3B47">
        <w:t xml:space="preserve">obchodu, </w:t>
      </w:r>
      <w:r w:rsidR="007A6E0F">
        <w:t>a </w:t>
      </w:r>
      <w:r w:rsidR="005F3B47">
        <w:t>služeb</w:t>
      </w:r>
      <w:r w:rsidR="007A6E0F">
        <w:t>,</w:t>
      </w:r>
      <w:r w:rsidR="005F3B47">
        <w:t xml:space="preserve"> a</w:t>
      </w:r>
      <w:r w:rsidR="00BD670E">
        <w:t xml:space="preserve"> z nominální hodnoty produkce</w:t>
      </w:r>
      <w:r w:rsidR="005F3B47">
        <w:t xml:space="preserve"> stavebnictví. </w:t>
      </w:r>
      <w:r w:rsidR="007A6E0F">
        <w:t>Již z letmého pohledu na</w:t>
      </w:r>
      <w:r w:rsidR="008A5D67">
        <w:t xml:space="preserve"> graf</w:t>
      </w:r>
      <w:r w:rsidR="005F3B47">
        <w:t>y</w:t>
      </w:r>
      <w:r w:rsidR="008A5D67">
        <w:t xml:space="preserve"> č. 1</w:t>
      </w:r>
      <w:r w:rsidR="0046073D" w:rsidRPr="007A0B43">
        <w:rPr>
          <w:spacing w:val="-2"/>
        </w:rPr>
        <w:t>–</w:t>
      </w:r>
      <w:r w:rsidR="005F3B47">
        <w:t>4</w:t>
      </w:r>
      <w:r w:rsidR="00860046">
        <w:t xml:space="preserve"> je zřejmé</w:t>
      </w:r>
      <w:r>
        <w:t>, že situace firem</w:t>
      </w:r>
      <w:r w:rsidR="005F3B47">
        <w:t xml:space="preserve"> v Česku</w:t>
      </w:r>
      <w:r>
        <w:t xml:space="preserve"> byla v</w:t>
      </w:r>
      <w:r w:rsidR="00F1185D">
        <w:t> tomto období</w:t>
      </w:r>
      <w:r w:rsidR="008A5D67">
        <w:t xml:space="preserve"> výrazně </w:t>
      </w:r>
      <w:r>
        <w:t>lepší než ve</w:t>
      </w:r>
      <w:r w:rsidR="00F1185D">
        <w:t> srovnatelné periodě roku</w:t>
      </w:r>
      <w:r>
        <w:t xml:space="preserve"> 2013</w:t>
      </w:r>
      <w:r w:rsidR="008A5D67">
        <w:t>.</w:t>
      </w:r>
      <w:r w:rsidR="005F3B47">
        <w:t xml:space="preserve"> Věnujme se</w:t>
      </w:r>
      <w:r w:rsidR="007A6E0F">
        <w:t xml:space="preserve"> ale</w:t>
      </w:r>
      <w:r w:rsidR="005F3B47">
        <w:t xml:space="preserve"> </w:t>
      </w:r>
      <w:r w:rsidR="005020DF">
        <w:t>jednotlivým</w:t>
      </w:r>
      <w:r w:rsidR="005F3B47">
        <w:t xml:space="preserve"> </w:t>
      </w:r>
      <w:r w:rsidR="002376E9">
        <w:t>odvětvím</w:t>
      </w:r>
      <w:r w:rsidR="005F3B47">
        <w:t xml:space="preserve"> podrobněji.</w:t>
      </w:r>
    </w:p>
    <w:p w:rsidR="002E742B" w:rsidRPr="001E5E09" w:rsidRDefault="002E742B" w:rsidP="002E742B">
      <w:pPr>
        <w:rPr>
          <w:sz w:val="16"/>
          <w:szCs w:val="16"/>
        </w:rPr>
      </w:pPr>
    </w:p>
    <w:tbl>
      <w:tblPr>
        <w:tblW w:w="5019" w:type="pct"/>
        <w:tblInd w:w="-34" w:type="dxa"/>
        <w:tblLook w:val="00A0"/>
      </w:tblPr>
      <w:tblGrid>
        <w:gridCol w:w="756"/>
        <w:gridCol w:w="3606"/>
        <w:gridCol w:w="629"/>
        <w:gridCol w:w="3763"/>
      </w:tblGrid>
      <w:tr w:rsidR="005F3B47" w:rsidRPr="007D44C3" w:rsidTr="004878FB">
        <w:tc>
          <w:tcPr>
            <w:tcW w:w="431" w:type="pct"/>
          </w:tcPr>
          <w:p w:rsidR="005F3B47" w:rsidRPr="007D44C3" w:rsidRDefault="005F3B47" w:rsidP="002420BF">
            <w:pPr>
              <w:pStyle w:val="Textpoznpodarou"/>
            </w:pPr>
            <w:r w:rsidRPr="007D44C3">
              <w:t>Graf č. 1</w:t>
            </w:r>
            <w:r>
              <w:t>:</w:t>
            </w:r>
          </w:p>
        </w:tc>
        <w:tc>
          <w:tcPr>
            <w:tcW w:w="2061" w:type="pct"/>
          </w:tcPr>
          <w:p w:rsidR="005F3B47" w:rsidRPr="005F3B47" w:rsidRDefault="005F3B47" w:rsidP="009C6EDE">
            <w:pPr>
              <w:pStyle w:val="Textpoznpodarou"/>
              <w:jc w:val="left"/>
              <w:rPr>
                <w:spacing w:val="-6"/>
              </w:rPr>
            </w:pPr>
            <w:r w:rsidRPr="005F3B47">
              <w:rPr>
                <w:b/>
                <w:spacing w:val="-6"/>
              </w:rPr>
              <w:t>Tržby v průmyslu</w:t>
            </w:r>
            <w:r w:rsidRPr="005F3B47">
              <w:rPr>
                <w:spacing w:val="-6"/>
              </w:rPr>
              <w:t xml:space="preserve"> (</w:t>
            </w:r>
            <w:r w:rsidR="009C6EDE">
              <w:rPr>
                <w:spacing w:val="-6"/>
              </w:rPr>
              <w:t>meziročně v %</w:t>
            </w:r>
            <w:r w:rsidRPr="005F3B47">
              <w:rPr>
                <w:spacing w:val="-6"/>
                <w:lang w:val="en-US"/>
              </w:rPr>
              <w:t xml:space="preserve">; </w:t>
            </w:r>
            <w:r w:rsidR="007C4056">
              <w:rPr>
                <w:spacing w:val="-6"/>
              </w:rPr>
              <w:t>nominálně</w:t>
            </w:r>
            <w:r w:rsidRPr="005F3B47">
              <w:rPr>
                <w:spacing w:val="-6"/>
              </w:rPr>
              <w:t>; bez sezónního očištění)</w:t>
            </w:r>
          </w:p>
        </w:tc>
        <w:tc>
          <w:tcPr>
            <w:tcW w:w="358" w:type="pct"/>
          </w:tcPr>
          <w:p w:rsidR="005F3B47" w:rsidRPr="005F3B47" w:rsidRDefault="005F3B47" w:rsidP="002420BF">
            <w:pPr>
              <w:pStyle w:val="Textpoznpodarou"/>
              <w:rPr>
                <w:spacing w:val="-6"/>
              </w:rPr>
            </w:pPr>
            <w:r w:rsidRPr="005F3B47">
              <w:rPr>
                <w:spacing w:val="-6"/>
              </w:rPr>
              <w:t>Graf č. 2:</w:t>
            </w:r>
          </w:p>
        </w:tc>
        <w:tc>
          <w:tcPr>
            <w:tcW w:w="2150" w:type="pct"/>
          </w:tcPr>
          <w:p w:rsidR="005F3B47" w:rsidRPr="005F3B47" w:rsidRDefault="005F3B47" w:rsidP="0046073D">
            <w:pPr>
              <w:pStyle w:val="Textpoznpodarou"/>
              <w:jc w:val="left"/>
              <w:rPr>
                <w:spacing w:val="-6"/>
              </w:rPr>
            </w:pPr>
            <w:r w:rsidRPr="005F3B47">
              <w:rPr>
                <w:b/>
                <w:spacing w:val="-6"/>
              </w:rPr>
              <w:t xml:space="preserve">Tržby </w:t>
            </w:r>
            <w:r w:rsidR="00EC440B">
              <w:rPr>
                <w:b/>
                <w:spacing w:val="-6"/>
              </w:rPr>
              <w:t>zpracovatelů</w:t>
            </w:r>
            <w:r w:rsidR="00EC440B">
              <w:rPr>
                <w:spacing w:val="-6"/>
              </w:rPr>
              <w:t xml:space="preserve"> </w:t>
            </w:r>
            <w:r w:rsidRPr="005F3B47">
              <w:rPr>
                <w:spacing w:val="-6"/>
              </w:rPr>
              <w:t>(</w:t>
            </w:r>
            <w:r w:rsidR="009C6EDE">
              <w:rPr>
                <w:spacing w:val="-6"/>
              </w:rPr>
              <w:t>meziročně v %</w:t>
            </w:r>
            <w:r w:rsidRPr="005F3B47">
              <w:rPr>
                <w:spacing w:val="-6"/>
                <w:lang w:val="en-US"/>
              </w:rPr>
              <w:t xml:space="preserve">; </w:t>
            </w:r>
            <w:r w:rsidR="007C4056">
              <w:rPr>
                <w:spacing w:val="-6"/>
              </w:rPr>
              <w:t>nominálně</w:t>
            </w:r>
            <w:r w:rsidRPr="005F3B47">
              <w:rPr>
                <w:spacing w:val="-6"/>
              </w:rPr>
              <w:t xml:space="preserve">; bez sezónního očištění) </w:t>
            </w:r>
            <w:r w:rsidRPr="005F3B47">
              <w:rPr>
                <w:b/>
                <w:spacing w:val="-6"/>
              </w:rPr>
              <w:t>a</w:t>
            </w:r>
            <w:r w:rsidR="007C4056">
              <w:rPr>
                <w:b/>
                <w:spacing w:val="-6"/>
              </w:rPr>
              <w:t> </w:t>
            </w:r>
            <w:r w:rsidR="0046073D">
              <w:rPr>
                <w:b/>
                <w:spacing w:val="-6"/>
              </w:rPr>
              <w:t xml:space="preserve">vývozní </w:t>
            </w:r>
            <w:r w:rsidRPr="005F3B47">
              <w:rPr>
                <w:b/>
                <w:spacing w:val="-6"/>
              </w:rPr>
              <w:t>ceny zboží</w:t>
            </w:r>
            <w:r w:rsidRPr="005F3B47">
              <w:rPr>
                <w:spacing w:val="-6"/>
              </w:rPr>
              <w:t xml:space="preserve"> (meziročně</w:t>
            </w:r>
            <w:r w:rsidR="009C6EDE">
              <w:rPr>
                <w:spacing w:val="-6"/>
              </w:rPr>
              <w:t xml:space="preserve"> v %</w:t>
            </w:r>
            <w:r w:rsidRPr="005F3B47">
              <w:rPr>
                <w:spacing w:val="-6"/>
              </w:rPr>
              <w:t>)</w:t>
            </w:r>
          </w:p>
        </w:tc>
      </w:tr>
      <w:tr w:rsidR="007C4056" w:rsidRPr="007D44C3" w:rsidTr="004878FB">
        <w:tc>
          <w:tcPr>
            <w:tcW w:w="2491" w:type="pct"/>
            <w:gridSpan w:val="2"/>
          </w:tcPr>
          <w:p w:rsidR="005F3B47" w:rsidRPr="007D44C3" w:rsidRDefault="00F614D8" w:rsidP="002420BF">
            <w:pPr>
              <w:pStyle w:val="Textpoznpodarou"/>
            </w:pPr>
            <w:r w:rsidRPr="00F614D8">
              <w:rPr>
                <w:noProof/>
                <w:lang w:eastAsia="cs-CZ"/>
              </w:rPr>
              <w:drawing>
                <wp:inline distT="0" distB="0" distL="0" distR="0">
                  <wp:extent cx="2647950" cy="2292350"/>
                  <wp:effectExtent l="19050" t="0" r="0" b="0"/>
                  <wp:docPr id="25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29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pct"/>
            <w:gridSpan w:val="2"/>
          </w:tcPr>
          <w:p w:rsidR="005F3B47" w:rsidRPr="007D44C3" w:rsidRDefault="004878FB" w:rsidP="002420BF">
            <w:pPr>
              <w:pStyle w:val="Textpoznpodarou"/>
            </w:pPr>
            <w:r w:rsidRPr="004878FB">
              <w:rPr>
                <w:noProof/>
                <w:lang w:eastAsia="cs-CZ"/>
              </w:rPr>
              <w:drawing>
                <wp:inline distT="0" distB="0" distL="0" distR="0">
                  <wp:extent cx="2657475" cy="2292350"/>
                  <wp:effectExtent l="19050" t="0" r="9525" b="0"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29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B47" w:rsidRPr="007D44C3" w:rsidTr="004878FB">
        <w:tc>
          <w:tcPr>
            <w:tcW w:w="5000" w:type="pct"/>
            <w:gridSpan w:val="4"/>
          </w:tcPr>
          <w:p w:rsidR="005F3B47" w:rsidRPr="00B32969" w:rsidRDefault="005F3B47" w:rsidP="007C4056">
            <w:pPr>
              <w:pStyle w:val="Textpoznpodarou"/>
              <w:jc w:val="right"/>
              <w:rPr>
                <w:sz w:val="16"/>
                <w:szCs w:val="16"/>
              </w:rPr>
            </w:pPr>
            <w:r w:rsidRPr="00B32969">
              <w:rPr>
                <w:sz w:val="16"/>
                <w:szCs w:val="16"/>
              </w:rPr>
              <w:t>Pramen: ČSÚ</w:t>
            </w:r>
          </w:p>
        </w:tc>
      </w:tr>
    </w:tbl>
    <w:p w:rsidR="00B045E9" w:rsidRPr="001E5E09" w:rsidRDefault="00B045E9" w:rsidP="002E742B">
      <w:pPr>
        <w:rPr>
          <w:sz w:val="16"/>
          <w:szCs w:val="16"/>
        </w:rPr>
      </w:pPr>
    </w:p>
    <w:p w:rsidR="002C0A44" w:rsidRDefault="006C33FE" w:rsidP="002E742B">
      <w:pPr>
        <w:rPr>
          <w:szCs w:val="20"/>
        </w:rPr>
      </w:pPr>
      <w:r w:rsidRPr="006C5EC1">
        <w:rPr>
          <w:szCs w:val="20"/>
        </w:rPr>
        <w:t>Tržby v</w:t>
      </w:r>
      <w:r w:rsidR="008A5C41" w:rsidRPr="006C5EC1">
        <w:rPr>
          <w:szCs w:val="20"/>
        </w:rPr>
        <w:t> průmyslu –</w:t>
      </w:r>
      <w:r w:rsidRPr="006C5EC1">
        <w:rPr>
          <w:szCs w:val="20"/>
        </w:rPr>
        <w:t xml:space="preserve"> </w:t>
      </w:r>
      <w:r w:rsidR="00FA794E" w:rsidRPr="006C5EC1">
        <w:rPr>
          <w:szCs w:val="20"/>
        </w:rPr>
        <w:t>tedy v podnicích,</w:t>
      </w:r>
      <w:r w:rsidR="008A5C41" w:rsidRPr="006C5EC1">
        <w:rPr>
          <w:szCs w:val="20"/>
        </w:rPr>
        <w:t xml:space="preserve"> </w:t>
      </w:r>
      <w:r w:rsidR="00FA794E" w:rsidRPr="006C5EC1">
        <w:rPr>
          <w:szCs w:val="20"/>
        </w:rPr>
        <w:t>které</w:t>
      </w:r>
      <w:r w:rsidRPr="006C5EC1">
        <w:rPr>
          <w:szCs w:val="20"/>
        </w:rPr>
        <w:t xml:space="preserve"> se na celkovém výkonu tuzemské ekonomik</w:t>
      </w:r>
      <w:r w:rsidR="008A5C41" w:rsidRPr="006C5EC1">
        <w:rPr>
          <w:szCs w:val="20"/>
        </w:rPr>
        <w:t>y podílí zhruba jednou třetinou –</w:t>
      </w:r>
      <w:r w:rsidRPr="006C5EC1">
        <w:rPr>
          <w:szCs w:val="20"/>
        </w:rPr>
        <w:t xml:space="preserve"> posilovaly v prvních třech čtvrtletích roku 2014 výrazně. </w:t>
      </w:r>
      <w:r w:rsidR="00480C1C" w:rsidRPr="006C5EC1">
        <w:rPr>
          <w:szCs w:val="20"/>
        </w:rPr>
        <w:t>Byly</w:t>
      </w:r>
      <w:r w:rsidRPr="006C5EC1">
        <w:rPr>
          <w:szCs w:val="20"/>
        </w:rPr>
        <w:t xml:space="preserve"> určeny rostoucími tržbami zpracovatelů</w:t>
      </w:r>
      <w:r w:rsidR="002C0A44" w:rsidRPr="006C5EC1">
        <w:rPr>
          <w:szCs w:val="20"/>
        </w:rPr>
        <w:t xml:space="preserve"> (graf č. 1)</w:t>
      </w:r>
      <w:r w:rsidR="002D100D" w:rsidRPr="006C5EC1">
        <w:rPr>
          <w:szCs w:val="20"/>
        </w:rPr>
        <w:t>.</w:t>
      </w:r>
    </w:p>
    <w:p w:rsidR="002C0A44" w:rsidRPr="001E5E09" w:rsidRDefault="002C0A44" w:rsidP="002E742B">
      <w:pPr>
        <w:rPr>
          <w:sz w:val="16"/>
          <w:szCs w:val="16"/>
        </w:rPr>
      </w:pPr>
    </w:p>
    <w:p w:rsidR="002E742B" w:rsidRPr="00B32969" w:rsidRDefault="006C33FE" w:rsidP="002E742B">
      <w:pPr>
        <w:rPr>
          <w:spacing w:val="-6"/>
          <w:szCs w:val="20"/>
        </w:rPr>
      </w:pPr>
      <w:r w:rsidRPr="00B32969">
        <w:rPr>
          <w:spacing w:val="-6"/>
          <w:szCs w:val="20"/>
        </w:rPr>
        <w:t xml:space="preserve">Přestože oživení </w:t>
      </w:r>
      <w:r w:rsidR="002C0A44" w:rsidRPr="00B32969">
        <w:rPr>
          <w:spacing w:val="-6"/>
          <w:szCs w:val="20"/>
        </w:rPr>
        <w:t>zpracovatelského</w:t>
      </w:r>
      <w:r w:rsidRPr="00B32969">
        <w:rPr>
          <w:spacing w:val="-6"/>
          <w:szCs w:val="20"/>
        </w:rPr>
        <w:t xml:space="preserve"> průmyslu za</w:t>
      </w:r>
      <w:r w:rsidR="002C0A44" w:rsidRPr="00B32969">
        <w:rPr>
          <w:spacing w:val="-6"/>
          <w:szCs w:val="20"/>
        </w:rPr>
        <w:t>po</w:t>
      </w:r>
      <w:r w:rsidRPr="00B32969">
        <w:rPr>
          <w:spacing w:val="-6"/>
          <w:szCs w:val="20"/>
        </w:rPr>
        <w:t xml:space="preserve">čalo již v polovině roku 2013 </w:t>
      </w:r>
      <w:r w:rsidR="002C0A44" w:rsidRPr="00B32969">
        <w:rPr>
          <w:spacing w:val="-6"/>
          <w:szCs w:val="20"/>
        </w:rPr>
        <w:t xml:space="preserve">– </w:t>
      </w:r>
      <w:r w:rsidR="005963A8" w:rsidRPr="00B32969">
        <w:rPr>
          <w:spacing w:val="-6"/>
          <w:szCs w:val="20"/>
        </w:rPr>
        <w:t>převážně</w:t>
      </w:r>
      <w:r w:rsidRPr="00B32969">
        <w:rPr>
          <w:spacing w:val="-6"/>
          <w:szCs w:val="20"/>
        </w:rPr>
        <w:t xml:space="preserve"> díky rostoucí poptávce v zahraničí, </w:t>
      </w:r>
      <w:r w:rsidR="002C0A44" w:rsidRPr="00B32969">
        <w:rPr>
          <w:spacing w:val="-6"/>
          <w:szCs w:val="20"/>
        </w:rPr>
        <w:t>částečně ale i v Česku</w:t>
      </w:r>
      <w:r w:rsidRPr="00B32969">
        <w:rPr>
          <w:spacing w:val="-6"/>
          <w:szCs w:val="20"/>
        </w:rPr>
        <w:t xml:space="preserve"> </w:t>
      </w:r>
      <w:r w:rsidR="00FF641B" w:rsidRPr="00B32969">
        <w:rPr>
          <w:spacing w:val="-6"/>
          <w:szCs w:val="20"/>
        </w:rPr>
        <w:t>–</w:t>
      </w:r>
      <w:r w:rsidR="002C0A44" w:rsidRPr="00B32969">
        <w:rPr>
          <w:spacing w:val="-6"/>
          <w:szCs w:val="20"/>
        </w:rPr>
        <w:t xml:space="preserve"> a vývoj tržeb zpracovatelů se překlenul z meziročního poklesu do růstu,</w:t>
      </w:r>
      <w:r w:rsidRPr="00B32969">
        <w:rPr>
          <w:spacing w:val="-6"/>
          <w:szCs w:val="20"/>
        </w:rPr>
        <w:t xml:space="preserve"> </w:t>
      </w:r>
      <w:r w:rsidR="00FF641B" w:rsidRPr="00B32969">
        <w:rPr>
          <w:spacing w:val="-6"/>
          <w:szCs w:val="20"/>
        </w:rPr>
        <w:t>teprve přelom roku 2013 a 2014 přinesl dvouciferný nár</w:t>
      </w:r>
      <w:r w:rsidR="001F4567" w:rsidRPr="00B32969">
        <w:rPr>
          <w:spacing w:val="-6"/>
          <w:szCs w:val="20"/>
        </w:rPr>
        <w:t>ůst tržeb. Lze se domnívat, že k</w:t>
      </w:r>
      <w:r w:rsidR="002C0A44" w:rsidRPr="00B32969">
        <w:rPr>
          <w:spacing w:val="-6"/>
          <w:szCs w:val="20"/>
        </w:rPr>
        <w:t xml:space="preserve"> této dynamizaci</w:t>
      </w:r>
      <w:r w:rsidR="001F4567" w:rsidRPr="00B32969">
        <w:rPr>
          <w:spacing w:val="-6"/>
          <w:szCs w:val="20"/>
        </w:rPr>
        <w:t xml:space="preserve"> kromě nízké srovnávací základny</w:t>
      </w:r>
      <w:r w:rsidR="00FF641B" w:rsidRPr="00B32969">
        <w:rPr>
          <w:spacing w:val="-6"/>
          <w:szCs w:val="20"/>
        </w:rPr>
        <w:t xml:space="preserve"> výrazně p</w:t>
      </w:r>
      <w:r w:rsidR="001F4567" w:rsidRPr="00B32969">
        <w:rPr>
          <w:spacing w:val="-6"/>
          <w:szCs w:val="20"/>
        </w:rPr>
        <w:t>řispěla i</w:t>
      </w:r>
      <w:r w:rsidR="00FF641B" w:rsidRPr="00B32969">
        <w:rPr>
          <w:spacing w:val="-6"/>
          <w:szCs w:val="20"/>
        </w:rPr>
        <w:t xml:space="preserve"> slabší koruna, která </w:t>
      </w:r>
      <w:r w:rsidR="002C0A44" w:rsidRPr="00B32969">
        <w:rPr>
          <w:spacing w:val="-6"/>
          <w:szCs w:val="20"/>
        </w:rPr>
        <w:t>zvyšovala příjmy</w:t>
      </w:r>
      <w:r w:rsidR="00FF641B" w:rsidRPr="00B32969">
        <w:rPr>
          <w:spacing w:val="-6"/>
          <w:szCs w:val="20"/>
        </w:rPr>
        <w:t xml:space="preserve"> z </w:t>
      </w:r>
      <w:r w:rsidR="0046073D">
        <w:rPr>
          <w:spacing w:val="-6"/>
          <w:szCs w:val="20"/>
        </w:rPr>
        <w:t>vývozu</w:t>
      </w:r>
      <w:r w:rsidR="00FF641B" w:rsidRPr="00B32969">
        <w:rPr>
          <w:spacing w:val="-6"/>
          <w:szCs w:val="20"/>
        </w:rPr>
        <w:t xml:space="preserve"> zboží po přepočtení do korun. Tuto úvahu potvrzuje graf č. 2 – </w:t>
      </w:r>
      <w:r w:rsidR="002C0A44" w:rsidRPr="00B32969">
        <w:rPr>
          <w:spacing w:val="-6"/>
          <w:szCs w:val="20"/>
        </w:rPr>
        <w:t>zatímco v říjnu 2013</w:t>
      </w:r>
      <w:r w:rsidR="00FA794E" w:rsidRPr="00B32969">
        <w:rPr>
          <w:spacing w:val="-6"/>
          <w:szCs w:val="20"/>
        </w:rPr>
        <w:t>, tedy</w:t>
      </w:r>
      <w:r w:rsidR="002C0A44" w:rsidRPr="00B32969">
        <w:rPr>
          <w:spacing w:val="-6"/>
          <w:szCs w:val="20"/>
        </w:rPr>
        <w:t xml:space="preserve"> měsíc před intervencí</w:t>
      </w:r>
      <w:r w:rsidR="0094546D" w:rsidRPr="00B32969">
        <w:rPr>
          <w:spacing w:val="-6"/>
          <w:szCs w:val="20"/>
        </w:rPr>
        <w:t xml:space="preserve"> ČNB</w:t>
      </w:r>
      <w:r w:rsidR="00FA794E" w:rsidRPr="00B32969">
        <w:rPr>
          <w:spacing w:val="-6"/>
          <w:szCs w:val="20"/>
        </w:rPr>
        <w:t>,</w:t>
      </w:r>
      <w:r w:rsidR="002C0A44" w:rsidRPr="00B32969">
        <w:rPr>
          <w:spacing w:val="-6"/>
          <w:szCs w:val="20"/>
        </w:rPr>
        <w:t xml:space="preserve"> ceny </w:t>
      </w:r>
      <w:r w:rsidR="0046073D">
        <w:rPr>
          <w:spacing w:val="-6"/>
          <w:szCs w:val="20"/>
        </w:rPr>
        <w:t>vývozu</w:t>
      </w:r>
      <w:r w:rsidR="002C0A44" w:rsidRPr="00B32969">
        <w:rPr>
          <w:spacing w:val="-6"/>
          <w:szCs w:val="20"/>
        </w:rPr>
        <w:t xml:space="preserve"> zboží v meziročním srovnání stagnovaly, v prosinci, kdy se slabší koruna již mohla v cenách zahraničního obchodu plně projevit, </w:t>
      </w:r>
      <w:r w:rsidR="001F4567" w:rsidRPr="00B32969">
        <w:rPr>
          <w:spacing w:val="-6"/>
          <w:szCs w:val="20"/>
        </w:rPr>
        <w:t xml:space="preserve">posílily </w:t>
      </w:r>
      <w:r w:rsidR="002C0A44" w:rsidRPr="00B32969">
        <w:rPr>
          <w:spacing w:val="-6"/>
          <w:szCs w:val="20"/>
        </w:rPr>
        <w:t xml:space="preserve">o </w:t>
      </w:r>
      <w:r w:rsidR="001F4567" w:rsidRPr="00B32969">
        <w:rPr>
          <w:spacing w:val="-6"/>
          <w:szCs w:val="20"/>
        </w:rPr>
        <w:t>rovných 6 %. Tomu odpovídala ale i dynamika</w:t>
      </w:r>
      <w:r w:rsidR="0046073D">
        <w:rPr>
          <w:spacing w:val="-6"/>
          <w:szCs w:val="20"/>
        </w:rPr>
        <w:t xml:space="preserve"> růstu</w:t>
      </w:r>
      <w:r w:rsidR="001F4567" w:rsidRPr="00B32969">
        <w:rPr>
          <w:spacing w:val="-6"/>
          <w:szCs w:val="20"/>
        </w:rPr>
        <w:t xml:space="preserve"> tržeb zpracovatelského průmyslu. Pokud byly v říjnu tržby tohoto uskupení podniků meziročně vyšší </w:t>
      </w:r>
      <w:r w:rsidR="00FA794E" w:rsidRPr="00B32969">
        <w:rPr>
          <w:spacing w:val="-6"/>
          <w:szCs w:val="20"/>
        </w:rPr>
        <w:t xml:space="preserve">jen </w:t>
      </w:r>
      <w:r w:rsidR="001F4567" w:rsidRPr="00B32969">
        <w:rPr>
          <w:spacing w:val="-6"/>
          <w:szCs w:val="20"/>
        </w:rPr>
        <w:t xml:space="preserve">o 2,3 %, v prosinci </w:t>
      </w:r>
      <w:r w:rsidR="00FA794E" w:rsidRPr="00B32969">
        <w:rPr>
          <w:spacing w:val="-6"/>
          <w:szCs w:val="20"/>
        </w:rPr>
        <w:t xml:space="preserve">už </w:t>
      </w:r>
      <w:r w:rsidR="001F4567" w:rsidRPr="00B32969">
        <w:rPr>
          <w:spacing w:val="-6"/>
          <w:szCs w:val="20"/>
        </w:rPr>
        <w:t>o 14,9</w:t>
      </w:r>
      <w:r w:rsidR="001E5E09">
        <w:rPr>
          <w:spacing w:val="-6"/>
          <w:szCs w:val="20"/>
        </w:rPr>
        <w:t xml:space="preserve"> % (přírůstek</w:t>
      </w:r>
      <w:r w:rsidR="006A7A70">
        <w:rPr>
          <w:spacing w:val="-6"/>
          <w:szCs w:val="20"/>
        </w:rPr>
        <w:t xml:space="preserve"> samotných</w:t>
      </w:r>
      <w:r w:rsidR="001E5E09">
        <w:rPr>
          <w:spacing w:val="-6"/>
          <w:szCs w:val="20"/>
        </w:rPr>
        <w:t xml:space="preserve"> tržeb z přímého vývozu posílil ještě výrazněji – ze 4,7 % na 18,1 %).</w:t>
      </w:r>
    </w:p>
    <w:p w:rsidR="001F4567" w:rsidRDefault="001F4567" w:rsidP="002E742B">
      <w:pPr>
        <w:rPr>
          <w:szCs w:val="20"/>
        </w:rPr>
      </w:pPr>
    </w:p>
    <w:p w:rsidR="001F4567" w:rsidRPr="00BE4AF3" w:rsidRDefault="00751112" w:rsidP="002E742B">
      <w:pPr>
        <w:rPr>
          <w:szCs w:val="20"/>
        </w:rPr>
      </w:pPr>
      <w:r w:rsidRPr="00BE4AF3">
        <w:rPr>
          <w:szCs w:val="20"/>
        </w:rPr>
        <w:t>Ve 3. kvartále roku</w:t>
      </w:r>
      <w:r w:rsidR="00241D6E" w:rsidRPr="00BE4AF3">
        <w:rPr>
          <w:szCs w:val="20"/>
        </w:rPr>
        <w:t xml:space="preserve"> 2013 začaly velmi pozvolna posilovat i tržby maloobchodních prodejců</w:t>
      </w:r>
      <w:r w:rsidR="005834F4" w:rsidRPr="00BE4AF3">
        <w:rPr>
          <w:szCs w:val="20"/>
        </w:rPr>
        <w:t xml:space="preserve"> a</w:t>
      </w:r>
      <w:r w:rsidRPr="00BE4AF3">
        <w:rPr>
          <w:szCs w:val="20"/>
        </w:rPr>
        <w:t> </w:t>
      </w:r>
      <w:r w:rsidR="005834F4" w:rsidRPr="00BE4AF3">
        <w:rPr>
          <w:szCs w:val="20"/>
        </w:rPr>
        <w:t>čtvrtletí</w:t>
      </w:r>
      <w:r w:rsidRPr="00BE4AF3">
        <w:rPr>
          <w:szCs w:val="20"/>
        </w:rPr>
        <w:t> </w:t>
      </w:r>
      <w:r w:rsidR="00863632" w:rsidRPr="00BE4AF3">
        <w:rPr>
          <w:szCs w:val="20"/>
        </w:rPr>
        <w:t>na</w:t>
      </w:r>
      <w:r w:rsidR="006C5EC1" w:rsidRPr="00BE4AF3">
        <w:rPr>
          <w:szCs w:val="20"/>
        </w:rPr>
        <w:t> </w:t>
      </w:r>
      <w:r w:rsidR="00863632" w:rsidRPr="00BE4AF3">
        <w:rPr>
          <w:szCs w:val="20"/>
        </w:rPr>
        <w:t xml:space="preserve">to i tržby firem, které se zabývají </w:t>
      </w:r>
      <w:r w:rsidR="005834F4" w:rsidRPr="00BE4AF3">
        <w:rPr>
          <w:szCs w:val="20"/>
        </w:rPr>
        <w:t>poskytováním služeb</w:t>
      </w:r>
      <w:r w:rsidR="00C54F60" w:rsidRPr="00BE4AF3">
        <w:rPr>
          <w:szCs w:val="20"/>
        </w:rPr>
        <w:t>. J</w:t>
      </w:r>
      <w:r w:rsidR="00241D6E" w:rsidRPr="00BE4AF3">
        <w:rPr>
          <w:szCs w:val="20"/>
        </w:rPr>
        <w:t xml:space="preserve">ejich meziroční nárůst </w:t>
      </w:r>
      <w:r w:rsidR="00241D6E" w:rsidRPr="00BE4AF3">
        <w:rPr>
          <w:szCs w:val="20"/>
        </w:rPr>
        <w:lastRenderedPageBreak/>
        <w:t>dosahoval</w:t>
      </w:r>
      <w:r w:rsidRPr="00BE4AF3">
        <w:rPr>
          <w:szCs w:val="20"/>
        </w:rPr>
        <w:t> </w:t>
      </w:r>
      <w:r w:rsidR="005834F4" w:rsidRPr="00BE4AF3">
        <w:rPr>
          <w:szCs w:val="20"/>
        </w:rPr>
        <w:t>ale jen do 1 %</w:t>
      </w:r>
      <w:r w:rsidRPr="00BE4AF3">
        <w:rPr>
          <w:szCs w:val="20"/>
        </w:rPr>
        <w:t xml:space="preserve"> (viz graf č. 3)</w:t>
      </w:r>
      <w:r w:rsidR="005834F4" w:rsidRPr="00BE4AF3">
        <w:rPr>
          <w:szCs w:val="20"/>
        </w:rPr>
        <w:t xml:space="preserve">. Teprve až </w:t>
      </w:r>
      <w:r w:rsidR="00AA3F8D">
        <w:rPr>
          <w:szCs w:val="20"/>
        </w:rPr>
        <w:t>pokračující</w:t>
      </w:r>
      <w:r w:rsidR="005834F4" w:rsidRPr="00BE4AF3">
        <w:rPr>
          <w:szCs w:val="20"/>
        </w:rPr>
        <w:t xml:space="preserve"> oživení ekonomiky v roce 2014, charakterizované nadále rostoucí</w:t>
      </w:r>
      <w:r w:rsidR="00025542">
        <w:rPr>
          <w:szCs w:val="20"/>
        </w:rPr>
        <w:t xml:space="preserve"> spotřebou domácností</w:t>
      </w:r>
      <w:r w:rsidR="005834F4" w:rsidRPr="00BE4AF3">
        <w:rPr>
          <w:szCs w:val="20"/>
        </w:rPr>
        <w:t xml:space="preserve"> a vyššími nároky</w:t>
      </w:r>
      <w:r w:rsidRPr="00BE4AF3">
        <w:rPr>
          <w:szCs w:val="20"/>
        </w:rPr>
        <w:t xml:space="preserve"> </w:t>
      </w:r>
      <w:r w:rsidR="00BE4AF3" w:rsidRPr="00BE4AF3">
        <w:rPr>
          <w:szCs w:val="20"/>
        </w:rPr>
        <w:t xml:space="preserve">zpracovatelských </w:t>
      </w:r>
      <w:r w:rsidR="005834F4" w:rsidRPr="00BE4AF3">
        <w:rPr>
          <w:szCs w:val="20"/>
        </w:rPr>
        <w:t>podniků na</w:t>
      </w:r>
      <w:r w:rsidRPr="00BE4AF3">
        <w:rPr>
          <w:szCs w:val="20"/>
        </w:rPr>
        <w:t> </w:t>
      </w:r>
      <w:r w:rsidR="005834F4" w:rsidRPr="00BE4AF3">
        <w:rPr>
          <w:szCs w:val="20"/>
        </w:rPr>
        <w:t xml:space="preserve">služby </w:t>
      </w:r>
      <w:r w:rsidR="00244B7D" w:rsidRPr="00BE4AF3">
        <w:rPr>
          <w:szCs w:val="20"/>
        </w:rPr>
        <w:t>navazující na jejich výrobní činnost</w:t>
      </w:r>
      <w:r w:rsidR="005834F4" w:rsidRPr="00BE4AF3">
        <w:rPr>
          <w:szCs w:val="20"/>
        </w:rPr>
        <w:t xml:space="preserve"> (například doprava, sk</w:t>
      </w:r>
      <w:r w:rsidRPr="00BE4AF3">
        <w:rPr>
          <w:szCs w:val="20"/>
        </w:rPr>
        <w:t>ladování,</w:t>
      </w:r>
      <w:r w:rsidR="000401E5" w:rsidRPr="00BE4AF3">
        <w:rPr>
          <w:szCs w:val="20"/>
        </w:rPr>
        <w:t xml:space="preserve"> informační služby,</w:t>
      </w:r>
      <w:r w:rsidRPr="00BE4AF3">
        <w:rPr>
          <w:szCs w:val="20"/>
        </w:rPr>
        <w:t xml:space="preserve"> </w:t>
      </w:r>
      <w:r w:rsidR="00244B7D" w:rsidRPr="00BE4AF3">
        <w:rPr>
          <w:szCs w:val="20"/>
        </w:rPr>
        <w:t xml:space="preserve">služby související se </w:t>
      </w:r>
      <w:r w:rsidR="000401E5" w:rsidRPr="00BE4AF3">
        <w:rPr>
          <w:szCs w:val="20"/>
        </w:rPr>
        <w:t>zajištění</w:t>
      </w:r>
      <w:r w:rsidR="00244B7D" w:rsidRPr="00BE4AF3">
        <w:rPr>
          <w:szCs w:val="20"/>
        </w:rPr>
        <w:t>m</w:t>
      </w:r>
      <w:r w:rsidR="00480C1C" w:rsidRPr="00BE4AF3">
        <w:rPr>
          <w:szCs w:val="20"/>
        </w:rPr>
        <w:t xml:space="preserve"> agenturních </w:t>
      </w:r>
      <w:r w:rsidR="000401E5" w:rsidRPr="00BE4AF3">
        <w:rPr>
          <w:szCs w:val="20"/>
        </w:rPr>
        <w:t>pracovníků</w:t>
      </w:r>
      <w:r w:rsidR="005834F4" w:rsidRPr="00BE4AF3">
        <w:rPr>
          <w:szCs w:val="20"/>
        </w:rPr>
        <w:t xml:space="preserve">), </w:t>
      </w:r>
      <w:r w:rsidR="00C54F60" w:rsidRPr="00BE4AF3">
        <w:rPr>
          <w:szCs w:val="20"/>
        </w:rPr>
        <w:t>se projevilo v</w:t>
      </w:r>
      <w:r w:rsidR="00025542">
        <w:rPr>
          <w:szCs w:val="20"/>
        </w:rPr>
        <w:t> </w:t>
      </w:r>
      <w:r w:rsidR="00C54F60" w:rsidRPr="00BE4AF3">
        <w:rPr>
          <w:szCs w:val="20"/>
        </w:rPr>
        <w:t>maloobchodě</w:t>
      </w:r>
      <w:r w:rsidR="005834F4" w:rsidRPr="00BE4AF3">
        <w:rPr>
          <w:szCs w:val="20"/>
        </w:rPr>
        <w:t xml:space="preserve"> a</w:t>
      </w:r>
      <w:r w:rsidR="000401E5" w:rsidRPr="00BE4AF3">
        <w:rPr>
          <w:szCs w:val="20"/>
        </w:rPr>
        <w:t> </w:t>
      </w:r>
      <w:r w:rsidR="00375246">
        <w:rPr>
          <w:szCs w:val="20"/>
        </w:rPr>
        <w:t>službách</w:t>
      </w:r>
      <w:r w:rsidR="005834F4" w:rsidRPr="00BE4AF3">
        <w:rPr>
          <w:szCs w:val="20"/>
        </w:rPr>
        <w:t xml:space="preserve"> výraznější</w:t>
      </w:r>
      <w:r w:rsidR="00C54F60" w:rsidRPr="00BE4AF3">
        <w:rPr>
          <w:szCs w:val="20"/>
        </w:rPr>
        <w:t>m</w:t>
      </w:r>
      <w:r w:rsidR="005834F4" w:rsidRPr="00BE4AF3">
        <w:rPr>
          <w:szCs w:val="20"/>
        </w:rPr>
        <w:t xml:space="preserve"> nárůst</w:t>
      </w:r>
      <w:r w:rsidR="00C54F60" w:rsidRPr="00BE4AF3">
        <w:rPr>
          <w:szCs w:val="20"/>
        </w:rPr>
        <w:t>em</w:t>
      </w:r>
      <w:r w:rsidR="005834F4" w:rsidRPr="00BE4AF3">
        <w:rPr>
          <w:szCs w:val="20"/>
        </w:rPr>
        <w:t xml:space="preserve"> tržeb.</w:t>
      </w:r>
      <w:r w:rsidRPr="00BE4AF3">
        <w:rPr>
          <w:szCs w:val="20"/>
        </w:rPr>
        <w:t xml:space="preserve"> Přestože </w:t>
      </w:r>
      <w:r w:rsidR="000401E5" w:rsidRPr="00BE4AF3">
        <w:rPr>
          <w:szCs w:val="20"/>
        </w:rPr>
        <w:t>přírůstky</w:t>
      </w:r>
      <w:r w:rsidRPr="00BE4AF3">
        <w:rPr>
          <w:szCs w:val="20"/>
        </w:rPr>
        <w:t xml:space="preserve"> tržeb v </w:t>
      </w:r>
      <w:r w:rsidR="002376E9">
        <w:rPr>
          <w:szCs w:val="20"/>
        </w:rPr>
        <w:t>odvětví</w:t>
      </w:r>
      <w:r w:rsidRPr="00BE4AF3">
        <w:rPr>
          <w:szCs w:val="20"/>
        </w:rPr>
        <w:t xml:space="preserve"> maloobchodu a</w:t>
      </w:r>
      <w:r w:rsidR="00C54F60" w:rsidRPr="00BE4AF3">
        <w:rPr>
          <w:szCs w:val="20"/>
        </w:rPr>
        <w:t> </w:t>
      </w:r>
      <w:r w:rsidRPr="00BE4AF3">
        <w:rPr>
          <w:szCs w:val="20"/>
        </w:rPr>
        <w:t>služeb</w:t>
      </w:r>
      <w:r w:rsidR="006C5EC1" w:rsidRPr="00BE4AF3">
        <w:rPr>
          <w:szCs w:val="20"/>
        </w:rPr>
        <w:t> </w:t>
      </w:r>
      <w:r w:rsidR="000401E5" w:rsidRPr="00BE4AF3">
        <w:rPr>
          <w:szCs w:val="20"/>
        </w:rPr>
        <w:t>zůstávaly v průběhu roku 2014</w:t>
      </w:r>
      <w:r w:rsidRPr="00BE4AF3">
        <w:rPr>
          <w:szCs w:val="20"/>
        </w:rPr>
        <w:t xml:space="preserve"> dalece za </w:t>
      </w:r>
      <w:r w:rsidR="00863632" w:rsidRPr="00BE4AF3">
        <w:rPr>
          <w:szCs w:val="20"/>
        </w:rPr>
        <w:t xml:space="preserve">dynamickým </w:t>
      </w:r>
      <w:r w:rsidR="000401E5" w:rsidRPr="00BE4AF3">
        <w:rPr>
          <w:szCs w:val="20"/>
        </w:rPr>
        <w:t>nárůstem</w:t>
      </w:r>
      <w:r w:rsidRPr="00BE4AF3">
        <w:rPr>
          <w:szCs w:val="20"/>
        </w:rPr>
        <w:t xml:space="preserve"> tržeb </w:t>
      </w:r>
      <w:r w:rsidR="00000A94">
        <w:rPr>
          <w:szCs w:val="20"/>
        </w:rPr>
        <w:t>zpracovatelských</w:t>
      </w:r>
      <w:r w:rsidRPr="00BE4AF3">
        <w:rPr>
          <w:szCs w:val="20"/>
        </w:rPr>
        <w:t xml:space="preserve"> podniků, </w:t>
      </w:r>
      <w:r w:rsidR="004B68EA" w:rsidRPr="00BE4AF3">
        <w:rPr>
          <w:szCs w:val="20"/>
        </w:rPr>
        <w:t>lze soudit</w:t>
      </w:r>
      <w:r w:rsidR="005B3031" w:rsidRPr="00BE4AF3">
        <w:rPr>
          <w:szCs w:val="20"/>
        </w:rPr>
        <w:t xml:space="preserve">, že </w:t>
      </w:r>
      <w:r w:rsidRPr="00BE4AF3">
        <w:rPr>
          <w:szCs w:val="20"/>
        </w:rPr>
        <w:t xml:space="preserve">první tři </w:t>
      </w:r>
      <w:r w:rsidR="0046073D">
        <w:rPr>
          <w:szCs w:val="20"/>
        </w:rPr>
        <w:t>čtvrtletí</w:t>
      </w:r>
      <w:r w:rsidRPr="00BE4AF3">
        <w:rPr>
          <w:szCs w:val="20"/>
        </w:rPr>
        <w:t xml:space="preserve"> roku 2014</w:t>
      </w:r>
      <w:r w:rsidR="005963A8" w:rsidRPr="00BE4AF3">
        <w:rPr>
          <w:szCs w:val="20"/>
        </w:rPr>
        <w:t xml:space="preserve"> z jejich pohledu</w:t>
      </w:r>
      <w:r w:rsidRPr="00BE4AF3">
        <w:rPr>
          <w:szCs w:val="20"/>
        </w:rPr>
        <w:t xml:space="preserve"> </w:t>
      </w:r>
      <w:r w:rsidR="009C6EDE" w:rsidRPr="00BE4AF3">
        <w:rPr>
          <w:szCs w:val="20"/>
        </w:rPr>
        <w:t>mezi neúspěšné</w:t>
      </w:r>
      <w:r w:rsidR="005963A8" w:rsidRPr="00BE4AF3">
        <w:rPr>
          <w:szCs w:val="20"/>
        </w:rPr>
        <w:t xml:space="preserve"> </w:t>
      </w:r>
      <w:r w:rsidR="009C6EDE" w:rsidRPr="00BE4AF3">
        <w:rPr>
          <w:szCs w:val="20"/>
        </w:rPr>
        <w:t>nepatřily</w:t>
      </w:r>
      <w:r w:rsidR="000401E5" w:rsidRPr="00BE4AF3">
        <w:rPr>
          <w:szCs w:val="20"/>
        </w:rPr>
        <w:t>.</w:t>
      </w:r>
    </w:p>
    <w:p w:rsidR="00480C1C" w:rsidRPr="00BE4AF3" w:rsidRDefault="00480C1C" w:rsidP="002E742B">
      <w:pPr>
        <w:rPr>
          <w:spacing w:val="-4"/>
          <w:sz w:val="18"/>
          <w:szCs w:val="18"/>
        </w:rPr>
      </w:pPr>
    </w:p>
    <w:tbl>
      <w:tblPr>
        <w:tblW w:w="5019" w:type="pct"/>
        <w:tblInd w:w="-34" w:type="dxa"/>
        <w:tblLook w:val="00A0"/>
      </w:tblPr>
      <w:tblGrid>
        <w:gridCol w:w="763"/>
        <w:gridCol w:w="3599"/>
        <w:gridCol w:w="637"/>
        <w:gridCol w:w="3755"/>
      </w:tblGrid>
      <w:tr w:rsidR="00F30A19" w:rsidRPr="007D44C3" w:rsidTr="00751112">
        <w:tc>
          <w:tcPr>
            <w:tcW w:w="438" w:type="pct"/>
          </w:tcPr>
          <w:p w:rsidR="00F30A19" w:rsidRPr="007D44C3" w:rsidRDefault="00F30A19" w:rsidP="001F7BC1">
            <w:pPr>
              <w:pStyle w:val="Textpoznpodarou"/>
            </w:pPr>
            <w:r>
              <w:t>Graf č. 3:</w:t>
            </w:r>
          </w:p>
        </w:tc>
        <w:tc>
          <w:tcPr>
            <w:tcW w:w="2071" w:type="pct"/>
          </w:tcPr>
          <w:p w:rsidR="00F30A19" w:rsidRPr="005F3B47" w:rsidRDefault="00F30A19" w:rsidP="009C6EDE">
            <w:pPr>
              <w:pStyle w:val="Textpoznpodarou"/>
              <w:jc w:val="left"/>
              <w:rPr>
                <w:spacing w:val="-6"/>
              </w:rPr>
            </w:pPr>
            <w:r w:rsidRPr="005F3B47">
              <w:rPr>
                <w:b/>
                <w:spacing w:val="-6"/>
              </w:rPr>
              <w:t>Tržby v</w:t>
            </w:r>
            <w:r>
              <w:rPr>
                <w:b/>
                <w:spacing w:val="-6"/>
              </w:rPr>
              <w:t> maloobchodě a službách</w:t>
            </w:r>
            <w:r w:rsidRPr="005F3B47">
              <w:rPr>
                <w:spacing w:val="-6"/>
              </w:rPr>
              <w:t xml:space="preserve"> (</w:t>
            </w:r>
            <w:r w:rsidR="009C6EDE">
              <w:rPr>
                <w:spacing w:val="-6"/>
              </w:rPr>
              <w:t>meziročně v %</w:t>
            </w:r>
            <w:r w:rsidRPr="005F3B47">
              <w:rPr>
                <w:spacing w:val="-6"/>
                <w:lang w:val="en-US"/>
              </w:rPr>
              <w:t xml:space="preserve">; </w:t>
            </w:r>
            <w:r>
              <w:rPr>
                <w:spacing w:val="-6"/>
              </w:rPr>
              <w:t>nominálně</w:t>
            </w:r>
            <w:r w:rsidRPr="005F3B47">
              <w:rPr>
                <w:spacing w:val="-6"/>
              </w:rPr>
              <w:t>; bez sezónního očištění)</w:t>
            </w:r>
          </w:p>
        </w:tc>
        <w:tc>
          <w:tcPr>
            <w:tcW w:w="360" w:type="pct"/>
          </w:tcPr>
          <w:p w:rsidR="00F30A19" w:rsidRPr="005F3B47" w:rsidRDefault="00F30A19" w:rsidP="001F7BC1">
            <w:pPr>
              <w:pStyle w:val="Textpoznpodarou"/>
              <w:rPr>
                <w:spacing w:val="-6"/>
              </w:rPr>
            </w:pPr>
            <w:r>
              <w:rPr>
                <w:spacing w:val="-6"/>
              </w:rPr>
              <w:t>Graf č. 4</w:t>
            </w:r>
            <w:r w:rsidRPr="005F3B47">
              <w:rPr>
                <w:spacing w:val="-6"/>
              </w:rPr>
              <w:t>:</w:t>
            </w:r>
          </w:p>
        </w:tc>
        <w:tc>
          <w:tcPr>
            <w:tcW w:w="2132" w:type="pct"/>
          </w:tcPr>
          <w:p w:rsidR="00F30A19" w:rsidRPr="005F3B47" w:rsidRDefault="00751112" w:rsidP="009C6EDE">
            <w:pPr>
              <w:pStyle w:val="Textpoznpodarou"/>
              <w:jc w:val="left"/>
              <w:rPr>
                <w:spacing w:val="-6"/>
              </w:rPr>
            </w:pPr>
            <w:r>
              <w:rPr>
                <w:b/>
                <w:spacing w:val="-6"/>
              </w:rPr>
              <w:t>Stavební produkce</w:t>
            </w:r>
            <w:r w:rsidR="00F30A19" w:rsidRPr="005F3B47">
              <w:rPr>
                <w:spacing w:val="-6"/>
              </w:rPr>
              <w:t xml:space="preserve"> (</w:t>
            </w:r>
            <w:r w:rsidR="009C6EDE">
              <w:rPr>
                <w:spacing w:val="-6"/>
              </w:rPr>
              <w:t>meziročně v %</w:t>
            </w:r>
            <w:r w:rsidR="00F30A19" w:rsidRPr="005F3B47">
              <w:rPr>
                <w:spacing w:val="-6"/>
                <w:lang w:val="en-US"/>
              </w:rPr>
              <w:t xml:space="preserve">; </w:t>
            </w:r>
            <w:r w:rsidR="00F30A19">
              <w:rPr>
                <w:spacing w:val="-6"/>
              </w:rPr>
              <w:t>nominálně</w:t>
            </w:r>
            <w:r w:rsidR="00F30A19" w:rsidRPr="005F3B47">
              <w:rPr>
                <w:spacing w:val="-6"/>
              </w:rPr>
              <w:t>; bez sezónního očištění)</w:t>
            </w:r>
          </w:p>
        </w:tc>
      </w:tr>
      <w:tr w:rsidR="00F30A19" w:rsidRPr="007D44C3" w:rsidTr="005834F4">
        <w:tc>
          <w:tcPr>
            <w:tcW w:w="2509" w:type="pct"/>
            <w:gridSpan w:val="2"/>
          </w:tcPr>
          <w:p w:rsidR="00F30A19" w:rsidRPr="007D44C3" w:rsidRDefault="007B31CD" w:rsidP="001F7BC1">
            <w:pPr>
              <w:pStyle w:val="Textpoznpodarou"/>
            </w:pPr>
            <w:r w:rsidRPr="007B31CD">
              <w:rPr>
                <w:noProof/>
                <w:lang w:eastAsia="cs-CZ"/>
              </w:rPr>
              <w:drawing>
                <wp:inline distT="0" distB="0" distL="0" distR="0">
                  <wp:extent cx="2638425" cy="2291282"/>
                  <wp:effectExtent l="19050" t="0" r="9525" b="0"/>
                  <wp:docPr id="17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55" cy="229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pct"/>
            <w:gridSpan w:val="2"/>
          </w:tcPr>
          <w:p w:rsidR="00F30A19" w:rsidRPr="007D44C3" w:rsidRDefault="007B31CD" w:rsidP="001F7BC1">
            <w:pPr>
              <w:pStyle w:val="Textpoznpodarou"/>
            </w:pPr>
            <w:r w:rsidRPr="007B31CD">
              <w:rPr>
                <w:noProof/>
                <w:lang w:eastAsia="cs-CZ"/>
              </w:rPr>
              <w:drawing>
                <wp:inline distT="0" distB="0" distL="0" distR="0">
                  <wp:extent cx="2667000" cy="2291282"/>
                  <wp:effectExtent l="19050" t="0" r="0" b="0"/>
                  <wp:docPr id="22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43" cy="229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A19" w:rsidRPr="007D44C3" w:rsidTr="001F7BC1">
        <w:tc>
          <w:tcPr>
            <w:tcW w:w="5000" w:type="pct"/>
            <w:gridSpan w:val="4"/>
          </w:tcPr>
          <w:p w:rsidR="00F30A19" w:rsidRPr="00B32969" w:rsidRDefault="00F30A19" w:rsidP="001F7BC1">
            <w:pPr>
              <w:pStyle w:val="Textpoznpodarou"/>
              <w:jc w:val="right"/>
              <w:rPr>
                <w:sz w:val="16"/>
                <w:szCs w:val="16"/>
              </w:rPr>
            </w:pPr>
            <w:r w:rsidRPr="00B32969">
              <w:rPr>
                <w:sz w:val="16"/>
                <w:szCs w:val="16"/>
              </w:rPr>
              <w:t>Pramen: ČSÚ</w:t>
            </w:r>
          </w:p>
        </w:tc>
      </w:tr>
    </w:tbl>
    <w:p w:rsidR="00F30A19" w:rsidRPr="00BE4AF3" w:rsidRDefault="00F30A19" w:rsidP="00B02B97">
      <w:pPr>
        <w:rPr>
          <w:sz w:val="16"/>
          <w:szCs w:val="16"/>
        </w:rPr>
      </w:pPr>
    </w:p>
    <w:p w:rsidR="000401E5" w:rsidRDefault="00EC45B9" w:rsidP="00F30A19">
      <w:pPr>
        <w:rPr>
          <w:szCs w:val="20"/>
        </w:rPr>
      </w:pPr>
      <w:r>
        <w:rPr>
          <w:szCs w:val="20"/>
        </w:rPr>
        <w:t>Posledním</w:t>
      </w:r>
      <w:r w:rsidR="001279D3">
        <w:rPr>
          <w:szCs w:val="20"/>
        </w:rPr>
        <w:t xml:space="preserve"> </w:t>
      </w:r>
      <w:r w:rsidR="005963A8">
        <w:rPr>
          <w:szCs w:val="20"/>
        </w:rPr>
        <w:t>dílkem do mozaiky, co</w:t>
      </w:r>
      <w:r w:rsidR="00890FBE">
        <w:rPr>
          <w:szCs w:val="20"/>
        </w:rPr>
        <w:t xml:space="preserve"> se</w:t>
      </w:r>
      <w:r w:rsidR="005963A8">
        <w:rPr>
          <w:szCs w:val="20"/>
        </w:rPr>
        <w:t xml:space="preserve"> hlavních </w:t>
      </w:r>
      <w:r w:rsidR="00E12B64">
        <w:rPr>
          <w:szCs w:val="20"/>
        </w:rPr>
        <w:t>odvětví</w:t>
      </w:r>
      <w:r w:rsidR="005963A8">
        <w:rPr>
          <w:szCs w:val="20"/>
        </w:rPr>
        <w:t xml:space="preserve"> t</w:t>
      </w:r>
      <w:r w:rsidR="003F55C3">
        <w:rPr>
          <w:szCs w:val="20"/>
        </w:rPr>
        <w:t xml:space="preserve">ýče, byl vývoj ve stavebnictví. To </w:t>
      </w:r>
      <w:r w:rsidR="008E0060">
        <w:rPr>
          <w:szCs w:val="20"/>
        </w:rPr>
        <w:t>se dlouhodobě potýkalo s</w:t>
      </w:r>
      <w:r w:rsidR="004963CD">
        <w:rPr>
          <w:szCs w:val="20"/>
        </w:rPr>
        <w:t> nízkou poptávkou po stavebních činnostech jak ze strany soukromých osob, tak veřejných zadavatelů. Zatímco</w:t>
      </w:r>
      <w:r w:rsidR="00890FBE">
        <w:rPr>
          <w:szCs w:val="20"/>
        </w:rPr>
        <w:t xml:space="preserve"> firmy </w:t>
      </w:r>
      <w:r w:rsidR="008A283A">
        <w:rPr>
          <w:szCs w:val="20"/>
        </w:rPr>
        <w:t>zastavovaly rozšiřování svých</w:t>
      </w:r>
      <w:r w:rsidR="00890FBE">
        <w:rPr>
          <w:szCs w:val="20"/>
        </w:rPr>
        <w:t xml:space="preserve"> výrobní</w:t>
      </w:r>
      <w:r w:rsidR="008A283A">
        <w:rPr>
          <w:szCs w:val="20"/>
        </w:rPr>
        <w:t>ch kapacit</w:t>
      </w:r>
      <w:r w:rsidR="00890FBE">
        <w:rPr>
          <w:szCs w:val="20"/>
        </w:rPr>
        <w:t xml:space="preserve"> a</w:t>
      </w:r>
      <w:r w:rsidR="008D2DFD">
        <w:rPr>
          <w:szCs w:val="20"/>
        </w:rPr>
        <w:t> </w:t>
      </w:r>
      <w:r w:rsidR="003F55C3">
        <w:rPr>
          <w:szCs w:val="20"/>
        </w:rPr>
        <w:t>zázemí,</w:t>
      </w:r>
      <w:r w:rsidR="00890FBE">
        <w:rPr>
          <w:szCs w:val="20"/>
        </w:rPr>
        <w:t xml:space="preserve"> </w:t>
      </w:r>
      <w:r w:rsidR="003F55C3">
        <w:rPr>
          <w:szCs w:val="20"/>
        </w:rPr>
        <w:t xml:space="preserve">domácnosti omezovaly nákupy domů a bytů. </w:t>
      </w:r>
      <w:r w:rsidR="00890FBE">
        <w:rPr>
          <w:szCs w:val="20"/>
        </w:rPr>
        <w:t xml:space="preserve">Konsolidace veřejných financí, která započala v roce 2010, navíc vedla k výraznému omezení prostředků vyčleněných na rozvoj a obnovu infrastruktury. </w:t>
      </w:r>
      <w:r w:rsidR="000A774B">
        <w:rPr>
          <w:szCs w:val="20"/>
        </w:rPr>
        <w:t>Tyto nepříznivé trendy, promítající se v klesající stavební produkci, se</w:t>
      </w:r>
      <w:r w:rsidR="008D2DFD">
        <w:rPr>
          <w:szCs w:val="20"/>
        </w:rPr>
        <w:t> </w:t>
      </w:r>
      <w:r w:rsidR="000A774B">
        <w:rPr>
          <w:szCs w:val="20"/>
        </w:rPr>
        <w:t xml:space="preserve">alespoň částečně zmírnily na přelomu roku 2013 a 2014, kdy mírná zima umožnila stavebním firmám dokončovat sjednané zakázky. </w:t>
      </w:r>
      <w:r w:rsidR="003F55C3">
        <w:rPr>
          <w:szCs w:val="20"/>
        </w:rPr>
        <w:t>K</w:t>
      </w:r>
      <w:r w:rsidR="008D2DFD">
        <w:rPr>
          <w:szCs w:val="20"/>
        </w:rPr>
        <w:t>e změně</w:t>
      </w:r>
      <w:r w:rsidR="003F55C3">
        <w:rPr>
          <w:szCs w:val="20"/>
        </w:rPr>
        <w:t xml:space="preserve"> ale došlo až v roce 2014. Výrobní podniky začaly v důsledku rostoucích zakázek</w:t>
      </w:r>
      <w:r w:rsidR="008D2DFD">
        <w:rPr>
          <w:szCs w:val="20"/>
        </w:rPr>
        <w:t xml:space="preserve"> </w:t>
      </w:r>
      <w:r w:rsidR="008B68CF">
        <w:rPr>
          <w:szCs w:val="20"/>
        </w:rPr>
        <w:t>intenzivněji</w:t>
      </w:r>
      <w:r w:rsidR="003F55C3">
        <w:rPr>
          <w:szCs w:val="20"/>
        </w:rPr>
        <w:t xml:space="preserve"> rozšiřovat své kapacity, domácnosti v prostředí nízkých úrokových sazeb z</w:t>
      </w:r>
      <w:r w:rsidR="008D2DFD">
        <w:rPr>
          <w:szCs w:val="20"/>
        </w:rPr>
        <w:t> </w:t>
      </w:r>
      <w:r w:rsidR="003F55C3">
        <w:rPr>
          <w:szCs w:val="20"/>
        </w:rPr>
        <w:t>úvěrů</w:t>
      </w:r>
      <w:r w:rsidR="008D2DFD">
        <w:rPr>
          <w:szCs w:val="20"/>
        </w:rPr>
        <w:t xml:space="preserve"> na bydlení více</w:t>
      </w:r>
      <w:r w:rsidR="003F55C3">
        <w:rPr>
          <w:szCs w:val="20"/>
        </w:rPr>
        <w:t xml:space="preserve"> </w:t>
      </w:r>
      <w:r w:rsidR="008D2DFD">
        <w:rPr>
          <w:szCs w:val="20"/>
        </w:rPr>
        <w:t>investovat do</w:t>
      </w:r>
      <w:r w:rsidR="007322EF">
        <w:rPr>
          <w:szCs w:val="20"/>
        </w:rPr>
        <w:t> </w:t>
      </w:r>
      <w:r w:rsidR="003F55C3">
        <w:rPr>
          <w:szCs w:val="20"/>
        </w:rPr>
        <w:t xml:space="preserve">nemovitostí. Veřejný sektor opět přistoupil – </w:t>
      </w:r>
      <w:r w:rsidR="007322EF">
        <w:rPr>
          <w:szCs w:val="20"/>
        </w:rPr>
        <w:t>za</w:t>
      </w:r>
      <w:r w:rsidR="003F55C3">
        <w:rPr>
          <w:szCs w:val="20"/>
        </w:rPr>
        <w:t xml:space="preserve"> přispění</w:t>
      </w:r>
      <w:r w:rsidR="007322EF">
        <w:rPr>
          <w:szCs w:val="20"/>
        </w:rPr>
        <w:t xml:space="preserve"> </w:t>
      </w:r>
      <w:r w:rsidR="008D2DFD">
        <w:rPr>
          <w:szCs w:val="20"/>
        </w:rPr>
        <w:t>čerpání peněz z Evropské unie</w:t>
      </w:r>
      <w:r w:rsidR="003F55C3">
        <w:rPr>
          <w:szCs w:val="20"/>
        </w:rPr>
        <w:t xml:space="preserve"> – k obnově zastavených projektů a začal připravovat projekty nové. Produkce stavebnictví se</w:t>
      </w:r>
      <w:r w:rsidR="008D2DFD">
        <w:rPr>
          <w:szCs w:val="20"/>
        </w:rPr>
        <w:t xml:space="preserve"> mohla</w:t>
      </w:r>
      <w:r w:rsidR="003F55C3">
        <w:rPr>
          <w:szCs w:val="20"/>
        </w:rPr>
        <w:t xml:space="preserve"> „od</w:t>
      </w:r>
      <w:r w:rsidR="008D2DFD">
        <w:rPr>
          <w:szCs w:val="20"/>
        </w:rPr>
        <w:t>lepit</w:t>
      </w:r>
      <w:r w:rsidR="003F55C3">
        <w:rPr>
          <w:szCs w:val="20"/>
        </w:rPr>
        <w:t>“ od</w:t>
      </w:r>
      <w:r w:rsidR="008D2DFD">
        <w:rPr>
          <w:szCs w:val="20"/>
        </w:rPr>
        <w:t> </w:t>
      </w:r>
      <w:r w:rsidR="003F55C3">
        <w:rPr>
          <w:szCs w:val="20"/>
        </w:rPr>
        <w:t>pomyslného dna</w:t>
      </w:r>
      <w:r w:rsidR="008B68CF">
        <w:rPr>
          <w:szCs w:val="20"/>
        </w:rPr>
        <w:t xml:space="preserve"> (viz graf č. 4)</w:t>
      </w:r>
      <w:r w:rsidR="003F55C3">
        <w:rPr>
          <w:szCs w:val="20"/>
        </w:rPr>
        <w:t>.</w:t>
      </w:r>
    </w:p>
    <w:p w:rsidR="00F91F7E" w:rsidRPr="00BE4AF3" w:rsidRDefault="00F91F7E" w:rsidP="000401E5">
      <w:pPr>
        <w:rPr>
          <w:sz w:val="26"/>
          <w:szCs w:val="26"/>
        </w:rPr>
      </w:pPr>
    </w:p>
    <w:p w:rsidR="008D2DFD" w:rsidRDefault="004B2143" w:rsidP="00115C2A">
      <w:pPr>
        <w:spacing w:after="120"/>
        <w:jc w:val="left"/>
        <w:rPr>
          <w:b/>
        </w:rPr>
      </w:pPr>
      <w:r>
        <w:rPr>
          <w:b/>
        </w:rPr>
        <w:t>… a z</w:t>
      </w:r>
      <w:r w:rsidR="00C611CD">
        <w:rPr>
          <w:b/>
        </w:rPr>
        <w:t xml:space="preserve">isky </w:t>
      </w:r>
      <w:r w:rsidR="00257073">
        <w:rPr>
          <w:b/>
        </w:rPr>
        <w:t>nefinančních podniků</w:t>
      </w:r>
      <w:r>
        <w:rPr>
          <w:b/>
        </w:rPr>
        <w:t xml:space="preserve"> </w:t>
      </w:r>
      <w:r w:rsidR="00E70E0B">
        <w:rPr>
          <w:b/>
        </w:rPr>
        <w:t>narůstaly</w:t>
      </w:r>
      <w:r w:rsidR="00115C2A">
        <w:rPr>
          <w:b/>
        </w:rPr>
        <w:t xml:space="preserve"> dvoucifernými tempy</w:t>
      </w:r>
    </w:p>
    <w:p w:rsidR="007E2F8D" w:rsidRDefault="00A9122B" w:rsidP="007E2F8D">
      <w:r>
        <w:t xml:space="preserve">Přejděme nyní k údajům národních účtů, ze kterých lze soudit, zda se </w:t>
      </w:r>
      <w:r w:rsidR="00345AD1">
        <w:t>příznivý vývoj podniků v prvních třech čtvrtletích roku 2014</w:t>
      </w:r>
      <w:r w:rsidR="00B629EA">
        <w:t xml:space="preserve"> </w:t>
      </w:r>
      <w:r w:rsidR="00345AD1">
        <w:t xml:space="preserve">pozitivně projevil i ve výši jejich zisků, za které lze </w:t>
      </w:r>
      <w:r w:rsidR="00BE4915">
        <w:lastRenderedPageBreak/>
        <w:t xml:space="preserve">v terminologii národních účtů </w:t>
      </w:r>
      <w:r w:rsidR="00345AD1">
        <w:t>považovat tzv. hrubý provozní přebytek. Jak se vyvíjela nominální hodnota hrubého provozního přebytku nefinančních podniků</w:t>
      </w:r>
      <w:r w:rsidR="00345AD1">
        <w:rPr>
          <w:rStyle w:val="Znakapoznpodarou"/>
        </w:rPr>
        <w:footnoteReference w:id="3"/>
      </w:r>
      <w:r w:rsidR="00BE4915">
        <w:t xml:space="preserve"> –</w:t>
      </w:r>
      <w:r w:rsidR="00345AD1">
        <w:t xml:space="preserve"> podnikatelských subjektů, které se na celkovém výkonu všech podnikatelských subjektů</w:t>
      </w:r>
      <w:r w:rsidR="000B69D2">
        <w:t xml:space="preserve"> v ČR</w:t>
      </w:r>
      <w:r w:rsidR="00345AD1">
        <w:t xml:space="preserve"> </w:t>
      </w:r>
      <w:r w:rsidR="00B629EA">
        <w:t xml:space="preserve">dlouhodobě </w:t>
      </w:r>
      <w:r w:rsidR="00345AD1">
        <w:t xml:space="preserve">podílí </w:t>
      </w:r>
      <w:r w:rsidR="00BE1663">
        <w:t xml:space="preserve">z </w:t>
      </w:r>
      <w:r w:rsidR="00000A94">
        <w:t xml:space="preserve">více jak </w:t>
      </w:r>
      <w:r w:rsidR="00345AD1">
        <w:t>sedmi desetin – je patrné z grafů 5</w:t>
      </w:r>
      <w:r w:rsidR="009B04D4" w:rsidRPr="007A0B43">
        <w:rPr>
          <w:spacing w:val="-2"/>
        </w:rPr>
        <w:t>–</w:t>
      </w:r>
      <w:r w:rsidR="00345AD1">
        <w:t>6.</w:t>
      </w:r>
    </w:p>
    <w:p w:rsidR="007E2F8D" w:rsidRPr="007E2F8D" w:rsidRDefault="007E2F8D" w:rsidP="007E2F8D"/>
    <w:p w:rsidR="007E2F8D" w:rsidRDefault="007E2F8D" w:rsidP="007E2F8D">
      <w:r>
        <w:t xml:space="preserve">Graf č. 5: </w:t>
      </w:r>
      <w:r w:rsidRPr="007E2F8D">
        <w:rPr>
          <w:b/>
        </w:rPr>
        <w:t>Hrubý provozní přebytek nefinančních podniků</w:t>
      </w:r>
      <w:r>
        <w:t xml:space="preserve"> (</w:t>
      </w:r>
      <w:r>
        <w:rPr>
          <w:spacing w:val="-6"/>
        </w:rPr>
        <w:t>nominálně</w:t>
      </w:r>
      <w:r w:rsidRPr="005F3B47">
        <w:rPr>
          <w:spacing w:val="-6"/>
        </w:rPr>
        <w:t>; bez sezónního očištění</w:t>
      </w:r>
      <w:r>
        <w:rPr>
          <w:spacing w:val="-6"/>
        </w:rPr>
        <w:t>)</w:t>
      </w:r>
    </w:p>
    <w:p w:rsidR="007E2F8D" w:rsidRDefault="00144FC7" w:rsidP="007E2F8D">
      <w:r>
        <w:rPr>
          <w:noProof/>
          <w:lang w:eastAsia="cs-CZ"/>
        </w:rPr>
        <w:drawing>
          <wp:inline distT="0" distB="0" distL="0" distR="0">
            <wp:extent cx="5381625" cy="2292350"/>
            <wp:effectExtent l="19050" t="0" r="9525" b="0"/>
            <wp:docPr id="3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F8D" w:rsidRPr="00B32969" w:rsidRDefault="007E2F8D" w:rsidP="007E2F8D">
      <w:pPr>
        <w:jc w:val="right"/>
        <w:rPr>
          <w:sz w:val="16"/>
          <w:szCs w:val="16"/>
        </w:rPr>
      </w:pPr>
      <w:r w:rsidRPr="00B32969">
        <w:rPr>
          <w:sz w:val="16"/>
          <w:szCs w:val="16"/>
        </w:rPr>
        <w:t>Pramen: ČSÚ</w:t>
      </w:r>
      <w:r w:rsidR="00AA1433" w:rsidRPr="00B32969">
        <w:rPr>
          <w:sz w:val="16"/>
          <w:szCs w:val="16"/>
        </w:rPr>
        <w:t>, vlastní propočty</w:t>
      </w:r>
    </w:p>
    <w:p w:rsidR="007E2F8D" w:rsidRDefault="007E2F8D" w:rsidP="007E2F8D"/>
    <w:p w:rsidR="007E2F8D" w:rsidRDefault="007E2F8D" w:rsidP="007E2F8D">
      <w:r>
        <w:t xml:space="preserve">Graf č. 6: </w:t>
      </w:r>
      <w:r w:rsidRPr="007E2F8D">
        <w:rPr>
          <w:b/>
        </w:rPr>
        <w:t>Hrubý provozní přebytek nefinančních podniků</w:t>
      </w:r>
      <w:r>
        <w:t xml:space="preserve"> (</w:t>
      </w:r>
      <w:r>
        <w:rPr>
          <w:spacing w:val="-6"/>
        </w:rPr>
        <w:t>nominálně</w:t>
      </w:r>
      <w:r w:rsidRPr="005F3B47">
        <w:rPr>
          <w:spacing w:val="-6"/>
        </w:rPr>
        <w:t>; bez sezónního očištění</w:t>
      </w:r>
      <w:r w:rsidR="005E4201">
        <w:rPr>
          <w:spacing w:val="-6"/>
          <w:lang w:val="en-US"/>
        </w:rPr>
        <w:t>;</w:t>
      </w:r>
      <w:r>
        <w:rPr>
          <w:spacing w:val="-6"/>
          <w:lang w:val="en-US"/>
        </w:rPr>
        <w:t xml:space="preserve"> </w:t>
      </w:r>
      <w:r>
        <w:rPr>
          <w:spacing w:val="-6"/>
        </w:rPr>
        <w:t>kumulace za první tři čtvrtletí)</w:t>
      </w:r>
    </w:p>
    <w:p w:rsidR="007E2F8D" w:rsidRDefault="00144FC7" w:rsidP="007E2F8D">
      <w:r>
        <w:rPr>
          <w:noProof/>
          <w:lang w:eastAsia="cs-CZ"/>
        </w:rPr>
        <w:drawing>
          <wp:inline distT="0" distB="0" distL="0" distR="0">
            <wp:extent cx="5381625" cy="2292350"/>
            <wp:effectExtent l="19050" t="0" r="9525" b="0"/>
            <wp:docPr id="3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F8D" w:rsidRPr="00B32969" w:rsidRDefault="007E2F8D" w:rsidP="007E2F8D">
      <w:pPr>
        <w:jc w:val="right"/>
        <w:rPr>
          <w:sz w:val="16"/>
          <w:szCs w:val="16"/>
        </w:rPr>
      </w:pPr>
      <w:r>
        <w:tab/>
      </w:r>
      <w:r w:rsidRPr="00B32969">
        <w:rPr>
          <w:sz w:val="16"/>
          <w:szCs w:val="16"/>
        </w:rPr>
        <w:t>Pramen: ČSÚ</w:t>
      </w:r>
      <w:r w:rsidR="00AA1433" w:rsidRPr="00B32969">
        <w:rPr>
          <w:sz w:val="16"/>
          <w:szCs w:val="16"/>
        </w:rPr>
        <w:t>, vlastní propočty</w:t>
      </w:r>
    </w:p>
    <w:p w:rsidR="007E2F8D" w:rsidRDefault="007E2F8D" w:rsidP="007E2F8D">
      <w:pPr>
        <w:tabs>
          <w:tab w:val="left" w:pos="4980"/>
        </w:tabs>
      </w:pPr>
    </w:p>
    <w:p w:rsidR="007E2F8D" w:rsidRDefault="00944989" w:rsidP="007E2F8D">
      <w:r>
        <w:t>Hrubý provozní přebytek</w:t>
      </w:r>
      <w:r w:rsidR="00B629EA">
        <w:t xml:space="preserve"> </w:t>
      </w:r>
      <w:r w:rsidR="008500A2">
        <w:t xml:space="preserve">nefinančních podniků se </w:t>
      </w:r>
      <w:r>
        <w:t>začal</w:t>
      </w:r>
      <w:r w:rsidR="008500A2">
        <w:t xml:space="preserve"> v návaznosti na </w:t>
      </w:r>
      <w:r w:rsidR="00897471">
        <w:t>posilování</w:t>
      </w:r>
      <w:r w:rsidR="00854AA0">
        <w:t xml:space="preserve"> tržeb </w:t>
      </w:r>
      <w:r w:rsidR="00A22710">
        <w:t xml:space="preserve">zpracovatelů </w:t>
      </w:r>
      <w:r w:rsidR="00811800">
        <w:t xml:space="preserve">pozvolna </w:t>
      </w:r>
      <w:r w:rsidR="008500A2">
        <w:t xml:space="preserve">zvyšovat ve 3. </w:t>
      </w:r>
      <w:r w:rsidR="00911013">
        <w:t>kvartále</w:t>
      </w:r>
      <w:r w:rsidR="008500A2">
        <w:t xml:space="preserve"> 2013</w:t>
      </w:r>
      <w:r w:rsidR="00811800">
        <w:t xml:space="preserve"> (+1,6 %</w:t>
      </w:r>
      <w:r w:rsidR="0082129A">
        <w:t xml:space="preserve"> meziročně</w:t>
      </w:r>
      <w:r w:rsidR="00811800">
        <w:t>)</w:t>
      </w:r>
      <w:r w:rsidR="008500A2">
        <w:t>, na konci roku</w:t>
      </w:r>
      <w:r>
        <w:t xml:space="preserve"> jeho</w:t>
      </w:r>
      <w:r w:rsidR="008500A2">
        <w:t xml:space="preserve"> růst </w:t>
      </w:r>
      <w:r w:rsidR="008500A2">
        <w:lastRenderedPageBreak/>
        <w:t>zrychlil</w:t>
      </w:r>
      <w:r w:rsidR="00811800">
        <w:t xml:space="preserve"> na</w:t>
      </w:r>
      <w:r w:rsidR="00761D32">
        <w:t> </w:t>
      </w:r>
      <w:r w:rsidR="00811800">
        <w:t>5,5 %</w:t>
      </w:r>
      <w:r w:rsidR="008500A2">
        <w:t xml:space="preserve"> a</w:t>
      </w:r>
      <w:r w:rsidR="00811800">
        <w:t> </w:t>
      </w:r>
      <w:r w:rsidR="008500A2">
        <w:t>v prvních třech čtvrtletích roku 2014</w:t>
      </w:r>
      <w:r w:rsidR="00854AA0">
        <w:t xml:space="preserve"> – kdy </w:t>
      </w:r>
      <w:r w:rsidR="00761D32">
        <w:t>lepší výsledky vykazovaly už</w:t>
      </w:r>
      <w:r w:rsidR="000B69D2">
        <w:t> </w:t>
      </w:r>
      <w:r w:rsidR="00761D32">
        <w:t>i</w:t>
      </w:r>
      <w:r w:rsidR="000B69D2">
        <w:t> </w:t>
      </w:r>
      <w:r w:rsidR="00761D32">
        <w:t>maloobchodní</w:t>
      </w:r>
      <w:r w:rsidR="00854AA0">
        <w:t xml:space="preserve"> </w:t>
      </w:r>
      <w:r w:rsidR="00761D32">
        <w:t>prodejci, poskytovatelé</w:t>
      </w:r>
      <w:r w:rsidR="00854AA0">
        <w:t xml:space="preserve"> služeb</w:t>
      </w:r>
      <w:r w:rsidR="00761D32">
        <w:t xml:space="preserve"> a stavební firmy </w:t>
      </w:r>
      <w:r w:rsidR="00854AA0">
        <w:t>– jeho</w:t>
      </w:r>
      <w:r w:rsidR="0082129A">
        <w:t xml:space="preserve"> meziroční</w:t>
      </w:r>
      <w:r w:rsidR="00854AA0">
        <w:t xml:space="preserve"> přírůstky dosáhly</w:t>
      </w:r>
      <w:r w:rsidR="008500A2">
        <w:t xml:space="preserve"> dvoucif</w:t>
      </w:r>
      <w:r w:rsidR="00854AA0">
        <w:t>erných hodnot</w:t>
      </w:r>
      <w:r w:rsidR="00811800">
        <w:t xml:space="preserve"> (graf</w:t>
      </w:r>
      <w:r w:rsidR="00854AA0">
        <w:t> </w:t>
      </w:r>
      <w:r w:rsidR="00811800">
        <w:t>č. 5)</w:t>
      </w:r>
      <w:r w:rsidR="008500A2">
        <w:t>. Jestliže v 1.</w:t>
      </w:r>
      <w:r w:rsidR="00811800">
        <w:t> </w:t>
      </w:r>
      <w:r w:rsidR="008500A2">
        <w:t xml:space="preserve">čtvrtletí </w:t>
      </w:r>
      <w:r>
        <w:t>hrubý provozní přebytek</w:t>
      </w:r>
      <w:r w:rsidR="008500A2">
        <w:t xml:space="preserve"> nefinančních</w:t>
      </w:r>
      <w:r>
        <w:t xml:space="preserve"> podniků posílil</w:t>
      </w:r>
      <w:r w:rsidR="008500A2">
        <w:t xml:space="preserve"> o</w:t>
      </w:r>
      <w:r w:rsidR="00854AA0">
        <w:t> </w:t>
      </w:r>
      <w:r w:rsidR="00A8735D">
        <w:t>13,4 % a</w:t>
      </w:r>
      <w:r w:rsidR="00897471">
        <w:t> </w:t>
      </w:r>
      <w:r w:rsidR="008500A2">
        <w:t>ve 2.</w:t>
      </w:r>
      <w:r>
        <w:t xml:space="preserve"> kvartále</w:t>
      </w:r>
      <w:r w:rsidR="008500A2">
        <w:t xml:space="preserve"> o 13,6 %</w:t>
      </w:r>
      <w:r w:rsidR="00A8735D">
        <w:t xml:space="preserve">, </w:t>
      </w:r>
      <w:r w:rsidR="008500A2">
        <w:t>ve 3. </w:t>
      </w:r>
      <w:r w:rsidR="00854AA0">
        <w:t>č</w:t>
      </w:r>
      <w:r w:rsidR="008500A2">
        <w:t>tvrtletí</w:t>
      </w:r>
      <w:r w:rsidR="00854AA0">
        <w:t xml:space="preserve"> –</w:t>
      </w:r>
      <w:r>
        <w:t xml:space="preserve"> kdy proti jeho</w:t>
      </w:r>
      <w:r w:rsidR="008500A2">
        <w:t xml:space="preserve"> růstu </w:t>
      </w:r>
      <w:r w:rsidR="00761D32">
        <w:t>ji</w:t>
      </w:r>
      <w:r>
        <w:t>ž</w:t>
      </w:r>
      <w:r w:rsidR="008500A2">
        <w:t xml:space="preserve"> působila vyšší srovnáva</w:t>
      </w:r>
      <w:r w:rsidR="00854AA0">
        <w:t>cí základna –</w:t>
      </w:r>
      <w:r w:rsidR="008500A2">
        <w:t xml:space="preserve"> </w:t>
      </w:r>
      <w:r w:rsidR="00854AA0">
        <w:t>narostl</w:t>
      </w:r>
      <w:r w:rsidR="008500A2">
        <w:t xml:space="preserve"> dokonce o 17,5 %</w:t>
      </w:r>
      <w:r w:rsidR="00A8735D">
        <w:t>!</w:t>
      </w:r>
    </w:p>
    <w:p w:rsidR="008500A2" w:rsidRPr="006D6A9C" w:rsidRDefault="008500A2" w:rsidP="007E2F8D">
      <w:pPr>
        <w:rPr>
          <w:sz w:val="16"/>
          <w:szCs w:val="16"/>
        </w:rPr>
      </w:pPr>
    </w:p>
    <w:p w:rsidR="00897471" w:rsidRDefault="00897471" w:rsidP="007E2F8D">
      <w:r>
        <w:t>To, že p</w:t>
      </w:r>
      <w:r w:rsidR="00307B8A">
        <w:t>rvní tři čtvrtletí roku 2014 byly pro nefi</w:t>
      </w:r>
      <w:r w:rsidR="00854AA0">
        <w:t>nanční podniky úspěšnými</w:t>
      </w:r>
      <w:r>
        <w:t>, potvrzuje</w:t>
      </w:r>
      <w:r w:rsidR="00854AA0">
        <w:t xml:space="preserve"> </w:t>
      </w:r>
      <w:r w:rsidR="00962AFB">
        <w:t>i dlouhodobější dynamika</w:t>
      </w:r>
      <w:r>
        <w:t xml:space="preserve"> hrubého provozního přebytku (graf č. 6). Zatímco v</w:t>
      </w:r>
      <w:r w:rsidR="003B5732">
        <w:t xml:space="preserve"> jednotlivých letech </w:t>
      </w:r>
      <w:r>
        <w:t xml:space="preserve">konjunktury 2005, 2006, 2007 a 2008 nepřekonal </w:t>
      </w:r>
      <w:r w:rsidR="00761D32">
        <w:t xml:space="preserve">meziroční </w:t>
      </w:r>
      <w:r>
        <w:t>přírůstek hrubého provozního přebytku v prvních třech čtvrtletích</w:t>
      </w:r>
      <w:r w:rsidR="00962AFB">
        <w:t xml:space="preserve"> roku</w:t>
      </w:r>
      <w:r>
        <w:t xml:space="preserve"> hranici 13 %, za první tři kvartály roku 2014 posílil o 14,8 %.</w:t>
      </w:r>
      <w:r w:rsidR="001D5A2A">
        <w:t xml:space="preserve"> Tuzemsk</w:t>
      </w:r>
      <w:r w:rsidR="00761D32">
        <w:t>ým</w:t>
      </w:r>
      <w:r w:rsidR="009B2864">
        <w:t xml:space="preserve"> podnik</w:t>
      </w:r>
      <w:r w:rsidR="00761D32">
        <w:t>ům</w:t>
      </w:r>
      <w:r w:rsidR="001D5A2A">
        <w:t xml:space="preserve"> – alespoň </w:t>
      </w:r>
      <w:r w:rsidR="009B2864">
        <w:t>t</w:t>
      </w:r>
      <w:r w:rsidR="00761D32">
        <w:t>ěm</w:t>
      </w:r>
      <w:r w:rsidR="009B2864">
        <w:t xml:space="preserve"> nefinanční</w:t>
      </w:r>
      <w:r w:rsidR="00761D32">
        <w:t>m</w:t>
      </w:r>
      <w:r w:rsidR="0001365B">
        <w:t xml:space="preserve"> jako celku</w:t>
      </w:r>
      <w:r w:rsidR="001D5A2A">
        <w:t xml:space="preserve"> – </w:t>
      </w:r>
      <w:r w:rsidR="00B629EA">
        <w:t>se dařilo.</w:t>
      </w:r>
    </w:p>
    <w:p w:rsidR="002D100D" w:rsidRPr="006D6A9C" w:rsidRDefault="002D100D" w:rsidP="007E2F8D">
      <w:pPr>
        <w:rPr>
          <w:sz w:val="24"/>
          <w:szCs w:val="24"/>
        </w:rPr>
      </w:pPr>
    </w:p>
    <w:p w:rsidR="00FA5137" w:rsidRDefault="00FA5137" w:rsidP="00000050">
      <w:pPr>
        <w:spacing w:after="120"/>
        <w:rPr>
          <w:b/>
        </w:rPr>
      </w:pPr>
      <w:r>
        <w:rPr>
          <w:b/>
        </w:rPr>
        <w:t>Co zaměstnanci, dostalo se na ně?</w:t>
      </w:r>
    </w:p>
    <w:p w:rsidR="00483E81" w:rsidRPr="007E7C09" w:rsidRDefault="00483E81" w:rsidP="00FA5137">
      <w:r>
        <w:t xml:space="preserve">Vysoký růst zisků nefinančních podniků byl primárně určen rostoucím odbytem, </w:t>
      </w:r>
      <w:r w:rsidR="00264C84">
        <w:t xml:space="preserve">přispěla </w:t>
      </w:r>
      <w:r w:rsidR="00DA53D0">
        <w:t xml:space="preserve">k němu ale i </w:t>
      </w:r>
      <w:r w:rsidR="00A23E54">
        <w:t>opatrná</w:t>
      </w:r>
      <w:r>
        <w:t xml:space="preserve"> personální politika, co se týče zvyšování počtu zaměs</w:t>
      </w:r>
      <w:r w:rsidR="006D6A9C">
        <w:t>tnanců a valorizace jejich mezd, respektive obecně známý fakt, že vývoj na trhu práce se za vývojem ekonomiky zpožďuje.</w:t>
      </w:r>
      <w:r>
        <w:t xml:space="preserve"> Znamená to ted</w:t>
      </w:r>
      <w:r w:rsidR="00BC68CF">
        <w:t>y, že zaměstnanci si nepolepšili</w:t>
      </w:r>
      <w:r>
        <w:t>?</w:t>
      </w:r>
    </w:p>
    <w:p w:rsidR="008A0A31" w:rsidRPr="006D6A9C" w:rsidRDefault="008A0A31" w:rsidP="00FA5137">
      <w:pPr>
        <w:rPr>
          <w:sz w:val="18"/>
          <w:szCs w:val="18"/>
        </w:rPr>
      </w:pPr>
    </w:p>
    <w:p w:rsidR="00EF6C22" w:rsidRDefault="00EF6C22" w:rsidP="00BB10BC">
      <w:pPr>
        <w:spacing w:after="120"/>
        <w:ind w:firstLine="708"/>
        <w:rPr>
          <w:b/>
        </w:rPr>
      </w:pPr>
      <w:r>
        <w:rPr>
          <w:b/>
        </w:rPr>
        <w:t xml:space="preserve">A. </w:t>
      </w:r>
      <w:r w:rsidR="00A22710">
        <w:rPr>
          <w:b/>
        </w:rPr>
        <w:t>Počty zaměstnanců</w:t>
      </w:r>
    </w:p>
    <w:p w:rsidR="005E750F" w:rsidRPr="0078365B" w:rsidRDefault="002D100D" w:rsidP="00FA5137">
      <w:pPr>
        <w:rPr>
          <w:spacing w:val="-6"/>
        </w:rPr>
      </w:pPr>
      <w:r w:rsidRPr="0078365B">
        <w:rPr>
          <w:spacing w:val="-6"/>
        </w:rPr>
        <w:t>Pod</w:t>
      </w:r>
      <w:r w:rsidR="00B105F1" w:rsidRPr="0078365B">
        <w:rPr>
          <w:spacing w:val="-6"/>
        </w:rPr>
        <w:t>le</w:t>
      </w:r>
      <w:r w:rsidR="00C20D78" w:rsidRPr="0078365B">
        <w:rPr>
          <w:spacing w:val="-6"/>
        </w:rPr>
        <w:t xml:space="preserve"> výsledků podnikových</w:t>
      </w:r>
      <w:r w:rsidR="00B105F1" w:rsidRPr="0078365B">
        <w:rPr>
          <w:spacing w:val="-6"/>
        </w:rPr>
        <w:t xml:space="preserve"> </w:t>
      </w:r>
      <w:r w:rsidR="00C20D78" w:rsidRPr="0078365B">
        <w:rPr>
          <w:spacing w:val="-6"/>
        </w:rPr>
        <w:t>statistik</w:t>
      </w:r>
      <w:r w:rsidRPr="0078365B">
        <w:rPr>
          <w:spacing w:val="-6"/>
        </w:rPr>
        <w:t xml:space="preserve">, </w:t>
      </w:r>
      <w:r w:rsidR="00C20D78" w:rsidRPr="0078365B">
        <w:rPr>
          <w:spacing w:val="-6"/>
        </w:rPr>
        <w:t>které</w:t>
      </w:r>
      <w:r w:rsidRPr="0078365B">
        <w:rPr>
          <w:spacing w:val="-6"/>
        </w:rPr>
        <w:t xml:space="preserve"> </w:t>
      </w:r>
      <w:r w:rsidR="00C20D78" w:rsidRPr="0078365B">
        <w:rPr>
          <w:spacing w:val="-6"/>
        </w:rPr>
        <w:t>vychází</w:t>
      </w:r>
      <w:r w:rsidRPr="0078365B">
        <w:rPr>
          <w:spacing w:val="-6"/>
        </w:rPr>
        <w:t xml:space="preserve"> z</w:t>
      </w:r>
      <w:r w:rsidR="00842337" w:rsidRPr="0078365B">
        <w:rPr>
          <w:spacing w:val="-6"/>
        </w:rPr>
        <w:t xml:space="preserve"> evidenčních záznamů jednotlivých </w:t>
      </w:r>
      <w:r w:rsidR="009350D8" w:rsidRPr="0078365B">
        <w:rPr>
          <w:spacing w:val="-6"/>
        </w:rPr>
        <w:t>podnikatelských subjektů</w:t>
      </w:r>
      <w:r w:rsidRPr="0078365B">
        <w:rPr>
          <w:spacing w:val="-6"/>
        </w:rPr>
        <w:t>,</w:t>
      </w:r>
      <w:r w:rsidR="00B105F1" w:rsidRPr="0078365B">
        <w:rPr>
          <w:spacing w:val="-6"/>
        </w:rPr>
        <w:t xml:space="preserve"> </w:t>
      </w:r>
      <w:r w:rsidR="0084105E" w:rsidRPr="0078365B">
        <w:rPr>
          <w:spacing w:val="-6"/>
        </w:rPr>
        <w:t>byl počet zaměstnanců</w:t>
      </w:r>
      <w:r w:rsidR="00B105F1" w:rsidRPr="0078365B">
        <w:rPr>
          <w:spacing w:val="-6"/>
        </w:rPr>
        <w:t xml:space="preserve"> v</w:t>
      </w:r>
      <w:r w:rsidR="00FF15EE" w:rsidRPr="0078365B">
        <w:rPr>
          <w:spacing w:val="-6"/>
        </w:rPr>
        <w:t xml:space="preserve"> nefinančních podnicích v prvních třech čtvrtletích roku 2014 </w:t>
      </w:r>
      <w:r w:rsidR="0084105E" w:rsidRPr="0078365B">
        <w:rPr>
          <w:spacing w:val="-6"/>
        </w:rPr>
        <w:t>meziročně vyšší o 1,0 %, a to jak ve fyzic</w:t>
      </w:r>
      <w:r w:rsidR="0078365B" w:rsidRPr="0078365B">
        <w:rPr>
          <w:spacing w:val="-6"/>
        </w:rPr>
        <w:t>kých osobách, tak při zohlednění</w:t>
      </w:r>
      <w:r w:rsidR="0084105E" w:rsidRPr="0078365B">
        <w:rPr>
          <w:spacing w:val="-6"/>
        </w:rPr>
        <w:t xml:space="preserve"> délky úvazku (na</w:t>
      </w:r>
      <w:r w:rsidR="0078365B">
        <w:rPr>
          <w:spacing w:val="-6"/>
        </w:rPr>
        <w:t> </w:t>
      </w:r>
      <w:r w:rsidR="0084105E" w:rsidRPr="0078365B">
        <w:rPr>
          <w:spacing w:val="-6"/>
        </w:rPr>
        <w:t xml:space="preserve">přepočtené zaměstnance). </w:t>
      </w:r>
      <w:r w:rsidR="00AD133D" w:rsidRPr="0078365B">
        <w:rPr>
          <w:spacing w:val="-6"/>
        </w:rPr>
        <w:t>Z</w:t>
      </w:r>
      <w:r w:rsidR="00C20D78" w:rsidRPr="0078365B">
        <w:rPr>
          <w:spacing w:val="-6"/>
        </w:rPr>
        <w:t> </w:t>
      </w:r>
      <w:r w:rsidR="00AD133D" w:rsidRPr="0078365B">
        <w:rPr>
          <w:spacing w:val="-6"/>
        </w:rPr>
        <w:t>toho</w:t>
      </w:r>
      <w:r w:rsidR="007E7C09" w:rsidRPr="0078365B">
        <w:rPr>
          <w:spacing w:val="-6"/>
        </w:rPr>
        <w:t>to</w:t>
      </w:r>
      <w:r w:rsidR="00C20D78" w:rsidRPr="0078365B">
        <w:rPr>
          <w:spacing w:val="-6"/>
        </w:rPr>
        <w:t xml:space="preserve"> jen mírného nárůstu</w:t>
      </w:r>
      <w:r w:rsidR="00AD133D" w:rsidRPr="0078365B">
        <w:rPr>
          <w:spacing w:val="-6"/>
        </w:rPr>
        <w:t xml:space="preserve"> lze usuzovat, že přestože n</w:t>
      </w:r>
      <w:r w:rsidR="00FF15EE" w:rsidRPr="0078365B">
        <w:rPr>
          <w:spacing w:val="-6"/>
        </w:rPr>
        <w:t>efinanční podniky</w:t>
      </w:r>
      <w:r w:rsidR="00AD133D" w:rsidRPr="0078365B">
        <w:rPr>
          <w:spacing w:val="-6"/>
        </w:rPr>
        <w:t xml:space="preserve"> </w:t>
      </w:r>
      <w:r w:rsidR="00FF15EE" w:rsidRPr="0078365B">
        <w:rPr>
          <w:spacing w:val="-6"/>
        </w:rPr>
        <w:t xml:space="preserve">nové zaměstnance </w:t>
      </w:r>
      <w:r w:rsidR="006E55C6" w:rsidRPr="0078365B">
        <w:rPr>
          <w:spacing w:val="-6"/>
        </w:rPr>
        <w:t>nabíraly</w:t>
      </w:r>
      <w:r w:rsidR="00B105F1" w:rsidRPr="0078365B">
        <w:rPr>
          <w:spacing w:val="-6"/>
        </w:rPr>
        <w:t>,</w:t>
      </w:r>
      <w:r w:rsidR="006E55C6" w:rsidRPr="0078365B">
        <w:rPr>
          <w:spacing w:val="-6"/>
        </w:rPr>
        <w:t xml:space="preserve"> </w:t>
      </w:r>
      <w:r w:rsidR="002E66DF" w:rsidRPr="0078365B">
        <w:rPr>
          <w:spacing w:val="-6"/>
        </w:rPr>
        <w:t>přistupovaly k tomu s obezřetností.</w:t>
      </w:r>
      <w:r w:rsidR="006E55C6" w:rsidRPr="0078365B">
        <w:rPr>
          <w:spacing w:val="-6"/>
        </w:rPr>
        <w:t xml:space="preserve"> </w:t>
      </w:r>
      <w:r w:rsidR="002E66DF" w:rsidRPr="0078365B">
        <w:rPr>
          <w:spacing w:val="-6"/>
        </w:rPr>
        <w:t xml:space="preserve">Zřejmě se obávaly, </w:t>
      </w:r>
      <w:r w:rsidR="004E686C" w:rsidRPr="0078365B">
        <w:rPr>
          <w:spacing w:val="-6"/>
        </w:rPr>
        <w:t>zda</w:t>
      </w:r>
      <w:r w:rsidR="0061260E" w:rsidRPr="0078365B">
        <w:rPr>
          <w:spacing w:val="-6"/>
        </w:rPr>
        <w:t> </w:t>
      </w:r>
      <w:r w:rsidR="00AD133D" w:rsidRPr="0078365B">
        <w:rPr>
          <w:spacing w:val="-6"/>
        </w:rPr>
        <w:t>pro</w:t>
      </w:r>
      <w:r w:rsidR="005E750F" w:rsidRPr="0078365B">
        <w:rPr>
          <w:spacing w:val="-6"/>
        </w:rPr>
        <w:t> </w:t>
      </w:r>
      <w:r w:rsidR="00AD133D" w:rsidRPr="0078365B">
        <w:rPr>
          <w:spacing w:val="-6"/>
        </w:rPr>
        <w:t xml:space="preserve">ně </w:t>
      </w:r>
      <w:r w:rsidR="00FB2059" w:rsidRPr="0078365B">
        <w:rPr>
          <w:spacing w:val="-6"/>
        </w:rPr>
        <w:t>budou mít</w:t>
      </w:r>
      <w:r w:rsidR="00AD133D" w:rsidRPr="0078365B">
        <w:rPr>
          <w:spacing w:val="-6"/>
        </w:rPr>
        <w:t xml:space="preserve"> </w:t>
      </w:r>
      <w:r w:rsidR="0022467D" w:rsidRPr="0078365B">
        <w:rPr>
          <w:spacing w:val="-6"/>
        </w:rPr>
        <w:t>dlouhodobější využití</w:t>
      </w:r>
      <w:r w:rsidR="006E55C6" w:rsidRPr="0078365B">
        <w:rPr>
          <w:spacing w:val="-6"/>
        </w:rPr>
        <w:t>,</w:t>
      </w:r>
      <w:r w:rsidR="0022467D" w:rsidRPr="0078365B">
        <w:rPr>
          <w:spacing w:val="-6"/>
        </w:rPr>
        <w:t xml:space="preserve"> tedy, jestli </w:t>
      </w:r>
      <w:r w:rsidR="001B14B7" w:rsidRPr="0078365B">
        <w:rPr>
          <w:spacing w:val="-6"/>
        </w:rPr>
        <w:t>poptávka</w:t>
      </w:r>
      <w:r w:rsidR="004E686C" w:rsidRPr="0078365B">
        <w:rPr>
          <w:spacing w:val="-6"/>
        </w:rPr>
        <w:t xml:space="preserve"> po jejich produktech</w:t>
      </w:r>
      <w:r w:rsidR="001B14B7" w:rsidRPr="0078365B">
        <w:rPr>
          <w:spacing w:val="-6"/>
        </w:rPr>
        <w:t xml:space="preserve"> bude dále růst</w:t>
      </w:r>
      <w:r w:rsidR="005E750F" w:rsidRPr="0078365B">
        <w:rPr>
          <w:spacing w:val="-6"/>
        </w:rPr>
        <w:t>.</w:t>
      </w:r>
    </w:p>
    <w:p w:rsidR="005E750F" w:rsidRPr="006D6A9C" w:rsidRDefault="005E750F" w:rsidP="00FA5137">
      <w:pPr>
        <w:rPr>
          <w:sz w:val="18"/>
          <w:szCs w:val="18"/>
        </w:rPr>
      </w:pPr>
    </w:p>
    <w:p w:rsidR="000E3C04" w:rsidRPr="009041AB" w:rsidRDefault="00AD3554" w:rsidP="00FA5137">
      <w:r>
        <w:t>Z údajů národních účtů lze dovozovat</w:t>
      </w:r>
      <w:r w:rsidRPr="009041AB">
        <w:t xml:space="preserve">, že se firmy nárůst </w:t>
      </w:r>
      <w:r>
        <w:t>odbytu</w:t>
      </w:r>
      <w:r w:rsidRPr="009041AB">
        <w:t xml:space="preserve"> snažily částečně vykrýt</w:t>
      </w:r>
      <w:r>
        <w:t xml:space="preserve"> intenzivnějším využitím stávajících zaměstnanců, tedy jejich</w:t>
      </w:r>
      <w:r w:rsidRPr="009041AB">
        <w:t xml:space="preserve"> přesčasy.</w:t>
      </w:r>
      <w:r>
        <w:t xml:space="preserve"> Prodloužení skutečné odpracované doby </w:t>
      </w:r>
      <w:r w:rsidR="009041AB" w:rsidRPr="009041AB">
        <w:t>se týkalo</w:t>
      </w:r>
      <w:r>
        <w:t xml:space="preserve"> zejména</w:t>
      </w:r>
      <w:r w:rsidR="009041AB" w:rsidRPr="009041AB">
        <w:t xml:space="preserve"> zaměstnanců pracujících v </w:t>
      </w:r>
      <w:r w:rsidR="00F9395A">
        <w:t>„</w:t>
      </w:r>
      <w:r w:rsidR="009041AB" w:rsidRPr="009041AB">
        <w:t>profesních, vědeckých, technických a administrativních činnostech</w:t>
      </w:r>
      <w:r w:rsidR="00F9395A">
        <w:t>“</w:t>
      </w:r>
      <w:r>
        <w:t>, kam jsou mimo jiné řazeny i pracovní agentury, jejichž služeb významně využíval zpracovatelský průmysl</w:t>
      </w:r>
      <w:r w:rsidR="009041AB" w:rsidRPr="009041AB">
        <w:t>.</w:t>
      </w:r>
    </w:p>
    <w:p w:rsidR="00EF6C22" w:rsidRDefault="00EF6C22" w:rsidP="00FA5137"/>
    <w:p w:rsidR="00EF6C22" w:rsidRDefault="00EF6C22" w:rsidP="00BB10BC">
      <w:pPr>
        <w:spacing w:after="120"/>
        <w:ind w:firstLine="708"/>
        <w:rPr>
          <w:b/>
        </w:rPr>
      </w:pPr>
      <w:r>
        <w:rPr>
          <w:b/>
        </w:rPr>
        <w:t>B. Mzdy</w:t>
      </w:r>
    </w:p>
    <w:p w:rsidR="00842337" w:rsidRPr="009041AB" w:rsidRDefault="00AA0B0F" w:rsidP="00AA20E1">
      <w:pPr>
        <w:rPr>
          <w:spacing w:val="-6"/>
        </w:rPr>
      </w:pPr>
      <w:r w:rsidRPr="009041AB">
        <w:rPr>
          <w:spacing w:val="-6"/>
        </w:rPr>
        <w:t xml:space="preserve">Co se </w:t>
      </w:r>
      <w:r w:rsidR="00842337" w:rsidRPr="009041AB">
        <w:rPr>
          <w:spacing w:val="-6"/>
        </w:rPr>
        <w:t>průměrné</w:t>
      </w:r>
      <w:r w:rsidR="00155012" w:rsidRPr="009041AB">
        <w:rPr>
          <w:spacing w:val="-6"/>
        </w:rPr>
        <w:t xml:space="preserve"> </w:t>
      </w:r>
      <w:r w:rsidR="00842337" w:rsidRPr="009041AB">
        <w:rPr>
          <w:spacing w:val="-6"/>
        </w:rPr>
        <w:t>mzdy zaměstnanců pracujících v sektoru nefinančních podniků</w:t>
      </w:r>
      <w:r w:rsidR="00D45D8D" w:rsidRPr="009041AB">
        <w:rPr>
          <w:spacing w:val="-6"/>
        </w:rPr>
        <w:t xml:space="preserve"> týče</w:t>
      </w:r>
      <w:r w:rsidRPr="009041AB">
        <w:rPr>
          <w:spacing w:val="-6"/>
        </w:rPr>
        <w:t xml:space="preserve">, </w:t>
      </w:r>
      <w:r w:rsidR="00842337" w:rsidRPr="009041AB">
        <w:rPr>
          <w:spacing w:val="-6"/>
        </w:rPr>
        <w:t>její</w:t>
      </w:r>
      <w:r w:rsidRPr="009041AB">
        <w:rPr>
          <w:spacing w:val="-6"/>
        </w:rPr>
        <w:t xml:space="preserve"> </w:t>
      </w:r>
      <w:r w:rsidR="00155012" w:rsidRPr="009041AB">
        <w:rPr>
          <w:spacing w:val="-6"/>
        </w:rPr>
        <w:t>nárůst</w:t>
      </w:r>
      <w:r w:rsidR="00283C32" w:rsidRPr="009041AB">
        <w:rPr>
          <w:spacing w:val="-6"/>
        </w:rPr>
        <w:t xml:space="preserve"> byl sice </w:t>
      </w:r>
      <w:r w:rsidR="00FF0CEF" w:rsidRPr="009041AB">
        <w:rPr>
          <w:spacing w:val="-6"/>
        </w:rPr>
        <w:t>výraznější</w:t>
      </w:r>
      <w:r w:rsidR="00283C32" w:rsidRPr="009041AB">
        <w:rPr>
          <w:spacing w:val="-6"/>
        </w:rPr>
        <w:t xml:space="preserve"> než </w:t>
      </w:r>
      <w:r w:rsidR="007E7C09" w:rsidRPr="009041AB">
        <w:rPr>
          <w:spacing w:val="-6"/>
        </w:rPr>
        <w:t>přírůstek</w:t>
      </w:r>
      <w:r w:rsidR="00C20D78" w:rsidRPr="009041AB">
        <w:rPr>
          <w:spacing w:val="-6"/>
        </w:rPr>
        <w:t xml:space="preserve"> </w:t>
      </w:r>
      <w:r w:rsidR="00283C32" w:rsidRPr="009041AB">
        <w:rPr>
          <w:spacing w:val="-6"/>
        </w:rPr>
        <w:t xml:space="preserve">počtu zaměstnanců, přesto v kontextu toho, </w:t>
      </w:r>
      <w:r w:rsidR="009E36E1" w:rsidRPr="009041AB">
        <w:rPr>
          <w:spacing w:val="-6"/>
        </w:rPr>
        <w:t>jak se podnikům dařilo</w:t>
      </w:r>
      <w:r w:rsidR="00D45D8D" w:rsidRPr="009041AB">
        <w:rPr>
          <w:spacing w:val="-6"/>
        </w:rPr>
        <w:t xml:space="preserve">, mzdy </w:t>
      </w:r>
      <w:r w:rsidR="00155012" w:rsidRPr="009041AB">
        <w:rPr>
          <w:spacing w:val="-6"/>
        </w:rPr>
        <w:t>posílily</w:t>
      </w:r>
      <w:r w:rsidR="00EE5649" w:rsidRPr="009041AB">
        <w:rPr>
          <w:spacing w:val="-6"/>
        </w:rPr>
        <w:t xml:space="preserve"> jen</w:t>
      </w:r>
      <w:r w:rsidR="00283C32" w:rsidRPr="009041AB">
        <w:rPr>
          <w:spacing w:val="-6"/>
        </w:rPr>
        <w:t xml:space="preserve"> málo</w:t>
      </w:r>
      <w:r w:rsidRPr="009041AB">
        <w:rPr>
          <w:spacing w:val="-6"/>
        </w:rPr>
        <w:t xml:space="preserve">. Pokud opět </w:t>
      </w:r>
      <w:r w:rsidR="00EF6C22" w:rsidRPr="009041AB">
        <w:rPr>
          <w:spacing w:val="-6"/>
        </w:rPr>
        <w:t>vyjdeme z</w:t>
      </w:r>
      <w:r w:rsidRPr="009041AB">
        <w:rPr>
          <w:spacing w:val="-6"/>
        </w:rPr>
        <w:t xml:space="preserve"> </w:t>
      </w:r>
      <w:r w:rsidR="00C20D78" w:rsidRPr="009041AB">
        <w:rPr>
          <w:spacing w:val="-6"/>
        </w:rPr>
        <w:t xml:space="preserve">výsledků podnikových </w:t>
      </w:r>
      <w:r w:rsidRPr="009041AB">
        <w:rPr>
          <w:spacing w:val="-6"/>
        </w:rPr>
        <w:t>statist</w:t>
      </w:r>
      <w:r w:rsidR="00C20D78" w:rsidRPr="009041AB">
        <w:rPr>
          <w:spacing w:val="-6"/>
        </w:rPr>
        <w:t>ik, pak podle nich</w:t>
      </w:r>
      <w:r w:rsidRPr="009041AB">
        <w:rPr>
          <w:spacing w:val="-6"/>
        </w:rPr>
        <w:t xml:space="preserve"> průměrná měsíční mzda zaměstnance pracujícího v</w:t>
      </w:r>
      <w:r w:rsidR="00C20D78" w:rsidRPr="009041AB">
        <w:rPr>
          <w:spacing w:val="-6"/>
        </w:rPr>
        <w:t> </w:t>
      </w:r>
      <w:r w:rsidR="00D45D8D" w:rsidRPr="009041AB">
        <w:rPr>
          <w:spacing w:val="-6"/>
        </w:rPr>
        <w:t>sektoru nefinančních podniků</w:t>
      </w:r>
      <w:r w:rsidRPr="009041AB">
        <w:rPr>
          <w:spacing w:val="-6"/>
        </w:rPr>
        <w:t xml:space="preserve"> </w:t>
      </w:r>
      <w:r w:rsidR="00DD364A" w:rsidRPr="009041AB">
        <w:rPr>
          <w:spacing w:val="-6"/>
        </w:rPr>
        <w:t>v úhrnu za první tři kvartály</w:t>
      </w:r>
      <w:r w:rsidRPr="009041AB">
        <w:rPr>
          <w:spacing w:val="-6"/>
        </w:rPr>
        <w:t xml:space="preserve"> roku 2014 </w:t>
      </w:r>
      <w:r w:rsidR="00F835C2" w:rsidRPr="009041AB">
        <w:rPr>
          <w:spacing w:val="-6"/>
        </w:rPr>
        <w:t xml:space="preserve">dosahovala </w:t>
      </w:r>
      <w:r w:rsidR="00EF6C22" w:rsidRPr="009041AB">
        <w:rPr>
          <w:spacing w:val="-6"/>
        </w:rPr>
        <w:t>24 </w:t>
      </w:r>
      <w:r w:rsidR="001D6224" w:rsidRPr="009041AB">
        <w:rPr>
          <w:spacing w:val="-6"/>
        </w:rPr>
        <w:t>956</w:t>
      </w:r>
      <w:r w:rsidRPr="009041AB">
        <w:rPr>
          <w:spacing w:val="-6"/>
        </w:rPr>
        <w:t xml:space="preserve"> korun, </w:t>
      </w:r>
      <w:r w:rsidR="00DD364A" w:rsidRPr="009041AB">
        <w:rPr>
          <w:spacing w:val="-6"/>
        </w:rPr>
        <w:t>při zohlednění délky</w:t>
      </w:r>
      <w:r w:rsidRPr="009041AB">
        <w:rPr>
          <w:spacing w:val="-6"/>
        </w:rPr>
        <w:t xml:space="preserve"> úvazku </w:t>
      </w:r>
      <w:r w:rsidR="00DD364A" w:rsidRPr="009041AB">
        <w:rPr>
          <w:spacing w:val="-6"/>
        </w:rPr>
        <w:t>(na přepočtené zaměstnance)</w:t>
      </w:r>
      <w:r w:rsidR="00D45D8D" w:rsidRPr="009041AB">
        <w:rPr>
          <w:spacing w:val="-6"/>
        </w:rPr>
        <w:t xml:space="preserve"> mírně vyšších</w:t>
      </w:r>
      <w:r w:rsidR="00EF6C22" w:rsidRPr="009041AB">
        <w:rPr>
          <w:spacing w:val="-6"/>
        </w:rPr>
        <w:t> 25 </w:t>
      </w:r>
      <w:r w:rsidR="001D6224" w:rsidRPr="009041AB">
        <w:rPr>
          <w:spacing w:val="-6"/>
        </w:rPr>
        <w:t>624</w:t>
      </w:r>
      <w:r w:rsidRPr="009041AB">
        <w:rPr>
          <w:spacing w:val="-6"/>
        </w:rPr>
        <w:t xml:space="preserve"> korun. </w:t>
      </w:r>
      <w:r w:rsidR="00FB2059" w:rsidRPr="009041AB">
        <w:rPr>
          <w:spacing w:val="-6"/>
        </w:rPr>
        <w:t>M</w:t>
      </w:r>
      <w:r w:rsidRPr="009041AB">
        <w:rPr>
          <w:spacing w:val="-6"/>
        </w:rPr>
        <w:t>eziroční přírůstek</w:t>
      </w:r>
      <w:r w:rsidR="00FB2059" w:rsidRPr="009041AB">
        <w:rPr>
          <w:spacing w:val="-6"/>
        </w:rPr>
        <w:t xml:space="preserve"> průměrné mzdy</w:t>
      </w:r>
      <w:r w:rsidRPr="009041AB">
        <w:rPr>
          <w:spacing w:val="-6"/>
        </w:rPr>
        <w:t xml:space="preserve"> </w:t>
      </w:r>
      <w:r w:rsidR="00471237" w:rsidRPr="009041AB">
        <w:rPr>
          <w:spacing w:val="-6"/>
        </w:rPr>
        <w:t>činil</w:t>
      </w:r>
      <w:r w:rsidRPr="009041AB">
        <w:rPr>
          <w:spacing w:val="-6"/>
        </w:rPr>
        <w:t xml:space="preserve"> v obou případech 2,2 %.</w:t>
      </w:r>
    </w:p>
    <w:p w:rsidR="00842337" w:rsidRPr="006D6A9C" w:rsidRDefault="00842337" w:rsidP="00AA20E1">
      <w:pPr>
        <w:rPr>
          <w:sz w:val="18"/>
          <w:szCs w:val="18"/>
        </w:rPr>
      </w:pPr>
    </w:p>
    <w:p w:rsidR="006E2EE3" w:rsidRPr="00652CC3" w:rsidRDefault="00585DE3" w:rsidP="00AA20E1">
      <w:r w:rsidRPr="00652CC3">
        <w:t xml:space="preserve">Zde </w:t>
      </w:r>
      <w:r w:rsidR="00FB2059" w:rsidRPr="00652CC3">
        <w:t>poznamenejme</w:t>
      </w:r>
      <w:r w:rsidRPr="00652CC3">
        <w:t xml:space="preserve">, že relativně </w:t>
      </w:r>
      <w:r w:rsidR="00AA20E1" w:rsidRPr="00652CC3">
        <w:t xml:space="preserve">slabé </w:t>
      </w:r>
      <w:r w:rsidR="00FB2059" w:rsidRPr="00652CC3">
        <w:t xml:space="preserve">meziroční </w:t>
      </w:r>
      <w:r w:rsidR="00AA20E1" w:rsidRPr="00652CC3">
        <w:t>zvýšení průměrné mzdy</w:t>
      </w:r>
      <w:r w:rsidR="007E7C09" w:rsidRPr="00652CC3">
        <w:t xml:space="preserve"> v sektoru nefinančních podniků</w:t>
      </w:r>
      <w:r w:rsidRPr="00652CC3">
        <w:t xml:space="preserve"> v prvních třech kvartálech roku 2014 se</w:t>
      </w:r>
      <w:r w:rsidR="00AA20E1" w:rsidRPr="00652CC3">
        <w:t> </w:t>
      </w:r>
      <w:r w:rsidRPr="00652CC3">
        <w:t>jeví ještě hůře, pokud si</w:t>
      </w:r>
      <w:r w:rsidR="00423581">
        <w:t xml:space="preserve"> uvědomíme, že nárůst průměrné m</w:t>
      </w:r>
      <w:r w:rsidRPr="00652CC3">
        <w:t>zd</w:t>
      </w:r>
      <w:r w:rsidR="00423581">
        <w:t>y</w:t>
      </w:r>
      <w:r w:rsidR="00E651A4" w:rsidRPr="00652CC3">
        <w:t xml:space="preserve"> v tomto období</w:t>
      </w:r>
      <w:r w:rsidRPr="00652CC3">
        <w:t xml:space="preserve"> byl příznivě ovlivněn nízkou srovnávací základnou související s</w:t>
      </w:r>
      <w:r w:rsidR="00EF6C22" w:rsidRPr="00652CC3">
        <w:t> </w:t>
      </w:r>
      <w:r w:rsidR="00E651A4" w:rsidRPr="00652CC3">
        <w:t>avizo</w:t>
      </w:r>
      <w:r w:rsidR="0022467D" w:rsidRPr="00652CC3">
        <w:t>vaným zavedením solidární daně od počátku roku</w:t>
      </w:r>
      <w:r w:rsidR="008A1067" w:rsidRPr="00652CC3">
        <w:t xml:space="preserve"> 2013 a </w:t>
      </w:r>
      <w:r w:rsidR="008A1067" w:rsidRPr="00652CC3">
        <w:lastRenderedPageBreak/>
        <w:t>následným přesunem</w:t>
      </w:r>
      <w:r w:rsidRPr="00652CC3">
        <w:t> </w:t>
      </w:r>
      <w:r w:rsidR="008A1067" w:rsidRPr="00652CC3">
        <w:t>výplaty</w:t>
      </w:r>
      <w:r w:rsidRPr="00652CC3">
        <w:t xml:space="preserve"> odměn</w:t>
      </w:r>
      <w:r w:rsidR="005E750F" w:rsidRPr="00652CC3">
        <w:t xml:space="preserve"> vysoko-příjmovým zaměstnancům</w:t>
      </w:r>
      <w:r w:rsidRPr="00652CC3">
        <w:t xml:space="preserve"> </w:t>
      </w:r>
      <w:r w:rsidR="008A1067" w:rsidRPr="00652CC3">
        <w:t>z počátku roku 2013 na konec roku 2012</w:t>
      </w:r>
      <w:r w:rsidRPr="00652CC3">
        <w:t>.</w:t>
      </w:r>
      <w:r w:rsidR="00842337" w:rsidRPr="00652CC3">
        <w:t xml:space="preserve"> Nebýt tohoto </w:t>
      </w:r>
      <w:r w:rsidR="007944D5">
        <w:t>mimořádného</w:t>
      </w:r>
      <w:r w:rsidR="00842337" w:rsidRPr="00652CC3">
        <w:t xml:space="preserve"> jevu, </w:t>
      </w:r>
      <w:r w:rsidR="007C497D" w:rsidRPr="00652CC3">
        <w:t xml:space="preserve">meziroční </w:t>
      </w:r>
      <w:r w:rsidR="00842337" w:rsidRPr="00652CC3">
        <w:t>přírůstek průměrné mzdy</w:t>
      </w:r>
      <w:r w:rsidR="00E651A4" w:rsidRPr="00652CC3">
        <w:t xml:space="preserve"> v prvních třech kvartálech roku 2014</w:t>
      </w:r>
      <w:r w:rsidR="0052078B" w:rsidRPr="00652CC3">
        <w:t xml:space="preserve"> by byl ještě menší</w:t>
      </w:r>
      <w:r w:rsidR="00842337" w:rsidRPr="00652CC3">
        <w:t>.</w:t>
      </w:r>
    </w:p>
    <w:p w:rsidR="002F121D" w:rsidRPr="002F121D" w:rsidRDefault="002F121D" w:rsidP="006E2EE3">
      <w:pPr>
        <w:rPr>
          <w:sz w:val="28"/>
          <w:szCs w:val="28"/>
        </w:rPr>
      </w:pPr>
    </w:p>
    <w:p w:rsidR="006E2EE3" w:rsidRDefault="00652CC3" w:rsidP="006E2EE3">
      <w:pPr>
        <w:spacing w:after="120"/>
        <w:rPr>
          <w:b/>
        </w:rPr>
      </w:pPr>
      <w:r>
        <w:rPr>
          <w:b/>
        </w:rPr>
        <w:t xml:space="preserve">Firmy volné prostředky </w:t>
      </w:r>
      <w:r w:rsidR="00D90FD3">
        <w:rPr>
          <w:b/>
        </w:rPr>
        <w:t>investovaly</w:t>
      </w:r>
      <w:r>
        <w:rPr>
          <w:b/>
        </w:rPr>
        <w:t xml:space="preserve">, </w:t>
      </w:r>
      <w:r w:rsidR="00D90FD3">
        <w:rPr>
          <w:b/>
        </w:rPr>
        <w:t xml:space="preserve">zlepšovaly </w:t>
      </w:r>
      <w:r>
        <w:rPr>
          <w:b/>
        </w:rPr>
        <w:t>ale i svou finanční pozici</w:t>
      </w:r>
    </w:p>
    <w:p w:rsidR="006E2EE3" w:rsidRDefault="00FF0CEF" w:rsidP="006E2EE3">
      <w:r>
        <w:t>Vysoké zisky, kterých nefinanční podniky</w:t>
      </w:r>
      <w:r w:rsidR="004112C8">
        <w:t xml:space="preserve"> </w:t>
      </w:r>
      <w:r w:rsidR="004A45F0">
        <w:t>v prvních třech čtvrtletích roku</w:t>
      </w:r>
      <w:r w:rsidR="004112C8">
        <w:t xml:space="preserve"> 2014</w:t>
      </w:r>
      <w:r>
        <w:t xml:space="preserve"> dosáhly, </w:t>
      </w:r>
      <w:r w:rsidR="004A45F0">
        <w:t xml:space="preserve">jejich vlastníci </w:t>
      </w:r>
      <w:r>
        <w:t>ve firmách</w:t>
      </w:r>
      <w:r w:rsidR="004A45F0">
        <w:t xml:space="preserve"> ponechali</w:t>
      </w:r>
      <w:r>
        <w:t>.</w:t>
      </w:r>
      <w:r w:rsidR="006110CD">
        <w:t xml:space="preserve"> Vyplývá to z údajů národních účtů.</w:t>
      </w:r>
      <w:r>
        <w:t xml:space="preserve"> Zatímco </w:t>
      </w:r>
      <w:r w:rsidR="004A45F0">
        <w:t xml:space="preserve">v kumulaci </w:t>
      </w:r>
      <w:r>
        <w:t xml:space="preserve">za první tři čtvrtletí roku 2013 dosáhla </w:t>
      </w:r>
      <w:r w:rsidR="001D6224">
        <w:t xml:space="preserve">nominální </w:t>
      </w:r>
      <w:r>
        <w:t xml:space="preserve">hodnota rozdělovaných důchodů </w:t>
      </w:r>
      <w:r w:rsidR="004112C8">
        <w:t>nefinančních podniků</w:t>
      </w:r>
      <w:r>
        <w:t xml:space="preserve"> 244,1 mld. korun, za stejné období roku 2014 </w:t>
      </w:r>
      <w:r w:rsidR="004112C8">
        <w:t xml:space="preserve">tyto společnosti svým majitelům vyplatily </w:t>
      </w:r>
      <w:r>
        <w:t>v úhrnu jen 210,7 mld. korun. Jednalo se o</w:t>
      </w:r>
      <w:r w:rsidR="004A45F0">
        <w:t> </w:t>
      </w:r>
      <w:r>
        <w:t>nejmenší částku od</w:t>
      </w:r>
      <w:r w:rsidR="004112C8">
        <w:t> </w:t>
      </w:r>
      <w:r>
        <w:t>srovnatel</w:t>
      </w:r>
      <w:r w:rsidR="004112C8">
        <w:t>ného období roku 2006. Jak</w:t>
      </w:r>
      <w:r w:rsidR="004A45F0">
        <w:t xml:space="preserve"> tedy</w:t>
      </w:r>
      <w:r w:rsidR="00647EE5">
        <w:t xml:space="preserve"> firmy s</w:t>
      </w:r>
      <w:r w:rsidR="004112C8">
        <w:t xml:space="preserve"> prostředky naložily? Posílily investice a zlepšily svou finanční pozici.</w:t>
      </w:r>
    </w:p>
    <w:p w:rsidR="004112C8" w:rsidRDefault="004112C8" w:rsidP="006E2EE3"/>
    <w:p w:rsidR="006E2EE3" w:rsidRPr="002F121D" w:rsidRDefault="004112C8" w:rsidP="006E2EE3">
      <w:r w:rsidRPr="002F121D">
        <w:t xml:space="preserve">Ve 4. kvartále roku 2013, kdy již bylo zřejmé, že je ekonomika na vzestupu, začaly nefinanční podniky zvyšovat hodnotu prostředků směřovaných do nákupů investičního zboží a služeb. Meziroční přírůstek tvorby hrubého fixního </w:t>
      </w:r>
      <w:r w:rsidR="00382914">
        <w:t>kapitálu se překlopil z mírného</w:t>
      </w:r>
      <w:r w:rsidRPr="002F121D">
        <w:t xml:space="preserve"> poklesu do růstu</w:t>
      </w:r>
      <w:r w:rsidR="00FB359F" w:rsidRPr="002F121D">
        <w:t>, který</w:t>
      </w:r>
      <w:r w:rsidR="004A45F0" w:rsidRPr="002F121D">
        <w:t xml:space="preserve"> navíc</w:t>
      </w:r>
      <w:r w:rsidR="008E7155">
        <w:t xml:space="preserve"> v průběhu roku 2014 zrychli</w:t>
      </w:r>
      <w:r w:rsidR="00FB359F" w:rsidRPr="002F121D">
        <w:t>l</w:t>
      </w:r>
      <w:r w:rsidR="00F51050" w:rsidRPr="002F121D">
        <w:t xml:space="preserve"> (graf č. 7)</w:t>
      </w:r>
      <w:r w:rsidR="00FB359F" w:rsidRPr="002F121D">
        <w:t>. Zatímco v prvních třech čtvrtle</w:t>
      </w:r>
      <w:r w:rsidR="004A45F0" w:rsidRPr="002F121D">
        <w:t>tích roku 2013</w:t>
      </w:r>
      <w:r w:rsidR="001D6224">
        <w:t xml:space="preserve"> nominální</w:t>
      </w:r>
      <w:r w:rsidR="004A45F0" w:rsidRPr="002F121D">
        <w:t xml:space="preserve"> hodnota investic</w:t>
      </w:r>
      <w:r w:rsidR="00FB359F" w:rsidRPr="002F121D">
        <w:t xml:space="preserve"> nefinančních podniků v</w:t>
      </w:r>
      <w:r w:rsidR="002F121D" w:rsidRPr="002F121D">
        <w:t> </w:t>
      </w:r>
      <w:r w:rsidR="00FB359F" w:rsidRPr="002F121D">
        <w:t>úhrnu</w:t>
      </w:r>
      <w:r w:rsidR="002F121D" w:rsidRPr="002F121D">
        <w:t xml:space="preserve"> meziročně</w:t>
      </w:r>
      <w:r w:rsidR="00FB359F" w:rsidRPr="002F121D">
        <w:t xml:space="preserve"> o</w:t>
      </w:r>
      <w:r w:rsidR="001D6224">
        <w:t> </w:t>
      </w:r>
      <w:r w:rsidR="00FB359F" w:rsidRPr="002F121D">
        <w:t>4,5</w:t>
      </w:r>
      <w:r w:rsidR="001D6224">
        <w:t> </w:t>
      </w:r>
      <w:r w:rsidR="00FB359F" w:rsidRPr="002F121D">
        <w:t>% klesla, za</w:t>
      </w:r>
      <w:r w:rsidR="00382914">
        <w:t> </w:t>
      </w:r>
      <w:r w:rsidR="008E7155">
        <w:t>stejné období roku 2014 o 6,8</w:t>
      </w:r>
      <w:r w:rsidR="00FB359F" w:rsidRPr="002F121D">
        <w:t xml:space="preserve"> % </w:t>
      </w:r>
      <w:r w:rsidR="004A45F0" w:rsidRPr="002F121D">
        <w:t>posílila</w:t>
      </w:r>
      <w:r w:rsidR="00FB359F" w:rsidRPr="002F121D">
        <w:t>.</w:t>
      </w:r>
    </w:p>
    <w:p w:rsidR="006E2EE3" w:rsidRDefault="006E2EE3" w:rsidP="006E2EE3"/>
    <w:p w:rsidR="005472DF" w:rsidRPr="000B69D2" w:rsidRDefault="00DF3C30" w:rsidP="006E2EE3">
      <w:r w:rsidRPr="000B69D2">
        <w:t xml:space="preserve">I </w:t>
      </w:r>
      <w:r w:rsidR="00F51050" w:rsidRPr="000B69D2">
        <w:t>přestože česká ekonomika</w:t>
      </w:r>
      <w:r w:rsidR="004A45F0" w:rsidRPr="000B69D2">
        <w:t xml:space="preserve"> dosahovala</w:t>
      </w:r>
      <w:r w:rsidR="00F51050" w:rsidRPr="000B69D2">
        <w:t> od konce roku 2013 dobrých výsledků,</w:t>
      </w:r>
      <w:r w:rsidRPr="000B69D2">
        <w:t xml:space="preserve"> firmy</w:t>
      </w:r>
      <w:r w:rsidR="00F51050" w:rsidRPr="000B69D2">
        <w:t xml:space="preserve"> si zřejmě</w:t>
      </w:r>
      <w:r w:rsidRPr="000B69D2">
        <w:t xml:space="preserve"> nebyly dostatečně jisté, zda</w:t>
      </w:r>
      <w:r w:rsidR="00F51050" w:rsidRPr="000B69D2">
        <w:t xml:space="preserve"> tento příznivý vývoj</w:t>
      </w:r>
      <w:r w:rsidRPr="000B69D2">
        <w:t xml:space="preserve"> přetrvá i</w:t>
      </w:r>
      <w:r w:rsidR="00D90FD3">
        <w:t xml:space="preserve"> v</w:t>
      </w:r>
      <w:r w:rsidRPr="000B69D2">
        <w:t xml:space="preserve"> delším horizontu. Proto ne všechny prostředky </w:t>
      </w:r>
      <w:r w:rsidR="00F51050" w:rsidRPr="000B69D2">
        <w:t>proinvestovaly. Jak vyplývá z</w:t>
      </w:r>
      <w:r w:rsidR="00FE7850">
        <w:t> nominální hodnoty</w:t>
      </w:r>
      <w:r w:rsidR="00F51050" w:rsidRPr="000B69D2">
        <w:t xml:space="preserve"> čistých půjček/výpůjček (graf č. 8), přebytek nefinančních podniků dosáhl v kumulaci za první tři kvartály roku 2014 </w:t>
      </w:r>
      <w:r w:rsidR="007E7E80">
        <w:t>vysokých</w:t>
      </w:r>
      <w:r w:rsidR="00F51050" w:rsidRPr="000B69D2">
        <w:t> 33,6 mld. korun. To bylo v kontextu vývoje předchozích let velmi neobvyklé, a značilo, že </w:t>
      </w:r>
      <w:r w:rsidR="00884EAA" w:rsidRPr="000B69D2">
        <w:t>firmám zůstaly volné prostředky. Jimi zlepšily svojí</w:t>
      </w:r>
      <w:r w:rsidR="000B69D2" w:rsidRPr="000B69D2">
        <w:t xml:space="preserve"> finanční pozici.</w:t>
      </w:r>
    </w:p>
    <w:p w:rsidR="006E2EE3" w:rsidRDefault="006E2EE3" w:rsidP="006E2EE3"/>
    <w:tbl>
      <w:tblPr>
        <w:tblW w:w="5019" w:type="pct"/>
        <w:tblInd w:w="-34" w:type="dxa"/>
        <w:tblLook w:val="00A0"/>
      </w:tblPr>
      <w:tblGrid>
        <w:gridCol w:w="763"/>
        <w:gridCol w:w="3584"/>
        <w:gridCol w:w="642"/>
        <w:gridCol w:w="3765"/>
      </w:tblGrid>
      <w:tr w:rsidR="006E2EE3" w:rsidRPr="007D44C3" w:rsidTr="00795990">
        <w:tc>
          <w:tcPr>
            <w:tcW w:w="438" w:type="pct"/>
          </w:tcPr>
          <w:p w:rsidR="006E2EE3" w:rsidRPr="007D44C3" w:rsidRDefault="006E2EE3" w:rsidP="00891D24">
            <w:pPr>
              <w:pStyle w:val="Textpoznpodarou"/>
            </w:pPr>
            <w:r>
              <w:t>Graf č. 7:</w:t>
            </w:r>
          </w:p>
        </w:tc>
        <w:tc>
          <w:tcPr>
            <w:tcW w:w="2062" w:type="pct"/>
          </w:tcPr>
          <w:p w:rsidR="006E2EE3" w:rsidRPr="005F3B47" w:rsidRDefault="006E2EE3" w:rsidP="006E2EE3">
            <w:pPr>
              <w:pStyle w:val="Textpoznpodarou"/>
              <w:jc w:val="left"/>
              <w:rPr>
                <w:spacing w:val="-6"/>
              </w:rPr>
            </w:pPr>
            <w:r>
              <w:rPr>
                <w:b/>
                <w:spacing w:val="-6"/>
              </w:rPr>
              <w:t>Tvorba hrubého fixního kapitálu nefinančních podniků</w:t>
            </w:r>
            <w:r w:rsidRPr="005F3B47">
              <w:rPr>
                <w:spacing w:val="-6"/>
              </w:rPr>
              <w:t xml:space="preserve"> (</w:t>
            </w:r>
            <w:r>
              <w:rPr>
                <w:spacing w:val="-6"/>
              </w:rPr>
              <w:t>nominálně</w:t>
            </w:r>
            <w:r w:rsidRPr="005F3B47">
              <w:rPr>
                <w:spacing w:val="-6"/>
              </w:rPr>
              <w:t>; bez sezónního očištění)</w:t>
            </w:r>
          </w:p>
        </w:tc>
        <w:tc>
          <w:tcPr>
            <w:tcW w:w="363" w:type="pct"/>
          </w:tcPr>
          <w:p w:rsidR="006E2EE3" w:rsidRPr="005F3B47" w:rsidRDefault="006E2EE3" w:rsidP="00891D24">
            <w:pPr>
              <w:pStyle w:val="Textpoznpodarou"/>
              <w:rPr>
                <w:spacing w:val="-6"/>
              </w:rPr>
            </w:pPr>
            <w:r>
              <w:rPr>
                <w:spacing w:val="-6"/>
              </w:rPr>
              <w:t>Graf č. 8</w:t>
            </w:r>
            <w:r w:rsidRPr="005F3B47">
              <w:rPr>
                <w:spacing w:val="-6"/>
              </w:rPr>
              <w:t>:</w:t>
            </w:r>
          </w:p>
        </w:tc>
        <w:tc>
          <w:tcPr>
            <w:tcW w:w="2137" w:type="pct"/>
          </w:tcPr>
          <w:p w:rsidR="006E2EE3" w:rsidRPr="005F3B47" w:rsidRDefault="006E2EE3" w:rsidP="00891D24">
            <w:pPr>
              <w:pStyle w:val="Textpoznpodarou"/>
              <w:jc w:val="left"/>
              <w:rPr>
                <w:spacing w:val="-6"/>
              </w:rPr>
            </w:pPr>
            <w:r>
              <w:rPr>
                <w:b/>
                <w:spacing w:val="-6"/>
              </w:rPr>
              <w:t>Čisté půjčky/výpůjčky nefinančních podniků</w:t>
            </w:r>
            <w:r w:rsidRPr="005F3B47">
              <w:rPr>
                <w:spacing w:val="-6"/>
              </w:rPr>
              <w:t xml:space="preserve"> (</w:t>
            </w:r>
            <w:r>
              <w:rPr>
                <w:spacing w:val="-6"/>
              </w:rPr>
              <w:t>nominálně</w:t>
            </w:r>
            <w:r w:rsidRPr="005F3B47">
              <w:rPr>
                <w:spacing w:val="-6"/>
              </w:rPr>
              <w:t>; bez sezónního očištění</w:t>
            </w:r>
            <w:r w:rsidR="00D90FD3">
              <w:rPr>
                <w:spacing w:val="-6"/>
                <w:lang w:val="en-US"/>
              </w:rPr>
              <w:t>;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6"/>
              </w:rPr>
              <w:t>kumulace za první tři čtvrtletí</w:t>
            </w:r>
            <w:r w:rsidRPr="005F3B47">
              <w:rPr>
                <w:spacing w:val="-6"/>
              </w:rPr>
              <w:t>)</w:t>
            </w:r>
          </w:p>
        </w:tc>
      </w:tr>
      <w:tr w:rsidR="006E2EE3" w:rsidRPr="007D44C3" w:rsidTr="00795990">
        <w:tc>
          <w:tcPr>
            <w:tcW w:w="2500" w:type="pct"/>
            <w:gridSpan w:val="2"/>
          </w:tcPr>
          <w:p w:rsidR="006E2EE3" w:rsidRPr="007D44C3" w:rsidRDefault="00795990" w:rsidP="00891D24">
            <w:pPr>
              <w:pStyle w:val="Textpoznpodarou"/>
            </w:pPr>
            <w:r w:rsidRPr="00795990">
              <w:rPr>
                <w:noProof/>
                <w:lang w:eastAsia="cs-CZ"/>
              </w:rPr>
              <w:drawing>
                <wp:inline distT="0" distB="0" distL="0" distR="0">
                  <wp:extent cx="2619375" cy="2291282"/>
                  <wp:effectExtent l="19050" t="0" r="9525" b="0"/>
                  <wp:docPr id="6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596" cy="229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</w:tcPr>
          <w:p w:rsidR="006E2EE3" w:rsidRPr="007D44C3" w:rsidRDefault="00C20BD2" w:rsidP="00891D24">
            <w:pPr>
              <w:pStyle w:val="Textpoznpodarou"/>
            </w:pPr>
            <w:r w:rsidRPr="00C20BD2">
              <w:rPr>
                <w:noProof/>
                <w:lang w:eastAsia="cs-CZ"/>
              </w:rPr>
              <w:drawing>
                <wp:inline distT="0" distB="0" distL="0" distR="0">
                  <wp:extent cx="2657475" cy="2291282"/>
                  <wp:effectExtent l="19050" t="0" r="9525" b="0"/>
                  <wp:docPr id="50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14" cy="229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EE3" w:rsidRPr="007D44C3" w:rsidTr="00795990">
        <w:tc>
          <w:tcPr>
            <w:tcW w:w="5000" w:type="pct"/>
            <w:gridSpan w:val="4"/>
          </w:tcPr>
          <w:p w:rsidR="006E2EE3" w:rsidRPr="00B32969" w:rsidRDefault="006E2EE3" w:rsidP="00891D24">
            <w:pPr>
              <w:pStyle w:val="Textpoznpodarou"/>
              <w:jc w:val="right"/>
              <w:rPr>
                <w:sz w:val="16"/>
                <w:szCs w:val="16"/>
              </w:rPr>
            </w:pPr>
            <w:r w:rsidRPr="00B32969">
              <w:rPr>
                <w:sz w:val="16"/>
                <w:szCs w:val="16"/>
              </w:rPr>
              <w:t>Pramen: ČSÚ</w:t>
            </w:r>
            <w:r w:rsidR="005472DF" w:rsidRPr="00B32969">
              <w:rPr>
                <w:sz w:val="16"/>
                <w:szCs w:val="16"/>
              </w:rPr>
              <w:t>, vlastní propočty</w:t>
            </w:r>
          </w:p>
        </w:tc>
      </w:tr>
    </w:tbl>
    <w:p w:rsidR="0037154C" w:rsidRDefault="0037154C" w:rsidP="0037154C">
      <w:pPr>
        <w:spacing w:after="120"/>
        <w:rPr>
          <w:b/>
        </w:rPr>
      </w:pPr>
      <w:r>
        <w:rPr>
          <w:b/>
        </w:rPr>
        <w:lastRenderedPageBreak/>
        <w:t>Závěr</w:t>
      </w:r>
    </w:p>
    <w:p w:rsidR="006E2EE3" w:rsidRPr="00F87216" w:rsidRDefault="00E70E0B" w:rsidP="005472DF">
      <w:r w:rsidRPr="00F87216">
        <w:t xml:space="preserve">Firmám v České republice, jak </w:t>
      </w:r>
      <w:r w:rsidR="008E6F6D" w:rsidRPr="00F87216">
        <w:t>vyplývá</w:t>
      </w:r>
      <w:r w:rsidRPr="00F87216">
        <w:t xml:space="preserve"> z</w:t>
      </w:r>
      <w:r w:rsidR="00F87216" w:rsidRPr="00F87216">
        <w:t xml:space="preserve"> nominálních</w:t>
      </w:r>
      <w:r w:rsidRPr="00F87216">
        <w:t> údajů za první tři čtvrt</w:t>
      </w:r>
      <w:r w:rsidR="008C007A" w:rsidRPr="00F87216">
        <w:t>letí roku 2014, se dařilo</w:t>
      </w:r>
      <w:r w:rsidRPr="00F87216">
        <w:t xml:space="preserve">. </w:t>
      </w:r>
      <w:r w:rsidR="00256BD9" w:rsidRPr="00F87216">
        <w:t xml:space="preserve">Meziroční přírůstky </w:t>
      </w:r>
      <w:r w:rsidRPr="00F87216">
        <w:t xml:space="preserve">tržeb </w:t>
      </w:r>
      <w:r w:rsidR="00EF6E83">
        <w:t>zpracovatelského průmyslu</w:t>
      </w:r>
      <w:r w:rsidRPr="00F87216">
        <w:t xml:space="preserve"> </w:t>
      </w:r>
      <w:r w:rsidR="008C007A" w:rsidRPr="00F87216">
        <w:t>dosahovaly</w:t>
      </w:r>
      <w:r w:rsidR="00E86E93">
        <w:t xml:space="preserve"> díky rostoucí poptávce a vyšším vývozním cenám</w:t>
      </w:r>
      <w:r w:rsidR="00BB1941" w:rsidRPr="00F87216">
        <w:t xml:space="preserve"> </w:t>
      </w:r>
      <w:r w:rsidR="00256BD9" w:rsidRPr="00F87216">
        <w:t>dvouciferných hodnot</w:t>
      </w:r>
      <w:r w:rsidR="008C007A" w:rsidRPr="00F87216">
        <w:t>, posilovaly</w:t>
      </w:r>
      <w:r w:rsidR="00E86E93">
        <w:t xml:space="preserve"> ale</w:t>
      </w:r>
      <w:r w:rsidRPr="00F87216">
        <w:t xml:space="preserve"> i tržby maloobchodních prodejců a </w:t>
      </w:r>
      <w:r w:rsidR="00BB1941" w:rsidRPr="00F87216">
        <w:t xml:space="preserve">poskytovatelů služeb. </w:t>
      </w:r>
      <w:r w:rsidR="008E6F6D" w:rsidRPr="00F87216">
        <w:t>Dlouhodobý pokles stavební produkce, který spočíval v nízké poptávce</w:t>
      </w:r>
      <w:r w:rsidR="00BB1941" w:rsidRPr="00F87216">
        <w:t xml:space="preserve"> po stavebních činnostec</w:t>
      </w:r>
      <w:r w:rsidR="00F34D69" w:rsidRPr="00F87216">
        <w:t>h –</w:t>
      </w:r>
      <w:r w:rsidR="00BB1941" w:rsidRPr="00F87216">
        <w:t xml:space="preserve"> a to jak ze strany s</w:t>
      </w:r>
      <w:r w:rsidR="00F34D69" w:rsidRPr="00F87216">
        <w:t>ou</w:t>
      </w:r>
      <w:r w:rsidR="00EF6E83">
        <w:t>kromého tak veřejného sektoru –</w:t>
      </w:r>
      <w:r w:rsidR="00BB1941" w:rsidRPr="00F87216">
        <w:t xml:space="preserve"> </w:t>
      </w:r>
      <w:r w:rsidR="008C007A" w:rsidRPr="00F87216">
        <w:t xml:space="preserve">se </w:t>
      </w:r>
      <w:r w:rsidR="008E6F6D" w:rsidRPr="00F87216">
        <w:t>také zvrátil.</w:t>
      </w:r>
    </w:p>
    <w:p w:rsidR="00BB1941" w:rsidRDefault="00BB1941" w:rsidP="005472DF"/>
    <w:p w:rsidR="005C32F7" w:rsidRPr="000219E7" w:rsidRDefault="005C32F7" w:rsidP="005C32F7">
      <w:pPr>
        <w:rPr>
          <w:spacing w:val="-4"/>
        </w:rPr>
      </w:pPr>
      <w:r w:rsidRPr="000219E7">
        <w:rPr>
          <w:spacing w:val="-4"/>
        </w:rPr>
        <w:t xml:space="preserve">Tuzemské firmy si i přes dobré výsledky </w:t>
      </w:r>
      <w:r w:rsidR="000219E7" w:rsidRPr="000219E7">
        <w:rPr>
          <w:spacing w:val="-4"/>
        </w:rPr>
        <w:t xml:space="preserve">z prvních třech kvartálů roku 2014 </w:t>
      </w:r>
      <w:r w:rsidRPr="000219E7">
        <w:rPr>
          <w:spacing w:val="-4"/>
        </w:rPr>
        <w:t>zřejmě</w:t>
      </w:r>
      <w:r w:rsidR="00BE11F5" w:rsidRPr="000219E7">
        <w:rPr>
          <w:spacing w:val="-4"/>
        </w:rPr>
        <w:t xml:space="preserve"> </w:t>
      </w:r>
      <w:r w:rsidRPr="000219E7">
        <w:rPr>
          <w:spacing w:val="-4"/>
        </w:rPr>
        <w:t xml:space="preserve">nebyly dostatečně jisté, zda mohou s příznivým vývojem ekonomiky počítat i v delším časovém horizontu. I z toho důvodu byla jejich personální politika spíše </w:t>
      </w:r>
      <w:r w:rsidR="00A23E54">
        <w:rPr>
          <w:spacing w:val="-4"/>
        </w:rPr>
        <w:t>opatrná</w:t>
      </w:r>
      <w:r w:rsidR="000219E7" w:rsidRPr="000219E7">
        <w:rPr>
          <w:spacing w:val="-4"/>
        </w:rPr>
        <w:t>. E</w:t>
      </w:r>
      <w:r w:rsidRPr="000219E7">
        <w:rPr>
          <w:spacing w:val="-4"/>
        </w:rPr>
        <w:t>videnční počet zaměstnanců v</w:t>
      </w:r>
      <w:r w:rsidR="000219E7">
        <w:rPr>
          <w:spacing w:val="-4"/>
        </w:rPr>
        <w:t> </w:t>
      </w:r>
      <w:r w:rsidR="00BE11F5" w:rsidRPr="000219E7">
        <w:rPr>
          <w:spacing w:val="-4"/>
        </w:rPr>
        <w:t>sektoru nefinančních podniků</w:t>
      </w:r>
      <w:r w:rsidRPr="000219E7">
        <w:rPr>
          <w:spacing w:val="-4"/>
        </w:rPr>
        <w:t xml:space="preserve"> narostl v kumulaci za první tři čtvrtletí roku 2014 jen o 1,0 % meziročně, průměrná mzda</w:t>
      </w:r>
      <w:r w:rsidR="00BE11F5" w:rsidRPr="000219E7">
        <w:rPr>
          <w:spacing w:val="-4"/>
        </w:rPr>
        <w:t xml:space="preserve"> těchto zaměstnanců</w:t>
      </w:r>
      <w:r w:rsidRPr="000219E7">
        <w:rPr>
          <w:spacing w:val="-4"/>
        </w:rPr>
        <w:t xml:space="preserve"> se v nominálním vyjádření zvýšila o 2,2 %.</w:t>
      </w:r>
    </w:p>
    <w:p w:rsidR="005C32F7" w:rsidRDefault="005C32F7" w:rsidP="005472DF">
      <w:pPr>
        <w:rPr>
          <w:spacing w:val="-2"/>
        </w:rPr>
      </w:pPr>
    </w:p>
    <w:p w:rsidR="00BB1941" w:rsidRPr="00C137B8" w:rsidRDefault="008C007A" w:rsidP="005472DF">
      <w:pPr>
        <w:rPr>
          <w:spacing w:val="-2"/>
        </w:rPr>
      </w:pPr>
      <w:r w:rsidRPr="00C137B8">
        <w:rPr>
          <w:spacing w:val="-2"/>
        </w:rPr>
        <w:t xml:space="preserve">Nárůst </w:t>
      </w:r>
      <w:r w:rsidR="005C32F7">
        <w:rPr>
          <w:spacing w:val="-2"/>
        </w:rPr>
        <w:t>odbytu</w:t>
      </w:r>
      <w:r w:rsidRPr="00C137B8">
        <w:rPr>
          <w:spacing w:val="-2"/>
        </w:rPr>
        <w:t xml:space="preserve"> tuzemských firem</w:t>
      </w:r>
      <w:r w:rsidR="00BE11F5">
        <w:rPr>
          <w:spacing w:val="-2"/>
        </w:rPr>
        <w:t>,</w:t>
      </w:r>
      <w:r w:rsidR="005C32F7">
        <w:rPr>
          <w:spacing w:val="-2"/>
        </w:rPr>
        <w:t xml:space="preserve"> </w:t>
      </w:r>
      <w:r w:rsidR="00BE11F5">
        <w:rPr>
          <w:spacing w:val="-2"/>
        </w:rPr>
        <w:t>doprovázený</w:t>
      </w:r>
      <w:r w:rsidR="005C32F7">
        <w:rPr>
          <w:spacing w:val="-2"/>
        </w:rPr>
        <w:t> </w:t>
      </w:r>
      <w:r w:rsidR="00A23E54">
        <w:rPr>
          <w:spacing w:val="-2"/>
        </w:rPr>
        <w:t>opatrnou</w:t>
      </w:r>
      <w:r w:rsidR="005C32F7">
        <w:rPr>
          <w:spacing w:val="-2"/>
        </w:rPr>
        <w:t xml:space="preserve"> personální politikou</w:t>
      </w:r>
      <w:r w:rsidR="00BE11F5">
        <w:rPr>
          <w:spacing w:val="-2"/>
        </w:rPr>
        <w:t>,</w:t>
      </w:r>
      <w:r w:rsidRPr="00C137B8">
        <w:rPr>
          <w:spacing w:val="-2"/>
        </w:rPr>
        <w:t xml:space="preserve"> </w:t>
      </w:r>
      <w:r w:rsidR="009C43F7" w:rsidRPr="00C137B8">
        <w:rPr>
          <w:spacing w:val="-2"/>
        </w:rPr>
        <w:t xml:space="preserve">se </w:t>
      </w:r>
      <w:r w:rsidR="008E6F6D" w:rsidRPr="00C137B8">
        <w:rPr>
          <w:spacing w:val="-2"/>
        </w:rPr>
        <w:t>pozitivně</w:t>
      </w:r>
      <w:r w:rsidR="009C43F7" w:rsidRPr="00C137B8">
        <w:rPr>
          <w:spacing w:val="-2"/>
        </w:rPr>
        <w:t xml:space="preserve"> promítal do jejich zisků</w:t>
      </w:r>
      <w:r w:rsidR="00BB1941" w:rsidRPr="00C137B8">
        <w:rPr>
          <w:spacing w:val="-2"/>
        </w:rPr>
        <w:t xml:space="preserve">. </w:t>
      </w:r>
      <w:r w:rsidR="00F87216">
        <w:rPr>
          <w:spacing w:val="-2"/>
        </w:rPr>
        <w:t>Nominální hodnota hrubého</w:t>
      </w:r>
      <w:r w:rsidR="00BB1941" w:rsidRPr="00C137B8">
        <w:rPr>
          <w:spacing w:val="-2"/>
        </w:rPr>
        <w:t xml:space="preserve"> provozní</w:t>
      </w:r>
      <w:r w:rsidR="00F87216">
        <w:rPr>
          <w:spacing w:val="-2"/>
        </w:rPr>
        <w:t>ho přebyt</w:t>
      </w:r>
      <w:r w:rsidR="00BB1941" w:rsidRPr="00C137B8">
        <w:rPr>
          <w:spacing w:val="-2"/>
        </w:rPr>
        <w:t>k</w:t>
      </w:r>
      <w:r w:rsidR="00F87216">
        <w:rPr>
          <w:spacing w:val="-2"/>
        </w:rPr>
        <w:t>u</w:t>
      </w:r>
      <w:r w:rsidR="00C137B8" w:rsidRPr="00C137B8">
        <w:rPr>
          <w:spacing w:val="-2"/>
        </w:rPr>
        <w:t xml:space="preserve"> </w:t>
      </w:r>
      <w:r w:rsidR="00BB1941" w:rsidRPr="00C137B8">
        <w:rPr>
          <w:spacing w:val="-2"/>
        </w:rPr>
        <w:t>nefinančních podniků posílil</w:t>
      </w:r>
      <w:r w:rsidR="00F87216">
        <w:rPr>
          <w:spacing w:val="-2"/>
        </w:rPr>
        <w:t>a</w:t>
      </w:r>
      <w:r w:rsidR="00BB1941" w:rsidRPr="00C137B8">
        <w:rPr>
          <w:spacing w:val="-2"/>
        </w:rPr>
        <w:t xml:space="preserve"> v 1.</w:t>
      </w:r>
      <w:r w:rsidR="00B01ADB">
        <w:rPr>
          <w:spacing w:val="-2"/>
        </w:rPr>
        <w:t> </w:t>
      </w:r>
      <w:r w:rsidR="00BB1941" w:rsidRPr="00C137B8">
        <w:rPr>
          <w:spacing w:val="-2"/>
        </w:rPr>
        <w:t>čtvrtletí 2014 o 13,4 %</w:t>
      </w:r>
      <w:r w:rsidR="00AD19EF" w:rsidRPr="00C137B8">
        <w:rPr>
          <w:spacing w:val="-2"/>
        </w:rPr>
        <w:t xml:space="preserve"> meziročně</w:t>
      </w:r>
      <w:r w:rsidR="00B01ADB">
        <w:rPr>
          <w:spacing w:val="-2"/>
        </w:rPr>
        <w:t>, její</w:t>
      </w:r>
      <w:r w:rsidR="00BB1941" w:rsidRPr="00C137B8">
        <w:rPr>
          <w:spacing w:val="-2"/>
        </w:rPr>
        <w:t xml:space="preserve"> dynamika v průběhu roku ale dále akcelerovala, a ve</w:t>
      </w:r>
      <w:r w:rsidR="00B01ADB">
        <w:rPr>
          <w:spacing w:val="-2"/>
        </w:rPr>
        <w:t> </w:t>
      </w:r>
      <w:r w:rsidR="00BB1941" w:rsidRPr="00C137B8">
        <w:rPr>
          <w:spacing w:val="-2"/>
        </w:rPr>
        <w:t>3.</w:t>
      </w:r>
      <w:r w:rsidR="00B01ADB">
        <w:rPr>
          <w:spacing w:val="-2"/>
        </w:rPr>
        <w:t> </w:t>
      </w:r>
      <w:r w:rsidR="00BB1941" w:rsidRPr="00C137B8">
        <w:rPr>
          <w:spacing w:val="-2"/>
        </w:rPr>
        <w:t xml:space="preserve">kvartále </w:t>
      </w:r>
      <w:r w:rsidR="00B01ADB">
        <w:rPr>
          <w:spacing w:val="-2"/>
        </w:rPr>
        <w:t xml:space="preserve">její </w:t>
      </w:r>
      <w:r w:rsidR="00BB1941" w:rsidRPr="00C137B8">
        <w:rPr>
          <w:spacing w:val="-2"/>
        </w:rPr>
        <w:t>přírůstek</w:t>
      </w:r>
      <w:r w:rsidR="00B01ADB">
        <w:rPr>
          <w:spacing w:val="-2"/>
        </w:rPr>
        <w:t xml:space="preserve"> </w:t>
      </w:r>
      <w:r w:rsidR="00AD19EF" w:rsidRPr="00C137B8">
        <w:rPr>
          <w:spacing w:val="-2"/>
        </w:rPr>
        <w:t>činil už</w:t>
      </w:r>
      <w:r w:rsidR="00BB1941" w:rsidRPr="00C137B8">
        <w:rPr>
          <w:spacing w:val="-2"/>
        </w:rPr>
        <w:t xml:space="preserve"> 17,5 %. Úhrnný nárůst</w:t>
      </w:r>
      <w:r w:rsidR="00AD19EF" w:rsidRPr="00C137B8">
        <w:rPr>
          <w:spacing w:val="-2"/>
        </w:rPr>
        <w:t xml:space="preserve"> hrubého provozního přebytku</w:t>
      </w:r>
      <w:r w:rsidR="00F448E8" w:rsidRPr="00C137B8">
        <w:rPr>
          <w:spacing w:val="-2"/>
        </w:rPr>
        <w:t xml:space="preserve"> těchto podniků</w:t>
      </w:r>
      <w:r w:rsidR="00AD19EF" w:rsidRPr="00C137B8">
        <w:rPr>
          <w:spacing w:val="-2"/>
        </w:rPr>
        <w:t xml:space="preserve"> za první tři čtvrtletí, dosahující 14,8</w:t>
      </w:r>
      <w:r w:rsidR="00C137B8" w:rsidRPr="00C137B8">
        <w:rPr>
          <w:spacing w:val="-2"/>
        </w:rPr>
        <w:t> </w:t>
      </w:r>
      <w:r w:rsidR="00AD19EF" w:rsidRPr="00C137B8">
        <w:rPr>
          <w:spacing w:val="-2"/>
        </w:rPr>
        <w:t>%, byl dokonce vyšší než</w:t>
      </w:r>
      <w:r w:rsidR="009C43F7" w:rsidRPr="00C137B8">
        <w:rPr>
          <w:spacing w:val="-2"/>
        </w:rPr>
        <w:t> </w:t>
      </w:r>
      <w:r w:rsidR="00AD19EF" w:rsidRPr="00C137B8">
        <w:rPr>
          <w:spacing w:val="-2"/>
        </w:rPr>
        <w:t>ve srovnatelných obdobích</w:t>
      </w:r>
      <w:r w:rsidR="003B5732" w:rsidRPr="00C137B8">
        <w:rPr>
          <w:spacing w:val="-2"/>
        </w:rPr>
        <w:t xml:space="preserve"> jednotlivých</w:t>
      </w:r>
      <w:r w:rsidR="00AD19EF" w:rsidRPr="00C137B8">
        <w:rPr>
          <w:spacing w:val="-2"/>
        </w:rPr>
        <w:t xml:space="preserve"> let konjunktury</w:t>
      </w:r>
      <w:r w:rsidR="00464FA6" w:rsidRPr="00C137B8">
        <w:rPr>
          <w:spacing w:val="-2"/>
        </w:rPr>
        <w:t xml:space="preserve"> 2005</w:t>
      </w:r>
      <w:r w:rsidR="00EA7D54" w:rsidRPr="007A0B43">
        <w:rPr>
          <w:spacing w:val="-2"/>
        </w:rPr>
        <w:t>–</w:t>
      </w:r>
      <w:r w:rsidR="00464FA6" w:rsidRPr="00C137B8">
        <w:rPr>
          <w:spacing w:val="-2"/>
        </w:rPr>
        <w:t>2008</w:t>
      </w:r>
      <w:r w:rsidR="00AD19EF" w:rsidRPr="00C137B8">
        <w:rPr>
          <w:spacing w:val="-2"/>
        </w:rPr>
        <w:t>.</w:t>
      </w:r>
    </w:p>
    <w:p w:rsidR="00AD19EF" w:rsidRDefault="00AD19EF" w:rsidP="005472DF"/>
    <w:p w:rsidR="00256BD9" w:rsidRPr="000B69D2" w:rsidRDefault="00E977C7" w:rsidP="005472DF">
      <w:pPr>
        <w:rPr>
          <w:color w:val="FF0000"/>
        </w:rPr>
      </w:pPr>
      <w:r>
        <w:t>Značné zvýšení</w:t>
      </w:r>
      <w:r w:rsidR="00C50E87" w:rsidRPr="000B69D2">
        <w:t xml:space="preserve"> zisků nefinančních podniků v</w:t>
      </w:r>
      <w:r w:rsidR="00766B9A" w:rsidRPr="000B69D2">
        <w:t> průběhu prvních třech</w:t>
      </w:r>
      <w:r w:rsidR="006470B9" w:rsidRPr="000B69D2">
        <w:t xml:space="preserve"> čtvrtletí roku 2014 </w:t>
      </w:r>
      <w:r w:rsidR="00340A2E" w:rsidRPr="000B69D2">
        <w:t>ve</w:t>
      </w:r>
      <w:r w:rsidR="000219E7">
        <w:t> </w:t>
      </w:r>
      <w:r w:rsidR="00340A2E" w:rsidRPr="000B69D2">
        <w:t>spojení s</w:t>
      </w:r>
      <w:r w:rsidR="00647EE5">
        <w:t> tím, že se vlastníci rozhod</w:t>
      </w:r>
      <w:r w:rsidR="000219E7">
        <w:t>li tyto prostředky ve firmách po</w:t>
      </w:r>
      <w:r w:rsidR="00647EE5">
        <w:t>nechat</w:t>
      </w:r>
      <w:r w:rsidR="002E4170">
        <w:t>,</w:t>
      </w:r>
      <w:r w:rsidR="00766B9A" w:rsidRPr="000B69D2">
        <w:t xml:space="preserve"> umož</w:t>
      </w:r>
      <w:r w:rsidR="00340A2E" w:rsidRPr="000B69D2">
        <w:t>nil</w:t>
      </w:r>
      <w:r w:rsidR="000219E7">
        <w:t>o</w:t>
      </w:r>
      <w:r w:rsidR="00766B9A" w:rsidRPr="000B69D2">
        <w:t xml:space="preserve"> f</w:t>
      </w:r>
      <w:r w:rsidR="00C50E87" w:rsidRPr="000B69D2">
        <w:t xml:space="preserve">irmám výrazně </w:t>
      </w:r>
      <w:r w:rsidR="00F95FBF">
        <w:t>posílit</w:t>
      </w:r>
      <w:r w:rsidR="00C50E87" w:rsidRPr="000B69D2">
        <w:t xml:space="preserve"> </w:t>
      </w:r>
      <w:r w:rsidR="00F95FBF">
        <w:t>investice</w:t>
      </w:r>
      <w:r w:rsidR="00C50E87" w:rsidRPr="000B69D2">
        <w:t>. Tento</w:t>
      </w:r>
      <w:r w:rsidR="00766B9A" w:rsidRPr="000B69D2">
        <w:t xml:space="preserve"> potenciál </w:t>
      </w:r>
      <w:r w:rsidR="00C50E87" w:rsidRPr="000B69D2">
        <w:t>ale nebyl zcela vyčerpán</w:t>
      </w:r>
      <w:r w:rsidR="00766B9A" w:rsidRPr="000B69D2">
        <w:t>.</w:t>
      </w:r>
      <w:r w:rsidR="006470B9" w:rsidRPr="000B69D2">
        <w:t xml:space="preserve"> </w:t>
      </w:r>
      <w:r w:rsidR="008C007A" w:rsidRPr="000B69D2">
        <w:t xml:space="preserve">Nefinanční podniky </w:t>
      </w:r>
      <w:r w:rsidR="00F95FBF">
        <w:t>zvýšily</w:t>
      </w:r>
      <w:r w:rsidR="00B01ADB">
        <w:t xml:space="preserve"> </w:t>
      </w:r>
      <w:r w:rsidR="00F95FBF">
        <w:t>své investiční výdaje v nominálním vyjádření</w:t>
      </w:r>
      <w:r w:rsidR="000B69D2">
        <w:t xml:space="preserve"> </w:t>
      </w:r>
      <w:r w:rsidR="006470B9" w:rsidRPr="000B69D2">
        <w:t xml:space="preserve">„jen“ o </w:t>
      </w:r>
      <w:r w:rsidR="00EF6E83">
        <w:t>6,8</w:t>
      </w:r>
      <w:r w:rsidR="008C007A" w:rsidRPr="000B69D2">
        <w:t xml:space="preserve"> %</w:t>
      </w:r>
      <w:r w:rsidR="00B01ADB">
        <w:t xml:space="preserve"> meziročně</w:t>
      </w:r>
      <w:r w:rsidR="008C007A" w:rsidRPr="000B69D2">
        <w:t xml:space="preserve"> a</w:t>
      </w:r>
      <w:r w:rsidR="00F95FBF">
        <w:t> </w:t>
      </w:r>
      <w:r w:rsidR="00C137B8">
        <w:t>netypicky jim zůstaly volné prostředky</w:t>
      </w:r>
      <w:r w:rsidR="00340A2E" w:rsidRPr="000B69D2">
        <w:t>.</w:t>
      </w:r>
      <w:r w:rsidR="006470B9" w:rsidRPr="000B69D2">
        <w:t xml:space="preserve"> </w:t>
      </w:r>
      <w:r w:rsidR="00C137B8">
        <w:rPr>
          <w:spacing w:val="-4"/>
        </w:rPr>
        <w:t>Z</w:t>
      </w:r>
      <w:r w:rsidR="00C137B8" w:rsidRPr="000B69D2">
        <w:rPr>
          <w:spacing w:val="-4"/>
        </w:rPr>
        <w:t>lepšila se</w:t>
      </w:r>
      <w:r w:rsidR="009D52F2">
        <w:rPr>
          <w:spacing w:val="-4"/>
        </w:rPr>
        <w:t xml:space="preserve"> tak</w:t>
      </w:r>
      <w:r w:rsidR="00C137B8" w:rsidRPr="000B69D2">
        <w:rPr>
          <w:spacing w:val="-4"/>
        </w:rPr>
        <w:t xml:space="preserve"> </w:t>
      </w:r>
      <w:r w:rsidR="00C137B8">
        <w:rPr>
          <w:spacing w:val="-4"/>
        </w:rPr>
        <w:t>j</w:t>
      </w:r>
      <w:r w:rsidR="00884EAA" w:rsidRPr="000B69D2">
        <w:rPr>
          <w:spacing w:val="-4"/>
        </w:rPr>
        <w:t>ejich finanční pozice.</w:t>
      </w:r>
    </w:p>
    <w:p w:rsidR="00256BD9" w:rsidRPr="006470B9" w:rsidRDefault="00256BD9" w:rsidP="005472DF">
      <w:pPr>
        <w:rPr>
          <w:sz w:val="28"/>
          <w:szCs w:val="28"/>
        </w:rPr>
      </w:pPr>
    </w:p>
    <w:p w:rsidR="006470B9" w:rsidRPr="00E87D4A" w:rsidRDefault="006470B9" w:rsidP="006470B9">
      <w:pPr>
        <w:spacing w:after="120"/>
        <w:rPr>
          <w:b/>
        </w:rPr>
      </w:pPr>
      <w:r w:rsidRPr="00E87D4A">
        <w:rPr>
          <w:b/>
        </w:rPr>
        <w:t>Autor</w:t>
      </w:r>
    </w:p>
    <w:p w:rsidR="006470B9" w:rsidRPr="00E87D4A" w:rsidRDefault="006470B9" w:rsidP="006470B9">
      <w:r w:rsidRPr="00E87D4A">
        <w:t>Ing. Lukáš Kučera</w:t>
      </w:r>
    </w:p>
    <w:p w:rsidR="006470B9" w:rsidRPr="00E87D4A" w:rsidRDefault="006470B9" w:rsidP="006470B9">
      <w:r w:rsidRPr="00E87D4A">
        <w:t>Oddělení svodných analýz, ČSÚ</w:t>
      </w:r>
    </w:p>
    <w:p w:rsidR="006470B9" w:rsidRPr="00E87D4A" w:rsidRDefault="006470B9" w:rsidP="006470B9">
      <w:r w:rsidRPr="00E87D4A">
        <w:t xml:space="preserve">Tel.: </w:t>
      </w:r>
      <w:r w:rsidRPr="00E87D4A">
        <w:rPr>
          <w:rFonts w:cs="Arial"/>
        </w:rPr>
        <w:t>274 052 254</w:t>
      </w:r>
    </w:p>
    <w:p w:rsidR="00AD19EF" w:rsidRDefault="006470B9" w:rsidP="005472DF">
      <w:r w:rsidRPr="00E87D4A">
        <w:t>E-mail:</w:t>
      </w:r>
      <w:r>
        <w:t xml:space="preserve"> </w:t>
      </w:r>
      <w:hyperlink r:id="rId15" w:history="1">
        <w:r w:rsidRPr="005F5B62">
          <w:rPr>
            <w:rStyle w:val="Hypertextovodkaz"/>
          </w:rPr>
          <w:t>lukas.kucera@czso.cz</w:t>
        </w:r>
      </w:hyperlink>
    </w:p>
    <w:sectPr w:rsidR="00AD19EF" w:rsidSect="004052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12" w:rsidRDefault="00405012" w:rsidP="00EE61FB">
      <w:pPr>
        <w:spacing w:line="240" w:lineRule="auto"/>
      </w:pPr>
      <w:r>
        <w:separator/>
      </w:r>
    </w:p>
  </w:endnote>
  <w:endnote w:type="continuationSeparator" w:id="0">
    <w:p w:rsidR="00405012" w:rsidRDefault="00405012" w:rsidP="00EE6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64" w:rsidRDefault="004050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0B" w:rsidRDefault="007502EA">
    <w:pPr>
      <w:pStyle w:val="Zpat"/>
    </w:pPr>
    <w:r>
      <w:rPr>
        <w:noProof/>
        <w:lang w:eastAsia="cs-CZ"/>
      </w:rPr>
      <w:pict>
        <v:line id="_x0000_s2052" style="position:absolute;left:0;text-align:left;flip:y;z-index:251663360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09650B" w:rsidRPr="001404AB" w:rsidRDefault="006B659A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9650B" w:rsidRPr="00A81EB3" w:rsidRDefault="006B659A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tel.</w:t>
                </w:r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502EA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502EA" w:rsidRPr="004E479E">
                  <w:rPr>
                    <w:rFonts w:cs="Arial"/>
                    <w:szCs w:val="15"/>
                  </w:rPr>
                  <w:fldChar w:fldCharType="separate"/>
                </w:r>
                <w:r w:rsidR="00E977C7">
                  <w:rPr>
                    <w:rFonts w:cs="Arial"/>
                    <w:noProof/>
                    <w:szCs w:val="15"/>
                  </w:rPr>
                  <w:t>7</w:t>
                </w:r>
                <w:r w:rsidR="007502E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6028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64" w:rsidRDefault="004050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12" w:rsidRDefault="00405012" w:rsidP="00EE61FB">
      <w:pPr>
        <w:spacing w:line="240" w:lineRule="auto"/>
      </w:pPr>
      <w:r>
        <w:separator/>
      </w:r>
    </w:p>
  </w:footnote>
  <w:footnote w:type="continuationSeparator" w:id="0">
    <w:p w:rsidR="00405012" w:rsidRDefault="00405012" w:rsidP="00EE61FB">
      <w:pPr>
        <w:spacing w:line="240" w:lineRule="auto"/>
      </w:pPr>
      <w:r>
        <w:continuationSeparator/>
      </w:r>
    </w:p>
  </w:footnote>
  <w:footnote w:id="1">
    <w:p w:rsidR="008C099F" w:rsidRPr="00B32969" w:rsidRDefault="008C099F" w:rsidP="008C099F">
      <w:pPr>
        <w:pStyle w:val="Textpoznpodarou"/>
        <w:rPr>
          <w:sz w:val="16"/>
          <w:szCs w:val="16"/>
        </w:rPr>
      </w:pPr>
      <w:r w:rsidRPr="00B32969">
        <w:rPr>
          <w:rStyle w:val="Znakapoznpodarou"/>
          <w:sz w:val="16"/>
          <w:szCs w:val="16"/>
        </w:rPr>
        <w:footnoteRef/>
      </w:r>
      <w:r w:rsidRPr="00B32969">
        <w:rPr>
          <w:sz w:val="16"/>
          <w:szCs w:val="16"/>
        </w:rPr>
        <w:t xml:space="preserve"> Reálně, bez sezónního očištění, pokud není uvedeno jinak.</w:t>
      </w:r>
    </w:p>
  </w:footnote>
  <w:footnote w:id="2">
    <w:p w:rsidR="00B32969" w:rsidRPr="00B32969" w:rsidRDefault="00B32969" w:rsidP="00B32969">
      <w:pPr>
        <w:pStyle w:val="Textpoznpodarou"/>
        <w:rPr>
          <w:sz w:val="16"/>
          <w:szCs w:val="16"/>
        </w:rPr>
      </w:pPr>
      <w:r w:rsidRPr="00B32969">
        <w:rPr>
          <w:rStyle w:val="Znakapoznpodarou"/>
          <w:sz w:val="16"/>
          <w:szCs w:val="16"/>
        </w:rPr>
        <w:footnoteRef/>
      </w:r>
      <w:r w:rsidRPr="00B32969">
        <w:rPr>
          <w:sz w:val="16"/>
          <w:szCs w:val="16"/>
        </w:rPr>
        <w:t xml:space="preserve"> Dále vše v nominálním vyjádření, bez sezónního očištění, pokud není uvedeno jinak.</w:t>
      </w:r>
    </w:p>
  </w:footnote>
  <w:footnote w:id="3">
    <w:p w:rsidR="00345AD1" w:rsidRPr="00345AD1" w:rsidRDefault="00345AD1">
      <w:pPr>
        <w:pStyle w:val="Textpoznpodarou"/>
        <w:rPr>
          <w:rFonts w:cs="Arial"/>
          <w:sz w:val="16"/>
          <w:szCs w:val="16"/>
        </w:rPr>
      </w:pPr>
      <w:r w:rsidRPr="00345AD1">
        <w:rPr>
          <w:rStyle w:val="Znakapoznpodarou"/>
          <w:rFonts w:cs="Arial"/>
          <w:sz w:val="16"/>
          <w:szCs w:val="16"/>
        </w:rPr>
        <w:footnoteRef/>
      </w:r>
      <w:r w:rsidR="005E750F">
        <w:rPr>
          <w:rFonts w:cs="Arial"/>
          <w:sz w:val="16"/>
          <w:szCs w:val="16"/>
        </w:rPr>
        <w:t xml:space="preserve"> Sektor n</w:t>
      </w:r>
      <w:r w:rsidRPr="00345AD1">
        <w:rPr>
          <w:rFonts w:cs="Arial"/>
          <w:sz w:val="16"/>
          <w:szCs w:val="16"/>
        </w:rPr>
        <w:t>efinanční</w:t>
      </w:r>
      <w:r w:rsidR="005E750F">
        <w:rPr>
          <w:rFonts w:cs="Arial"/>
          <w:sz w:val="16"/>
          <w:szCs w:val="16"/>
        </w:rPr>
        <w:t>ch podniků</w:t>
      </w:r>
      <w:r w:rsidRPr="00345AD1">
        <w:rPr>
          <w:rFonts w:cs="Arial"/>
          <w:sz w:val="16"/>
          <w:szCs w:val="16"/>
        </w:rPr>
        <w:t xml:space="preserve"> </w:t>
      </w:r>
      <w:r w:rsidR="00927BFB">
        <w:rPr>
          <w:rFonts w:cs="Arial"/>
          <w:sz w:val="16"/>
          <w:szCs w:val="16"/>
        </w:rPr>
        <w:t>zahrnuje</w:t>
      </w:r>
      <w:r w:rsidRPr="00345AD1">
        <w:rPr>
          <w:rFonts w:cs="Arial"/>
          <w:sz w:val="16"/>
          <w:szCs w:val="16"/>
        </w:rPr>
        <w:t xml:space="preserve"> podnikatelské subjekty, které se zabývají tržní činností spočívající v produkci výrobků a</w:t>
      </w:r>
      <w:r>
        <w:rPr>
          <w:rFonts w:cs="Arial"/>
          <w:sz w:val="16"/>
          <w:szCs w:val="16"/>
        </w:rPr>
        <w:t> v</w:t>
      </w:r>
      <w:r w:rsidRPr="00345AD1">
        <w:rPr>
          <w:rFonts w:cs="Arial"/>
          <w:sz w:val="16"/>
          <w:szCs w:val="16"/>
        </w:rPr>
        <w:t> </w:t>
      </w:r>
      <w:r>
        <w:rPr>
          <w:rFonts w:cs="Arial"/>
          <w:sz w:val="16"/>
          <w:szCs w:val="16"/>
        </w:rPr>
        <w:t>poskytování</w:t>
      </w:r>
      <w:r w:rsidRPr="00345AD1">
        <w:rPr>
          <w:rFonts w:cs="Arial"/>
          <w:sz w:val="16"/>
          <w:szCs w:val="16"/>
        </w:rPr>
        <w:t xml:space="preserve"> nefinančních služeb. </w:t>
      </w:r>
      <w:r>
        <w:rPr>
          <w:rFonts w:cs="Arial"/>
          <w:sz w:val="16"/>
          <w:szCs w:val="16"/>
        </w:rPr>
        <w:t>Mezi nefinanční podniky</w:t>
      </w:r>
      <w:r w:rsidRPr="00345AD1">
        <w:rPr>
          <w:rFonts w:cs="Arial"/>
          <w:sz w:val="16"/>
          <w:szCs w:val="16"/>
        </w:rPr>
        <w:t xml:space="preserve"> nepatří finanční instituce, </w:t>
      </w:r>
      <w:r>
        <w:rPr>
          <w:rFonts w:cs="Arial"/>
          <w:sz w:val="16"/>
          <w:szCs w:val="16"/>
        </w:rPr>
        <w:t>nespadají mezi ně</w:t>
      </w:r>
      <w:r w:rsidRPr="00345AD1">
        <w:rPr>
          <w:rFonts w:cs="Arial"/>
          <w:sz w:val="16"/>
          <w:szCs w:val="16"/>
        </w:rPr>
        <w:t xml:space="preserve"> ani živnostníci.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64" w:rsidRDefault="004050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0B" w:rsidRDefault="007502E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left:0;text-align:left;margin-left:28.55pt;margin-top:42.3pt;width:498.35pt;height:82.35pt;z-index:251662336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64" w:rsidRDefault="0040501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8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4051"/>
    <w:rsid w:val="00000050"/>
    <w:rsid w:val="000006B4"/>
    <w:rsid w:val="00000A94"/>
    <w:rsid w:val="0000330C"/>
    <w:rsid w:val="000048CE"/>
    <w:rsid w:val="0000578F"/>
    <w:rsid w:val="0000589A"/>
    <w:rsid w:val="0000743D"/>
    <w:rsid w:val="00010276"/>
    <w:rsid w:val="0001365B"/>
    <w:rsid w:val="00013A80"/>
    <w:rsid w:val="00015B98"/>
    <w:rsid w:val="000219E7"/>
    <w:rsid w:val="000251E5"/>
    <w:rsid w:val="00025542"/>
    <w:rsid w:val="000303F4"/>
    <w:rsid w:val="0003487A"/>
    <w:rsid w:val="000401E5"/>
    <w:rsid w:val="00040531"/>
    <w:rsid w:val="00045217"/>
    <w:rsid w:val="00052AE4"/>
    <w:rsid w:val="00071CB0"/>
    <w:rsid w:val="000773AC"/>
    <w:rsid w:val="00080133"/>
    <w:rsid w:val="00082FD4"/>
    <w:rsid w:val="000849AA"/>
    <w:rsid w:val="000A2206"/>
    <w:rsid w:val="000A774B"/>
    <w:rsid w:val="000B69C9"/>
    <w:rsid w:val="000B69D2"/>
    <w:rsid w:val="000C0CDD"/>
    <w:rsid w:val="000E1BA0"/>
    <w:rsid w:val="000E3C04"/>
    <w:rsid w:val="00100BEE"/>
    <w:rsid w:val="00111107"/>
    <w:rsid w:val="00115C2A"/>
    <w:rsid w:val="00120754"/>
    <w:rsid w:val="00123B09"/>
    <w:rsid w:val="00125548"/>
    <w:rsid w:val="001279D3"/>
    <w:rsid w:val="0013635D"/>
    <w:rsid w:val="00143138"/>
    <w:rsid w:val="00144FC7"/>
    <w:rsid w:val="00146BE2"/>
    <w:rsid w:val="0015031F"/>
    <w:rsid w:val="00153277"/>
    <w:rsid w:val="00155012"/>
    <w:rsid w:val="001617A4"/>
    <w:rsid w:val="001849E4"/>
    <w:rsid w:val="00185233"/>
    <w:rsid w:val="001912A9"/>
    <w:rsid w:val="00193F7D"/>
    <w:rsid w:val="001A3A67"/>
    <w:rsid w:val="001B06A1"/>
    <w:rsid w:val="001B14B7"/>
    <w:rsid w:val="001D1310"/>
    <w:rsid w:val="001D5A2A"/>
    <w:rsid w:val="001D6224"/>
    <w:rsid w:val="001D6703"/>
    <w:rsid w:val="001D7B14"/>
    <w:rsid w:val="001E26D4"/>
    <w:rsid w:val="001E4154"/>
    <w:rsid w:val="001E5E09"/>
    <w:rsid w:val="001F4567"/>
    <w:rsid w:val="001F63A5"/>
    <w:rsid w:val="002022CA"/>
    <w:rsid w:val="00206BB9"/>
    <w:rsid w:val="0022467D"/>
    <w:rsid w:val="00231571"/>
    <w:rsid w:val="002376E9"/>
    <w:rsid w:val="00240ED1"/>
    <w:rsid w:val="00241D6E"/>
    <w:rsid w:val="002432F2"/>
    <w:rsid w:val="00244B7D"/>
    <w:rsid w:val="00256BD9"/>
    <w:rsid w:val="00257073"/>
    <w:rsid w:val="0026418A"/>
    <w:rsid w:val="00264C84"/>
    <w:rsid w:val="00267535"/>
    <w:rsid w:val="00270BA9"/>
    <w:rsid w:val="00277ED3"/>
    <w:rsid w:val="002835A7"/>
    <w:rsid w:val="00283C32"/>
    <w:rsid w:val="00284918"/>
    <w:rsid w:val="002B3895"/>
    <w:rsid w:val="002B3F59"/>
    <w:rsid w:val="002B6595"/>
    <w:rsid w:val="002C0A44"/>
    <w:rsid w:val="002C1422"/>
    <w:rsid w:val="002D100D"/>
    <w:rsid w:val="002D6EC4"/>
    <w:rsid w:val="002E4170"/>
    <w:rsid w:val="002E52F3"/>
    <w:rsid w:val="002E66DF"/>
    <w:rsid w:val="002E742B"/>
    <w:rsid w:val="002F121D"/>
    <w:rsid w:val="00304FB9"/>
    <w:rsid w:val="00307B8A"/>
    <w:rsid w:val="00313992"/>
    <w:rsid w:val="00316143"/>
    <w:rsid w:val="003209A5"/>
    <w:rsid w:val="00321E25"/>
    <w:rsid w:val="00325FB4"/>
    <w:rsid w:val="00332409"/>
    <w:rsid w:val="00336B12"/>
    <w:rsid w:val="00336E57"/>
    <w:rsid w:val="003400B3"/>
    <w:rsid w:val="00340A2E"/>
    <w:rsid w:val="00342D9E"/>
    <w:rsid w:val="0034405D"/>
    <w:rsid w:val="00345AD1"/>
    <w:rsid w:val="003703E5"/>
    <w:rsid w:val="0037154C"/>
    <w:rsid w:val="00375246"/>
    <w:rsid w:val="003766B7"/>
    <w:rsid w:val="00377A8F"/>
    <w:rsid w:val="00382914"/>
    <w:rsid w:val="0039190E"/>
    <w:rsid w:val="00396F38"/>
    <w:rsid w:val="003A6D65"/>
    <w:rsid w:val="003A7863"/>
    <w:rsid w:val="003B5732"/>
    <w:rsid w:val="003C0C2B"/>
    <w:rsid w:val="003C1284"/>
    <w:rsid w:val="003D307B"/>
    <w:rsid w:val="003D4368"/>
    <w:rsid w:val="003D5A9A"/>
    <w:rsid w:val="003D5DD4"/>
    <w:rsid w:val="003E17E9"/>
    <w:rsid w:val="003E51D7"/>
    <w:rsid w:val="003E5700"/>
    <w:rsid w:val="003F1F0C"/>
    <w:rsid w:val="003F55C3"/>
    <w:rsid w:val="003F5C8C"/>
    <w:rsid w:val="00400ED9"/>
    <w:rsid w:val="00405012"/>
    <w:rsid w:val="004112C8"/>
    <w:rsid w:val="00411DFF"/>
    <w:rsid w:val="00416CAB"/>
    <w:rsid w:val="00423581"/>
    <w:rsid w:val="004243B5"/>
    <w:rsid w:val="00440EA6"/>
    <w:rsid w:val="00451462"/>
    <w:rsid w:val="0046073D"/>
    <w:rsid w:val="004614BE"/>
    <w:rsid w:val="00464FA6"/>
    <w:rsid w:val="00471237"/>
    <w:rsid w:val="00480C1C"/>
    <w:rsid w:val="00483E81"/>
    <w:rsid w:val="00484798"/>
    <w:rsid w:val="004848CC"/>
    <w:rsid w:val="0048665B"/>
    <w:rsid w:val="004878FB"/>
    <w:rsid w:val="00487F3E"/>
    <w:rsid w:val="0049470B"/>
    <w:rsid w:val="00495D23"/>
    <w:rsid w:val="004963CD"/>
    <w:rsid w:val="004A45F0"/>
    <w:rsid w:val="004A5824"/>
    <w:rsid w:val="004B052C"/>
    <w:rsid w:val="004B2143"/>
    <w:rsid w:val="004B68EA"/>
    <w:rsid w:val="004D189A"/>
    <w:rsid w:val="004D6089"/>
    <w:rsid w:val="004D74AA"/>
    <w:rsid w:val="004D796F"/>
    <w:rsid w:val="004D79CD"/>
    <w:rsid w:val="004E686C"/>
    <w:rsid w:val="004F2294"/>
    <w:rsid w:val="005020DF"/>
    <w:rsid w:val="0050265E"/>
    <w:rsid w:val="00513D21"/>
    <w:rsid w:val="0052078B"/>
    <w:rsid w:val="00525007"/>
    <w:rsid w:val="00526371"/>
    <w:rsid w:val="00533B28"/>
    <w:rsid w:val="0054491D"/>
    <w:rsid w:val="005472DF"/>
    <w:rsid w:val="00556AF4"/>
    <w:rsid w:val="00563910"/>
    <w:rsid w:val="00575958"/>
    <w:rsid w:val="005834F4"/>
    <w:rsid w:val="00585DE3"/>
    <w:rsid w:val="00586D4C"/>
    <w:rsid w:val="005904C7"/>
    <w:rsid w:val="005963A8"/>
    <w:rsid w:val="005A76CE"/>
    <w:rsid w:val="005B3031"/>
    <w:rsid w:val="005C32F7"/>
    <w:rsid w:val="005C6955"/>
    <w:rsid w:val="005C6EB8"/>
    <w:rsid w:val="005D363C"/>
    <w:rsid w:val="005E3D4F"/>
    <w:rsid w:val="005E4201"/>
    <w:rsid w:val="005E433C"/>
    <w:rsid w:val="005E5CD8"/>
    <w:rsid w:val="005E750F"/>
    <w:rsid w:val="005F3B47"/>
    <w:rsid w:val="005F6D8E"/>
    <w:rsid w:val="006110CD"/>
    <w:rsid w:val="0061260E"/>
    <w:rsid w:val="006304D8"/>
    <w:rsid w:val="00634147"/>
    <w:rsid w:val="00635CD9"/>
    <w:rsid w:val="00642CE8"/>
    <w:rsid w:val="006445FB"/>
    <w:rsid w:val="00646381"/>
    <w:rsid w:val="006470B9"/>
    <w:rsid w:val="00647EE5"/>
    <w:rsid w:val="00652CC3"/>
    <w:rsid w:val="00655106"/>
    <w:rsid w:val="00661AAC"/>
    <w:rsid w:val="00663CA1"/>
    <w:rsid w:val="00674025"/>
    <w:rsid w:val="00674D15"/>
    <w:rsid w:val="00675BB6"/>
    <w:rsid w:val="00687546"/>
    <w:rsid w:val="0069118F"/>
    <w:rsid w:val="0069388A"/>
    <w:rsid w:val="00695FDB"/>
    <w:rsid w:val="006A7A70"/>
    <w:rsid w:val="006A7AA1"/>
    <w:rsid w:val="006B427C"/>
    <w:rsid w:val="006B55D0"/>
    <w:rsid w:val="006B659A"/>
    <w:rsid w:val="006B77C5"/>
    <w:rsid w:val="006C33FE"/>
    <w:rsid w:val="006C4DA0"/>
    <w:rsid w:val="006C5EC1"/>
    <w:rsid w:val="006D0FA0"/>
    <w:rsid w:val="006D202F"/>
    <w:rsid w:val="006D6A9C"/>
    <w:rsid w:val="006E2EE3"/>
    <w:rsid w:val="006E55C6"/>
    <w:rsid w:val="006E5939"/>
    <w:rsid w:val="006E7D0B"/>
    <w:rsid w:val="006F1D4A"/>
    <w:rsid w:val="00704836"/>
    <w:rsid w:val="00704E80"/>
    <w:rsid w:val="00710F8A"/>
    <w:rsid w:val="00713931"/>
    <w:rsid w:val="007237A4"/>
    <w:rsid w:val="00730A52"/>
    <w:rsid w:val="007322EF"/>
    <w:rsid w:val="00740B42"/>
    <w:rsid w:val="007439F0"/>
    <w:rsid w:val="007460DD"/>
    <w:rsid w:val="00746F8B"/>
    <w:rsid w:val="00747EB6"/>
    <w:rsid w:val="007502EA"/>
    <w:rsid w:val="00751112"/>
    <w:rsid w:val="00755B4E"/>
    <w:rsid w:val="00755FF0"/>
    <w:rsid w:val="0075642C"/>
    <w:rsid w:val="00761D32"/>
    <w:rsid w:val="007645A2"/>
    <w:rsid w:val="00766B9A"/>
    <w:rsid w:val="0078365B"/>
    <w:rsid w:val="007933C5"/>
    <w:rsid w:val="007944D5"/>
    <w:rsid w:val="00795990"/>
    <w:rsid w:val="00797BEF"/>
    <w:rsid w:val="007A0B43"/>
    <w:rsid w:val="007A18BF"/>
    <w:rsid w:val="007A6E0F"/>
    <w:rsid w:val="007B31CD"/>
    <w:rsid w:val="007B37DD"/>
    <w:rsid w:val="007C4056"/>
    <w:rsid w:val="007C497D"/>
    <w:rsid w:val="007C79A6"/>
    <w:rsid w:val="007D494B"/>
    <w:rsid w:val="007E042F"/>
    <w:rsid w:val="007E21AB"/>
    <w:rsid w:val="007E2F8D"/>
    <w:rsid w:val="007E7C09"/>
    <w:rsid w:val="007E7E80"/>
    <w:rsid w:val="0080500B"/>
    <w:rsid w:val="00811800"/>
    <w:rsid w:val="00811ECA"/>
    <w:rsid w:val="00820575"/>
    <w:rsid w:val="0082129A"/>
    <w:rsid w:val="00827F3E"/>
    <w:rsid w:val="00832FFC"/>
    <w:rsid w:val="0084105E"/>
    <w:rsid w:val="00842337"/>
    <w:rsid w:val="008470E9"/>
    <w:rsid w:val="00847470"/>
    <w:rsid w:val="008500A2"/>
    <w:rsid w:val="0085268B"/>
    <w:rsid w:val="0085473C"/>
    <w:rsid w:val="00854AA0"/>
    <w:rsid w:val="00860046"/>
    <w:rsid w:val="00863632"/>
    <w:rsid w:val="008641BF"/>
    <w:rsid w:val="00866B5D"/>
    <w:rsid w:val="00874469"/>
    <w:rsid w:val="008746E0"/>
    <w:rsid w:val="00875C26"/>
    <w:rsid w:val="008778A0"/>
    <w:rsid w:val="008824BA"/>
    <w:rsid w:val="008849B7"/>
    <w:rsid w:val="00884EAA"/>
    <w:rsid w:val="00890FBE"/>
    <w:rsid w:val="00892206"/>
    <w:rsid w:val="00893F1E"/>
    <w:rsid w:val="00896235"/>
    <w:rsid w:val="00897471"/>
    <w:rsid w:val="008A0A31"/>
    <w:rsid w:val="008A1067"/>
    <w:rsid w:val="008A283A"/>
    <w:rsid w:val="008A2DFA"/>
    <w:rsid w:val="008A3F29"/>
    <w:rsid w:val="008A3FA6"/>
    <w:rsid w:val="008A5C41"/>
    <w:rsid w:val="008A5D67"/>
    <w:rsid w:val="008B4740"/>
    <w:rsid w:val="008B68CF"/>
    <w:rsid w:val="008B7A0F"/>
    <w:rsid w:val="008C007A"/>
    <w:rsid w:val="008C099F"/>
    <w:rsid w:val="008D223E"/>
    <w:rsid w:val="008D2DFD"/>
    <w:rsid w:val="008E0060"/>
    <w:rsid w:val="008E293D"/>
    <w:rsid w:val="008E4394"/>
    <w:rsid w:val="008E6F6D"/>
    <w:rsid w:val="008E7155"/>
    <w:rsid w:val="009041AB"/>
    <w:rsid w:val="00911013"/>
    <w:rsid w:val="00916F34"/>
    <w:rsid w:val="009279F0"/>
    <w:rsid w:val="00927BFB"/>
    <w:rsid w:val="009350D8"/>
    <w:rsid w:val="00944989"/>
    <w:rsid w:val="0094546D"/>
    <w:rsid w:val="00962AFB"/>
    <w:rsid w:val="00964AF5"/>
    <w:rsid w:val="00971F8F"/>
    <w:rsid w:val="00975D70"/>
    <w:rsid w:val="00980AF7"/>
    <w:rsid w:val="0098168C"/>
    <w:rsid w:val="009841B4"/>
    <w:rsid w:val="00986D38"/>
    <w:rsid w:val="0099139A"/>
    <w:rsid w:val="00997157"/>
    <w:rsid w:val="00997168"/>
    <w:rsid w:val="009A4285"/>
    <w:rsid w:val="009B04D4"/>
    <w:rsid w:val="009B10EE"/>
    <w:rsid w:val="009B2864"/>
    <w:rsid w:val="009C43F7"/>
    <w:rsid w:val="009C500D"/>
    <w:rsid w:val="009C6EDE"/>
    <w:rsid w:val="009D4F86"/>
    <w:rsid w:val="009D52F2"/>
    <w:rsid w:val="009E064F"/>
    <w:rsid w:val="009E36E1"/>
    <w:rsid w:val="009E6EDE"/>
    <w:rsid w:val="009E76A2"/>
    <w:rsid w:val="009F1EDE"/>
    <w:rsid w:val="00A10B0F"/>
    <w:rsid w:val="00A2140A"/>
    <w:rsid w:val="00A22710"/>
    <w:rsid w:val="00A23E54"/>
    <w:rsid w:val="00A456BC"/>
    <w:rsid w:val="00A5095A"/>
    <w:rsid w:val="00A564A6"/>
    <w:rsid w:val="00A67FF3"/>
    <w:rsid w:val="00A718C4"/>
    <w:rsid w:val="00A74D24"/>
    <w:rsid w:val="00A756BC"/>
    <w:rsid w:val="00A8735D"/>
    <w:rsid w:val="00A9122B"/>
    <w:rsid w:val="00A95883"/>
    <w:rsid w:val="00A97095"/>
    <w:rsid w:val="00AA0B0F"/>
    <w:rsid w:val="00AA1433"/>
    <w:rsid w:val="00AA20E1"/>
    <w:rsid w:val="00AA2866"/>
    <w:rsid w:val="00AA3F8D"/>
    <w:rsid w:val="00AA6EE4"/>
    <w:rsid w:val="00AB6726"/>
    <w:rsid w:val="00AB73B5"/>
    <w:rsid w:val="00AC4FB0"/>
    <w:rsid w:val="00AD07D1"/>
    <w:rsid w:val="00AD133D"/>
    <w:rsid w:val="00AD19EF"/>
    <w:rsid w:val="00AD3554"/>
    <w:rsid w:val="00AE0ECC"/>
    <w:rsid w:val="00AE5DEA"/>
    <w:rsid w:val="00AF6DAE"/>
    <w:rsid w:val="00B01414"/>
    <w:rsid w:val="00B01ADB"/>
    <w:rsid w:val="00B02B97"/>
    <w:rsid w:val="00B045E9"/>
    <w:rsid w:val="00B105F1"/>
    <w:rsid w:val="00B14B1D"/>
    <w:rsid w:val="00B1527C"/>
    <w:rsid w:val="00B15284"/>
    <w:rsid w:val="00B17C2F"/>
    <w:rsid w:val="00B26067"/>
    <w:rsid w:val="00B32969"/>
    <w:rsid w:val="00B32C10"/>
    <w:rsid w:val="00B44270"/>
    <w:rsid w:val="00B44FA5"/>
    <w:rsid w:val="00B518CA"/>
    <w:rsid w:val="00B60940"/>
    <w:rsid w:val="00B629EA"/>
    <w:rsid w:val="00B74907"/>
    <w:rsid w:val="00B75F31"/>
    <w:rsid w:val="00B84162"/>
    <w:rsid w:val="00B92F72"/>
    <w:rsid w:val="00BA1DFD"/>
    <w:rsid w:val="00BA268A"/>
    <w:rsid w:val="00BA768E"/>
    <w:rsid w:val="00BA79FA"/>
    <w:rsid w:val="00BB10BC"/>
    <w:rsid w:val="00BB1941"/>
    <w:rsid w:val="00BB201A"/>
    <w:rsid w:val="00BB732F"/>
    <w:rsid w:val="00BC68CF"/>
    <w:rsid w:val="00BD21C4"/>
    <w:rsid w:val="00BD670E"/>
    <w:rsid w:val="00BE0665"/>
    <w:rsid w:val="00BE11F5"/>
    <w:rsid w:val="00BE1663"/>
    <w:rsid w:val="00BE2507"/>
    <w:rsid w:val="00BE4915"/>
    <w:rsid w:val="00BE4AF3"/>
    <w:rsid w:val="00BE51D6"/>
    <w:rsid w:val="00BE7BB2"/>
    <w:rsid w:val="00BF1115"/>
    <w:rsid w:val="00BF7091"/>
    <w:rsid w:val="00C10E83"/>
    <w:rsid w:val="00C137B8"/>
    <w:rsid w:val="00C208F4"/>
    <w:rsid w:val="00C20BD2"/>
    <w:rsid w:val="00C20D78"/>
    <w:rsid w:val="00C24D08"/>
    <w:rsid w:val="00C50E87"/>
    <w:rsid w:val="00C54DFE"/>
    <w:rsid w:val="00C54F60"/>
    <w:rsid w:val="00C557AC"/>
    <w:rsid w:val="00C5745C"/>
    <w:rsid w:val="00C611CD"/>
    <w:rsid w:val="00C62FF6"/>
    <w:rsid w:val="00C6377E"/>
    <w:rsid w:val="00C67669"/>
    <w:rsid w:val="00C71057"/>
    <w:rsid w:val="00C727A0"/>
    <w:rsid w:val="00C743AE"/>
    <w:rsid w:val="00C74445"/>
    <w:rsid w:val="00C76C6E"/>
    <w:rsid w:val="00C840DE"/>
    <w:rsid w:val="00C855F8"/>
    <w:rsid w:val="00C90B34"/>
    <w:rsid w:val="00CA2D74"/>
    <w:rsid w:val="00CA2EE1"/>
    <w:rsid w:val="00CA4E3E"/>
    <w:rsid w:val="00CB4547"/>
    <w:rsid w:val="00CB621B"/>
    <w:rsid w:val="00CB74BE"/>
    <w:rsid w:val="00CD7FD4"/>
    <w:rsid w:val="00CF79BF"/>
    <w:rsid w:val="00D00D35"/>
    <w:rsid w:val="00D1167B"/>
    <w:rsid w:val="00D148E0"/>
    <w:rsid w:val="00D14F3D"/>
    <w:rsid w:val="00D159D3"/>
    <w:rsid w:val="00D15FE4"/>
    <w:rsid w:val="00D24051"/>
    <w:rsid w:val="00D37A51"/>
    <w:rsid w:val="00D42FCC"/>
    <w:rsid w:val="00D45D8D"/>
    <w:rsid w:val="00D552BC"/>
    <w:rsid w:val="00D76BA7"/>
    <w:rsid w:val="00D90FD3"/>
    <w:rsid w:val="00DA53D0"/>
    <w:rsid w:val="00DC6BF6"/>
    <w:rsid w:val="00DC7612"/>
    <w:rsid w:val="00DD04C7"/>
    <w:rsid w:val="00DD364A"/>
    <w:rsid w:val="00DE398D"/>
    <w:rsid w:val="00DE3E4A"/>
    <w:rsid w:val="00DE5961"/>
    <w:rsid w:val="00DE5A4A"/>
    <w:rsid w:val="00DF06A1"/>
    <w:rsid w:val="00DF3C30"/>
    <w:rsid w:val="00E05E5D"/>
    <w:rsid w:val="00E1061E"/>
    <w:rsid w:val="00E11C0D"/>
    <w:rsid w:val="00E12B64"/>
    <w:rsid w:val="00E2090E"/>
    <w:rsid w:val="00E22506"/>
    <w:rsid w:val="00E363BE"/>
    <w:rsid w:val="00E42075"/>
    <w:rsid w:val="00E44F38"/>
    <w:rsid w:val="00E54699"/>
    <w:rsid w:val="00E56747"/>
    <w:rsid w:val="00E5698F"/>
    <w:rsid w:val="00E647F9"/>
    <w:rsid w:val="00E651A4"/>
    <w:rsid w:val="00E70E0B"/>
    <w:rsid w:val="00E7139A"/>
    <w:rsid w:val="00E80827"/>
    <w:rsid w:val="00E810BD"/>
    <w:rsid w:val="00E86E93"/>
    <w:rsid w:val="00E90515"/>
    <w:rsid w:val="00E94AF4"/>
    <w:rsid w:val="00E977C7"/>
    <w:rsid w:val="00E97CEB"/>
    <w:rsid w:val="00EA28A1"/>
    <w:rsid w:val="00EA474B"/>
    <w:rsid w:val="00EA7D54"/>
    <w:rsid w:val="00EB26D6"/>
    <w:rsid w:val="00EB2C65"/>
    <w:rsid w:val="00EC440B"/>
    <w:rsid w:val="00EC45B9"/>
    <w:rsid w:val="00ED2E9C"/>
    <w:rsid w:val="00ED3DD9"/>
    <w:rsid w:val="00ED4C30"/>
    <w:rsid w:val="00ED656F"/>
    <w:rsid w:val="00ED7DB9"/>
    <w:rsid w:val="00EE5649"/>
    <w:rsid w:val="00EE61FB"/>
    <w:rsid w:val="00EF6C22"/>
    <w:rsid w:val="00EF6E83"/>
    <w:rsid w:val="00F05019"/>
    <w:rsid w:val="00F06653"/>
    <w:rsid w:val="00F067AB"/>
    <w:rsid w:val="00F1185D"/>
    <w:rsid w:val="00F1770F"/>
    <w:rsid w:val="00F203F9"/>
    <w:rsid w:val="00F30A19"/>
    <w:rsid w:val="00F33220"/>
    <w:rsid w:val="00F34084"/>
    <w:rsid w:val="00F34D69"/>
    <w:rsid w:val="00F356D5"/>
    <w:rsid w:val="00F35986"/>
    <w:rsid w:val="00F41D2D"/>
    <w:rsid w:val="00F448E8"/>
    <w:rsid w:val="00F51050"/>
    <w:rsid w:val="00F614D8"/>
    <w:rsid w:val="00F7569C"/>
    <w:rsid w:val="00F75DD6"/>
    <w:rsid w:val="00F835C2"/>
    <w:rsid w:val="00F852D3"/>
    <w:rsid w:val="00F867A8"/>
    <w:rsid w:val="00F87216"/>
    <w:rsid w:val="00F91AF9"/>
    <w:rsid w:val="00F91F7E"/>
    <w:rsid w:val="00F9395A"/>
    <w:rsid w:val="00F95FBF"/>
    <w:rsid w:val="00FA4764"/>
    <w:rsid w:val="00FA5137"/>
    <w:rsid w:val="00FA794E"/>
    <w:rsid w:val="00FA7E9B"/>
    <w:rsid w:val="00FB2059"/>
    <w:rsid w:val="00FB359F"/>
    <w:rsid w:val="00FB669D"/>
    <w:rsid w:val="00FC214B"/>
    <w:rsid w:val="00FC7AC8"/>
    <w:rsid w:val="00FD2E16"/>
    <w:rsid w:val="00FD7102"/>
    <w:rsid w:val="00FE0CC7"/>
    <w:rsid w:val="00FE2CB7"/>
    <w:rsid w:val="00FE3F20"/>
    <w:rsid w:val="00FE7850"/>
    <w:rsid w:val="00FE79C7"/>
    <w:rsid w:val="00FF0CEF"/>
    <w:rsid w:val="00FF15EE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FB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E61FB"/>
    <w:pPr>
      <w:keepNext/>
      <w:keepLines/>
      <w:spacing w:before="312" w:after="0" w:line="384" w:lineRule="exact"/>
      <w:outlineLvl w:val="0"/>
    </w:pPr>
    <w:rPr>
      <w:rFonts w:ascii="Arial" w:eastAsia="Times New Roman" w:hAnsi="Arial" w:cs="Times New Roman"/>
      <w:b/>
      <w:bCs/>
      <w:caps/>
      <w:color w:val="9F1220"/>
      <w:sz w:val="32"/>
      <w:szCs w:val="28"/>
    </w:rPr>
  </w:style>
  <w:style w:type="paragraph" w:styleId="Nadpis2">
    <w:name w:val="heading 2"/>
    <w:next w:val="Normln"/>
    <w:link w:val="Nadpis2Char"/>
    <w:uiPriority w:val="9"/>
    <w:unhideWhenUsed/>
    <w:qFormat/>
    <w:rsid w:val="00EE61FB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1FB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EE61FB"/>
    <w:rPr>
      <w:rFonts w:ascii="Arial" w:eastAsia="Times New Roman" w:hAnsi="Arial" w:cs="Times New Roman"/>
      <w:b/>
      <w:bCs/>
      <w:caps/>
      <w:color w:val="9F12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61FB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61FB"/>
    <w:rPr>
      <w:rFonts w:ascii="Arial" w:eastAsia="Times New Roman" w:hAnsi="Arial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E61FB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1FB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EE61FB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1FB"/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1F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1FB"/>
    <w:rPr>
      <w:rFonts w:ascii="Tahoma" w:eastAsia="Calibri" w:hAnsi="Tahoma" w:cs="Times New Roman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EE61FB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EE61FB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mky">
    <w:name w:val="Poznámky"/>
    <w:next w:val="Poznmkytext"/>
    <w:qFormat/>
    <w:rsid w:val="00EE61FB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text">
    <w:name w:val="Poznámky text"/>
    <w:basedOn w:val="Poznmky"/>
    <w:qFormat/>
    <w:rsid w:val="00EE61FB"/>
    <w:pPr>
      <w:pBdr>
        <w:top w:val="none" w:sz="0" w:space="0" w:color="auto"/>
      </w:pBdr>
      <w:spacing w:before="0"/>
    </w:pPr>
    <w:rPr>
      <w:lang w:val="en-US"/>
    </w:rPr>
  </w:style>
  <w:style w:type="character" w:styleId="Hypertextovodkaz">
    <w:name w:val="Hyperlink"/>
    <w:uiPriority w:val="99"/>
    <w:unhideWhenUsed/>
    <w:rsid w:val="00EE61FB"/>
    <w:rPr>
      <w:color w:val="0000FF"/>
      <w:u w:val="single"/>
    </w:rPr>
  </w:style>
  <w:style w:type="paragraph" w:styleId="Textpoznpodarou">
    <w:name w:val="footnote text"/>
    <w:aliases w:val="Text pozn. pod čarou_martin_ang"/>
    <w:basedOn w:val="Normln"/>
    <w:link w:val="TextpoznpodarouChar"/>
    <w:unhideWhenUsed/>
    <w:rsid w:val="00EE61FB"/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semiHidden/>
    <w:rsid w:val="00EE61FB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61F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E61FB"/>
    <w:rPr>
      <w:color w:val="800080"/>
      <w:u w:val="single"/>
    </w:rPr>
  </w:style>
  <w:style w:type="paragraph" w:styleId="Revize">
    <w:name w:val="Revision"/>
    <w:hidden/>
    <w:uiPriority w:val="99"/>
    <w:semiHidden/>
    <w:rsid w:val="00EE61FB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Datum0">
    <w:name w:val="Datum_"/>
    <w:qFormat/>
    <w:rsid w:val="00EE61FB"/>
    <w:pPr>
      <w:spacing w:after="0"/>
    </w:pPr>
    <w:rPr>
      <w:rFonts w:ascii="Arial" w:eastAsia="Calibri" w:hAnsi="Arial" w:cs="Arial"/>
      <w:b/>
      <w:sz w:val="18"/>
    </w:rPr>
  </w:style>
  <w:style w:type="paragraph" w:styleId="Nzev">
    <w:name w:val="Title"/>
    <w:aliases w:val="Titulek_"/>
    <w:next w:val="Normln"/>
    <w:link w:val="NzevChar"/>
    <w:uiPriority w:val="10"/>
    <w:qFormat/>
    <w:rsid w:val="00EE61FB"/>
    <w:pPr>
      <w:spacing w:before="280" w:after="28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EE61FB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erex">
    <w:name w:val="Perex_"/>
    <w:next w:val="Normln"/>
    <w:qFormat/>
    <w:rsid w:val="00EE61FB"/>
    <w:pPr>
      <w:autoSpaceDE w:val="0"/>
      <w:autoSpaceDN w:val="0"/>
      <w:adjustRightInd w:val="0"/>
      <w:spacing w:after="280"/>
      <w:jc w:val="both"/>
    </w:pPr>
    <w:rPr>
      <w:rFonts w:ascii="Arial" w:eastAsia="Calibri" w:hAnsi="Arial" w:cs="Arial"/>
      <w:b/>
      <w:sz w:val="20"/>
      <w:szCs w:val="18"/>
    </w:rPr>
  </w:style>
  <w:style w:type="paragraph" w:customStyle="1" w:styleId="Podtitulek">
    <w:name w:val="Podtitulek_"/>
    <w:next w:val="Normln"/>
    <w:qFormat/>
    <w:rsid w:val="00EE61FB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F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lukas.kucera@czso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B18A-AAA2-4483-9625-C65F3E46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7</Pages>
  <Words>2280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kucera4376</dc:creator>
  <cp:lastModifiedBy>kucera4376</cp:lastModifiedBy>
  <cp:revision>265</cp:revision>
  <cp:lastPrinted>2015-01-14T13:12:00Z</cp:lastPrinted>
  <dcterms:created xsi:type="dcterms:W3CDTF">2014-06-17T13:32:00Z</dcterms:created>
  <dcterms:modified xsi:type="dcterms:W3CDTF">2015-01-26T07:31:00Z</dcterms:modified>
</cp:coreProperties>
</file>