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66" w:rsidRPr="00C24253" w:rsidRDefault="00616966" w:rsidP="00B05B62">
      <w:pPr>
        <w:pStyle w:val="Dilonadpis1"/>
      </w:pPr>
      <w:bookmarkStart w:id="0" w:name="_Toc371588183"/>
      <w:r w:rsidRPr="00C24253">
        <w:t>BYTOVÝ FOND</w:t>
      </w:r>
      <w:bookmarkEnd w:id="0"/>
    </w:p>
    <w:p w:rsidR="00616966" w:rsidRPr="00C24253" w:rsidRDefault="00616966" w:rsidP="00B05B62">
      <w:pPr>
        <w:pStyle w:val="Nadpis3"/>
      </w:pPr>
      <w:bookmarkStart w:id="1" w:name="_Toc371588184"/>
      <w:r w:rsidRPr="00C24253">
        <w:t>Bytový fond a jeho vývoj od roku 1970</w:t>
      </w:r>
      <w:bookmarkEnd w:id="1"/>
    </w:p>
    <w:p w:rsidR="00616966" w:rsidRPr="00C24253" w:rsidRDefault="00616966" w:rsidP="00BE7AB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Bytový fond podle výsledků sčítání v roce 2011 dosáhl 4 756,6 tis. bytů</w:t>
      </w:r>
      <w:r w:rsidRPr="00C24253">
        <w:rPr>
          <w:rFonts w:cs="Arial"/>
          <w:sz w:val="20"/>
          <w:szCs w:val="20"/>
        </w:rPr>
        <w:t xml:space="preserve">. Údaje o celkovém počtu bytů jsou k dispozici od roku 1970. </w:t>
      </w:r>
      <w:r w:rsidRPr="00C24253">
        <w:rPr>
          <w:rFonts w:cs="Arial"/>
          <w:b/>
          <w:sz w:val="20"/>
          <w:szCs w:val="20"/>
        </w:rPr>
        <w:t>Za těchto více než čtyřicet let se bytový f</w:t>
      </w:r>
      <w:r w:rsidR="00231F90">
        <w:rPr>
          <w:rFonts w:cs="Arial"/>
          <w:b/>
          <w:sz w:val="20"/>
          <w:szCs w:val="20"/>
        </w:rPr>
        <w:t>ond rozrostl o více než jeden a </w:t>
      </w:r>
      <w:r w:rsidRPr="00C24253">
        <w:rPr>
          <w:rFonts w:cs="Arial"/>
          <w:b/>
          <w:sz w:val="20"/>
          <w:szCs w:val="20"/>
        </w:rPr>
        <w:t>půl miliónu bytů</w:t>
      </w:r>
      <w:r w:rsidRPr="00C24253">
        <w:rPr>
          <w:rFonts w:cs="Arial"/>
          <w:sz w:val="20"/>
          <w:szCs w:val="20"/>
        </w:rPr>
        <w:t>, tedy téměř o polovinu (přesněji o necelých 48 %). Počet bytů rostl daleko rychleji než počet obyvatel, který se ve stejném období zvýšil jen o 6,4 %. V důsledku toho se výrazně zvýšil ukazatel podílu počtu bytů na 1000 obyvatel. Zatímco v roce 1970 dosáhl hodnoty 328 bytů na 1000 obyvatel, v roce 2011 to již bylo 456 bytů na 1000 obyvatel. Navíc ne všichni obyvatelé žijí v bytech, v roce 2011 žilo mimo byty (především v zařízeních) 225,1 tis. osob. Při porovnání počtu bytů a počtu osob žijících v bytech, je relace ještě příznivější - 469 bytů na 1000 obyvatel. Pokud by byl zachován trend rychlejšího růstu počtu bytů než obyvatel, může být v řádu několika let dosaženo stavu, kdy bude připadat 1 byt na 2 obyvatele.</w:t>
      </w:r>
    </w:p>
    <w:p w:rsidR="00616966" w:rsidRPr="00C24253" w:rsidRDefault="00616966" w:rsidP="00BE7AB3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Nejvyšší přírůstky bytového fondu byly zaznamenány v sedmdesátých letech minulého století, kdy přibylo mezi roky 1970 a 1980 více než 560 tis. bytů (především v bytových panelových domech). V dalších dvou desetiletích došlo k výraznému zpomalení bytové výstavby a přírůstky bytového fondu se snižovaly. Změna nastala teprve v posledním desetiletí, kdy se přírůstek opět zvýšil. Proti sčítání v roce 2001 se bytový fond zvýšil o 390,3 tis., tedy o téměř 9 %. Nárůst počtu bytů však nebyl způsoben jen vyšší výstavbou nových bytů, ale také dalšími faktory – např. přírůstkem bytů z důvodu jejich navracení z rekreačního využívání do bytového fondu a určitý vliv mělo i dosažení lepší úplnosti sečtení bytů v důsledku využití administrativních zdrojů dat při sčítání 2011.</w:t>
      </w:r>
    </w:p>
    <w:tbl>
      <w:tblPr>
        <w:tblW w:w="7581" w:type="dxa"/>
        <w:jc w:val="center"/>
        <w:tblCellMar>
          <w:left w:w="70" w:type="dxa"/>
          <w:right w:w="70" w:type="dxa"/>
        </w:tblCellMar>
        <w:tblLook w:val="04A0"/>
      </w:tblPr>
      <w:tblGrid>
        <w:gridCol w:w="1455"/>
        <w:gridCol w:w="1114"/>
        <w:gridCol w:w="1114"/>
        <w:gridCol w:w="512"/>
        <w:gridCol w:w="1114"/>
        <w:gridCol w:w="512"/>
        <w:gridCol w:w="1114"/>
        <w:gridCol w:w="646"/>
      </w:tblGrid>
      <w:tr w:rsidR="00616966" w:rsidRPr="00C24253" w:rsidTr="00BE7AB3">
        <w:trPr>
          <w:trHeight w:val="300"/>
          <w:jc w:val="center"/>
        </w:trPr>
        <w:tc>
          <w:tcPr>
            <w:tcW w:w="7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66" w:rsidRPr="00C24253" w:rsidRDefault="00616966" w:rsidP="00616966">
            <w:pPr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Vývoj bytového fondu v letech 1970 - 2011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Byty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byty v domech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61696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obydlené</w:t>
            </w:r>
            <w:r w:rsidR="00BE7AB3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rodinných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bytových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61696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3 216 631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3 088 841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1 740 945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54,1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1 406 332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43,7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3 781 411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3 494 846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1 813 288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1 913 556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50,6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4 077 193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3 705 681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1 795 462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2 244 947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55,1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4 366 293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87,7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2 005 122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2 310 641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52,9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4 756 572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2 256 072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2 434 619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51,2</w:t>
            </w:r>
          </w:p>
        </w:tc>
      </w:tr>
      <w:tr w:rsidR="008161F7" w:rsidRPr="00C24253" w:rsidTr="009D1B17">
        <w:trPr>
          <w:trHeight w:val="300"/>
          <w:jc w:val="center"/>
        </w:trPr>
        <w:tc>
          <w:tcPr>
            <w:tcW w:w="75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Rozdíl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1980-1970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564 780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406 005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72 343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507 224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89,8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1991-1980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295 782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210 835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-17 826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-6,0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331 391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112,0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2001-1991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289 100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121 997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209 660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65 694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22,7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2011-2001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390 279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276 957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250 950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123 978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616966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31,8</w:t>
            </w:r>
          </w:p>
        </w:tc>
      </w:tr>
    </w:tbl>
    <w:p w:rsidR="00616966" w:rsidRPr="00C24253" w:rsidRDefault="00BE7AB3" w:rsidP="00AF4404">
      <w:pPr>
        <w:spacing w:before="60" w:after="360"/>
        <w:ind w:left="1416"/>
        <w:rPr>
          <w:rFonts w:cs="Arial"/>
          <w:sz w:val="16"/>
          <w:szCs w:val="16"/>
        </w:rPr>
      </w:pPr>
      <w:r w:rsidRPr="00C24253">
        <w:rPr>
          <w:rFonts w:cs="Arial"/>
          <w:sz w:val="16"/>
          <w:szCs w:val="16"/>
        </w:rPr>
        <w:t>*</w:t>
      </w:r>
      <w:r w:rsidR="00616966" w:rsidRPr="00C24253">
        <w:rPr>
          <w:rFonts w:cs="Arial"/>
          <w:sz w:val="16"/>
          <w:szCs w:val="16"/>
        </w:rPr>
        <w:t xml:space="preserve"> v letech 1970-2001 trvale obydlené, v roce 2011 obvykle obydlené </w:t>
      </w:r>
    </w:p>
    <w:p w:rsidR="00D93588" w:rsidRPr="00C24253" w:rsidRDefault="00616966" w:rsidP="00BE7AB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Pokud jde o strukturu přírůstku bytového fondu podle druhu domu, lze pozorovat dvě odlišná období. </w:t>
      </w:r>
      <w:r w:rsidRPr="00C24253">
        <w:rPr>
          <w:rFonts w:cs="Arial"/>
          <w:b/>
          <w:sz w:val="20"/>
          <w:szCs w:val="20"/>
        </w:rPr>
        <w:t>Do roku 1991 se počet bytů v rodinných domech zvyšoval jen minimálně a téměř celý přírůstek bytového fondu tvořily byty v bytových domech</w:t>
      </w:r>
      <w:r w:rsidRPr="00C24253">
        <w:rPr>
          <w:rFonts w:cs="Arial"/>
          <w:sz w:val="20"/>
          <w:szCs w:val="20"/>
        </w:rPr>
        <w:t xml:space="preserve">, což se projevilo ve výrazné změně relací v podílu bytů v rodinných a bytových domech (z 54:44 na 44:55). </w:t>
      </w:r>
      <w:r w:rsidRPr="00C24253">
        <w:rPr>
          <w:rFonts w:cs="Arial"/>
          <w:b/>
          <w:sz w:val="20"/>
          <w:szCs w:val="20"/>
        </w:rPr>
        <w:t>Ve dvacetiletí od roku 1991 byl naopak přírůstek bytového fo</w:t>
      </w:r>
      <w:r w:rsidRPr="00C24253">
        <w:rPr>
          <w:rFonts w:cs="Arial"/>
          <w:b/>
          <w:sz w:val="20"/>
          <w:szCs w:val="20"/>
        </w:rPr>
        <w:t>n</w:t>
      </w:r>
      <w:r w:rsidRPr="00C24253">
        <w:rPr>
          <w:rFonts w:cs="Arial"/>
          <w:b/>
          <w:sz w:val="20"/>
          <w:szCs w:val="20"/>
        </w:rPr>
        <w:t>du způsoben především přírůstky bytů v rodinných domech,</w:t>
      </w:r>
      <w:r w:rsidRPr="00C24253">
        <w:rPr>
          <w:rFonts w:cs="Arial"/>
          <w:sz w:val="20"/>
          <w:szCs w:val="20"/>
        </w:rPr>
        <w:t xml:space="preserve"> a proto i podíl bytů v rodinných domech na celkovém bytovém fondu rostl, nicméně stále je nižší než poloviční. </w:t>
      </w:r>
    </w:p>
    <w:p w:rsidR="00616966" w:rsidRPr="00C24253" w:rsidRDefault="00616966" w:rsidP="00BE7AB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Změna trendu v devadesátých letech minulého století přišla se změnou poli</w:t>
      </w:r>
      <w:r w:rsidR="00231F90">
        <w:rPr>
          <w:rFonts w:cs="Arial"/>
          <w:sz w:val="20"/>
          <w:szCs w:val="20"/>
        </w:rPr>
        <w:t>tické situace. V sedmdesátých a </w:t>
      </w:r>
      <w:r w:rsidRPr="00C24253">
        <w:rPr>
          <w:rFonts w:cs="Arial"/>
          <w:sz w:val="20"/>
          <w:szCs w:val="20"/>
        </w:rPr>
        <w:t>osmdesátých letech stát masivně podporoval výstavbu nových bytů v bytových, především v panelových domech, ale tato výstavba byla v devadesátých letech ukončena. Naopak se začalo otevírat více možností pro financování vlastního bydlení. Nejdříve to bylo stavební spoření, později i hypotéční úvěry. To se projev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lo především vyšší výstavbou bytů v rodinných domech.</w:t>
      </w:r>
    </w:p>
    <w:p w:rsidR="00616966" w:rsidRPr="00C24253" w:rsidRDefault="00616966" w:rsidP="00BE7AB3">
      <w:pPr>
        <w:spacing w:after="120"/>
        <w:rPr>
          <w:sz w:val="20"/>
        </w:rPr>
      </w:pPr>
      <w:r w:rsidRPr="00C24253">
        <w:rPr>
          <w:rFonts w:cs="Arial"/>
          <w:sz w:val="20"/>
          <w:szCs w:val="20"/>
        </w:rPr>
        <w:t xml:space="preserve">Počet obydlených bytů rostl však výrazně pomaleji než počet bytů neobydlených. </w:t>
      </w:r>
      <w:r w:rsidRPr="00C24253">
        <w:rPr>
          <w:rFonts w:cs="Arial"/>
          <w:b/>
          <w:sz w:val="20"/>
          <w:szCs w:val="20"/>
        </w:rPr>
        <w:t>Zatímco počet obydl</w:t>
      </w:r>
      <w:r w:rsidRPr="00C24253">
        <w:rPr>
          <w:rFonts w:cs="Arial"/>
          <w:b/>
          <w:sz w:val="20"/>
          <w:szCs w:val="20"/>
        </w:rPr>
        <w:t>e</w:t>
      </w:r>
      <w:r w:rsidRPr="00C24253">
        <w:rPr>
          <w:rFonts w:cs="Arial"/>
          <w:b/>
          <w:sz w:val="20"/>
          <w:szCs w:val="20"/>
        </w:rPr>
        <w:t>ných bytů se za čtyřicet let zvýšil o třetinu, počet neobydlených bytů vzrostl za stejné období více než pětkrát</w:t>
      </w:r>
      <w:r w:rsidRPr="00C24253">
        <w:rPr>
          <w:rFonts w:cs="Arial"/>
          <w:sz w:val="20"/>
          <w:szCs w:val="20"/>
        </w:rPr>
        <w:t xml:space="preserve">. V souvislosti s obydleností bytu je třeba připomenout změnu definice obydlenosti v návaznosti na koncept obvykle bydlícího obyvatelstva. Zatímco do roku 2001 byly za obydlené byty považovány takové, </w:t>
      </w:r>
      <w:r w:rsidRPr="00C24253">
        <w:rPr>
          <w:sz w:val="20"/>
        </w:rPr>
        <w:t xml:space="preserve">v nichž alespoň jedna osoba měla trvalý nebo dlouhodobý pobyt, při sčítání 2011 se jednalo o obydlené byty </w:t>
      </w:r>
      <w:r w:rsidRPr="00C24253">
        <w:rPr>
          <w:sz w:val="20"/>
        </w:rPr>
        <w:lastRenderedPageBreak/>
        <w:t>tehdy, pokud v nich měla alespoň jedna osoba obvyklý pobyt. Tento nový přístup se ukázal v situaci, kdy více než 2 % obyvatel měla k datu sčítání trvalý pobyt na ohlašovnách pobytu, kde však samozřejmě neby</w:t>
      </w:r>
      <w:r w:rsidRPr="00C24253">
        <w:rPr>
          <w:sz w:val="20"/>
        </w:rPr>
        <w:t>d</w:t>
      </w:r>
      <w:r w:rsidRPr="00C24253">
        <w:rPr>
          <w:sz w:val="20"/>
        </w:rPr>
        <w:t>lí, jako výhodný.</w:t>
      </w:r>
    </w:p>
    <w:p w:rsidR="00616966" w:rsidRPr="00C24253" w:rsidRDefault="00616966" w:rsidP="00BE7AB3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 struktuře obydlených bytů podle druhu domu platily obdobné trendy jako u celého bytového fondu - p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kles podílu obydlených bytů v rodinných domech do roku 1991 a pak jeho p</w:t>
      </w:r>
      <w:r w:rsidR="00231F90">
        <w:rPr>
          <w:rFonts w:cs="Arial"/>
          <w:sz w:val="20"/>
          <w:szCs w:val="20"/>
        </w:rPr>
        <w:t>ozvolný nárůst a opačný vývoj u </w:t>
      </w:r>
      <w:r w:rsidRPr="00C24253">
        <w:rPr>
          <w:rFonts w:cs="Arial"/>
          <w:sz w:val="20"/>
          <w:szCs w:val="20"/>
        </w:rPr>
        <w:t>obydlených bytů v bytových domech. Tyto trendy byly ještě zesíleny tím, že podíly neobydlených bytů jsou podstatně vyšší v rodinných než v bytových domech, proto byl pokles podílu obydlených bytů v rodinných domech ještě zřetelnější než u celkového bytového fondu. Podíl obydlenýc</w:t>
      </w:r>
      <w:r w:rsidR="00231F90">
        <w:rPr>
          <w:rFonts w:cs="Arial"/>
          <w:sz w:val="20"/>
          <w:szCs w:val="20"/>
        </w:rPr>
        <w:t>h bytů v rodinných domech byl o </w:t>
      </w:r>
      <w:r w:rsidRPr="00C24253">
        <w:rPr>
          <w:rFonts w:cs="Arial"/>
          <w:sz w:val="20"/>
          <w:szCs w:val="20"/>
        </w:rPr>
        <w:t>necelé 4 procentní body nižší než podíl všech bytů v rodinných domech z celku.</w:t>
      </w:r>
    </w:p>
    <w:tbl>
      <w:tblPr>
        <w:tblW w:w="7002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128"/>
        <w:gridCol w:w="1070"/>
        <w:gridCol w:w="1070"/>
        <w:gridCol w:w="492"/>
        <w:gridCol w:w="1070"/>
        <w:gridCol w:w="492"/>
        <w:gridCol w:w="920"/>
        <w:gridCol w:w="760"/>
      </w:tblGrid>
      <w:tr w:rsidR="00616966" w:rsidRPr="00C24253" w:rsidTr="00616966">
        <w:trPr>
          <w:trHeight w:val="300"/>
          <w:jc w:val="center"/>
        </w:trPr>
        <w:tc>
          <w:tcPr>
            <w:tcW w:w="5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66" w:rsidRPr="00C24253" w:rsidRDefault="00616966" w:rsidP="00BE7AB3">
            <w:pPr>
              <w:spacing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Vývoj počtu obydlených bytů v letech 1970 - 2011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66" w:rsidRPr="00C24253" w:rsidRDefault="00616966" w:rsidP="00616966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66" w:rsidRPr="00C24253" w:rsidRDefault="00616966" w:rsidP="0061696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</w:t>
            </w:r>
          </w:p>
        </w:tc>
      </w:tr>
      <w:tr w:rsidR="00616966" w:rsidRPr="00C24253" w:rsidTr="008161F7">
        <w:trPr>
          <w:trHeight w:val="454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357E4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v rodinných </w:t>
            </w:r>
          </w:p>
          <w:p w:rsidR="00616966" w:rsidRPr="00C24253" w:rsidRDefault="00357E44" w:rsidP="00357E4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domech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bytových</w:t>
            </w:r>
          </w:p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domech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v ostatních </w:t>
            </w:r>
          </w:p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budovách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3 088 841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1 652 786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1 376 080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59 975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1,9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3 494 846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1 604 843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1 847 659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42 344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3 705 681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1 525 389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2 149 963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30 329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1 632 131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2 160 730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34 817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</w:tr>
      <w:tr w:rsidR="00616966" w:rsidRPr="00C24253" w:rsidTr="00BE7AB3">
        <w:trPr>
          <w:trHeight w:val="3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1 795 065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2 257 978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51 592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BE7AB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</w:tr>
    </w:tbl>
    <w:p w:rsidR="00BE7AB3" w:rsidRPr="00C24253" w:rsidRDefault="00616966" w:rsidP="00AE047B">
      <w:pPr>
        <w:spacing w:before="360" w:after="24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Za posledních 40 let se počet obydlených bytů v rodinných domech zvýšil jen o necelých 9 %, zatí</w:t>
      </w:r>
      <w:r w:rsidRPr="00C24253">
        <w:rPr>
          <w:rFonts w:cs="Arial"/>
          <w:b/>
          <w:sz w:val="20"/>
          <w:szCs w:val="20"/>
        </w:rPr>
        <w:t>m</w:t>
      </w:r>
      <w:r w:rsidRPr="00C24253">
        <w:rPr>
          <w:rFonts w:cs="Arial"/>
          <w:b/>
          <w:sz w:val="20"/>
          <w:szCs w:val="20"/>
        </w:rPr>
        <w:t>co v bytových domech vzrostl téměř o dvě třetiny (o 64,1 %).</w:t>
      </w:r>
      <w:r w:rsidRPr="00C24253">
        <w:rPr>
          <w:rFonts w:cs="Arial"/>
          <w:sz w:val="20"/>
          <w:szCs w:val="20"/>
        </w:rPr>
        <w:t xml:space="preserve"> Rychlejší růst neobydlených bytů se proj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vil ve zvýšení jejich podílu na celkovém bytovém fondu – v roce 2011 tvořily neobydlené byty již téměř 14 % bytového fondu. Tento podíl se proti roku 1970 zvýšil téměř 3,5 krát. </w:t>
      </w:r>
    </w:p>
    <w:p w:rsidR="00616966" w:rsidRPr="00C24253" w:rsidRDefault="00616966" w:rsidP="00D509C1">
      <w:pPr>
        <w:spacing w:after="120"/>
        <w:ind w:left="2124" w:hanging="564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Vývoj počtu neobydlených bytů v letech 1970 – 2011</w:t>
      </w:r>
    </w:p>
    <w:tbl>
      <w:tblPr>
        <w:tblW w:w="6576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907"/>
        <w:gridCol w:w="907"/>
        <w:gridCol w:w="907"/>
        <w:gridCol w:w="907"/>
        <w:gridCol w:w="907"/>
        <w:gridCol w:w="907"/>
      </w:tblGrid>
      <w:tr w:rsidR="00D509C1" w:rsidRPr="00C24253" w:rsidTr="00D509C1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170D1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Neobydlené byty</w:t>
            </w:r>
          </w:p>
        </w:tc>
      </w:tr>
      <w:tr w:rsidR="00D509C1" w:rsidRPr="00C24253" w:rsidTr="00170D18">
        <w:trPr>
          <w:trHeight w:val="30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170D1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podíl z úhrnu bytů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rodinných domech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bytových domech</w:t>
            </w:r>
          </w:p>
        </w:tc>
      </w:tr>
      <w:tr w:rsidR="00D509C1" w:rsidRPr="00C24253" w:rsidTr="00170D18">
        <w:trPr>
          <w:trHeight w:val="30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127 790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88 159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30 252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23,7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286 565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208 445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65 897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23,0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371 512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270 073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94 984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25,6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538 615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372 991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149 911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27,8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651 937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461 007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176 641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27,1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65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D509C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Rozdíl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1991-1970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243 722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181 914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64 732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26,6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2001-1991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167 103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102 918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54 927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32,9</w:t>
            </w:r>
          </w:p>
        </w:tc>
      </w:tr>
      <w:tr w:rsidR="00D509C1" w:rsidRPr="00C24253" w:rsidTr="00D509C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616966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2011-2001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113 322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88 016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26 730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C1" w:rsidRPr="00C24253" w:rsidRDefault="00D509C1" w:rsidP="00E544D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23,6</w:t>
            </w:r>
          </w:p>
        </w:tc>
      </w:tr>
    </w:tbl>
    <w:p w:rsidR="00175702" w:rsidRPr="00C24253" w:rsidRDefault="00BE7AB3" w:rsidP="00175702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Důvody neobydlenosti bytů </w:t>
      </w:r>
      <w:r w:rsidR="0000307A">
        <w:rPr>
          <w:rFonts w:cs="Arial"/>
          <w:sz w:val="20"/>
          <w:szCs w:val="20"/>
        </w:rPr>
        <w:t xml:space="preserve">byly </w:t>
      </w:r>
      <w:r w:rsidRPr="00C24253">
        <w:rPr>
          <w:rFonts w:cs="Arial"/>
          <w:sz w:val="20"/>
          <w:szCs w:val="20"/>
        </w:rPr>
        <w:t>velmi rozdílné, od využívání bytu k rekreaci až po nezpůsobilost k bydlení. Je samozřejmé, že v každém okamžiku bude určitá část bytového fondu neobydlená</w:t>
      </w:r>
      <w:r w:rsidR="00175702" w:rsidRPr="00C24253">
        <w:rPr>
          <w:rFonts w:cs="Arial"/>
          <w:sz w:val="20"/>
          <w:szCs w:val="20"/>
        </w:rPr>
        <w:t xml:space="preserve"> z důvodu přestavby, probíhajícího pozůstalostního nebo soudního řízení, u některých se právě mění uživatel</w:t>
      </w:r>
      <w:r w:rsidRPr="00C24253">
        <w:rPr>
          <w:rFonts w:cs="Arial"/>
          <w:sz w:val="20"/>
          <w:szCs w:val="20"/>
        </w:rPr>
        <w:t>, jiné jsou dosud neobydlené po kolaudaci</w:t>
      </w:r>
      <w:r w:rsidR="00175702" w:rsidRPr="00C24253">
        <w:rPr>
          <w:rFonts w:cs="Arial"/>
          <w:sz w:val="20"/>
          <w:szCs w:val="20"/>
        </w:rPr>
        <w:t>.</w:t>
      </w:r>
      <w:r w:rsidRPr="00C24253">
        <w:rPr>
          <w:rFonts w:cs="Arial"/>
          <w:sz w:val="20"/>
          <w:szCs w:val="20"/>
        </w:rPr>
        <w:t xml:space="preserve"> Byty s těmito důvody neobydlenosti tvořily čtvrtinu všech neobydlených bytů</w:t>
      </w:r>
      <w:r w:rsidR="00175702" w:rsidRPr="00C24253">
        <w:rPr>
          <w:rFonts w:cs="Arial"/>
          <w:sz w:val="20"/>
          <w:szCs w:val="20"/>
        </w:rPr>
        <w:t>.</w:t>
      </w:r>
    </w:p>
    <w:p w:rsidR="00BE7AB3" w:rsidRPr="00C24253" w:rsidRDefault="00BE7AB3" w:rsidP="00175702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V roce 2011 byl ale výrazně vyšší než kdykoliv v minulosti i podíl neobydlených bytů s nezjištěným důvodem </w:t>
      </w:r>
      <w:r w:rsidR="00175702" w:rsidRPr="00C24253">
        <w:rPr>
          <w:rFonts w:cs="Arial"/>
          <w:sz w:val="20"/>
          <w:szCs w:val="20"/>
        </w:rPr>
        <w:t>neob</w:t>
      </w:r>
      <w:r w:rsidR="00E544D9" w:rsidRPr="00C24253">
        <w:rPr>
          <w:rFonts w:cs="Arial"/>
          <w:sz w:val="20"/>
          <w:szCs w:val="20"/>
        </w:rPr>
        <w:t>ydlenosti</w:t>
      </w:r>
      <w:r w:rsidR="00175702" w:rsidRPr="00C24253">
        <w:rPr>
          <w:rFonts w:cs="Arial"/>
          <w:sz w:val="20"/>
          <w:szCs w:val="20"/>
        </w:rPr>
        <w:t>i.</w:t>
      </w:r>
      <w:r w:rsidRPr="00C24253">
        <w:rPr>
          <w:rFonts w:cs="Arial"/>
          <w:sz w:val="20"/>
          <w:szCs w:val="20"/>
        </w:rPr>
        <w:t xml:space="preserve"> Ne vždy se podařilo sčítacím komisařům při distribuci a sběru formulářů přesný důvod ne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bydlenosti zjistit. Část nezjištěných důvodů byla způsobena i metodou zpracování – odvozováním místa obvyklého pobytu a </w:t>
      </w:r>
      <w:r w:rsidR="00175702" w:rsidRPr="00C24253">
        <w:rPr>
          <w:rFonts w:cs="Arial"/>
          <w:sz w:val="20"/>
          <w:szCs w:val="20"/>
        </w:rPr>
        <w:t xml:space="preserve">rozdílností </w:t>
      </w:r>
      <w:r w:rsidRPr="00C24253">
        <w:rPr>
          <w:rFonts w:cs="Arial"/>
          <w:sz w:val="20"/>
          <w:szCs w:val="20"/>
        </w:rPr>
        <w:t>mezi distribucí formulářů podle trvalého pobytu a zpracováním výsledků podle obvyklého pobytu. V případě osob, jejichž místo trvalého a obvyklého bydliště bylo různé, nastávaly situace, kdy se byt se sečtenými  trvale bydlícími osobami, jejichž obvyklé bydliště bylo jinde, stal teprve v rámci zpracování neobydleným (bez obvykle bydlících osob). Důvod neobydlenosti zůstal v těchto příp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dech logicky nezjištěn. </w:t>
      </w:r>
    </w:p>
    <w:p w:rsidR="00616966" w:rsidRPr="00C24253" w:rsidRDefault="00616966" w:rsidP="005E0BE1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lastRenderedPageBreak/>
        <w:t>Nejčastějším zjištěným důvodem neobydlenosti bytu zůstalo jeho využívání k rekreačním účelům</w:t>
      </w:r>
      <w:r w:rsidRPr="00C24253">
        <w:rPr>
          <w:rFonts w:cs="Arial"/>
          <w:sz w:val="20"/>
          <w:szCs w:val="20"/>
        </w:rPr>
        <w:t xml:space="preserve"> – měly ho uveden téměř dvě třetiny  neobydlených bytů, u nichž byl zjištěn přesný důvod. Další častější zjišt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né důvody neobydlenosti (přestavba bytu, byt nezpůsobilý k bydlení) jsou již výrazně méně četné, každý z nich tvořil kolem 12 % ze zjištěných konkrétních důvodů, ostatní zjištěné důvody byly podílově zanedbate</w:t>
      </w:r>
      <w:r w:rsidRPr="00C24253">
        <w:rPr>
          <w:rFonts w:cs="Arial"/>
          <w:sz w:val="20"/>
          <w:szCs w:val="20"/>
        </w:rPr>
        <w:t>l</w:t>
      </w:r>
      <w:r w:rsidRPr="00C24253">
        <w:rPr>
          <w:rFonts w:cs="Arial"/>
          <w:sz w:val="20"/>
          <w:szCs w:val="20"/>
        </w:rPr>
        <w:t>né (2,5 – 7 %).</w:t>
      </w:r>
    </w:p>
    <w:p w:rsidR="005675DB" w:rsidRPr="00C24253" w:rsidRDefault="00616966" w:rsidP="005675DB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Neobydlené byty byly častější v menších obcích, neboť s rostoucí velikostí obce se podíl neobydl</w:t>
      </w:r>
      <w:r w:rsidRPr="00C24253">
        <w:rPr>
          <w:rFonts w:cs="Arial"/>
          <w:b/>
          <w:sz w:val="20"/>
          <w:szCs w:val="20"/>
        </w:rPr>
        <w:t>e</w:t>
      </w:r>
      <w:r w:rsidRPr="00C24253">
        <w:rPr>
          <w:rFonts w:cs="Arial"/>
          <w:b/>
          <w:sz w:val="20"/>
          <w:szCs w:val="20"/>
        </w:rPr>
        <w:t>ných bytů plynule snižuje</w:t>
      </w:r>
      <w:r w:rsidRPr="00C24253">
        <w:rPr>
          <w:rFonts w:cs="Arial"/>
          <w:sz w:val="20"/>
          <w:szCs w:val="20"/>
        </w:rPr>
        <w:t>. V nejmenších obcích do 199 obyvatel byl tento podíl vyšší než třetina bytového fondu, v obcích do 499 obyvatel dosahoval 29,0 %.  V největších městech nad 50 tisíc obyvatel tvořily ne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bydlené byty již jen 7,8 % bytového fondu. </w:t>
      </w:r>
    </w:p>
    <w:p w:rsidR="00DD1556" w:rsidRDefault="00616966" w:rsidP="008161F7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Koncentraci neobydlených bytů do nejmenších obcí potvrzuje i fakt, že přibližně třetina všech neobydlených bytů (217,8 tis.) byla sečtena v obcích do 999 obyvatel (v nichž je jen šestina celkového bytového fondu).</w:t>
      </w:r>
    </w:p>
    <w:tbl>
      <w:tblPr>
        <w:tblW w:w="844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531"/>
        <w:gridCol w:w="1134"/>
        <w:gridCol w:w="1134"/>
        <w:gridCol w:w="1134"/>
        <w:gridCol w:w="1134"/>
        <w:gridCol w:w="1134"/>
        <w:gridCol w:w="1134"/>
        <w:gridCol w:w="112"/>
      </w:tblGrid>
      <w:tr w:rsidR="00DD1556" w:rsidRPr="00DD1556" w:rsidTr="005155A7">
        <w:trPr>
          <w:trHeight w:val="300"/>
          <w:jc w:val="center"/>
        </w:trPr>
        <w:tc>
          <w:tcPr>
            <w:tcW w:w="844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1556" w:rsidRPr="00DD1556" w:rsidRDefault="00DD1556" w:rsidP="00DD1556">
            <w:pPr>
              <w:spacing w:after="12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1556">
              <w:rPr>
                <w:rFonts w:cs="Arial"/>
                <w:b/>
                <w:bCs/>
                <w:color w:val="000000"/>
                <w:sz w:val="20"/>
                <w:szCs w:val="20"/>
              </w:rPr>
              <w:t>Neobydlené byty podle důvodu neobydlenosti a velikostních skupin obcí k 26. 3. 2011</w:t>
            </w:r>
          </w:p>
        </w:tc>
      </w:tr>
      <w:tr w:rsidR="005155A7" w:rsidRPr="00DD1556" w:rsidTr="00696285">
        <w:trPr>
          <w:gridAfter w:val="1"/>
          <w:wAfter w:w="112" w:type="dxa"/>
          <w:trHeight w:val="283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Default="005155A7" w:rsidP="005155A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 xml:space="preserve">Velikostní </w:t>
            </w:r>
          </w:p>
          <w:p w:rsidR="005155A7" w:rsidRPr="00DD1556" w:rsidRDefault="005155A7" w:rsidP="005155A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skupina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Pr="00DD1556" w:rsidRDefault="005155A7" w:rsidP="005155A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Neobydlené byty celkem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A7" w:rsidRPr="00DD1556" w:rsidRDefault="005155A7" w:rsidP="005155A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v tom podle důvodu (v %)</w:t>
            </w:r>
          </w:p>
        </w:tc>
      </w:tr>
      <w:tr w:rsidR="005155A7" w:rsidRPr="00DD1556" w:rsidTr="00696285">
        <w:trPr>
          <w:gridAfter w:val="1"/>
          <w:wAfter w:w="112" w:type="dxa"/>
          <w:trHeight w:val="510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 xml:space="preserve">změna </w:t>
            </w:r>
          </w:p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uživatele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 xml:space="preserve">slouží </w:t>
            </w:r>
          </w:p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k rekreaci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přestavba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 xml:space="preserve">nezpůsobilý </w:t>
            </w:r>
          </w:p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k bydlení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A7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</w:p>
          <w:p w:rsidR="005155A7" w:rsidRPr="00DD1556" w:rsidRDefault="005155A7" w:rsidP="00DD155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důvody</w:t>
            </w:r>
          </w:p>
        </w:tc>
      </w:tr>
      <w:tr w:rsidR="00F7211C" w:rsidRPr="00DD1556" w:rsidTr="00725A9A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5155A7" w:rsidRDefault="00F7211C" w:rsidP="00974752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651 937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5155A7" w:rsidRDefault="00F7211C" w:rsidP="0097475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155A7">
              <w:rPr>
                <w:rFonts w:cs="Arial"/>
                <w:b/>
                <w:color w:val="000000"/>
                <w:sz w:val="16"/>
                <w:szCs w:val="16"/>
              </w:rPr>
              <w:t>61,2</w:t>
            </w:r>
          </w:p>
        </w:tc>
      </w:tr>
      <w:tr w:rsidR="00F7211C" w:rsidRPr="00DD1556" w:rsidTr="00725A9A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F7211C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tom: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7211C" w:rsidRPr="00DD1556" w:rsidTr="00725A9A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do 499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123 688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40,5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500-999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94 105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47,5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1000-1999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85 716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49,9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2000-9999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135 754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63,2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10000-19999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F7211C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20000-49999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54 248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81,5</w:t>
            </w:r>
          </w:p>
        </w:tc>
      </w:tr>
      <w:tr w:rsidR="00F7211C" w:rsidRPr="00DD1556" w:rsidTr="005155A7">
        <w:trPr>
          <w:gridAfter w:val="1"/>
          <w:wAfter w:w="112" w:type="dxa"/>
          <w:trHeight w:val="30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725A9A">
            <w:pPr>
              <w:ind w:left="113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50000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 více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115 581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11C" w:rsidRPr="00DD1556" w:rsidRDefault="00F7211C" w:rsidP="00DD155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D1556">
              <w:rPr>
                <w:rFonts w:cs="Arial"/>
                <w:color w:val="000000"/>
                <w:sz w:val="16"/>
                <w:szCs w:val="16"/>
              </w:rPr>
              <w:t>85,6</w:t>
            </w:r>
          </w:p>
        </w:tc>
      </w:tr>
    </w:tbl>
    <w:p w:rsidR="008161F7" w:rsidRPr="00C24253" w:rsidRDefault="00616966" w:rsidP="00D509C1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Velikost obce ovlivňuje i důvody neobydlenosti. To platí především pro neobyd</w:t>
      </w:r>
      <w:r w:rsidR="005675DB" w:rsidRPr="00C24253">
        <w:rPr>
          <w:rFonts w:cs="Arial"/>
          <w:sz w:val="20"/>
          <w:szCs w:val="20"/>
        </w:rPr>
        <w:t xml:space="preserve">lené byty sloužící k </w:t>
      </w:r>
      <w:r w:rsidRPr="00C24253">
        <w:rPr>
          <w:rFonts w:cs="Arial"/>
          <w:sz w:val="20"/>
          <w:szCs w:val="20"/>
        </w:rPr>
        <w:t>rekrea</w:t>
      </w:r>
      <w:r w:rsidRPr="00C24253">
        <w:rPr>
          <w:rFonts w:cs="Arial"/>
          <w:sz w:val="20"/>
          <w:szCs w:val="20"/>
        </w:rPr>
        <w:t>č</w:t>
      </w:r>
      <w:r w:rsidRPr="00C24253">
        <w:rPr>
          <w:rFonts w:cs="Arial"/>
          <w:sz w:val="20"/>
          <w:szCs w:val="20"/>
        </w:rPr>
        <w:t xml:space="preserve">ním účelům, které v nejmenších obcích tvoří téměř polovinu všech neobydlených bytů, zatímco v největších městech jen necelá 2 %. </w:t>
      </w:r>
    </w:p>
    <w:p w:rsidR="00616966" w:rsidRPr="00C24253" w:rsidRDefault="00616966" w:rsidP="00D509C1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Obdobně velké rozdíly lze pozorovat i u „ostatních důvodů“, kam v tomto případě počítáme jiný důvod a n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zjištěný důvod. Jen trend je opačný – nejnižší podíl bytů s ostatními důvody neobydlenosti je v nejmenších obcích a s velikostí obce tento podíl roste. </w:t>
      </w:r>
    </w:p>
    <w:p w:rsidR="00072E6D" w:rsidRPr="00C24253" w:rsidRDefault="00D26259" w:rsidP="00B05B62">
      <w:pPr>
        <w:pStyle w:val="Nadpis3"/>
      </w:pPr>
      <w:r>
        <w:t>Právní důvod užívání bytu</w:t>
      </w:r>
    </w:p>
    <w:p w:rsidR="008161F7" w:rsidRPr="00C24253" w:rsidRDefault="00616966" w:rsidP="008161F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K nejvýraznějším změnám v období 1970 - 2011 došlo ve struktuře bytů podle právního důvodu už</w:t>
      </w:r>
      <w:r w:rsidRPr="00C24253">
        <w:rPr>
          <w:rFonts w:cs="Arial"/>
          <w:b/>
          <w:sz w:val="20"/>
          <w:szCs w:val="20"/>
        </w:rPr>
        <w:t>í</w:t>
      </w:r>
      <w:r w:rsidRPr="00C24253">
        <w:rPr>
          <w:rFonts w:cs="Arial"/>
          <w:b/>
          <w:sz w:val="20"/>
          <w:szCs w:val="20"/>
        </w:rPr>
        <w:t>vání bytu</w:t>
      </w:r>
      <w:r w:rsidRPr="00C24253">
        <w:rPr>
          <w:rFonts w:cs="Arial"/>
          <w:sz w:val="20"/>
          <w:szCs w:val="20"/>
        </w:rPr>
        <w:t>. Sedmdesátá a osmdesátá léta byla charakteristická nárůstem družstevního bydlení, během těc</w:t>
      </w:r>
      <w:r w:rsidRPr="00C24253">
        <w:rPr>
          <w:rFonts w:cs="Arial"/>
          <w:sz w:val="20"/>
          <w:szCs w:val="20"/>
        </w:rPr>
        <w:t>h</w:t>
      </w:r>
      <w:r w:rsidRPr="00C24253">
        <w:rPr>
          <w:rFonts w:cs="Arial"/>
          <w:sz w:val="20"/>
          <w:szCs w:val="20"/>
        </w:rPr>
        <w:t>to dvaceti let se počet družstevních bytů zvýšil více než třikrát. Naopak počet bytů ve vlastním domě stagn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val, což se projevilo poklesem jeho podílu. </w:t>
      </w:r>
    </w:p>
    <w:p w:rsidR="00616966" w:rsidRPr="00C24253" w:rsidRDefault="00616966" w:rsidP="008161F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Od devadesátých let však přichází velká změna v souvislosti s privatizací domovního a bytového fondu. Privatizované byty ve státních, obecních nebo družstevních domech se z bytů původně nájemních a dru</w:t>
      </w:r>
      <w:r w:rsidRPr="00C24253">
        <w:rPr>
          <w:rFonts w:cs="Arial"/>
          <w:sz w:val="20"/>
          <w:szCs w:val="20"/>
        </w:rPr>
        <w:t>ž</w:t>
      </w:r>
      <w:r w:rsidRPr="00C24253">
        <w:rPr>
          <w:rFonts w:cs="Arial"/>
          <w:sz w:val="20"/>
          <w:szCs w:val="20"/>
        </w:rPr>
        <w:t xml:space="preserve">stevních transformovaly postupně do bytů v osobním vlastnictví. </w:t>
      </w:r>
      <w:r w:rsidRPr="00C24253">
        <w:rPr>
          <w:rFonts w:cs="Arial"/>
          <w:b/>
          <w:sz w:val="20"/>
          <w:szCs w:val="20"/>
        </w:rPr>
        <w:t>Počet bytů v osobním vlastnictví se za dvacet let zvýšil více než 26 krát a jejich podíl překročil pětinu obydleného bytového fondu.</w:t>
      </w:r>
      <w:r w:rsidRPr="00C24253">
        <w:rPr>
          <w:b/>
        </w:rPr>
        <w:t xml:space="preserve"> </w:t>
      </w:r>
      <w:r w:rsidRPr="00C24253">
        <w:rPr>
          <w:rFonts w:cs="Arial"/>
          <w:b/>
          <w:sz w:val="20"/>
          <w:szCs w:val="20"/>
        </w:rPr>
        <w:t>Naopak po roce 1991 klesaly počty i podíly bytů nájemních</w:t>
      </w:r>
      <w:r w:rsidRPr="00C24253">
        <w:rPr>
          <w:rFonts w:cs="Arial"/>
          <w:sz w:val="20"/>
          <w:szCs w:val="20"/>
        </w:rPr>
        <w:t xml:space="preserve"> (o zhruba dvě pětiny) </w:t>
      </w:r>
      <w:r w:rsidRPr="00C24253">
        <w:rPr>
          <w:rFonts w:cs="Arial"/>
          <w:b/>
          <w:sz w:val="20"/>
          <w:szCs w:val="20"/>
        </w:rPr>
        <w:t>a družstevních</w:t>
      </w:r>
      <w:r w:rsidRPr="00C24253">
        <w:rPr>
          <w:rFonts w:cs="Arial"/>
          <w:sz w:val="20"/>
          <w:szCs w:val="20"/>
        </w:rPr>
        <w:t xml:space="preserve"> (téměř o pol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vinu). Podíl bytů ve vlastním domě se za dvacet let snížil jen nepatrně a tyto byty stále tvoří více než třetinu všech obydlených bytů.</w:t>
      </w:r>
    </w:p>
    <w:p w:rsidR="00616966" w:rsidRPr="00C24253" w:rsidRDefault="008161F7" w:rsidP="008161F7">
      <w:pPr>
        <w:spacing w:after="120"/>
        <w:ind w:left="708"/>
        <w:rPr>
          <w:rFonts w:cs="Arial"/>
          <w:b/>
          <w:sz w:val="20"/>
          <w:szCs w:val="20"/>
        </w:rPr>
      </w:pPr>
      <w:r w:rsidRPr="00C24253">
        <w:rPr>
          <w:rFonts w:cs="Arial"/>
          <w:sz w:val="20"/>
          <w:szCs w:val="20"/>
        </w:rPr>
        <w:br w:type="page"/>
      </w:r>
      <w:r w:rsidR="00616966" w:rsidRPr="00C24253">
        <w:rPr>
          <w:rFonts w:cs="Arial"/>
          <w:b/>
          <w:sz w:val="20"/>
          <w:szCs w:val="20"/>
        </w:rPr>
        <w:lastRenderedPageBreak/>
        <w:t>Vývoj obydlených bytů podle právního důvodu užívání v letech 1970 – 2011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084"/>
        <w:gridCol w:w="1083"/>
        <w:gridCol w:w="498"/>
        <w:gridCol w:w="888"/>
        <w:gridCol w:w="628"/>
        <w:gridCol w:w="1083"/>
        <w:gridCol w:w="705"/>
        <w:gridCol w:w="966"/>
        <w:gridCol w:w="705"/>
      </w:tblGrid>
      <w:tr w:rsidR="008161F7" w:rsidRPr="00C24253" w:rsidTr="008161F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</w:t>
            </w:r>
          </w:p>
        </w:tc>
      </w:tr>
      <w:tr w:rsidR="008161F7" w:rsidRPr="00C24253" w:rsidTr="008161F7">
        <w:trPr>
          <w:trHeight w:val="45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 vlastním domě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osobním</w:t>
            </w:r>
          </w:p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vlastnictví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nájemní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družstevní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5675D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3 088 841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1 345 783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1 272 289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217 882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5675D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3 494 846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1 412 744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32 505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1 414 136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458 332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13,1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5675D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3 705 681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1 367 027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31 164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1 465 231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697 829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18,8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5675D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1 371 684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421 654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1 092 950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548 812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14,3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5675D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1 470 174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824 076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920 405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385 601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9,4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8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Rozdíl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2001-1991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121 997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4 657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390 490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320,1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-372 281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-305,2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-149 017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-122,1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2011-2001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276 957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98 490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402 422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145,3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-172 545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-62,3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-163 211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-58,9</w:t>
            </w:r>
          </w:p>
        </w:tc>
      </w:tr>
      <w:tr w:rsidR="008161F7" w:rsidRPr="00C24253" w:rsidTr="005675DB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2011-1991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398 954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103 147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792 912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-544 826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-136,6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-312 228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F7" w:rsidRPr="00C24253" w:rsidRDefault="008161F7" w:rsidP="008161F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-78,3</w:t>
            </w:r>
          </w:p>
        </w:tc>
      </w:tr>
    </w:tbl>
    <w:p w:rsidR="00616966" w:rsidRPr="00C24253" w:rsidRDefault="00616966" w:rsidP="008161F7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Relace mezi uvedenými právními důvody užívání bytu na úrovni republiky neplatila ale všeobecně, význa</w:t>
      </w:r>
      <w:r w:rsidRPr="00C24253">
        <w:rPr>
          <w:rFonts w:cs="Arial"/>
          <w:sz w:val="20"/>
          <w:szCs w:val="20"/>
        </w:rPr>
        <w:t>m</w:t>
      </w:r>
      <w:r w:rsidRPr="00C24253">
        <w:rPr>
          <w:rFonts w:cs="Arial"/>
          <w:sz w:val="20"/>
          <w:szCs w:val="20"/>
        </w:rPr>
        <w:t>né rozdíly byly ve struktuře důvodů podle velikosti obce. Zásadní rozdíl byl mezi malými obcemi do 1 999 obyvatel a městy s 10 tis. a více obyvateli. Zatímco v malých obcích byly dvě třetiny až tři čtvrtiny všech bytů ve vlastním domě a podíl bytů v osobním vlastnictví zde byl od 2 do 6 %, ve větších městech převažoval podíl bytů v osobním vlastnictví nad počtem bytů ve vlastním domě. Ve městech s 10-49 tis. obyvatel byla tato převaha minimální, ale ve městech nad 50 tis. obyvatel byl již podíl bytů v osobním vlastnictví téměř dvojnásobný proti podílu bytů ve vlastním domě. Důvodem je zejména struktura domovního fondu;  v malých obcích převažují rodinné domy, proto jsou tam byty ve vlastním domě ve výrazné převaze.</w:t>
      </w:r>
    </w:p>
    <w:p w:rsidR="00616966" w:rsidRPr="00C24253" w:rsidRDefault="00616966" w:rsidP="008161F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Obecně lze konstatovat, že </w:t>
      </w:r>
      <w:r w:rsidRPr="00C24253">
        <w:rPr>
          <w:rFonts w:cs="Arial"/>
          <w:b/>
          <w:sz w:val="20"/>
          <w:szCs w:val="20"/>
        </w:rPr>
        <w:t>zatímco podíl bytů ve vlastním domě s rostoucí velikostí obce klesá, u bytů v osobním vlastnictví, bytů nájemních i družstevních je tomu naopak, neboť s rostoucí velikostí obce jejich podíl roste</w:t>
      </w:r>
      <w:r w:rsidRPr="00C24253">
        <w:rPr>
          <w:rFonts w:cs="Arial"/>
          <w:sz w:val="20"/>
          <w:szCs w:val="20"/>
        </w:rPr>
        <w:t xml:space="preserve"> (podíl bytů v osobním vlastnictví a družstevních je nejvyšší ve městech s 20-100 tis. ob</w:t>
      </w:r>
      <w:r w:rsidRPr="00C24253">
        <w:rPr>
          <w:rFonts w:cs="Arial"/>
          <w:sz w:val="20"/>
          <w:szCs w:val="20"/>
        </w:rPr>
        <w:t>y</w:t>
      </w:r>
      <w:r w:rsidRPr="00C24253">
        <w:rPr>
          <w:rFonts w:cs="Arial"/>
          <w:sz w:val="20"/>
          <w:szCs w:val="20"/>
        </w:rPr>
        <w:t>vateli, podíl bytů nájemních je nejvyšší ve městech nad 100 tis. obyvatel).</w:t>
      </w:r>
    </w:p>
    <w:p w:rsidR="00616966" w:rsidRPr="00C24253" w:rsidRDefault="00616966" w:rsidP="008161F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 hlediska počtu obytných místností jsou největší byty ve vlastním domě, kdy tři čtvrtiny z nich mají 4 a více obytných místností a téměř polovina pět a více obytných místností. Byty družstevní jsou nepatrně větší </w:t>
      </w:r>
      <w:r w:rsidR="0000307A" w:rsidRPr="00C24253">
        <w:rPr>
          <w:rFonts w:cs="Arial"/>
          <w:sz w:val="20"/>
          <w:szCs w:val="20"/>
        </w:rPr>
        <w:t>(téměř 47 % bytů má 4 a více místností)</w:t>
      </w:r>
      <w:r w:rsidR="0000307A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než byty v osobním vlastnictví (přes 42 % bytů má 4 a více místno</w:t>
      </w:r>
      <w:r w:rsidRPr="00C24253">
        <w:rPr>
          <w:rFonts w:cs="Arial"/>
          <w:sz w:val="20"/>
          <w:szCs w:val="20"/>
        </w:rPr>
        <w:t>s</w:t>
      </w:r>
      <w:r w:rsidRPr="00C24253">
        <w:rPr>
          <w:rFonts w:cs="Arial"/>
          <w:sz w:val="20"/>
          <w:szCs w:val="20"/>
        </w:rPr>
        <w:t xml:space="preserve">tí). Nejmenší jsou byty nájemní – jen necelých 30 % má 4 a více obytných místností, ale téměř 36 % těchto bytů má jen 1-2 obytné místnosti. </w:t>
      </w:r>
    </w:p>
    <w:p w:rsidR="00616966" w:rsidRPr="00C24253" w:rsidRDefault="00616966" w:rsidP="008161F7">
      <w:pPr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úrovni vybavení bytu nejsou mezi byty různých právních důvodů žádné větší rozdíly. Mírně vyšší podíl bytů se sníženou kvalitou je u bytů ve vlastním domě (přes 2 %), naopak u bytů v osobním vlastnictví a bytů družstevních je podíl těchto bytů jen 0,2 %.</w:t>
      </w:r>
    </w:p>
    <w:p w:rsidR="00616966" w:rsidRPr="00C24253" w:rsidRDefault="00616966" w:rsidP="00B05B62">
      <w:pPr>
        <w:pStyle w:val="Nadpis3"/>
      </w:pPr>
      <w:bookmarkStart w:id="2" w:name="_Toc371588186"/>
      <w:r w:rsidRPr="00C24253">
        <w:t>Stáří bytového fondu</w:t>
      </w:r>
      <w:bookmarkEnd w:id="2"/>
    </w:p>
    <w:p w:rsidR="00616966" w:rsidRPr="00C24253" w:rsidRDefault="00616966" w:rsidP="008161F7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Ve sčítání se pravidelně zjišťuje období výstavby (a také rekonstrukce) domů a odvozeně i bytů. Formulace otázky nebyla ale v jednotlivých sčítáních shodná. Např. v roce 1991 se zjišťovalo samostatně období v</w:t>
      </w:r>
      <w:r w:rsidRPr="00C24253">
        <w:rPr>
          <w:sz w:val="20"/>
          <w:szCs w:val="20"/>
        </w:rPr>
        <w:t>ý</w:t>
      </w:r>
      <w:r w:rsidRPr="00C24253">
        <w:rPr>
          <w:sz w:val="20"/>
          <w:szCs w:val="20"/>
        </w:rPr>
        <w:t xml:space="preserve">stavby a samostatně období rekonstrukce, zatímco v letech 2001 a 2011 to byl jen jeden ukazatel – období výstavby nebo rekonstrukce. Proto z důvodu srovnatelnosti jsou v dalším textu hodnocena pouze poslední dvě sčítání. </w:t>
      </w:r>
    </w:p>
    <w:p w:rsidR="00616966" w:rsidRPr="00C24253" w:rsidRDefault="00616966" w:rsidP="008161F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 období 2001 – 2011 bylo postaveno nebo zrekonstruováno přes 364 tis. obydlených bytů, což</w:t>
      </w:r>
      <w:r w:rsidR="00231F90">
        <w:rPr>
          <w:rFonts w:cs="Arial"/>
          <w:sz w:val="20"/>
          <w:szCs w:val="20"/>
        </w:rPr>
        <w:t xml:space="preserve"> je zhruba o </w:t>
      </w:r>
      <w:r w:rsidRPr="00C24253">
        <w:rPr>
          <w:rFonts w:cs="Arial"/>
          <w:sz w:val="20"/>
          <w:szCs w:val="20"/>
        </w:rPr>
        <w:t xml:space="preserve">šestinu bytů více než v desetiletí 1991 - 2001. Koresponduje to s tím, že bytová výstavba se po roce 2000 proti devadesátým létům minulého století zvýšila i podle údajů statistiky bytové výstavby - v poslední dekádě bylo dokončeno téměř 330 tis. bytů, což je výrazně více než v devadesátých letech. </w:t>
      </w:r>
    </w:p>
    <w:p w:rsidR="004243C7" w:rsidRPr="00C24253" w:rsidRDefault="00616966" w:rsidP="008161F7">
      <w:pPr>
        <w:spacing w:after="120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Většina nových bytů z posledního desetiletí byla v rodinných domech</w:t>
      </w:r>
      <w:r w:rsidR="004243C7" w:rsidRPr="00C24253">
        <w:rPr>
          <w:rFonts w:cs="Arial"/>
          <w:b/>
          <w:sz w:val="20"/>
          <w:szCs w:val="20"/>
        </w:rPr>
        <w:t>.</w:t>
      </w:r>
      <w:r w:rsidRPr="00C24253">
        <w:rPr>
          <w:rFonts w:cs="Arial"/>
          <w:sz w:val="20"/>
          <w:szCs w:val="20"/>
        </w:rPr>
        <w:t xml:space="preserve"> Poměrně nízké počty nových bytů z posledního desetiletého období (36 tis. bytů </w:t>
      </w:r>
      <w:r w:rsidR="004243C7" w:rsidRPr="00C24253">
        <w:rPr>
          <w:rFonts w:cs="Arial"/>
          <w:sz w:val="20"/>
          <w:szCs w:val="20"/>
        </w:rPr>
        <w:t>za rok</w:t>
      </w:r>
      <w:r w:rsidRPr="00C24253">
        <w:rPr>
          <w:rFonts w:cs="Arial"/>
          <w:sz w:val="20"/>
          <w:szCs w:val="20"/>
        </w:rPr>
        <w:t xml:space="preserve">) - v porovnání s dvojnásobnými hodnotami z let sedmdesátých a osmdesátých - měly vliv i na </w:t>
      </w:r>
      <w:r w:rsidRPr="00C24253">
        <w:rPr>
          <w:rFonts w:cs="Arial"/>
          <w:b/>
          <w:sz w:val="20"/>
          <w:szCs w:val="20"/>
        </w:rPr>
        <w:t>zvyšování průměrného stáří bytů, které v roce 2001 jen mírně překročilo 41 roků, zatímco v roce 2011 dosáhlo 46,5 roku (tedy o více než 5 let).</w:t>
      </w:r>
    </w:p>
    <w:p w:rsidR="00616966" w:rsidRPr="00C24253" w:rsidRDefault="004243C7" w:rsidP="004243C7">
      <w:pPr>
        <w:spacing w:after="120"/>
        <w:ind w:left="426"/>
        <w:rPr>
          <w:rFonts w:cs="Arial"/>
          <w:b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br w:type="page"/>
      </w:r>
      <w:r w:rsidR="00616966" w:rsidRPr="00C24253">
        <w:rPr>
          <w:rFonts w:cs="Arial"/>
          <w:b/>
          <w:sz w:val="20"/>
          <w:szCs w:val="20"/>
        </w:rPr>
        <w:lastRenderedPageBreak/>
        <w:t>Obydlené byty podle období výstavby (rekonstrukce) domu v letech 2001 a 2011</w:t>
      </w:r>
    </w:p>
    <w:tbl>
      <w:tblPr>
        <w:tblW w:w="8826" w:type="dxa"/>
        <w:jc w:val="center"/>
        <w:tblCellMar>
          <w:left w:w="70" w:type="dxa"/>
          <w:right w:w="70" w:type="dxa"/>
        </w:tblCellMar>
        <w:tblLook w:val="04A0"/>
      </w:tblPr>
      <w:tblGrid>
        <w:gridCol w:w="1417"/>
        <w:gridCol w:w="871"/>
        <w:gridCol w:w="923"/>
        <w:gridCol w:w="966"/>
        <w:gridCol w:w="946"/>
        <w:gridCol w:w="915"/>
        <w:gridCol w:w="1002"/>
        <w:gridCol w:w="730"/>
        <w:gridCol w:w="1056"/>
      </w:tblGrid>
      <w:tr w:rsidR="00616966" w:rsidRPr="00C24253" w:rsidTr="004243C7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616966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Období výstavby (rekonstrukce)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 2001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 2011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v rodinných domech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v rodinných domech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bytových domech</w:t>
            </w:r>
          </w:p>
        </w:tc>
      </w:tr>
      <w:tr w:rsidR="009D1B17" w:rsidRPr="00C24253" w:rsidTr="009D1B17">
        <w:trPr>
          <w:trHeight w:val="4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absol.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17" w:rsidRPr="00C24253" w:rsidRDefault="009D1B17" w:rsidP="009D1B1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absol.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7" w:rsidRPr="00C24253" w:rsidRDefault="009D1B17" w:rsidP="009D1B1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nájemní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17" w:rsidRPr="00C24253" w:rsidRDefault="009D1B17" w:rsidP="004243C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osobním vlastnictví</w:t>
            </w:r>
          </w:p>
        </w:tc>
      </w:tr>
      <w:tr w:rsidR="009D1B17" w:rsidRPr="00C24253" w:rsidTr="009D1B17">
        <w:trPr>
          <w:trHeight w:val="397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045B2E" w:rsidP="009D1B1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Byty </w:t>
            </w:r>
            <w:r w:rsidR="009D1B17"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3 827 678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4 104 635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v tom: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DF3C1C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do roku </w:t>
            </w:r>
            <w:r w:rsidR="009D1B17" w:rsidRPr="00C24253">
              <w:rPr>
                <w:rFonts w:cs="Arial"/>
                <w:sz w:val="16"/>
                <w:szCs w:val="16"/>
              </w:rPr>
              <w:t>1919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418 004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374 654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1920-1945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561 934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529 758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1946-1970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1 007 222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26,3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942 613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34,4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1971-1980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861 718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822 621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29,5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1981-1990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627 486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615 104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14,4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1991-2000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313 769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359 204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</w:tr>
      <w:tr w:rsidR="009D1B17" w:rsidRPr="00C24253" w:rsidTr="00DF3C1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2001-2011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364 333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10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7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1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6,9</w:t>
            </w:r>
          </w:p>
        </w:tc>
      </w:tr>
      <w:tr w:rsidR="009D1B17" w:rsidRPr="00C24253" w:rsidTr="009D1B17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37 545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96 348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17" w:rsidRPr="00C24253" w:rsidRDefault="009D1B17" w:rsidP="009D1B1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</w:tr>
    </w:tbl>
    <w:p w:rsidR="00616966" w:rsidRDefault="00616966" w:rsidP="009137F4">
      <w:pPr>
        <w:spacing w:before="240"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Struktura bytového fondu podle jeho stáří se výrazně lišila podle velikostní skupiny obce. Obecně platí, že nejvyšší podíl nejstarších bytů s obdobím výstavby nebo rekonstrukce do roku 1919 je v nejmenších obcích do 2 tis. obyvatel, na druhou stranu i nejvyšší podíl nejnovějších bytů, tedy bytů s obdobím výstavby nebo rekonstrukce v letech 2001-2011, je také v malých obcích s 500 – 1 999 obyvateli (především v okolí velkých měst). Ve větších městech (s 10 - 49 tis. obyvatel) jsou zase vyšší podíly bytů postavených v letech 1971-2000 a největší města nad 50 tis. obyvatel mají nejvyšší podíl bytů z let 1920-1970.</w:t>
      </w:r>
      <w:r w:rsidR="00045B2E" w:rsidRPr="00C24253">
        <w:rPr>
          <w:rFonts w:cs="Arial"/>
          <w:sz w:val="20"/>
          <w:szCs w:val="20"/>
        </w:rPr>
        <w:t xml:space="preserve"> </w:t>
      </w:r>
    </w:p>
    <w:p w:rsidR="00842B9E" w:rsidRPr="00C24253" w:rsidRDefault="00183E9F" w:rsidP="00842B9E">
      <w:pPr>
        <w:spacing w:before="240" w:after="24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PD\\Tabulky pro grafy Byty PD.xlsx!Graf2![Tabulky pro grafy Byty PD.xlsx]Graf2 Graf 2"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FA739F" w:rsidRPr="00183E9F">
        <w:rPr>
          <w:rFonts w:cs="Arial"/>
          <w:sz w:val="20"/>
          <w:szCs w:val="20"/>
        </w:rPr>
        <w:object w:dxaOrig="9480" w:dyaOrig="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225pt">
            <v:imagedata r:id="rId8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616966" w:rsidRPr="00C24253" w:rsidRDefault="00616966" w:rsidP="00B05B62">
      <w:pPr>
        <w:pStyle w:val="Nadpis3"/>
      </w:pPr>
      <w:bookmarkStart w:id="3" w:name="_Toc371588187"/>
      <w:r w:rsidRPr="00C24253">
        <w:t>Obydlené byty podle velikosti</w:t>
      </w:r>
      <w:bookmarkEnd w:id="3"/>
    </w:p>
    <w:p w:rsidR="00842B9E" w:rsidRDefault="00616966" w:rsidP="00045B2E">
      <w:pPr>
        <w:spacing w:after="120"/>
        <w:rPr>
          <w:sz w:val="20"/>
        </w:rPr>
      </w:pPr>
      <w:r w:rsidRPr="00C24253">
        <w:rPr>
          <w:sz w:val="20"/>
        </w:rPr>
        <w:t>Trend zvyšování velikosti byt</w:t>
      </w:r>
      <w:r w:rsidR="0000307A">
        <w:rPr>
          <w:sz w:val="20"/>
        </w:rPr>
        <w:t>ů</w:t>
      </w:r>
      <w:r w:rsidRPr="00C24253">
        <w:rPr>
          <w:sz w:val="20"/>
        </w:rPr>
        <w:t xml:space="preserve"> nadále pokračoval. Výsledky roku 2011 byly ale ovlivněny metodickou zm</w:t>
      </w:r>
      <w:r w:rsidRPr="00C24253">
        <w:rPr>
          <w:sz w:val="20"/>
        </w:rPr>
        <w:t>ě</w:t>
      </w:r>
      <w:r w:rsidRPr="00C24253">
        <w:rPr>
          <w:sz w:val="20"/>
        </w:rPr>
        <w:t>nou, která neumožňuje prosté srovnání absolutních údajů s předchozími sčítáními u ukazatelů počtu oby</w:t>
      </w:r>
      <w:r w:rsidRPr="00C24253">
        <w:rPr>
          <w:sz w:val="20"/>
        </w:rPr>
        <w:t>t</w:t>
      </w:r>
      <w:r w:rsidRPr="00C24253">
        <w:rPr>
          <w:sz w:val="20"/>
        </w:rPr>
        <w:t xml:space="preserve">ných místností a velikosti obytné plochy bytu. </w:t>
      </w:r>
    </w:p>
    <w:p w:rsidR="00842B9E" w:rsidRDefault="00616966" w:rsidP="00045B2E">
      <w:pPr>
        <w:spacing w:after="120"/>
        <w:rPr>
          <w:sz w:val="20"/>
        </w:rPr>
      </w:pPr>
      <w:r w:rsidRPr="00C24253">
        <w:rPr>
          <w:sz w:val="20"/>
        </w:rPr>
        <w:t>V souladu s mezinárodními doporučeními byla při sčítání 2011 za obytnou místnost považována i kuchyně, pokud měla plochu 8 m</w:t>
      </w:r>
      <w:r w:rsidRPr="00C24253">
        <w:rPr>
          <w:sz w:val="20"/>
          <w:vertAlign w:val="superscript"/>
        </w:rPr>
        <w:t>2</w:t>
      </w:r>
      <w:r w:rsidRPr="00C24253">
        <w:rPr>
          <w:sz w:val="20"/>
        </w:rPr>
        <w:t xml:space="preserve"> a větší a pak byla i její </w:t>
      </w:r>
      <w:r w:rsidR="0000307A">
        <w:rPr>
          <w:sz w:val="20"/>
        </w:rPr>
        <w:t xml:space="preserve">celková </w:t>
      </w:r>
      <w:r w:rsidRPr="00C24253">
        <w:rPr>
          <w:sz w:val="20"/>
        </w:rPr>
        <w:t xml:space="preserve">plocha zahrnuta do obytné plochy bytu. </w:t>
      </w:r>
      <w:r w:rsidR="0000307A">
        <w:rPr>
          <w:sz w:val="20"/>
        </w:rPr>
        <w:t>V minulých sčítáních byla</w:t>
      </w:r>
      <w:r w:rsidRPr="00C24253">
        <w:rPr>
          <w:sz w:val="20"/>
        </w:rPr>
        <w:t xml:space="preserve"> kuchyně považována za obytnou místnost pouze v případě, kdy byla jedinou místností v bytě a do obytné plochy bytu se započítávala pouze plocha přesahující 12 m</w:t>
      </w:r>
      <w:r w:rsidRPr="00C24253">
        <w:rPr>
          <w:sz w:val="20"/>
          <w:vertAlign w:val="superscript"/>
        </w:rPr>
        <w:t>2</w:t>
      </w:r>
      <w:r w:rsidRPr="00C24253">
        <w:rPr>
          <w:sz w:val="20"/>
        </w:rPr>
        <w:t>.</w:t>
      </w:r>
      <w:r w:rsidR="00C05083" w:rsidRPr="00C24253">
        <w:rPr>
          <w:sz w:val="20"/>
        </w:rPr>
        <w:t xml:space="preserve"> </w:t>
      </w:r>
    </w:p>
    <w:p w:rsidR="00616966" w:rsidRPr="00C24253" w:rsidRDefault="00616966" w:rsidP="00045B2E">
      <w:pPr>
        <w:spacing w:after="120"/>
        <w:rPr>
          <w:sz w:val="20"/>
        </w:rPr>
      </w:pPr>
      <w:r w:rsidRPr="00C24253">
        <w:rPr>
          <w:sz w:val="20"/>
        </w:rPr>
        <w:t xml:space="preserve">Tato </w:t>
      </w:r>
      <w:r w:rsidRPr="00C24253">
        <w:rPr>
          <w:b/>
          <w:sz w:val="20"/>
        </w:rPr>
        <w:t>metodická změna se projevila ve výrazném poklesu počtu bytů s 1 obytnou místností</w:t>
      </w:r>
      <w:r w:rsidRPr="00C24253">
        <w:rPr>
          <w:sz w:val="20"/>
        </w:rPr>
        <w:t xml:space="preserve"> (o více než 60 % proti roku 2001) a změnila i další relace – </w:t>
      </w:r>
      <w:r w:rsidRPr="00C24253">
        <w:rPr>
          <w:b/>
          <w:sz w:val="20"/>
        </w:rPr>
        <w:t xml:space="preserve">výrazně se zvýšil i počet a podíl bytů se 4 nebo 5 a více </w:t>
      </w:r>
      <w:r w:rsidRPr="00C24253">
        <w:rPr>
          <w:b/>
          <w:sz w:val="20"/>
        </w:rPr>
        <w:lastRenderedPageBreak/>
        <w:t>obytnými místnostmi.</w:t>
      </w:r>
      <w:r w:rsidRPr="00C24253">
        <w:rPr>
          <w:sz w:val="20"/>
        </w:rPr>
        <w:t xml:space="preserve"> Těchto bytů je již více než polovina (53,5 % ze všech bytů se zjištěným počtem místností). </w:t>
      </w:r>
    </w:p>
    <w:p w:rsidR="00616966" w:rsidRPr="00C24253" w:rsidRDefault="00616966" w:rsidP="00045B2E">
      <w:pPr>
        <w:pStyle w:val="Zkladntext"/>
        <w:spacing w:after="360"/>
        <w:ind w:firstLine="0"/>
      </w:pPr>
      <w:r w:rsidRPr="00C24253">
        <w:t xml:space="preserve">Pozitivní vývoj velikostní struktury bytů byl ovlivněn také jinými faktory. Nově postavené byty jsou větší, např. u bytů z období 2001-2011 jsou téměř dvě třetiny z nich se 4 a více místnostmi. Souvisí to i s tím, že většina (60 %) bytů z tohoto období jsou byty v rodinných domech. Průměrný počet místností se zvyšuje i přístavbou bytů v rodinných domech nebo slučováním bytů při rekonstrukcích domů apod. </w:t>
      </w:r>
    </w:p>
    <w:p w:rsidR="00616966" w:rsidRPr="00C24253" w:rsidRDefault="00616966" w:rsidP="00937761">
      <w:pPr>
        <w:pStyle w:val="Zpat"/>
        <w:tabs>
          <w:tab w:val="clear" w:pos="4536"/>
          <w:tab w:val="clear" w:pos="9072"/>
        </w:tabs>
        <w:spacing w:after="120"/>
        <w:jc w:val="left"/>
        <w:rPr>
          <w:b/>
          <w:sz w:val="20"/>
          <w:szCs w:val="20"/>
        </w:rPr>
      </w:pPr>
      <w:r w:rsidRPr="00C24253">
        <w:rPr>
          <w:b/>
          <w:sz w:val="20"/>
          <w:szCs w:val="20"/>
        </w:rPr>
        <w:t>Složení bytů podle počtu obytných místností v letech 1970 – 2011</w:t>
      </w:r>
    </w:p>
    <w:tbl>
      <w:tblPr>
        <w:tblW w:w="95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20"/>
        <w:gridCol w:w="920"/>
        <w:gridCol w:w="920"/>
        <w:gridCol w:w="920"/>
        <w:gridCol w:w="920"/>
        <w:gridCol w:w="920"/>
        <w:gridCol w:w="700"/>
        <w:gridCol w:w="700"/>
        <w:gridCol w:w="700"/>
        <w:gridCol w:w="700"/>
        <w:gridCol w:w="700"/>
      </w:tblGrid>
      <w:tr w:rsidR="00616966" w:rsidRPr="00C24253" w:rsidTr="00937761">
        <w:trPr>
          <w:trHeight w:val="3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204179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Obytné </w:t>
            </w:r>
            <w:r w:rsidR="00DF3C1C" w:rsidRPr="00C24253">
              <w:rPr>
                <w:rFonts w:cs="Arial"/>
                <w:sz w:val="16"/>
                <w:szCs w:val="16"/>
              </w:rPr>
              <w:t>mí</w:t>
            </w:r>
            <w:r w:rsidRPr="00C24253">
              <w:rPr>
                <w:rFonts w:cs="Arial"/>
                <w:sz w:val="16"/>
                <w:szCs w:val="16"/>
              </w:rPr>
              <w:t>stnosti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 celkem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Složení v %</w:t>
            </w:r>
          </w:p>
        </w:tc>
      </w:tr>
      <w:tr w:rsidR="00616966" w:rsidRPr="00C24253" w:rsidTr="00937761">
        <w:trPr>
          <w:trHeight w:val="30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93776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937761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937761" w:rsidRPr="00C24253" w:rsidTr="00937761">
        <w:trPr>
          <w:trHeight w:val="39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Byty celkem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3 088 841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3 494 846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3 705 681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3 827 678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4 104 635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643B3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937761" w:rsidRPr="00C24253" w:rsidTr="0093776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DF3C1C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</w:t>
            </w:r>
            <w:r w:rsidR="00937761" w:rsidRPr="00C24253">
              <w:rPr>
                <w:rFonts w:cs="Arial"/>
                <w:sz w:val="16"/>
                <w:szCs w:val="16"/>
              </w:rPr>
              <w:t xml:space="preserve">: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37761" w:rsidRPr="00C24253" w:rsidTr="009377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1 obytná </w:t>
            </w:r>
          </w:p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místnost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972 364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746 650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572 803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522 101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201 305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4,9</w:t>
            </w:r>
          </w:p>
        </w:tc>
      </w:tr>
      <w:tr w:rsidR="00937761" w:rsidRPr="00C24253" w:rsidTr="009377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1 183 761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1 245 447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1 171 027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1 171 440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524 080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38,3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12,8</w:t>
            </w:r>
          </w:p>
        </w:tc>
      </w:tr>
      <w:tr w:rsidR="00937761" w:rsidRPr="00C24253" w:rsidTr="009377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672 189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1 033 508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1 272 602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1 358 867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1 017 617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34,3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24,8</w:t>
            </w:r>
          </w:p>
        </w:tc>
      </w:tr>
      <w:tr w:rsidR="00937761" w:rsidRPr="00C24253" w:rsidTr="00DF3C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260 527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308 750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427 053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456 935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1 130 229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27,5</w:t>
            </w:r>
          </w:p>
        </w:tc>
      </w:tr>
      <w:tr w:rsidR="00937761" w:rsidRPr="00C24253" w:rsidTr="00DF3C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DF3C1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</w:t>
            </w:r>
            <w:r w:rsidR="00204179" w:rsidRPr="00C24253">
              <w:rPr>
                <w:rFonts w:cs="Arial"/>
                <w:sz w:val="16"/>
                <w:szCs w:val="16"/>
              </w:rPr>
              <w:t xml:space="preserve"> a více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160 491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262 196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282 879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873 631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61" w:rsidRPr="00C24253" w:rsidRDefault="00937761" w:rsidP="00937761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21,3</w:t>
            </w:r>
          </w:p>
        </w:tc>
      </w:tr>
    </w:tbl>
    <w:p w:rsidR="00616966" w:rsidRPr="00C24253" w:rsidRDefault="00616966" w:rsidP="00842B9E">
      <w:pPr>
        <w:pStyle w:val="Textkomente"/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 w:rsidRPr="00C24253">
        <w:rPr>
          <w:rFonts w:ascii="Arial" w:hAnsi="Arial"/>
        </w:rPr>
        <w:t xml:space="preserve">Podstatně větší jsou byty </w:t>
      </w:r>
      <w:r w:rsidRPr="00C24253">
        <w:rPr>
          <w:rFonts w:ascii="Arial" w:hAnsi="Arial"/>
          <w:b/>
        </w:rPr>
        <w:t>v rodinných domech</w:t>
      </w:r>
      <w:r w:rsidR="00373BE8" w:rsidRPr="00C24253">
        <w:rPr>
          <w:rFonts w:ascii="Arial" w:hAnsi="Arial"/>
          <w:b/>
        </w:rPr>
        <w:t>.</w:t>
      </w:r>
      <w:r w:rsidR="00373BE8" w:rsidRPr="00C24253">
        <w:rPr>
          <w:rFonts w:ascii="Arial" w:hAnsi="Arial"/>
        </w:rPr>
        <w:t xml:space="preserve"> Průměrný </w:t>
      </w:r>
      <w:r w:rsidRPr="00C24253">
        <w:rPr>
          <w:rFonts w:ascii="Arial" w:hAnsi="Arial"/>
          <w:b/>
        </w:rPr>
        <w:t xml:space="preserve">počet obytných místností </w:t>
      </w:r>
      <w:r w:rsidR="00373BE8" w:rsidRPr="00C24253">
        <w:rPr>
          <w:rFonts w:ascii="Arial" w:hAnsi="Arial"/>
          <w:b/>
        </w:rPr>
        <w:t>v rodinných d</w:t>
      </w:r>
      <w:r w:rsidR="00373BE8" w:rsidRPr="00C24253">
        <w:rPr>
          <w:rFonts w:ascii="Arial" w:hAnsi="Arial"/>
          <w:b/>
        </w:rPr>
        <w:t>o</w:t>
      </w:r>
      <w:r w:rsidR="00373BE8" w:rsidRPr="00C24253">
        <w:rPr>
          <w:rFonts w:ascii="Arial" w:hAnsi="Arial"/>
          <w:b/>
        </w:rPr>
        <w:t xml:space="preserve">mech činí </w:t>
      </w:r>
      <w:r w:rsidRPr="00C24253">
        <w:rPr>
          <w:rFonts w:ascii="Arial" w:hAnsi="Arial"/>
          <w:b/>
        </w:rPr>
        <w:t xml:space="preserve">4,4 </w:t>
      </w:r>
      <w:r w:rsidR="00045B2E" w:rsidRPr="00C24253">
        <w:rPr>
          <w:rFonts w:ascii="Arial" w:hAnsi="Arial"/>
          <w:b/>
        </w:rPr>
        <w:t>a v</w:t>
      </w:r>
      <w:r w:rsidR="00373BE8" w:rsidRPr="00C24253">
        <w:rPr>
          <w:rFonts w:ascii="Arial" w:hAnsi="Arial"/>
          <w:b/>
        </w:rPr>
        <w:t xml:space="preserve"> </w:t>
      </w:r>
      <w:r w:rsidR="00045B2E" w:rsidRPr="00C24253">
        <w:rPr>
          <w:rFonts w:ascii="Arial" w:hAnsi="Arial"/>
          <w:b/>
        </w:rPr>
        <w:t xml:space="preserve">bytových </w:t>
      </w:r>
      <w:r w:rsidRPr="00C24253">
        <w:rPr>
          <w:rFonts w:ascii="Arial" w:hAnsi="Arial"/>
          <w:b/>
        </w:rPr>
        <w:t>domech 3,1</w:t>
      </w:r>
      <w:r w:rsidR="00373BE8" w:rsidRPr="00C24253">
        <w:rPr>
          <w:rFonts w:ascii="Arial" w:hAnsi="Arial"/>
          <w:b/>
        </w:rPr>
        <w:t>.</w:t>
      </w:r>
      <w:r w:rsidRPr="00C24253">
        <w:rPr>
          <w:rFonts w:ascii="Arial" w:hAnsi="Arial"/>
        </w:rPr>
        <w:t xml:space="preserve"> Malé byty (s 1-2 obytnými místnostmi) tvořily v rodinných domech necelých 8 % všech bytů, ale v bytových domech představovaly téměř 29 % bytového fondu. A naopak velké byty (s 5 a více místnostmi) tvořily v rodinných domech 43 %, ale v bytových domech jen necelých 7 % byt</w:t>
      </w:r>
      <w:r w:rsidRPr="00C24253">
        <w:rPr>
          <w:rFonts w:ascii="Arial" w:hAnsi="Arial"/>
        </w:rPr>
        <w:t>o</w:t>
      </w:r>
      <w:r w:rsidRPr="00C24253">
        <w:rPr>
          <w:rFonts w:ascii="Arial" w:hAnsi="Arial"/>
        </w:rPr>
        <w:t>vého fondu.</w:t>
      </w:r>
      <w:r w:rsidRPr="00C24253">
        <w:t xml:space="preserve"> </w:t>
      </w:r>
    </w:p>
    <w:p w:rsidR="00616966" w:rsidRDefault="00616966" w:rsidP="00F02F5E">
      <w:pPr>
        <w:pStyle w:val="Zkladntext"/>
        <w:spacing w:after="240"/>
        <w:ind w:firstLine="0"/>
      </w:pPr>
      <w:r w:rsidRPr="00C24253">
        <w:t>Rozdíly ve velikosti bytového fondu podle velikostních skupin obcí souvisí s podílem rodinných domů v těchto velikostních skupinách, tzn., že podíl větších bytů klesá s velikostí obce a naopak podíl menších bytů se s rostoucí velikostí obce zvyšuje. V obcích do 499 obyvatel má jen desetina bytů 1-2 obytné mís</w:t>
      </w:r>
      <w:r w:rsidRPr="00C24253">
        <w:t>t</w:t>
      </w:r>
      <w:r w:rsidRPr="00C24253">
        <w:t>nosti, ale dvě třetiny bytů mají 4 a více místností, zatímco ve městech se 100 tisíci a více obyvateli je malých bytů s 1-2 místnostmi více než čtvrtina a pouze zhruba 43 % bytů má 4 a více pokojů.</w:t>
      </w:r>
    </w:p>
    <w:p w:rsidR="00842B9E" w:rsidRPr="00C24253" w:rsidRDefault="00183E9F" w:rsidP="00F02F5E">
      <w:pPr>
        <w:pStyle w:val="Zkladntext"/>
        <w:spacing w:after="240"/>
        <w:ind w:firstLine="0"/>
      </w:pPr>
      <w:r>
        <w:fldChar w:fldCharType="begin"/>
      </w:r>
      <w:r w:rsidR="00485FDE">
        <w:instrText xml:space="preserve"> LINK Excel.Sheet.8 "D:\\RŮŽKOVÁ\\ALLSČÍTÁNÍ LIDU - VŠE O sl\\PRAMENNÉ dílo\\A KOMPLETACE PD\\Tabulky pro grafy Byty PD.xlsx!Graf3![Tabulky pro grafy Byty PD.xlsx]Graf3 Graf 1" "" \a \p </w:instrText>
      </w:r>
      <w:r>
        <w:fldChar w:fldCharType="separate"/>
      </w:r>
      <w:r w:rsidR="00FA739F">
        <w:object w:dxaOrig="9330" w:dyaOrig="3645">
          <v:shape id="_x0000_i1026" type="#_x0000_t75" style="width:466.5pt;height:182.25pt">
            <v:imagedata r:id="rId9" o:title=""/>
          </v:shape>
        </w:object>
      </w:r>
      <w:r>
        <w:fldChar w:fldCharType="end"/>
      </w:r>
    </w:p>
    <w:p w:rsidR="00616966" w:rsidRPr="00C24253" w:rsidRDefault="00616966" w:rsidP="00A81E26">
      <w:pPr>
        <w:pStyle w:val="Zkladntext"/>
        <w:spacing w:before="240"/>
        <w:ind w:firstLine="0"/>
      </w:pPr>
      <w:r w:rsidRPr="00C24253">
        <w:t>Na velikost bytu má vliv i období výstavby nebo rekonstrukce. Např. v bytech s obdobím výstavby do roku 1945 byl podíl nejmenších bytů (s 1-2 místnostmi) a největších bytů (s 5 a více místnostmi) zhruba stejný, zatímco v bytech postavených (nebo zrekonstruovaných) po roce 1990 byl podíl největších bytů proti malým bytům více než dvojnásobný. U bytů postavených do roku 1970 jsou nejčetnější byty třípokojové, u bytů z období výstavby (rekonstrukce) 1971 – 1990 jsou nejčetnější byty čtyřpokojové a byty z posledního dvac</w:t>
      </w:r>
      <w:r w:rsidRPr="00C24253">
        <w:t>e</w:t>
      </w:r>
      <w:r w:rsidRPr="00C24253">
        <w:t>tiletí jsou nejčastěji s pěti a více obytnými místnostmi.</w:t>
      </w:r>
    </w:p>
    <w:p w:rsidR="00C808CC" w:rsidRPr="00C24253" w:rsidRDefault="00616966" w:rsidP="00C808CC">
      <w:pPr>
        <w:pStyle w:val="Zkladntext"/>
        <w:ind w:firstLine="0"/>
      </w:pPr>
      <w:r w:rsidRPr="00C24253">
        <w:rPr>
          <w:b/>
        </w:rPr>
        <w:t>Také údaje o obytné ploše bytů potvrzují skutečnost, že se byty zvětšují</w:t>
      </w:r>
      <w:r w:rsidRPr="00C24253">
        <w:t>. Jestliže v roce 1980 tvořily malé byty do 40 m</w:t>
      </w:r>
      <w:r w:rsidRPr="00C24253">
        <w:rPr>
          <w:vertAlign w:val="superscript"/>
        </w:rPr>
        <w:t>2</w:t>
      </w:r>
      <w:r w:rsidRPr="00C24253">
        <w:t xml:space="preserve"> téměř polovinu bytového fondu a velké byty nad 80 m</w:t>
      </w:r>
      <w:r w:rsidRPr="00C24253">
        <w:rPr>
          <w:vertAlign w:val="superscript"/>
        </w:rPr>
        <w:t>2</w:t>
      </w:r>
      <w:r w:rsidRPr="00C24253">
        <w:t xml:space="preserve"> jen 5 % bytového fondu, tak v roce 2011 byla relace jiná. Podíl malých bytů klesl již jen na necelých 19 % a podíl velkých bytů se naopak zvýšil na více než čtvrtinu bytového fondu se zjištěnou plochou. </w:t>
      </w:r>
    </w:p>
    <w:p w:rsidR="00616966" w:rsidRPr="00C24253" w:rsidRDefault="00616966" w:rsidP="00C808CC">
      <w:pPr>
        <w:pStyle w:val="Zkladntext"/>
        <w:ind w:firstLine="0"/>
      </w:pPr>
      <w:r w:rsidRPr="00C24253">
        <w:lastRenderedPageBreak/>
        <w:t>Při sčítání v roce 2011 bylo stejně jako v roce 2001 nejvíce bytů s obytnou plochou 40 - 59 m</w:t>
      </w:r>
      <w:r w:rsidRPr="00C24253">
        <w:rPr>
          <w:vertAlign w:val="superscript"/>
        </w:rPr>
        <w:t>2</w:t>
      </w:r>
      <w:r w:rsidRPr="00C24253">
        <w:t>, ale poté již následovaly byty se 60 - 79 m</w:t>
      </w:r>
      <w:r w:rsidRPr="00C24253">
        <w:rPr>
          <w:vertAlign w:val="superscript"/>
        </w:rPr>
        <w:t>2</w:t>
      </w:r>
      <w:r w:rsidRPr="00C24253">
        <w:t xml:space="preserve"> obytné plochy. Každý sedmý byt měl již více než 100 m</w:t>
      </w:r>
      <w:r w:rsidRPr="00C24253">
        <w:rPr>
          <w:vertAlign w:val="superscript"/>
        </w:rPr>
        <w:t>2</w:t>
      </w:r>
      <w:r w:rsidRPr="00C24253">
        <w:t xml:space="preserve"> obytné plochy. </w:t>
      </w:r>
    </w:p>
    <w:p w:rsidR="00C808CC" w:rsidRPr="00C24253" w:rsidRDefault="00616966" w:rsidP="00C808CC">
      <w:pPr>
        <w:pStyle w:val="Zkladntext"/>
        <w:spacing w:after="0"/>
        <w:ind w:firstLine="0"/>
        <w:jc w:val="center"/>
        <w:rPr>
          <w:b/>
        </w:rPr>
      </w:pPr>
      <w:r w:rsidRPr="00C24253">
        <w:rPr>
          <w:b/>
        </w:rPr>
        <w:t xml:space="preserve">Vývoj počtu obydlených bytů podle obytné plochy </w:t>
      </w:r>
    </w:p>
    <w:p w:rsidR="00616966" w:rsidRPr="00C24253" w:rsidRDefault="00616966" w:rsidP="00616966">
      <w:pPr>
        <w:pStyle w:val="Zkladntext"/>
        <w:jc w:val="center"/>
        <w:rPr>
          <w:b/>
        </w:rPr>
      </w:pPr>
      <w:r w:rsidRPr="00C24253">
        <w:rPr>
          <w:b/>
        </w:rPr>
        <w:t>v letech 1980 – 2011</w:t>
      </w:r>
    </w:p>
    <w:tbl>
      <w:tblPr>
        <w:tblW w:w="6803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417"/>
        <w:gridCol w:w="1134"/>
        <w:gridCol w:w="1134"/>
        <w:gridCol w:w="1134"/>
        <w:gridCol w:w="1134"/>
        <w:gridCol w:w="850"/>
      </w:tblGrid>
      <w:tr w:rsidR="00C808CC" w:rsidRPr="00C24253" w:rsidTr="00170D18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Obytná plocha bytu v m</w:t>
            </w:r>
            <w:r w:rsidRPr="00C24253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bytů</w:t>
            </w:r>
          </w:p>
        </w:tc>
      </w:tr>
      <w:tr w:rsidR="00C808CC" w:rsidRPr="00C24253" w:rsidTr="00C808CC">
        <w:trPr>
          <w:trHeight w:val="283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C808CC" w:rsidRPr="00C24253" w:rsidTr="00C808CC">
        <w:trPr>
          <w:trHeight w:val="283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abs.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CC" w:rsidRPr="00C24253" w:rsidRDefault="00C808CC" w:rsidP="00C808CC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357E44" w:rsidRPr="00C24253" w:rsidTr="00357E44">
        <w:trPr>
          <w:trHeight w:val="30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do 19,9 </w:t>
            </w:r>
            <w:r w:rsidR="004F66D9" w:rsidRPr="00C24253">
              <w:rPr>
                <w:rFonts w:cs="Arial"/>
                <w:sz w:val="16"/>
                <w:szCs w:val="16"/>
              </w:rPr>
              <w:t>m</w:t>
            </w:r>
            <w:r w:rsidR="004F66D9" w:rsidRPr="00C24253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357E44">
            <w:pPr>
              <w:pStyle w:val="Zkladntext"/>
              <w:spacing w:after="0"/>
              <w:ind w:firstLine="0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334 107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357E44">
            <w:pPr>
              <w:pStyle w:val="Zkladntext"/>
              <w:spacing w:after="0"/>
              <w:ind w:firstLine="0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279 694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357E44">
            <w:pPr>
              <w:pStyle w:val="Zkladntext"/>
              <w:spacing w:after="0"/>
              <w:ind w:firstLine="0"/>
              <w:jc w:val="righ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228 292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142 165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20,0 - 39,9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1 373 226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1 280 852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1 176 578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543 999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13,3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40,0 - 59,9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1 209 447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1 397 359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1 398 993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1 176 117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28,7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60,0 - 79,9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392 306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461 346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566 313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849 822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20,7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80,0 - 99,9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136 977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194 419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254 944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452 917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11,0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100,0 - 119,9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48 697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68 682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99 242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227 116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5,5</w:t>
            </w:r>
          </w:p>
        </w:tc>
      </w:tr>
      <w:tr w:rsidR="00357E44" w:rsidRPr="00C24253" w:rsidTr="00FF2641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120,0 a více</w:t>
            </w:r>
            <w:r w:rsidR="004F66D9" w:rsidRPr="00C24253">
              <w:rPr>
                <w:rFonts w:cs="Arial"/>
                <w:sz w:val="16"/>
                <w:szCs w:val="16"/>
              </w:rPr>
              <w:t xml:space="preserve"> m</w:t>
            </w:r>
            <w:r w:rsidR="004F66D9" w:rsidRPr="00C24253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23 329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67 840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246 414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6,0</w:t>
            </w:r>
          </w:p>
        </w:tc>
      </w:tr>
      <w:tr w:rsidR="00357E44" w:rsidRPr="00C24253" w:rsidTr="00C808CC">
        <w:trPr>
          <w:trHeight w:val="300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466 085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11,4</w:t>
            </w:r>
          </w:p>
        </w:tc>
      </w:tr>
      <w:tr w:rsidR="00357E44" w:rsidRPr="00C24253" w:rsidTr="00C808CC">
        <w:trPr>
          <w:trHeight w:val="454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3 494 846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3 705 681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3 827 678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4 104 635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E44" w:rsidRPr="00C24253" w:rsidRDefault="00357E44" w:rsidP="00C808C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</w:tbl>
    <w:p w:rsidR="00616966" w:rsidRPr="00C24253" w:rsidRDefault="00616966" w:rsidP="00616966">
      <w:pPr>
        <w:pStyle w:val="Zkladntext"/>
        <w:jc w:val="center"/>
        <w:rPr>
          <w:sz w:val="18"/>
        </w:rPr>
      </w:pPr>
    </w:p>
    <w:p w:rsidR="00F02F5E" w:rsidRDefault="00616966" w:rsidP="00F02F5E">
      <w:pPr>
        <w:pStyle w:val="Zkladntext"/>
        <w:spacing w:after="360"/>
        <w:ind w:firstLine="0"/>
      </w:pPr>
      <w:r w:rsidRPr="00C24253">
        <w:t>Výrazné rozdíly byly ve velikosti obytné plochy mezi rodinnými a bytovým</w:t>
      </w:r>
      <w:r w:rsidR="00231F90">
        <w:t>i domy. Zatímco malé byty do 40 </w:t>
      </w:r>
      <w:r w:rsidRPr="00C24253">
        <w:t>m</w:t>
      </w:r>
      <w:r w:rsidRPr="00C24253">
        <w:rPr>
          <w:vertAlign w:val="superscript"/>
        </w:rPr>
        <w:t>2</w:t>
      </w:r>
      <w:r w:rsidRPr="00C24253">
        <w:t xml:space="preserve"> tvořily v bytových domech více než čtvrtinu a velké byty nad 80 m</w:t>
      </w:r>
      <w:r w:rsidRPr="00C24253">
        <w:rPr>
          <w:vertAlign w:val="superscript"/>
        </w:rPr>
        <w:t>2</w:t>
      </w:r>
      <w:r w:rsidRPr="00C24253">
        <w:t xml:space="preserve"> jen necelou desetinu, tak u bytů v rodinných domech je tomu obráceně. Podíl malých bytů zde dosahoval jen 9 % a podíl velkých bytů je naopak téměř poloviční (45 %). </w:t>
      </w:r>
    </w:p>
    <w:p w:rsidR="00842B9E" w:rsidRPr="00C24253" w:rsidRDefault="00183E9F" w:rsidP="00842B9E">
      <w:pPr>
        <w:pStyle w:val="Zkladntext"/>
        <w:spacing w:after="360"/>
        <w:ind w:firstLine="0"/>
        <w:jc w:val="center"/>
      </w:pPr>
      <w:r>
        <w:fldChar w:fldCharType="begin"/>
      </w:r>
      <w:r w:rsidR="00485FDE">
        <w:instrText xml:space="preserve"> LINK Excel.Sheet.8 "D:\\RŮŽKOVÁ\\ALLSČÍTÁNÍ LIDU - VŠE O sl\\PRAMENNÉ dílo\\A KOMPLETACE PD\\Tabulky pro grafy Byty PD.xlsx!Graf4![Tabulky pro grafy Byty PD.xlsx]Graf4 Graf 3" "" \a \p \* MERGEFORMAT </w:instrText>
      </w:r>
      <w:r>
        <w:fldChar w:fldCharType="separate"/>
      </w:r>
      <w:r w:rsidR="00FA739F">
        <w:object w:dxaOrig="8685" w:dyaOrig="4770">
          <v:shape id="_x0000_i1027" type="#_x0000_t75" style="width:434.25pt;height:238.5pt">
            <v:imagedata r:id="rId10" o:title=""/>
          </v:shape>
        </w:object>
      </w:r>
      <w:r>
        <w:fldChar w:fldCharType="end"/>
      </w:r>
    </w:p>
    <w:p w:rsidR="00F02F5E" w:rsidRPr="00C24253" w:rsidRDefault="00616966" w:rsidP="00B05B62">
      <w:pPr>
        <w:pStyle w:val="Nadpis3"/>
      </w:pPr>
      <w:bookmarkStart w:id="4" w:name="_Toc371588188"/>
      <w:r w:rsidRPr="00C24253">
        <w:t>Úroveň, kvalita a vybavenost bytového fondu</w:t>
      </w:r>
      <w:bookmarkEnd w:id="4"/>
      <w:r w:rsidRPr="00C24253">
        <w:t xml:space="preserve"> </w:t>
      </w:r>
    </w:p>
    <w:p w:rsidR="00842B9E" w:rsidRDefault="00616966" w:rsidP="00842B9E">
      <w:pPr>
        <w:spacing w:after="120"/>
        <w:rPr>
          <w:sz w:val="20"/>
          <w:szCs w:val="20"/>
        </w:rPr>
      </w:pPr>
      <w:r w:rsidRPr="00C24253">
        <w:rPr>
          <w:sz w:val="20"/>
          <w:szCs w:val="20"/>
        </w:rPr>
        <w:t>Rovněž srovnání průměrných hodnot úrovňových ukazatelů obydlených bytů za rok 2011 s předchozími sčítáními bylo ovlivněno zmíněnou změnou metodiky. Ve svém důsledku to znamenalo u všech ukazatelů s výjimkou průměrné obytné plochy na obytnou místnost markantní zlepšení hodnot oproti pozvolnému poz</w:t>
      </w:r>
      <w:r w:rsidRPr="00C24253">
        <w:rPr>
          <w:sz w:val="20"/>
          <w:szCs w:val="20"/>
        </w:rPr>
        <w:t>i</w:t>
      </w:r>
      <w:r w:rsidRPr="00C24253">
        <w:rPr>
          <w:sz w:val="20"/>
          <w:szCs w:val="20"/>
        </w:rPr>
        <w:t>tivnímu vývoji mezi předchozími cenzy. Pokles obytné plochy na obytnou místnost lze vysvětlit menší pr</w:t>
      </w:r>
      <w:r w:rsidRPr="00C24253">
        <w:rPr>
          <w:sz w:val="20"/>
          <w:szCs w:val="20"/>
        </w:rPr>
        <w:t>ů</w:t>
      </w:r>
      <w:r w:rsidRPr="00C24253">
        <w:rPr>
          <w:sz w:val="20"/>
          <w:szCs w:val="20"/>
        </w:rPr>
        <w:t>měrnou plochou kuchyní splňujících velikostní kritéria obytné místnosti (13,5 m</w:t>
      </w:r>
      <w:r w:rsidRPr="00C24253">
        <w:rPr>
          <w:sz w:val="20"/>
          <w:szCs w:val="20"/>
          <w:vertAlign w:val="superscript"/>
        </w:rPr>
        <w:t>2</w:t>
      </w:r>
      <w:r w:rsidRPr="00C24253">
        <w:rPr>
          <w:sz w:val="20"/>
          <w:szCs w:val="20"/>
        </w:rPr>
        <w:t>). I při aplikaci metodiky předchozích sčítání byly u všech úrovňových ukazatelů nadále patrné pozitivní trendy, které oproti posle</w:t>
      </w:r>
      <w:r w:rsidRPr="00C24253">
        <w:rPr>
          <w:sz w:val="20"/>
          <w:szCs w:val="20"/>
        </w:rPr>
        <w:t>d</w:t>
      </w:r>
      <w:r w:rsidRPr="00C24253">
        <w:rPr>
          <w:sz w:val="20"/>
          <w:szCs w:val="20"/>
        </w:rPr>
        <w:t xml:space="preserve">nímu sčítání dokonce ještě více zesílily. </w:t>
      </w:r>
    </w:p>
    <w:p w:rsidR="00616966" w:rsidRPr="00C24253" w:rsidRDefault="00616966" w:rsidP="00842B9E">
      <w:pPr>
        <w:spacing w:after="360"/>
        <w:rPr>
          <w:sz w:val="20"/>
          <w:szCs w:val="20"/>
        </w:rPr>
      </w:pPr>
      <w:r w:rsidRPr="00C24253">
        <w:rPr>
          <w:sz w:val="20"/>
          <w:szCs w:val="20"/>
        </w:rPr>
        <w:lastRenderedPageBreak/>
        <w:t>Metodicky neovlivněný zůstal průměrný počet obvykle bydlících osob na 1 byt, který se poprvé snížil pod hodnotu 2,5 osob, což souvisí s pokračující proměnou struktury domácností, zejména pak s nárůstem d</w:t>
      </w:r>
      <w:r w:rsidRPr="00C24253">
        <w:rPr>
          <w:sz w:val="20"/>
          <w:szCs w:val="20"/>
        </w:rPr>
        <w:t>o</w:t>
      </w:r>
      <w:r w:rsidRPr="00C24253">
        <w:rPr>
          <w:sz w:val="20"/>
          <w:szCs w:val="20"/>
        </w:rPr>
        <w:t>mácností jednotlivců.</w:t>
      </w:r>
    </w:p>
    <w:tbl>
      <w:tblPr>
        <w:tblW w:w="838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438"/>
        <w:gridCol w:w="850"/>
        <w:gridCol w:w="850"/>
        <w:gridCol w:w="850"/>
        <w:gridCol w:w="850"/>
        <w:gridCol w:w="850"/>
        <w:gridCol w:w="864"/>
        <w:gridCol w:w="836"/>
      </w:tblGrid>
      <w:tr w:rsidR="00F74EB5" w:rsidRPr="00C24253" w:rsidTr="00F74EB5">
        <w:trPr>
          <w:trHeight w:val="283"/>
          <w:jc w:val="center"/>
        </w:trPr>
        <w:tc>
          <w:tcPr>
            <w:tcW w:w="83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4EB5" w:rsidRPr="00C24253" w:rsidRDefault="00F74EB5" w:rsidP="00F74EB5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b/>
                <w:sz w:val="20"/>
                <w:szCs w:val="20"/>
              </w:rPr>
              <w:t>Úrovňové ukazatele obydlených bytů v letech</w:t>
            </w:r>
            <w:r w:rsidRPr="00C24253">
              <w:rPr>
                <w:rFonts w:cs="Arial"/>
                <w:b/>
                <w:sz w:val="20"/>
                <w:szCs w:val="20"/>
              </w:rPr>
              <w:t xml:space="preserve"> 1970 – 2011</w:t>
            </w:r>
          </w:p>
        </w:tc>
      </w:tr>
      <w:tr w:rsidR="00F74EB5" w:rsidRPr="00C24253" w:rsidTr="00F74EB5">
        <w:trPr>
          <w:trHeight w:val="24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B5" w:rsidRPr="00C24253" w:rsidRDefault="00F74EB5" w:rsidP="00F74EB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br w:type="page"/>
              <w:t>Úrovňové ukazatele bydlení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F74EB5" w:rsidRPr="00C24253" w:rsidTr="00F74EB5">
        <w:trPr>
          <w:trHeight w:val="283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Pr="00C24253" w:rsidRDefault="00F74EB5" w:rsidP="00C75AA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z toho </w:t>
            </w:r>
          </w:p>
        </w:tc>
      </w:tr>
      <w:tr w:rsidR="00F74EB5" w:rsidRPr="00C24253" w:rsidTr="00F74EB5">
        <w:trPr>
          <w:trHeight w:val="624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B5" w:rsidRPr="00C24253" w:rsidRDefault="00F74EB5" w:rsidP="00C75AA9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rodi</w:t>
            </w:r>
            <w:r w:rsidRPr="00C24253">
              <w:rPr>
                <w:rFonts w:cs="Arial"/>
                <w:sz w:val="16"/>
                <w:szCs w:val="16"/>
              </w:rPr>
              <w:t>n</w:t>
            </w:r>
            <w:r w:rsidRPr="00C24253">
              <w:rPr>
                <w:rFonts w:cs="Arial"/>
                <w:sz w:val="16"/>
                <w:szCs w:val="16"/>
              </w:rPr>
              <w:t>ných domech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EB5" w:rsidRPr="00C24253" w:rsidRDefault="00F74EB5" w:rsidP="00F74EB5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</w:t>
            </w:r>
            <w:r w:rsidRPr="00C24253">
              <w:rPr>
                <w:rFonts w:cs="Arial"/>
                <w:sz w:val="16"/>
                <w:szCs w:val="16"/>
              </w:rPr>
              <w:t>o</w:t>
            </w:r>
            <w:r w:rsidRPr="00C24253">
              <w:rPr>
                <w:rFonts w:cs="Arial"/>
                <w:sz w:val="16"/>
                <w:szCs w:val="16"/>
              </w:rPr>
              <w:t>vých domech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Průměrná obytná plocha (v m</w:t>
            </w:r>
            <w:r w:rsidRPr="00C24253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C2425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byt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52,6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obytnou místnost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byt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2,21</w:t>
            </w:r>
          </w:p>
        </w:tc>
      </w:tr>
      <w:tr w:rsidR="00C75AA9" w:rsidRPr="00C24253" w:rsidTr="00F74EB5">
        <w:trPr>
          <w:trHeight w:val="283"/>
          <w:jc w:val="center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ind w:left="113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obytnou místnost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0,72</w:t>
            </w:r>
          </w:p>
        </w:tc>
      </w:tr>
      <w:tr w:rsidR="00C75AA9" w:rsidRPr="00C24253" w:rsidTr="00F74EB5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obytných místností na byt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A9" w:rsidRPr="00C24253" w:rsidRDefault="00C75AA9" w:rsidP="00F74EB5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3,12</w:t>
            </w:r>
          </w:p>
        </w:tc>
      </w:tr>
    </w:tbl>
    <w:p w:rsidR="00C20569" w:rsidRPr="00C24253" w:rsidRDefault="00616966" w:rsidP="00C20569">
      <w:pPr>
        <w:spacing w:before="360"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 xml:space="preserve">Vyšší vypovídací hodnotu poskytuje srovnání úrovňových ukazatelů obydlených bytů podle druhu domu v roce 2011, jejichž výpočet je založen na stejné metodice. </w:t>
      </w:r>
    </w:p>
    <w:p w:rsidR="00C20569" w:rsidRPr="00C24253" w:rsidRDefault="00616966" w:rsidP="00C20569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Byty v rodinných domech mají v průměru o 1,29 obytných místností více než byty v bytových domech (3,12), což se při srovnatelné velikosti obytných místností odráží ve výrazně vyšší obytné ploše bytu (o 28,3 m</w:t>
      </w:r>
      <w:r w:rsidRPr="00C24253">
        <w:rPr>
          <w:rFonts w:cs="Arial"/>
          <w:bCs/>
          <w:sz w:val="20"/>
          <w:szCs w:val="20"/>
          <w:vertAlign w:val="superscript"/>
        </w:rPr>
        <w:t>2</w:t>
      </w:r>
      <w:r w:rsidRPr="00C24253">
        <w:rPr>
          <w:rFonts w:cs="Arial"/>
          <w:bCs/>
          <w:sz w:val="20"/>
          <w:szCs w:val="20"/>
        </w:rPr>
        <w:t>). Proto i přes podstatně vyšší průměrný počet obvykle bydlících osob v bytech rodinných domů (2,80) pr</w:t>
      </w:r>
      <w:r w:rsidRPr="00C24253">
        <w:rPr>
          <w:rFonts w:cs="Arial"/>
          <w:bCs/>
          <w:sz w:val="20"/>
          <w:szCs w:val="20"/>
        </w:rPr>
        <w:t>o</w:t>
      </w:r>
      <w:r w:rsidRPr="00C24253">
        <w:rPr>
          <w:rFonts w:cs="Arial"/>
          <w:bCs/>
          <w:sz w:val="20"/>
          <w:szCs w:val="20"/>
        </w:rPr>
        <w:t xml:space="preserve">ti bytovým domům (2,21) vychází průměrný počet osob na obytnou místnost v bytech bytových domů lépe jen nepatrně (o 0,08 osoby). </w:t>
      </w:r>
    </w:p>
    <w:p w:rsidR="00616966" w:rsidRPr="00C24253" w:rsidRDefault="00616966" w:rsidP="00C20569">
      <w:pPr>
        <w:spacing w:before="120" w:after="36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Naopak příznivěji pro rodinné domy vyznívá toto srovnání u průměrné obytné plochy na osobu, která u bytů v rodinných domech činí 36,1 m</w:t>
      </w:r>
      <w:r w:rsidRPr="00C24253">
        <w:rPr>
          <w:rFonts w:cs="Arial"/>
          <w:bCs/>
          <w:sz w:val="20"/>
          <w:szCs w:val="20"/>
          <w:vertAlign w:val="superscript"/>
        </w:rPr>
        <w:t>2</w:t>
      </w:r>
      <w:r w:rsidRPr="00C24253">
        <w:rPr>
          <w:rFonts w:cs="Arial"/>
          <w:bCs/>
          <w:sz w:val="20"/>
          <w:szCs w:val="20"/>
        </w:rPr>
        <w:t>, zatímco v bytových domech pouze 29,6 m</w:t>
      </w:r>
      <w:r w:rsidRPr="00C24253">
        <w:rPr>
          <w:rFonts w:cs="Arial"/>
          <w:bCs/>
          <w:sz w:val="20"/>
          <w:szCs w:val="20"/>
          <w:vertAlign w:val="superscript"/>
        </w:rPr>
        <w:t>2</w:t>
      </w:r>
      <w:r w:rsidRPr="00C24253">
        <w:rPr>
          <w:rFonts w:cs="Arial"/>
          <w:bCs/>
          <w:sz w:val="20"/>
          <w:szCs w:val="20"/>
        </w:rPr>
        <w:t>. Z velikostních ukazatelů oby</w:t>
      </w:r>
      <w:r w:rsidRPr="00C24253">
        <w:rPr>
          <w:rFonts w:cs="Arial"/>
          <w:bCs/>
          <w:sz w:val="20"/>
          <w:szCs w:val="20"/>
        </w:rPr>
        <w:t>d</w:t>
      </w:r>
      <w:r w:rsidRPr="00C24253">
        <w:rPr>
          <w:rFonts w:cs="Arial"/>
          <w:bCs/>
          <w:sz w:val="20"/>
          <w:szCs w:val="20"/>
        </w:rPr>
        <w:t>lených bytů tak lze usuzovat na v průměru lepší úroveň bydlení v rodinných domech.</w:t>
      </w:r>
    </w:p>
    <w:tbl>
      <w:tblPr>
        <w:tblW w:w="6536" w:type="dxa"/>
        <w:jc w:val="center"/>
        <w:tblCellMar>
          <w:left w:w="70" w:type="dxa"/>
          <w:right w:w="70" w:type="dxa"/>
        </w:tblCellMar>
        <w:tblLook w:val="04A0"/>
      </w:tblPr>
      <w:tblGrid>
        <w:gridCol w:w="2211"/>
        <w:gridCol w:w="688"/>
        <w:gridCol w:w="1013"/>
        <w:gridCol w:w="708"/>
        <w:gridCol w:w="993"/>
        <w:gridCol w:w="923"/>
      </w:tblGrid>
      <w:tr w:rsidR="0025009E" w:rsidRPr="00C24253" w:rsidTr="0025009E">
        <w:trPr>
          <w:trHeight w:val="240"/>
          <w:jc w:val="center"/>
        </w:trPr>
        <w:tc>
          <w:tcPr>
            <w:tcW w:w="6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Úrovňové ukazatele obydlených bytů podle velikostních skupin obcí k 26. 3. 2011</w:t>
            </w:r>
          </w:p>
        </w:tc>
      </w:tr>
      <w:tr w:rsidR="0025009E" w:rsidRPr="00C24253" w:rsidTr="0025009E">
        <w:trPr>
          <w:trHeight w:val="24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Velikostí skupina obce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Průměrná obytná plocha (v m</w:t>
            </w:r>
            <w:r w:rsidRPr="00C24253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C2425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osob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obytných místností</w:t>
            </w:r>
          </w:p>
        </w:tc>
      </w:tr>
      <w:tr w:rsidR="0025009E" w:rsidRPr="00C24253" w:rsidTr="0025009E">
        <w:trPr>
          <w:trHeight w:val="6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E" w:rsidRPr="00C24253" w:rsidRDefault="0025009E" w:rsidP="0025009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09E" w:rsidRPr="00C24253" w:rsidTr="0025009E">
        <w:trPr>
          <w:trHeight w:val="4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9E" w:rsidRPr="00C24253" w:rsidRDefault="0025009E" w:rsidP="0025009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byt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obytnou místnost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byt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obytnou místnost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 byt</w:t>
            </w:r>
          </w:p>
        </w:tc>
      </w:tr>
      <w:tr w:rsidR="0025009E" w:rsidRPr="00C24253" w:rsidTr="0025009E">
        <w:trPr>
          <w:trHeight w:val="34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09E" w:rsidRPr="00C24253" w:rsidRDefault="0025009E" w:rsidP="0025009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 xml:space="preserve">ČR celkem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0,68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3,70</w:t>
            </w:r>
          </w:p>
        </w:tc>
      </w:tr>
      <w:tr w:rsidR="0025009E" w:rsidRPr="00C24253" w:rsidTr="0025009E">
        <w:trPr>
          <w:trHeight w:val="45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9E" w:rsidRPr="00C24253" w:rsidRDefault="0025009E" w:rsidP="0025009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velikostní skupina obce: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20"/>
                <w:szCs w:val="20"/>
              </w:rPr>
            </w:pPr>
            <w:r w:rsidRPr="00C2425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20"/>
                <w:szCs w:val="20"/>
              </w:rPr>
            </w:pPr>
            <w:r w:rsidRPr="00C2425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20"/>
                <w:szCs w:val="20"/>
              </w:rPr>
            </w:pPr>
            <w:r w:rsidRPr="00C2425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20"/>
                <w:szCs w:val="20"/>
              </w:rPr>
            </w:pPr>
            <w:r w:rsidRPr="00C2425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do 499 obyvatel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4,19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500 - 999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76,6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4,23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1 000 - 1 999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4,19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2 000 - 9 999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3,90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10 000 - 19 999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62,2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3,57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20 000 - 49 999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3,47</w:t>
            </w:r>
          </w:p>
        </w:tc>
      </w:tr>
      <w:tr w:rsidR="0025009E" w:rsidRPr="00C24253" w:rsidTr="0025009E">
        <w:trPr>
          <w:trHeight w:val="283"/>
          <w:jc w:val="center"/>
        </w:trPr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50 000 a více obyvatel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57,9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9E" w:rsidRPr="00C24253" w:rsidRDefault="0025009E" w:rsidP="0025009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3,33</w:t>
            </w:r>
          </w:p>
        </w:tc>
      </w:tr>
    </w:tbl>
    <w:p w:rsidR="00C05083" w:rsidRPr="00C24253" w:rsidRDefault="00616966" w:rsidP="00C05083">
      <w:pPr>
        <w:spacing w:before="360" w:after="120"/>
        <w:rPr>
          <w:rFonts w:cs="Arial"/>
          <w:b/>
          <w:bCs/>
          <w:sz w:val="20"/>
          <w:szCs w:val="20"/>
        </w:rPr>
      </w:pPr>
      <w:r w:rsidRPr="00C24253">
        <w:rPr>
          <w:rFonts w:cs="Arial"/>
          <w:b/>
          <w:bCs/>
          <w:sz w:val="20"/>
          <w:szCs w:val="20"/>
        </w:rPr>
        <w:t>Významné rozdíly byly v jednotlivých velikostních skupinách obcí</w:t>
      </w:r>
      <w:r w:rsidR="00C05083" w:rsidRPr="00C24253">
        <w:rPr>
          <w:rFonts w:cs="Arial"/>
          <w:b/>
          <w:bCs/>
          <w:sz w:val="20"/>
          <w:szCs w:val="20"/>
        </w:rPr>
        <w:t>:</w:t>
      </w:r>
    </w:p>
    <w:p w:rsidR="00C05083" w:rsidRPr="00C24253" w:rsidRDefault="00AD7AC4" w:rsidP="00C20569">
      <w:pPr>
        <w:pStyle w:val="odrkybezmezer"/>
        <w:spacing w:after="120"/>
      </w:pPr>
      <w:r w:rsidRPr="00C24253">
        <w:t>Ukazatel</w:t>
      </w:r>
      <w:r w:rsidR="00616966" w:rsidRPr="00C24253">
        <w:t xml:space="preserve"> průměrné obytné plochy na </w:t>
      </w:r>
      <w:r w:rsidRPr="00C24253">
        <w:t xml:space="preserve">obydlený </w:t>
      </w:r>
      <w:r w:rsidR="00616966" w:rsidRPr="00C24253">
        <w:t xml:space="preserve">byt byl příznivější v menších, venkovských obcích, což je dáno zejména vyšším zastoupením rodinných domů ve venkovské zástavbě. </w:t>
      </w:r>
    </w:p>
    <w:p w:rsidR="00C05083" w:rsidRPr="00C24253" w:rsidRDefault="00616966" w:rsidP="00C20569">
      <w:pPr>
        <w:pStyle w:val="odrkybezmezer"/>
        <w:spacing w:after="120"/>
      </w:pPr>
      <w:r w:rsidRPr="00C24253">
        <w:t>Rozdíl v průměrné obytné ploše bytů v nejmenších obcích do 499 obyvatel a ve městech nad 50 tisíc obyvatel činil cca 19 m</w:t>
      </w:r>
      <w:r w:rsidRPr="00C24253">
        <w:rPr>
          <w:vertAlign w:val="superscript"/>
        </w:rPr>
        <w:t>2</w:t>
      </w:r>
      <w:r w:rsidRPr="00C24253">
        <w:t xml:space="preserve">. </w:t>
      </w:r>
    </w:p>
    <w:p w:rsidR="00C05083" w:rsidRPr="00C24253" w:rsidRDefault="00C05083" w:rsidP="00C05083">
      <w:pPr>
        <w:pStyle w:val="odrkybezmezer"/>
      </w:pPr>
      <w:r w:rsidRPr="00C24253">
        <w:lastRenderedPageBreak/>
        <w:t>P</w:t>
      </w:r>
      <w:r w:rsidR="00616966" w:rsidRPr="00C24253">
        <w:t>růměrný počet obytných místností na byt v obcích do 2 tisíc obyvat</w:t>
      </w:r>
      <w:r w:rsidR="00231F90">
        <w:t>el dosahoval zhruba hodnoty 4,2 </w:t>
      </w:r>
      <w:r w:rsidR="00616966" w:rsidRPr="00C24253">
        <w:t xml:space="preserve">obytných místností, zatímco u měst nad 50 tisíc obyvatel činil pouze 3,3. </w:t>
      </w:r>
    </w:p>
    <w:p w:rsidR="00616966" w:rsidRPr="00C24253" w:rsidRDefault="00616966" w:rsidP="00C05083">
      <w:pPr>
        <w:pStyle w:val="odrkybezmezer"/>
        <w:numPr>
          <w:ilvl w:val="0"/>
          <w:numId w:val="0"/>
        </w:numPr>
        <w:spacing w:after="120"/>
      </w:pPr>
      <w:r w:rsidRPr="00C24253">
        <w:t>Naproti tomu průměrné velikosti obytných místností jsou relativně srovnatelné a marginální rozdíly jsou pat</w:t>
      </w:r>
      <w:r w:rsidRPr="00C24253">
        <w:t>r</w:t>
      </w:r>
      <w:r w:rsidRPr="00C24253">
        <w:t>né i u průměrného počtu osob na obytnou místnost. Byty ve venkovských obcích jsou totiž charakteristické vyšším zalidněním (žije v nich v průměru o 0,5 osoby více než v bytech ve velkých městech), které tak vyv</w:t>
      </w:r>
      <w:r w:rsidRPr="00C24253">
        <w:t>a</w:t>
      </w:r>
      <w:r w:rsidRPr="00C24253">
        <w:t>žuje pozitivní efekt většího počtu obytných místností v bytě.</w:t>
      </w:r>
    </w:p>
    <w:p w:rsidR="00616966" w:rsidRPr="00C24253" w:rsidRDefault="00616966" w:rsidP="00C05083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Pokud se porovná úroveň bydlení na venkově a ve větších městech podle druhu domu, není lepší pozice venkovských obcí již tak evidentní. U bytových domů v nejmenších obcích byla sice průměrná obytná plocha na byt zhruba o 5 m</w:t>
      </w:r>
      <w:r w:rsidRPr="00C24253">
        <w:rPr>
          <w:rFonts w:cs="Arial"/>
          <w:bCs/>
          <w:sz w:val="20"/>
          <w:szCs w:val="20"/>
          <w:vertAlign w:val="superscript"/>
        </w:rPr>
        <w:t>2</w:t>
      </w:r>
      <w:r w:rsidRPr="00C24253">
        <w:rPr>
          <w:rFonts w:cs="Arial"/>
          <w:bCs/>
          <w:sz w:val="20"/>
          <w:szCs w:val="20"/>
        </w:rPr>
        <w:t xml:space="preserve"> vyšší než ve městech, ale na druhé straně </w:t>
      </w:r>
      <w:r w:rsidR="00AD7AC4" w:rsidRPr="00C24253">
        <w:rPr>
          <w:rFonts w:cs="Arial"/>
          <w:bCs/>
          <w:sz w:val="20"/>
          <w:szCs w:val="20"/>
        </w:rPr>
        <w:t>měly</w:t>
      </w:r>
      <w:r w:rsidRPr="00C24253">
        <w:rPr>
          <w:rFonts w:cs="Arial"/>
          <w:bCs/>
          <w:sz w:val="20"/>
          <w:szCs w:val="20"/>
        </w:rPr>
        <w:t xml:space="preserve"> díky své vyšší zalidněnosti nepatrně nižší průměrnou obytnou plochu na osobu. U rodinných domů vykazovala dokonce průměrná velikost bytu v největších městech nad 100 tisíc obyvatel téměř o 7 m</w:t>
      </w:r>
      <w:r w:rsidRPr="00C24253">
        <w:rPr>
          <w:rFonts w:cs="Arial"/>
          <w:bCs/>
          <w:sz w:val="20"/>
          <w:szCs w:val="20"/>
          <w:vertAlign w:val="superscript"/>
        </w:rPr>
        <w:t>2</w:t>
      </w:r>
      <w:r w:rsidRPr="00C24253">
        <w:rPr>
          <w:rFonts w:cs="Arial"/>
          <w:bCs/>
          <w:sz w:val="20"/>
          <w:szCs w:val="20"/>
        </w:rPr>
        <w:t xml:space="preserve"> lepší hodnoty než v nejmenších obcích do 199 ob</w:t>
      </w:r>
      <w:r w:rsidRPr="00C24253">
        <w:rPr>
          <w:rFonts w:cs="Arial"/>
          <w:bCs/>
          <w:sz w:val="20"/>
          <w:szCs w:val="20"/>
        </w:rPr>
        <w:t>y</w:t>
      </w:r>
      <w:r w:rsidRPr="00C24253">
        <w:rPr>
          <w:rFonts w:cs="Arial"/>
          <w:bCs/>
          <w:sz w:val="20"/>
          <w:szCs w:val="20"/>
        </w:rPr>
        <w:t>vatel.</w:t>
      </w:r>
    </w:p>
    <w:p w:rsidR="00616966" w:rsidRPr="00C24253" w:rsidRDefault="00616966" w:rsidP="00C20569">
      <w:pPr>
        <w:spacing w:before="240" w:after="240"/>
        <w:rPr>
          <w:rFonts w:cs="Arial"/>
          <w:b/>
          <w:bCs/>
          <w:sz w:val="24"/>
        </w:rPr>
      </w:pPr>
      <w:r w:rsidRPr="00C24253">
        <w:rPr>
          <w:rFonts w:cs="Arial"/>
          <w:b/>
          <w:bCs/>
          <w:sz w:val="24"/>
        </w:rPr>
        <w:t>Technická vybavenost obydlených bytů</w:t>
      </w:r>
    </w:p>
    <w:p w:rsidR="00C20569" w:rsidRPr="00C24253" w:rsidRDefault="00616966" w:rsidP="00C05083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Pozitivní vývoj pokračoval také u technické vybavenosti obydlených bytů, když k</w:t>
      </w:r>
      <w:r w:rsidR="00974752">
        <w:rPr>
          <w:rFonts w:cs="Arial"/>
          <w:bCs/>
          <w:sz w:val="20"/>
          <w:szCs w:val="20"/>
        </w:rPr>
        <w:t>e</w:t>
      </w:r>
      <w:r w:rsidRPr="00C24253">
        <w:rPr>
          <w:rFonts w:cs="Arial"/>
          <w:bCs/>
          <w:sz w:val="20"/>
          <w:szCs w:val="20"/>
        </w:rPr>
        <w:t xml:space="preserve"> zlepšení došlo u všech sledovaných charakteristik. </w:t>
      </w:r>
    </w:p>
    <w:p w:rsidR="00C05083" w:rsidRPr="00C24253" w:rsidRDefault="00616966" w:rsidP="00C20569">
      <w:pPr>
        <w:pStyle w:val="odrkybezmezer"/>
        <w:spacing w:after="120"/>
      </w:pPr>
      <w:r w:rsidRPr="00C24253">
        <w:t>Výrazné zlepšení bylo u vybavenosti bytů ústředním a etážovým topení</w:t>
      </w:r>
      <w:r w:rsidR="00231F90">
        <w:t>m, které v roce 2011 mělo již 9 </w:t>
      </w:r>
      <w:r w:rsidRPr="00C24253">
        <w:t xml:space="preserve">z 10 bytů. </w:t>
      </w:r>
    </w:p>
    <w:p w:rsidR="00C20569" w:rsidRPr="00C24253" w:rsidRDefault="00616966" w:rsidP="00C20569">
      <w:pPr>
        <w:pStyle w:val="odrkybezmezer"/>
        <w:spacing w:after="120"/>
      </w:pPr>
      <w:r w:rsidRPr="00C24253">
        <w:t xml:space="preserve">Nadále, i když již mírnějším tempem, pokračovalo také zavádění plynu do bytů a jejich připojování na kanalizační síť. </w:t>
      </w:r>
      <w:r w:rsidRPr="00C24253">
        <w:rPr>
          <w:b/>
        </w:rPr>
        <w:t>Na kanalizační přípojku bylo napojeno téměř 80 % bytů</w:t>
      </w:r>
      <w:r w:rsidRPr="00C24253">
        <w:t xml:space="preserve">, přičemž dalších </w:t>
      </w:r>
      <w:r w:rsidR="008A2011" w:rsidRPr="00C24253">
        <w:t>téměř 19</w:t>
      </w:r>
      <w:r w:rsidRPr="00C24253">
        <w:t xml:space="preserve"> % bytů mělo alespoň vlastní žumpu či jímku. </w:t>
      </w:r>
    </w:p>
    <w:p w:rsidR="00616966" w:rsidRPr="00C24253" w:rsidRDefault="00616966" w:rsidP="00C20569">
      <w:pPr>
        <w:pStyle w:val="odrkybezmezer"/>
        <w:spacing w:after="360"/>
      </w:pPr>
      <w:r w:rsidRPr="00C24253">
        <w:t xml:space="preserve">Skoro každý byt měl zavedený vodovod (pouze 0,3 % bytů bez vodovodu), koupelnu či sprchový kout (pouze 0,9 % bytů bez vlastní či společné koupelny v bytě či mimo byt) </w:t>
      </w:r>
      <w:r w:rsidR="00231F90">
        <w:t>a splachovací záchod (pouze 1,2 </w:t>
      </w:r>
      <w:r w:rsidRPr="00C24253">
        <w:t>% bytů bez vlastního či společného splachovacího záchodu v bytě či mimo byt).</w:t>
      </w:r>
    </w:p>
    <w:tbl>
      <w:tblPr>
        <w:tblW w:w="6602" w:type="dxa"/>
        <w:jc w:val="center"/>
        <w:tblCellMar>
          <w:left w:w="70" w:type="dxa"/>
          <w:right w:w="70" w:type="dxa"/>
        </w:tblCellMar>
        <w:tblLook w:val="04A0"/>
      </w:tblPr>
      <w:tblGrid>
        <w:gridCol w:w="2917"/>
        <w:gridCol w:w="737"/>
        <w:gridCol w:w="737"/>
        <w:gridCol w:w="737"/>
        <w:gridCol w:w="737"/>
        <w:gridCol w:w="656"/>
        <w:gridCol w:w="81"/>
      </w:tblGrid>
      <w:tr w:rsidR="00C05083" w:rsidRPr="00C24253" w:rsidTr="00C20569">
        <w:trPr>
          <w:gridAfter w:val="1"/>
          <w:wAfter w:w="81" w:type="dxa"/>
          <w:trHeight w:val="240"/>
          <w:jc w:val="center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83" w:rsidRPr="00C24253" w:rsidRDefault="00C05083" w:rsidP="00B925A6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Technická vybavenost obydle</w:t>
            </w:r>
            <w:r w:rsidR="00B925A6" w:rsidRPr="00C24253">
              <w:rPr>
                <w:rFonts w:cs="Arial"/>
                <w:b/>
                <w:bCs/>
                <w:sz w:val="20"/>
                <w:szCs w:val="20"/>
              </w:rPr>
              <w:t xml:space="preserve">ných bytů v letech 1970 – 2011 </w:t>
            </w:r>
            <w:r w:rsidRPr="00C24253">
              <w:rPr>
                <w:rFonts w:cs="Arial"/>
                <w:b/>
                <w:bCs/>
                <w:sz w:val="20"/>
                <w:szCs w:val="20"/>
              </w:rPr>
              <w:t>v %</w:t>
            </w:r>
          </w:p>
        </w:tc>
      </w:tr>
      <w:tr w:rsidR="00C20569" w:rsidRPr="00C24253" w:rsidTr="008A2011">
        <w:trPr>
          <w:trHeight w:val="51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Technická vybavenost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569" w:rsidRPr="00C24253" w:rsidRDefault="00C20569" w:rsidP="00AB0B1B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C20569" w:rsidRPr="00C24253" w:rsidTr="00C20569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Plyn zaveden do bytu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64,8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68,7</w:t>
            </w:r>
          </w:p>
        </w:tc>
      </w:tr>
      <w:tr w:rsidR="00C20569" w:rsidRPr="00C24253" w:rsidTr="00C20569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Vodovod v bytě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81,4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</w:tr>
      <w:tr w:rsidR="00C20569" w:rsidRPr="00C24253" w:rsidTr="00C20569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Přípoj na kanalizační síť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79,7</w:t>
            </w:r>
          </w:p>
        </w:tc>
      </w:tr>
      <w:tr w:rsidR="00C20569" w:rsidRPr="00C24253" w:rsidTr="00C20569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Splachovací záchod v bytě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94,4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97,3</w:t>
            </w:r>
          </w:p>
        </w:tc>
      </w:tr>
      <w:tr w:rsidR="00C20569" w:rsidRPr="00C24253" w:rsidTr="00974752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Koupelna (sprchový kout) v bytě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58,7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76,4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98,3</w:t>
            </w:r>
          </w:p>
        </w:tc>
      </w:tr>
      <w:tr w:rsidR="00C20569" w:rsidRPr="00C24253" w:rsidTr="00974752">
        <w:trPr>
          <w:trHeight w:val="340"/>
          <w:jc w:val="center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Ústřední, etážové topení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82,3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69" w:rsidRPr="00C24253" w:rsidRDefault="00C20569" w:rsidP="00C20569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90,0</w:t>
            </w:r>
          </w:p>
        </w:tc>
      </w:tr>
    </w:tbl>
    <w:p w:rsidR="00974752" w:rsidRPr="00C24253" w:rsidRDefault="00974752" w:rsidP="00842B9E">
      <w:pPr>
        <w:pStyle w:val="odrkybezmezer"/>
        <w:numPr>
          <w:ilvl w:val="0"/>
          <w:numId w:val="0"/>
        </w:numPr>
        <w:spacing w:before="360" w:after="120"/>
      </w:pPr>
      <w:r>
        <w:t xml:space="preserve">Nejvyšší relativní nárůst </w:t>
      </w:r>
      <w:r w:rsidRPr="00C24253">
        <w:t>oproti předchozímu sčítání zaznamenala vybavenost bytových domácností osobním počítačem, který byl v roce 2011 součástí již téměř dvou třetin bytů. Zároveň se radikálně proměnila i stru</w:t>
      </w:r>
      <w:r w:rsidRPr="00C24253">
        <w:t>k</w:t>
      </w:r>
      <w:r w:rsidRPr="00C24253">
        <w:t>tura osobních počítačů podle připojení k internetu, který se stal prakticky samozřejmostí.</w:t>
      </w:r>
    </w:p>
    <w:p w:rsidR="008A2011" w:rsidRPr="00C24253" w:rsidRDefault="00616966" w:rsidP="00842B9E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 xml:space="preserve">Z hlediska velikosti obcí </w:t>
      </w:r>
      <w:r w:rsidRPr="00C24253">
        <w:rPr>
          <w:rFonts w:cs="Arial"/>
          <w:b/>
          <w:bCs/>
          <w:sz w:val="20"/>
          <w:szCs w:val="20"/>
        </w:rPr>
        <w:t>největší rozdíly mezi městem a venkovem byly u napojení bytů na kanalizační síť a na rozvod plynu</w:t>
      </w:r>
      <w:r w:rsidRPr="00C24253">
        <w:rPr>
          <w:rFonts w:cs="Arial"/>
          <w:bCs/>
          <w:sz w:val="20"/>
          <w:szCs w:val="20"/>
        </w:rPr>
        <w:t>, což je podstatně ovlivněno tím, zda jsou tyto sítě do příslušné obce zavedeny</w:t>
      </w:r>
      <w:r w:rsidR="008A2011" w:rsidRPr="00C24253">
        <w:rPr>
          <w:rFonts w:cs="Arial"/>
          <w:bCs/>
          <w:sz w:val="20"/>
          <w:szCs w:val="20"/>
        </w:rPr>
        <w:t>:</w:t>
      </w:r>
      <w:r w:rsidRPr="00C24253">
        <w:rPr>
          <w:rFonts w:cs="Arial"/>
          <w:bCs/>
          <w:sz w:val="20"/>
          <w:szCs w:val="20"/>
        </w:rPr>
        <w:t xml:space="preserve"> </w:t>
      </w:r>
    </w:p>
    <w:p w:rsidR="008A2011" w:rsidRPr="00C24253" w:rsidRDefault="00616966" w:rsidP="008A2011">
      <w:pPr>
        <w:pStyle w:val="odrkyzlevaodsazeno0"/>
      </w:pPr>
      <w:r w:rsidRPr="00C24253">
        <w:t>Ve venkovských obcích do 2 tisíc obyvatel nebyl v roce 2011 zaveden plyn do bytu a přípoj na kanal</w:t>
      </w:r>
      <w:r w:rsidRPr="00C24253">
        <w:t>i</w:t>
      </w:r>
      <w:r w:rsidRPr="00C24253">
        <w:t xml:space="preserve">zační síť ani u poloviny bytů, přičemž u nejmenších obcí do 199 obyvatel mělo zavedený plyn pouze </w:t>
      </w:r>
      <w:r w:rsidR="008A2011" w:rsidRPr="00C24253">
        <w:t>27</w:t>
      </w:r>
      <w:r w:rsidRPr="00C24253">
        <w:t xml:space="preserve"> % obydlených bytů a přípoj na kanalizační síť </w:t>
      </w:r>
      <w:r w:rsidR="008A2011" w:rsidRPr="00C24253">
        <w:t>necelá pětina</w:t>
      </w:r>
      <w:r w:rsidRPr="00C24253">
        <w:t xml:space="preserve"> obydlených bytů. </w:t>
      </w:r>
    </w:p>
    <w:p w:rsidR="00C20569" w:rsidRPr="00C24253" w:rsidRDefault="00616966" w:rsidP="008A2011">
      <w:pPr>
        <w:pStyle w:val="odrkyzlevaodsazeno0"/>
      </w:pPr>
      <w:r w:rsidRPr="00C24253">
        <w:t xml:space="preserve">Naproti tomu ve městech nad 10 tisíc obyvatel </w:t>
      </w:r>
      <w:r w:rsidR="00AD7AC4" w:rsidRPr="00C24253">
        <w:t>mělo</w:t>
      </w:r>
      <w:r w:rsidRPr="00C24253">
        <w:t xml:space="preserve"> připojení na plynovodní síť </w:t>
      </w:r>
      <w:r w:rsidR="008A2011" w:rsidRPr="00C24253">
        <w:t xml:space="preserve">téměř 80 % </w:t>
      </w:r>
      <w:r w:rsidRPr="00C24253">
        <w:t>obydl</w:t>
      </w:r>
      <w:r w:rsidRPr="00C24253">
        <w:t>e</w:t>
      </w:r>
      <w:r w:rsidRPr="00C24253">
        <w:t xml:space="preserve">ných bytů a na kanalizační síť dokonce </w:t>
      </w:r>
      <w:r w:rsidR="008A2011" w:rsidRPr="00C24253">
        <w:t>95</w:t>
      </w:r>
      <w:r w:rsidRPr="00C24253">
        <w:t xml:space="preserve"> % obydlených bytů. </w:t>
      </w:r>
    </w:p>
    <w:p w:rsidR="00C20569" w:rsidRPr="00C24253" w:rsidRDefault="00616966" w:rsidP="00C20569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/>
          <w:bCs/>
          <w:sz w:val="20"/>
          <w:szCs w:val="20"/>
        </w:rPr>
        <w:t>Mnohem menší disparit</w:t>
      </w:r>
      <w:r w:rsidR="00AD7AC4" w:rsidRPr="00C24253">
        <w:rPr>
          <w:rFonts w:cs="Arial"/>
          <w:b/>
          <w:bCs/>
          <w:sz w:val="20"/>
          <w:szCs w:val="20"/>
        </w:rPr>
        <w:t>a</w:t>
      </w:r>
      <w:r w:rsidRPr="00C24253">
        <w:rPr>
          <w:rFonts w:cs="Arial"/>
          <w:b/>
          <w:bCs/>
          <w:sz w:val="20"/>
          <w:szCs w:val="20"/>
        </w:rPr>
        <w:t xml:space="preserve"> </w:t>
      </w:r>
      <w:r w:rsidR="00AD7AC4" w:rsidRPr="00C24253">
        <w:rPr>
          <w:rFonts w:cs="Arial"/>
          <w:b/>
          <w:bCs/>
          <w:sz w:val="20"/>
          <w:szCs w:val="20"/>
        </w:rPr>
        <w:t>byla zjištěna</w:t>
      </w:r>
      <w:r w:rsidRPr="00C24253">
        <w:rPr>
          <w:rFonts w:cs="Arial"/>
          <w:b/>
          <w:bCs/>
          <w:sz w:val="20"/>
          <w:szCs w:val="20"/>
        </w:rPr>
        <w:t xml:space="preserve"> ve vybavenosti bytových domácností osobním počítačem</w:t>
      </w:r>
      <w:r w:rsidRPr="00C24253">
        <w:rPr>
          <w:rFonts w:cs="Arial"/>
          <w:bCs/>
          <w:sz w:val="20"/>
          <w:szCs w:val="20"/>
        </w:rPr>
        <w:t>, kdy venkovské obce do 199 obyvatel zaostáva</w:t>
      </w:r>
      <w:r w:rsidR="00AD7AC4" w:rsidRPr="00C24253">
        <w:rPr>
          <w:rFonts w:cs="Arial"/>
          <w:bCs/>
          <w:sz w:val="20"/>
          <w:szCs w:val="20"/>
        </w:rPr>
        <w:t>ly</w:t>
      </w:r>
      <w:r w:rsidRPr="00C24253">
        <w:rPr>
          <w:rFonts w:cs="Arial"/>
          <w:bCs/>
          <w:sz w:val="20"/>
          <w:szCs w:val="20"/>
        </w:rPr>
        <w:t xml:space="preserve"> s 55,8% podílem za největšími</w:t>
      </w:r>
      <w:r w:rsidR="00231F90">
        <w:rPr>
          <w:rFonts w:cs="Arial"/>
          <w:bCs/>
          <w:sz w:val="20"/>
          <w:szCs w:val="20"/>
        </w:rPr>
        <w:t xml:space="preserve"> městy nad 100 tisíc obyvatel o </w:t>
      </w:r>
      <w:r w:rsidRPr="00C24253">
        <w:rPr>
          <w:rFonts w:cs="Arial"/>
          <w:bCs/>
          <w:sz w:val="20"/>
          <w:szCs w:val="20"/>
        </w:rPr>
        <w:t xml:space="preserve">14,4 procentních bodů. </w:t>
      </w:r>
    </w:p>
    <w:p w:rsidR="008A2011" w:rsidRPr="00C24253" w:rsidRDefault="00616966" w:rsidP="002F175F">
      <w:pPr>
        <w:spacing w:after="24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V případě vybavenosti bytů vodovodem, splachovacím záchodem či koupelnou (sprchovým koutem) se ro</w:t>
      </w:r>
      <w:r w:rsidRPr="00C24253">
        <w:rPr>
          <w:rFonts w:cs="Arial"/>
          <w:bCs/>
          <w:sz w:val="20"/>
          <w:szCs w:val="20"/>
        </w:rPr>
        <w:t>z</w:t>
      </w:r>
      <w:r w:rsidRPr="00C24253">
        <w:rPr>
          <w:rFonts w:cs="Arial"/>
          <w:bCs/>
          <w:sz w:val="20"/>
          <w:szCs w:val="20"/>
        </w:rPr>
        <w:t xml:space="preserve">díly mezi městem a venkovem prakticky </w:t>
      </w:r>
      <w:r w:rsidR="00AD7AC4" w:rsidRPr="00C24253">
        <w:rPr>
          <w:rFonts w:cs="Arial"/>
          <w:bCs/>
          <w:sz w:val="20"/>
          <w:szCs w:val="20"/>
        </w:rPr>
        <w:t>vyrovnaly.</w:t>
      </w:r>
    </w:p>
    <w:tbl>
      <w:tblPr>
        <w:tblpPr w:rightFromText="340" w:vertAnchor="text" w:tblpY="1"/>
        <w:tblOverlap w:val="never"/>
        <w:tblW w:w="567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268"/>
        <w:gridCol w:w="1191"/>
        <w:gridCol w:w="840"/>
        <w:gridCol w:w="840"/>
        <w:gridCol w:w="840"/>
      </w:tblGrid>
      <w:tr w:rsidR="008A2011" w:rsidRPr="00C24253" w:rsidTr="00070EC3">
        <w:trPr>
          <w:trHeight w:val="283"/>
        </w:trPr>
        <w:tc>
          <w:tcPr>
            <w:tcW w:w="5988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98" w:rsidRPr="00C24253" w:rsidRDefault="008A2011" w:rsidP="00070EC3">
            <w:pPr>
              <w:rPr>
                <w:b/>
                <w:sz w:val="20"/>
                <w:szCs w:val="20"/>
              </w:rPr>
            </w:pPr>
            <w:r w:rsidRPr="00C24253">
              <w:rPr>
                <w:rFonts w:cs="Arial"/>
                <w:bCs/>
                <w:sz w:val="20"/>
                <w:szCs w:val="20"/>
              </w:rPr>
              <w:lastRenderedPageBreak/>
              <w:br w:type="page"/>
            </w:r>
            <w:r w:rsidRPr="00C24253">
              <w:rPr>
                <w:i/>
              </w:rPr>
              <w:br w:type="page"/>
            </w:r>
            <w:r w:rsidRPr="00C24253">
              <w:rPr>
                <w:b/>
                <w:sz w:val="20"/>
                <w:szCs w:val="20"/>
              </w:rPr>
              <w:t>Obydlené byty podle způsobu vytápění a podle druhu domu</w:t>
            </w:r>
          </w:p>
          <w:p w:rsidR="008A2011" w:rsidRPr="00C24253" w:rsidRDefault="00B45498" w:rsidP="00974752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 w:rsidRPr="00C24253">
              <w:rPr>
                <w:b/>
                <w:sz w:val="20"/>
                <w:szCs w:val="20"/>
              </w:rPr>
              <w:t>v letech 1991</w:t>
            </w:r>
            <w:r w:rsidR="00974752">
              <w:rPr>
                <w:b/>
                <w:sz w:val="20"/>
                <w:szCs w:val="20"/>
              </w:rPr>
              <w:t xml:space="preserve"> -</w:t>
            </w:r>
            <w:r w:rsidRPr="00C24253">
              <w:rPr>
                <w:b/>
                <w:sz w:val="20"/>
                <w:szCs w:val="20"/>
              </w:rPr>
              <w:t xml:space="preserve"> 2011</w:t>
            </w:r>
            <w:r w:rsidRPr="00C2425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16966" w:rsidRPr="00C24253" w:rsidTr="00070EC3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6E150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Rok sčítání</w:t>
            </w:r>
            <w:r w:rsidR="006E1508">
              <w:rPr>
                <w:rFonts w:cs="Arial"/>
                <w:sz w:val="16"/>
                <w:szCs w:val="16"/>
              </w:rPr>
              <w:t>, druh domu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 celkem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podle způsobu vytápění</w:t>
            </w:r>
          </w:p>
          <w:p w:rsidR="00B45498" w:rsidRPr="00C24253" w:rsidRDefault="00B45498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</w:tr>
      <w:tr w:rsidR="00616966" w:rsidRPr="00C24253" w:rsidTr="00070EC3">
        <w:trPr>
          <w:trHeight w:val="6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070EC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ústřední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etážové (s kotlem v bytě)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kamna</w:t>
            </w:r>
          </w:p>
        </w:tc>
      </w:tr>
      <w:tr w:rsidR="00616966" w:rsidRPr="00C24253" w:rsidTr="00070EC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3 705 681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21,7</w:t>
            </w:r>
          </w:p>
        </w:tc>
      </w:tr>
      <w:tr w:rsidR="00616966" w:rsidRPr="00C24253" w:rsidTr="00070EC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15,0</w:t>
            </w:r>
          </w:p>
        </w:tc>
      </w:tr>
      <w:tr w:rsidR="00616966" w:rsidRPr="00C24253" w:rsidTr="00070EC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8,7</w:t>
            </w:r>
          </w:p>
        </w:tc>
      </w:tr>
      <w:tr w:rsidR="00616966" w:rsidRPr="00C24253" w:rsidTr="00070EC3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6E150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podle druhu domu: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616966" w:rsidRPr="00C24253" w:rsidTr="00070EC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rodinných domech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1 795 065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9,1</w:t>
            </w:r>
          </w:p>
        </w:tc>
      </w:tr>
      <w:tr w:rsidR="00616966" w:rsidRPr="00C24253" w:rsidTr="00070EC3">
        <w:trPr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bytových domech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2 257 978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070EC3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</w:tr>
    </w:tbl>
    <w:p w:rsidR="005662A0" w:rsidRPr="00C24253" w:rsidRDefault="005662A0" w:rsidP="005662A0">
      <w:pPr>
        <w:spacing w:after="120"/>
        <w:rPr>
          <w:rFonts w:cs="Arial"/>
          <w:bCs/>
          <w:sz w:val="20"/>
          <w:szCs w:val="20"/>
        </w:rPr>
      </w:pPr>
    </w:p>
    <w:p w:rsidR="002F175F" w:rsidRDefault="002F175F" w:rsidP="005662A0">
      <w:pPr>
        <w:spacing w:after="120"/>
        <w:rPr>
          <w:rFonts w:cs="Arial"/>
          <w:bCs/>
          <w:sz w:val="20"/>
          <w:szCs w:val="20"/>
        </w:rPr>
      </w:pPr>
    </w:p>
    <w:p w:rsidR="005662A0" w:rsidRPr="00C24253" w:rsidRDefault="00616966" w:rsidP="005662A0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 xml:space="preserve">Nadále </w:t>
      </w:r>
      <w:r w:rsidRPr="00C24253">
        <w:rPr>
          <w:rFonts w:cs="Arial"/>
          <w:b/>
          <w:bCs/>
          <w:sz w:val="20"/>
          <w:szCs w:val="20"/>
        </w:rPr>
        <w:t xml:space="preserve">příznivý vývoj </w:t>
      </w:r>
      <w:r w:rsidRPr="00C24253">
        <w:rPr>
          <w:rFonts w:cs="Arial"/>
          <w:bCs/>
          <w:sz w:val="20"/>
          <w:szCs w:val="20"/>
        </w:rPr>
        <w:t>byl zaznam</w:t>
      </w:r>
      <w:r w:rsidRPr="00C24253">
        <w:rPr>
          <w:rFonts w:cs="Arial"/>
          <w:bCs/>
          <w:sz w:val="20"/>
          <w:szCs w:val="20"/>
        </w:rPr>
        <w:t>e</w:t>
      </w:r>
      <w:r w:rsidRPr="00C24253">
        <w:rPr>
          <w:rFonts w:cs="Arial"/>
          <w:bCs/>
          <w:sz w:val="20"/>
          <w:szCs w:val="20"/>
        </w:rPr>
        <w:t>nán</w:t>
      </w:r>
      <w:r w:rsidRPr="00C24253">
        <w:rPr>
          <w:rFonts w:cs="Arial"/>
          <w:b/>
          <w:bCs/>
          <w:sz w:val="20"/>
          <w:szCs w:val="20"/>
        </w:rPr>
        <w:t xml:space="preserve"> u způsobu vytápění </w:t>
      </w:r>
      <w:r w:rsidRPr="00C24253">
        <w:rPr>
          <w:rFonts w:cs="Arial"/>
          <w:bCs/>
          <w:sz w:val="20"/>
          <w:szCs w:val="20"/>
        </w:rPr>
        <w:t>obydl</w:t>
      </w:r>
      <w:r w:rsidRPr="00C24253">
        <w:rPr>
          <w:rFonts w:cs="Arial"/>
          <w:bCs/>
          <w:sz w:val="20"/>
          <w:szCs w:val="20"/>
        </w:rPr>
        <w:t>e</w:t>
      </w:r>
      <w:r w:rsidRPr="00C24253">
        <w:rPr>
          <w:rFonts w:cs="Arial"/>
          <w:bCs/>
          <w:sz w:val="20"/>
          <w:szCs w:val="20"/>
        </w:rPr>
        <w:t xml:space="preserve">ných bytů. </w:t>
      </w:r>
    </w:p>
    <w:p w:rsidR="005662A0" w:rsidRPr="00C24253" w:rsidRDefault="00616966" w:rsidP="005662A0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 xml:space="preserve">Zvyšoval se podíl bytů s ústředním vytápěním a naopak klesal podíl bytů vytápěných kamny. </w:t>
      </w:r>
    </w:p>
    <w:p w:rsidR="00B45498" w:rsidRPr="00C24253" w:rsidRDefault="00616966" w:rsidP="002F175F">
      <w:pPr>
        <w:spacing w:after="24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Navíc vytápění kamny, které bylo zjištěno u 357 tisíc obydlených bytů, nemusí vždy znamenat horší kvalitu bydlení, neboť 40,1 % z nich využ</w:t>
      </w:r>
      <w:r w:rsidRPr="00C24253">
        <w:rPr>
          <w:rFonts w:cs="Arial"/>
          <w:bCs/>
          <w:sz w:val="20"/>
          <w:szCs w:val="20"/>
        </w:rPr>
        <w:t>í</w:t>
      </w:r>
      <w:r w:rsidRPr="00C24253">
        <w:rPr>
          <w:rFonts w:cs="Arial"/>
          <w:bCs/>
          <w:sz w:val="20"/>
          <w:szCs w:val="20"/>
        </w:rPr>
        <w:t>valo</w:t>
      </w:r>
      <w:r w:rsidR="00231F90">
        <w:rPr>
          <w:rFonts w:cs="Arial"/>
          <w:bCs/>
          <w:sz w:val="20"/>
          <w:szCs w:val="20"/>
        </w:rPr>
        <w:t xml:space="preserve"> jako energii k vytápění plyn a </w:t>
      </w:r>
      <w:r w:rsidRPr="00C24253">
        <w:rPr>
          <w:rFonts w:cs="Arial"/>
          <w:bCs/>
          <w:sz w:val="20"/>
          <w:szCs w:val="20"/>
        </w:rPr>
        <w:t xml:space="preserve">32,3 % z nich elektřinu. </w:t>
      </w:r>
    </w:p>
    <w:p w:rsidR="005662A0" w:rsidRPr="00C24253" w:rsidRDefault="00616966" w:rsidP="005662A0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Kamna na plyn nebo elektřinu jsou při hodnocení kvality bytového fondu považována za rovnocenná s</w:t>
      </w:r>
      <w:r w:rsidR="00231F90">
        <w:rPr>
          <w:rFonts w:cs="Arial"/>
          <w:bCs/>
          <w:sz w:val="20"/>
          <w:szCs w:val="20"/>
        </w:rPr>
        <w:t> </w:t>
      </w:r>
      <w:r w:rsidRPr="00C24253">
        <w:rPr>
          <w:rFonts w:cs="Arial"/>
          <w:bCs/>
          <w:sz w:val="20"/>
          <w:szCs w:val="20"/>
        </w:rPr>
        <w:t>ústředním topením</w:t>
      </w:r>
      <w:r w:rsidR="005662A0" w:rsidRPr="00C24253">
        <w:rPr>
          <w:rFonts w:cs="Arial"/>
          <w:bCs/>
          <w:sz w:val="20"/>
          <w:szCs w:val="20"/>
        </w:rPr>
        <w:t>. B</w:t>
      </w:r>
      <w:r w:rsidRPr="00C24253">
        <w:rPr>
          <w:rFonts w:cs="Arial"/>
          <w:bCs/>
          <w:sz w:val="20"/>
          <w:szCs w:val="20"/>
        </w:rPr>
        <w:t>yty s</w:t>
      </w:r>
      <w:r w:rsidR="005662A0" w:rsidRPr="00C24253">
        <w:rPr>
          <w:rFonts w:cs="Arial"/>
          <w:bCs/>
          <w:sz w:val="20"/>
          <w:szCs w:val="20"/>
        </w:rPr>
        <w:t xml:space="preserve"> </w:t>
      </w:r>
      <w:r w:rsidRPr="00C24253">
        <w:rPr>
          <w:rFonts w:cs="Arial"/>
          <w:bCs/>
          <w:sz w:val="20"/>
          <w:szCs w:val="20"/>
        </w:rPr>
        <w:t>tímto způsobem vytápění jsou zahrnuty při úp</w:t>
      </w:r>
      <w:r w:rsidR="00231F90">
        <w:rPr>
          <w:rFonts w:cs="Arial"/>
          <w:bCs/>
          <w:sz w:val="20"/>
          <w:szCs w:val="20"/>
        </w:rPr>
        <w:t>lném příslušenství do bytů tzv. </w:t>
      </w:r>
      <w:r w:rsidRPr="00C24253">
        <w:rPr>
          <w:rFonts w:cs="Arial"/>
          <w:bCs/>
          <w:sz w:val="20"/>
          <w:szCs w:val="20"/>
        </w:rPr>
        <w:t xml:space="preserve">standardních. </w:t>
      </w:r>
    </w:p>
    <w:p w:rsidR="00616966" w:rsidRPr="00C24253" w:rsidRDefault="00616966" w:rsidP="005662A0">
      <w:pPr>
        <w:spacing w:after="360"/>
        <w:rPr>
          <w:rFonts w:cs="Arial"/>
          <w:bCs/>
          <w:sz w:val="20"/>
          <w:szCs w:val="20"/>
        </w:rPr>
      </w:pPr>
      <w:r w:rsidRPr="00C24253">
        <w:rPr>
          <w:rFonts w:cs="Arial"/>
          <w:bCs/>
          <w:sz w:val="20"/>
          <w:szCs w:val="20"/>
        </w:rPr>
        <w:t>Etážové vytápění s tepelným zdrojem umístěným přímo v bytě uvedlo 7,1 % obydlených bytů, což oproti minulému sčítání představovalo pouze nepatrný pokles. U téměř 113 tisíc bytů se způsob vytápění nepodařil v roce 2011 vůbec zjistit.</w:t>
      </w:r>
    </w:p>
    <w:tbl>
      <w:tblPr>
        <w:tblW w:w="7828" w:type="dxa"/>
        <w:jc w:val="center"/>
        <w:tblCellMar>
          <w:left w:w="70" w:type="dxa"/>
          <w:right w:w="70" w:type="dxa"/>
        </w:tblCellMar>
        <w:tblLook w:val="04A0"/>
      </w:tblPr>
      <w:tblGrid>
        <w:gridCol w:w="2551"/>
        <w:gridCol w:w="1077"/>
        <w:gridCol w:w="840"/>
        <w:gridCol w:w="840"/>
        <w:gridCol w:w="840"/>
        <w:gridCol w:w="840"/>
        <w:gridCol w:w="840"/>
      </w:tblGrid>
      <w:tr w:rsidR="00B45498" w:rsidRPr="00C24253" w:rsidTr="00B45498">
        <w:trPr>
          <w:trHeight w:val="240"/>
          <w:jc w:val="center"/>
        </w:trPr>
        <w:tc>
          <w:tcPr>
            <w:tcW w:w="7828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498" w:rsidRPr="00C24253" w:rsidRDefault="00B45498" w:rsidP="00B45498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Obydlené byty podle používané energie k vytápění a podle druhu domu</w:t>
            </w:r>
          </w:p>
        </w:tc>
      </w:tr>
      <w:tr w:rsidR="00616966" w:rsidRPr="00C24253" w:rsidTr="003B03EE">
        <w:trPr>
          <w:trHeight w:val="397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Rok sčítání, druh domu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Obydlené byty celkem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podle energie používané k</w:t>
            </w:r>
            <w:r w:rsidR="00B45498" w:rsidRPr="00C24253">
              <w:rPr>
                <w:rFonts w:cs="Arial"/>
                <w:sz w:val="16"/>
                <w:szCs w:val="16"/>
              </w:rPr>
              <w:t> </w:t>
            </w:r>
            <w:r w:rsidRPr="00C24253">
              <w:rPr>
                <w:rFonts w:cs="Arial"/>
                <w:sz w:val="16"/>
                <w:szCs w:val="16"/>
              </w:rPr>
              <w:t>vytápění</w:t>
            </w:r>
            <w:r w:rsidR="00B45498" w:rsidRPr="00C24253">
              <w:rPr>
                <w:rFonts w:cs="Arial"/>
                <w:sz w:val="16"/>
                <w:szCs w:val="16"/>
              </w:rPr>
              <w:t xml:space="preserve"> v %</w:t>
            </w:r>
          </w:p>
        </w:tc>
      </w:tr>
      <w:tr w:rsidR="00616966" w:rsidRPr="00C24253" w:rsidTr="003B03EE">
        <w:trPr>
          <w:trHeight w:val="85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B45498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kotelny mimo dům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uhlí, koks, uhelné brikety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plyn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elektřina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966" w:rsidRPr="00C24253" w:rsidRDefault="00616966" w:rsidP="00B45498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dřevo, dřevěné brikety</w:t>
            </w:r>
          </w:p>
        </w:tc>
      </w:tr>
      <w:tr w:rsidR="00616966" w:rsidRPr="00C24253" w:rsidTr="002F175F">
        <w:trPr>
          <w:trHeight w:val="3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3 827 678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</w:tr>
      <w:tr w:rsidR="00616966" w:rsidRPr="00C24253" w:rsidTr="002F175F">
        <w:trPr>
          <w:trHeight w:val="3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4 104 635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7,0</w:t>
            </w:r>
          </w:p>
        </w:tc>
      </w:tr>
      <w:tr w:rsidR="00616966" w:rsidRPr="00C24253" w:rsidTr="002F175F">
        <w:trPr>
          <w:trHeight w:val="3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6E150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podle druhu domu: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616966" w:rsidRPr="00C24253" w:rsidTr="002F175F">
        <w:trPr>
          <w:trHeight w:val="3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rodinných domech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1 795 065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14,3</w:t>
            </w:r>
          </w:p>
        </w:tc>
      </w:tr>
      <w:tr w:rsidR="00616966" w:rsidRPr="00C24253" w:rsidTr="002F175F">
        <w:trPr>
          <w:trHeight w:val="34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bytových domech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2 257 978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966" w:rsidRPr="00C24253" w:rsidRDefault="00616966" w:rsidP="00B45498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</w:t>
            </w:r>
          </w:p>
        </w:tc>
      </w:tr>
    </w:tbl>
    <w:p w:rsidR="00616966" w:rsidRPr="00C24253" w:rsidRDefault="00616966" w:rsidP="00B45498">
      <w:pPr>
        <w:spacing w:before="360" w:after="120"/>
        <w:rPr>
          <w:rFonts w:cs="Arial"/>
          <w:b/>
          <w:bCs/>
          <w:sz w:val="20"/>
          <w:szCs w:val="20"/>
        </w:rPr>
      </w:pPr>
      <w:r w:rsidRPr="00C24253">
        <w:rPr>
          <w:rFonts w:cs="Arial"/>
          <w:b/>
          <w:bCs/>
          <w:sz w:val="20"/>
          <w:szCs w:val="20"/>
        </w:rPr>
        <w:t>V roce 2011 se nejpoužívanější energií k vytápění v obydlených bytech stal v absolutním i relativním vyjádření poprvé plyn</w:t>
      </w:r>
      <w:r w:rsidRPr="00C24253">
        <w:rPr>
          <w:rFonts w:cs="Arial"/>
          <w:bCs/>
          <w:sz w:val="20"/>
          <w:szCs w:val="20"/>
        </w:rPr>
        <w:t>. Další zlepšení kvality vytápění proti předchozímu sčítání znamenal i pokles podílu energie z uhlí, koksu a uhelných briket téměř na polovinu. Naopak renesanci zažívá vytápění dřevem a dř</w:t>
      </w:r>
      <w:r w:rsidRPr="00C24253">
        <w:rPr>
          <w:rFonts w:cs="Arial"/>
          <w:bCs/>
          <w:sz w:val="20"/>
          <w:szCs w:val="20"/>
        </w:rPr>
        <w:t>e</w:t>
      </w:r>
      <w:r w:rsidRPr="00C24253">
        <w:rPr>
          <w:rFonts w:cs="Arial"/>
          <w:bCs/>
          <w:sz w:val="20"/>
          <w:szCs w:val="20"/>
        </w:rPr>
        <w:t>věnými briketami, které ve srovnání s rokem 2001 vzrostlo o 70 % a k vytápění bylo používáno již častěji než stagnující elektřina.</w:t>
      </w:r>
    </w:p>
    <w:p w:rsidR="00616966" w:rsidRPr="00C24253" w:rsidRDefault="00616966" w:rsidP="00B45498">
      <w:pPr>
        <w:spacing w:after="120"/>
        <w:rPr>
          <w:rFonts w:cs="Arial"/>
          <w:b/>
          <w:bCs/>
          <w:sz w:val="20"/>
          <w:szCs w:val="20"/>
        </w:rPr>
      </w:pPr>
      <w:r w:rsidRPr="00C24253">
        <w:rPr>
          <w:rFonts w:cs="Arial"/>
          <w:b/>
          <w:bCs/>
          <w:sz w:val="20"/>
          <w:szCs w:val="20"/>
        </w:rPr>
        <w:t>Rozdílná byla struktura používané energie k vytápění obydlených bytů podle druhu domu.</w:t>
      </w:r>
      <w:r w:rsidR="00231F90">
        <w:rPr>
          <w:rFonts w:cs="Arial"/>
          <w:bCs/>
          <w:sz w:val="20"/>
          <w:szCs w:val="20"/>
        </w:rPr>
        <w:t xml:space="preserve"> Zatímco u </w:t>
      </w:r>
      <w:r w:rsidRPr="00C24253">
        <w:rPr>
          <w:rFonts w:cs="Arial"/>
          <w:bCs/>
          <w:sz w:val="20"/>
          <w:szCs w:val="20"/>
        </w:rPr>
        <w:t>rodinných domů deklarovala polovina uživatelů bytů jako hlavní zdroj pro vytápění plyn a necelá třetina pevná paliva, v bytových domech převažovala energie z kotelny mimo dům následovaná plynem, přičemž podíl pevných paliv byl naprosto minimální. Uvedené údaje tak potvrzují přetrvávající vyšší kvalitu vytápění bytových domů.</w:t>
      </w:r>
    </w:p>
    <w:p w:rsidR="00616966" w:rsidRPr="00C24253" w:rsidRDefault="00616966" w:rsidP="00B45498">
      <w:pPr>
        <w:spacing w:after="120"/>
        <w:rPr>
          <w:rFonts w:cs="Arial"/>
          <w:bCs/>
          <w:sz w:val="20"/>
          <w:szCs w:val="20"/>
        </w:rPr>
      </w:pPr>
      <w:r w:rsidRPr="00C24253">
        <w:rPr>
          <w:rFonts w:cs="Arial"/>
          <w:b/>
          <w:bCs/>
          <w:sz w:val="20"/>
          <w:szCs w:val="20"/>
        </w:rPr>
        <w:t>Podobně diferencovaná byla i skladba používané energie k vytápění obydlených bytů v různých vel</w:t>
      </w:r>
      <w:r w:rsidRPr="00C24253">
        <w:rPr>
          <w:rFonts w:cs="Arial"/>
          <w:b/>
          <w:bCs/>
          <w:sz w:val="20"/>
          <w:szCs w:val="20"/>
        </w:rPr>
        <w:t>i</w:t>
      </w:r>
      <w:r w:rsidRPr="00C24253">
        <w:rPr>
          <w:rFonts w:cs="Arial"/>
          <w:b/>
          <w:bCs/>
          <w:sz w:val="20"/>
          <w:szCs w:val="20"/>
        </w:rPr>
        <w:t>kostních skupinách obcí.</w:t>
      </w:r>
      <w:r w:rsidRPr="00C24253">
        <w:rPr>
          <w:rFonts w:cs="Arial"/>
          <w:bCs/>
          <w:sz w:val="20"/>
          <w:szCs w:val="20"/>
        </w:rPr>
        <w:t xml:space="preserve"> V nejmenších obcích do 500 obyvatel představ</w:t>
      </w:r>
      <w:r w:rsidR="00AD7AC4" w:rsidRPr="00C24253">
        <w:rPr>
          <w:rFonts w:cs="Arial"/>
          <w:bCs/>
          <w:sz w:val="20"/>
          <w:szCs w:val="20"/>
        </w:rPr>
        <w:t>ovaly</w:t>
      </w:r>
      <w:r w:rsidRPr="00C24253">
        <w:rPr>
          <w:rFonts w:cs="Arial"/>
          <w:bCs/>
          <w:sz w:val="20"/>
          <w:szCs w:val="20"/>
        </w:rPr>
        <w:t xml:space="preserve"> nejčastější druhy paliva k vytápění uhlí, koks a uhelné brikety (30,1 %) následované dřevem (25,1%). S rostoucí velikostí obce se zv</w:t>
      </w:r>
      <w:r w:rsidRPr="00C24253">
        <w:rPr>
          <w:rFonts w:cs="Arial"/>
          <w:bCs/>
          <w:sz w:val="20"/>
          <w:szCs w:val="20"/>
        </w:rPr>
        <w:t>y</w:t>
      </w:r>
      <w:r w:rsidRPr="00C24253">
        <w:rPr>
          <w:rFonts w:cs="Arial"/>
          <w:bCs/>
          <w:sz w:val="20"/>
          <w:szCs w:val="20"/>
        </w:rPr>
        <w:t>š</w:t>
      </w:r>
      <w:r w:rsidR="00AD7AC4" w:rsidRPr="00C24253">
        <w:rPr>
          <w:rFonts w:cs="Arial"/>
          <w:bCs/>
          <w:sz w:val="20"/>
          <w:szCs w:val="20"/>
        </w:rPr>
        <w:t>ovalo</w:t>
      </w:r>
      <w:r w:rsidRPr="00C24253">
        <w:rPr>
          <w:rFonts w:cs="Arial"/>
          <w:bCs/>
          <w:sz w:val="20"/>
          <w:szCs w:val="20"/>
        </w:rPr>
        <w:t xml:space="preserve"> zastoupení energie z kotelny mimo dům, která byla hlavním zdr</w:t>
      </w:r>
      <w:r w:rsidR="00231F90">
        <w:rPr>
          <w:rFonts w:cs="Arial"/>
          <w:bCs/>
          <w:sz w:val="20"/>
          <w:szCs w:val="20"/>
        </w:rPr>
        <w:t>ojem vytápění ve městech nad 10 </w:t>
      </w:r>
      <w:r w:rsidRPr="00C24253">
        <w:rPr>
          <w:rFonts w:cs="Arial"/>
          <w:bCs/>
          <w:sz w:val="20"/>
          <w:szCs w:val="20"/>
        </w:rPr>
        <w:t xml:space="preserve">tisíc obyvatel a u měst s více než 20 tisíci obyvatel ji využívala dokonce více než polovina obydlených bytů. </w:t>
      </w:r>
    </w:p>
    <w:p w:rsidR="00616966" w:rsidRPr="00C24253" w:rsidRDefault="00842B9E" w:rsidP="002F175F">
      <w:pPr>
        <w:pStyle w:val="Nadpis4arial12bold"/>
      </w:pPr>
      <w:r>
        <w:lastRenderedPageBreak/>
        <w:t>K</w:t>
      </w:r>
      <w:r w:rsidR="00616966" w:rsidRPr="00C24253">
        <w:t>valita bytového fondu – typ bytu</w:t>
      </w:r>
    </w:p>
    <w:p w:rsidR="00C731FB" w:rsidRPr="00C24253" w:rsidRDefault="00616966" w:rsidP="00A965C4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Jako základní syntetický ukazatel pro hodnocení celkové kvality bytového fondu sloužil </w:t>
      </w:r>
      <w:r w:rsidRPr="00C24253">
        <w:rPr>
          <w:rFonts w:cs="Arial"/>
          <w:b/>
          <w:sz w:val="20"/>
          <w:szCs w:val="20"/>
        </w:rPr>
        <w:t>v roce 2011</w:t>
      </w:r>
      <w:r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>nově definovaný typ bytu, který nahradil v předchozích sčítáních podobně konstruované kategorie bytu.</w:t>
      </w:r>
      <w:r w:rsidRPr="00C24253">
        <w:rPr>
          <w:rFonts w:cs="Arial"/>
          <w:sz w:val="20"/>
          <w:szCs w:val="20"/>
        </w:rPr>
        <w:t xml:space="preserve"> Byty se tak na základě způsobu vytápění a dostupnosti základního příslušenství nově členily místo do čtyř kategorií pouze na </w:t>
      </w:r>
      <w:r w:rsidRPr="00C24253">
        <w:rPr>
          <w:rFonts w:cs="Arial"/>
          <w:b/>
          <w:sz w:val="20"/>
          <w:szCs w:val="20"/>
        </w:rPr>
        <w:t>byty standardní a byty se sníženou kvalitou</w:t>
      </w:r>
      <w:r w:rsidRPr="00C24253">
        <w:rPr>
          <w:rFonts w:cs="Arial"/>
          <w:sz w:val="20"/>
          <w:szCs w:val="20"/>
        </w:rPr>
        <w:t xml:space="preserve">. </w:t>
      </w:r>
    </w:p>
    <w:p w:rsidR="00616966" w:rsidRPr="00C24253" w:rsidRDefault="00616966" w:rsidP="005662A0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Díky zachování jednotné metodiky výpočtu je však částečně možné vzájemné srovnání obou charakteristik v čase (standardní byty jsou členěny v detailu bývalých kategorií I a II; byty se sníženou kvalitou lze porovnat pouze s agregací bývalých kategorií III a IV, vzhledem k jejich malému počtu ale nejde o významnou ztrátu informací). </w:t>
      </w:r>
    </w:p>
    <w:tbl>
      <w:tblPr>
        <w:tblW w:w="9086" w:type="dxa"/>
        <w:jc w:val="center"/>
        <w:tblCellMar>
          <w:left w:w="70" w:type="dxa"/>
          <w:right w:w="70" w:type="dxa"/>
        </w:tblCellMar>
        <w:tblLook w:val="04A0"/>
      </w:tblPr>
      <w:tblGrid>
        <w:gridCol w:w="3416"/>
        <w:gridCol w:w="1276"/>
        <w:gridCol w:w="992"/>
        <w:gridCol w:w="1134"/>
        <w:gridCol w:w="1182"/>
        <w:gridCol w:w="1086"/>
      </w:tblGrid>
      <w:tr w:rsidR="003B03EE" w:rsidRPr="00C24253" w:rsidTr="003B03EE">
        <w:trPr>
          <w:trHeight w:val="253"/>
          <w:jc w:val="center"/>
        </w:trPr>
        <w:tc>
          <w:tcPr>
            <w:tcW w:w="908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b/>
                <w:sz w:val="20"/>
                <w:szCs w:val="20"/>
              </w:rPr>
              <w:t>Obydlené byty podle typu v letech 1970 – 2011</w:t>
            </w:r>
          </w:p>
        </w:tc>
      </w:tr>
      <w:tr w:rsidR="003B03EE" w:rsidRPr="00C24253" w:rsidTr="002F175F">
        <w:trPr>
          <w:trHeight w:val="397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Typ bytu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EE" w:rsidRPr="00C24253" w:rsidRDefault="003B03EE" w:rsidP="003B03EE">
            <w:pPr>
              <w:keepNext/>
              <w:keepLines/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3B03EE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absolutně</w:t>
            </w:r>
          </w:p>
        </w:tc>
      </w:tr>
      <w:tr w:rsidR="00616966" w:rsidRPr="00C24253" w:rsidTr="00C731FB">
        <w:trPr>
          <w:trHeight w:val="34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Byty standardní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1 621 021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2 682 097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3 385 425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3 670 819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3 761 498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113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tom: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 ústřed</w:t>
            </w:r>
            <w:r w:rsidR="003B03EE" w:rsidRPr="00C24253">
              <w:rPr>
                <w:sz w:val="16"/>
                <w:szCs w:val="16"/>
              </w:rPr>
              <w:t>ním</w:t>
            </w:r>
            <w:r w:rsidRPr="00C24253">
              <w:rPr>
                <w:sz w:val="16"/>
                <w:szCs w:val="16"/>
              </w:rPr>
              <w:t xml:space="preserve"> topením a úplným přísluše</w:t>
            </w:r>
            <w:r w:rsidRPr="00C24253">
              <w:rPr>
                <w:sz w:val="16"/>
                <w:szCs w:val="16"/>
              </w:rPr>
              <w:t>n</w:t>
            </w:r>
            <w:r w:rsidR="003B03EE" w:rsidRPr="00C24253">
              <w:rPr>
                <w:sz w:val="16"/>
                <w:szCs w:val="16"/>
              </w:rPr>
              <w:t>stvím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741 209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1 642 362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2 591 221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3 385 965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keepNext/>
              <w:keepLines/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3 584 119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ostatní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879 812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1 039 735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794 204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284 854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177 379</w:t>
            </w:r>
          </w:p>
        </w:tc>
      </w:tr>
      <w:tr w:rsidR="00616966" w:rsidRPr="00C24253" w:rsidTr="00C731FB">
        <w:trPr>
          <w:trHeight w:val="34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Byty se sníženou kvalitou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1 467 820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812 749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320 256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127 131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230 319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3B03EE">
            <w:pPr>
              <w:jc w:val="center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%</w:t>
            </w:r>
          </w:p>
        </w:tc>
      </w:tr>
      <w:tr w:rsidR="00616966" w:rsidRPr="00C24253" w:rsidTr="00C731FB">
        <w:trPr>
          <w:trHeight w:val="34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Byty standardní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91,4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96,7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94,2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113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v tom: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s ústřed</w:t>
            </w:r>
            <w:r w:rsidR="003B03EE" w:rsidRPr="00C24253">
              <w:rPr>
                <w:sz w:val="16"/>
                <w:szCs w:val="16"/>
              </w:rPr>
              <w:t>ním</w:t>
            </w:r>
            <w:r w:rsidRPr="00C24253">
              <w:rPr>
                <w:sz w:val="16"/>
                <w:szCs w:val="16"/>
              </w:rPr>
              <w:t xml:space="preserve"> topením a úplným přísluše</w:t>
            </w:r>
            <w:r w:rsidRPr="00C24253">
              <w:rPr>
                <w:sz w:val="16"/>
                <w:szCs w:val="16"/>
              </w:rPr>
              <w:t>n</w:t>
            </w:r>
            <w:r w:rsidR="003B03EE" w:rsidRPr="00C24253">
              <w:rPr>
                <w:sz w:val="16"/>
                <w:szCs w:val="16"/>
              </w:rPr>
              <w:t>stvím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69,9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89,8</w:t>
            </w:r>
          </w:p>
        </w:tc>
      </w:tr>
      <w:tr w:rsidR="00616966" w:rsidRPr="00C24253" w:rsidTr="00C731FB">
        <w:trPr>
          <w:trHeight w:val="283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ind w:left="227"/>
              <w:jc w:val="left"/>
              <w:rPr>
                <w:sz w:val="16"/>
                <w:szCs w:val="16"/>
              </w:rPr>
            </w:pPr>
            <w:r w:rsidRPr="00C24253">
              <w:rPr>
                <w:sz w:val="16"/>
                <w:szCs w:val="16"/>
              </w:rPr>
              <w:t>ostatní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4,4</w:t>
            </w:r>
          </w:p>
        </w:tc>
      </w:tr>
      <w:tr w:rsidR="00616966" w:rsidRPr="00C24253" w:rsidTr="00C731FB">
        <w:trPr>
          <w:trHeight w:val="34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left"/>
              <w:rPr>
                <w:b/>
                <w:sz w:val="16"/>
                <w:szCs w:val="16"/>
              </w:rPr>
            </w:pPr>
            <w:r w:rsidRPr="00C24253">
              <w:rPr>
                <w:b/>
                <w:sz w:val="16"/>
                <w:szCs w:val="16"/>
              </w:rPr>
              <w:t xml:space="preserve">Byty se sníženou kvalitou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66" w:rsidRPr="00C24253" w:rsidRDefault="00616966" w:rsidP="00C731F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5,8</w:t>
            </w:r>
          </w:p>
        </w:tc>
      </w:tr>
    </w:tbl>
    <w:p w:rsidR="00E76164" w:rsidRPr="00C24253" w:rsidRDefault="00616966" w:rsidP="00E76164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Mezi roky 1970 a 2001 probíhal jednoznačný proces růstu počtu bytů s maximálním vybavením (ústřední topení a úplné příslušenství) na úkor bytů se sníženou kvalitou</w:t>
      </w:r>
      <w:r w:rsidRPr="00C24253">
        <w:rPr>
          <w:rFonts w:cs="Arial"/>
          <w:sz w:val="20"/>
          <w:szCs w:val="20"/>
        </w:rPr>
        <w:t>, který vedl k trvalému zlepš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vání kvality obydleného bytového fondu. </w:t>
      </w:r>
    </w:p>
    <w:p w:rsidR="00616966" w:rsidRPr="00C24253" w:rsidRDefault="00616966" w:rsidP="00E76164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Plynulé zvyšování kvality bytového fondu bylo zdánlivě zastaveno v roce 2011, kdy výsledky ukazovaly na změnu trendu (zvýšení počtu a podílu bytů se sníženou kvalitou).</w:t>
      </w:r>
      <w:r w:rsidR="005662A0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Tento údaj nevypovídá ale ve skutečnosti o reálném zhoršení kvality bytů, ale pouze o snížené kvalitě vstupních dat, z nichž se typ bytu odvozoval. Nekorektní kombinace chybějících vstupních údajů o vybavenosti bytu spolu s ústředním topením se promí</w:t>
      </w:r>
      <w:r w:rsidRPr="00C24253">
        <w:rPr>
          <w:rFonts w:cs="Arial"/>
          <w:sz w:val="20"/>
          <w:szCs w:val="20"/>
        </w:rPr>
        <w:t>t</w:t>
      </w:r>
      <w:r w:rsidRPr="00C24253">
        <w:rPr>
          <w:rFonts w:cs="Arial"/>
          <w:sz w:val="20"/>
          <w:szCs w:val="20"/>
        </w:rPr>
        <w:t>ly do nadhodnocení počtu i p</w:t>
      </w:r>
      <w:r w:rsidR="006E1508">
        <w:rPr>
          <w:rFonts w:cs="Arial"/>
          <w:sz w:val="20"/>
          <w:szCs w:val="20"/>
        </w:rPr>
        <w:t xml:space="preserve">odílu bytů se sníženou kvalitou. </w:t>
      </w:r>
      <w:r w:rsidRPr="00C24253">
        <w:rPr>
          <w:rFonts w:cs="Arial"/>
          <w:sz w:val="20"/>
          <w:szCs w:val="20"/>
        </w:rPr>
        <w:t>Srovnání bytů se sníženou kvalitou (původní III. a IV. kategorie) s předchozími sčítáními proto není zcela reprezentativní ani průkazné. S ohledem na min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mální váhu těchto bytů v celkovém bytovém fondu (pouhých 5,8 %) neovlivňuje ale toto zkreslení zásadním způsobem informace o úhrnných kvalitativních charakteristikách bytů.</w:t>
      </w:r>
    </w:p>
    <w:p w:rsidR="00616966" w:rsidRPr="00C24253" w:rsidRDefault="00616966" w:rsidP="00C731FB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 hlediska srovnání typu </w:t>
      </w:r>
      <w:r w:rsidR="00AD7AC4" w:rsidRPr="00C24253">
        <w:rPr>
          <w:rFonts w:cs="Arial"/>
          <w:sz w:val="20"/>
          <w:szCs w:val="20"/>
        </w:rPr>
        <w:t xml:space="preserve">bytu </w:t>
      </w:r>
      <w:r w:rsidRPr="00C24253">
        <w:rPr>
          <w:rFonts w:cs="Arial"/>
          <w:sz w:val="20"/>
          <w:szCs w:val="20"/>
        </w:rPr>
        <w:t xml:space="preserve">podle druhu domu vykazovaly v roce 2011 </w:t>
      </w:r>
      <w:r w:rsidR="006E1508">
        <w:rPr>
          <w:rFonts w:cs="Arial"/>
          <w:sz w:val="20"/>
          <w:szCs w:val="20"/>
        </w:rPr>
        <w:t>vyšší</w:t>
      </w:r>
      <w:r w:rsidRPr="00C24253">
        <w:rPr>
          <w:rFonts w:cs="Arial"/>
          <w:sz w:val="20"/>
          <w:szCs w:val="20"/>
        </w:rPr>
        <w:t xml:space="preserve"> kvalitu byty v bytových d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mech, v nichž podíl standardních bytů s ústředním topením a úplným příslušenstvím dosahoval 91,5 %, z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tímco u bytů v rodinných domech jich bylo 87,8 %. S přihlédnutím k období výstavby nebo rekonstrukce byla kvalita bytového fondu nejnižší v nejstarších domech (postavených nebo zrekonstruovaných do roku 1919). S klesajícím stářím domů a bytů se kvalita zlepšuje. </w:t>
      </w:r>
    </w:p>
    <w:p w:rsidR="00616966" w:rsidRPr="00C24253" w:rsidRDefault="00616966" w:rsidP="00B05B62">
      <w:pPr>
        <w:pStyle w:val="Nadpis3"/>
      </w:pPr>
      <w:bookmarkStart w:id="5" w:name="_Toc371588189"/>
      <w:r w:rsidRPr="00C24253">
        <w:t>Úroveň bydlení domácností</w:t>
      </w:r>
      <w:bookmarkEnd w:id="5"/>
    </w:p>
    <w:p w:rsidR="00C731FB" w:rsidRPr="00C24253" w:rsidRDefault="00616966" w:rsidP="00C731FB">
      <w:pPr>
        <w:spacing w:after="120"/>
        <w:rPr>
          <w:rFonts w:cs="Arial"/>
          <w:sz w:val="20"/>
          <w:szCs w:val="20"/>
        </w:rPr>
      </w:pPr>
      <w:r w:rsidRPr="00C24253">
        <w:rPr>
          <w:sz w:val="20"/>
        </w:rPr>
        <w:t xml:space="preserve">Výsledky sčítání lidu, domů a bytů přináší rovněž údaje o úrovni bydlení jednotlivých typů hospodařících domácností. </w:t>
      </w:r>
      <w:r w:rsidRPr="00C24253">
        <w:rPr>
          <w:rFonts w:cs="Arial"/>
          <w:sz w:val="20"/>
          <w:szCs w:val="20"/>
        </w:rPr>
        <w:t xml:space="preserve">Nárůst počtu obydlených bytů za posledních 20 let o necelých 11 % byl mírně vyšší než nárůst počtu hospodařících domácností (o necelých 10 %), což se projevilo i v poklesu počtu domácností, které žijí společně v jednom bytě – z 532,4 tis. v roce 1991 na 461,0 tis. v roce 2011. </w:t>
      </w:r>
    </w:p>
    <w:p w:rsidR="00616966" w:rsidRPr="00C24253" w:rsidRDefault="00616966" w:rsidP="00C731FB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Analogicky k tomuto vývoji se </w:t>
      </w:r>
      <w:r w:rsidRPr="00C24253">
        <w:rPr>
          <w:rFonts w:cs="Arial"/>
          <w:b/>
          <w:sz w:val="20"/>
          <w:szCs w:val="20"/>
        </w:rPr>
        <w:t>proti roku 1991 snížil i podíl bytů se 2 a více hospodařícími domácnos</w:t>
      </w:r>
      <w:r w:rsidRPr="00C24253">
        <w:rPr>
          <w:rFonts w:cs="Arial"/>
          <w:b/>
          <w:sz w:val="20"/>
          <w:szCs w:val="20"/>
        </w:rPr>
        <w:t>t</w:t>
      </w:r>
      <w:r w:rsidRPr="00C24253">
        <w:rPr>
          <w:rFonts w:cs="Arial"/>
          <w:b/>
          <w:sz w:val="20"/>
          <w:szCs w:val="20"/>
        </w:rPr>
        <w:t xml:space="preserve">mi, </w:t>
      </w:r>
      <w:r w:rsidRPr="00C24253">
        <w:rPr>
          <w:rFonts w:cs="Arial"/>
          <w:sz w:val="20"/>
          <w:szCs w:val="20"/>
        </w:rPr>
        <w:t>a to</w:t>
      </w:r>
      <w:r w:rsidRPr="00C24253">
        <w:rPr>
          <w:rFonts w:cs="Arial"/>
          <w:b/>
          <w:sz w:val="20"/>
          <w:szCs w:val="20"/>
        </w:rPr>
        <w:t xml:space="preserve"> o třetinu</w:t>
      </w:r>
      <w:r w:rsidRPr="00C24253">
        <w:rPr>
          <w:rFonts w:cs="Arial"/>
          <w:sz w:val="20"/>
          <w:szCs w:val="20"/>
        </w:rPr>
        <w:t xml:space="preserve">. </w:t>
      </w:r>
    </w:p>
    <w:p w:rsidR="005662A0" w:rsidRPr="00C24253" w:rsidRDefault="005662A0" w:rsidP="005662A0">
      <w:pPr>
        <w:spacing w:after="120"/>
        <w:rPr>
          <w:rFonts w:cs="Arial"/>
          <w:sz w:val="20"/>
          <w:szCs w:val="20"/>
        </w:rPr>
      </w:pPr>
      <w:r w:rsidRPr="00C24253">
        <w:rPr>
          <w:sz w:val="20"/>
        </w:rPr>
        <w:lastRenderedPageBreak/>
        <w:t>Pokles počtu bytů, v nichž žijí dvě nebo více domácností a s</w:t>
      </w:r>
      <w:r w:rsidRPr="00C24253">
        <w:rPr>
          <w:rFonts w:cs="Arial"/>
          <w:sz w:val="20"/>
          <w:szCs w:val="20"/>
        </w:rPr>
        <w:t>nižování průměrné velikosti domácnosti se o</w:t>
      </w:r>
      <w:r w:rsidRPr="00C24253">
        <w:rPr>
          <w:rFonts w:cs="Arial"/>
          <w:sz w:val="20"/>
          <w:szCs w:val="20"/>
        </w:rPr>
        <w:t>d</w:t>
      </w:r>
      <w:r w:rsidRPr="00C24253">
        <w:rPr>
          <w:rFonts w:cs="Arial"/>
          <w:sz w:val="20"/>
          <w:szCs w:val="20"/>
        </w:rPr>
        <w:t>razil</w:t>
      </w:r>
      <w:r w:rsidR="00300889" w:rsidRPr="00C24253">
        <w:rPr>
          <w:rFonts w:cs="Arial"/>
          <w:sz w:val="20"/>
          <w:szCs w:val="20"/>
        </w:rPr>
        <w:t>y</w:t>
      </w:r>
      <w:r w:rsidRPr="00C24253">
        <w:rPr>
          <w:rFonts w:cs="Arial"/>
          <w:sz w:val="20"/>
          <w:szCs w:val="20"/>
        </w:rPr>
        <w:t xml:space="preserve"> ve snížení průměrného počtu osob v bytě. Především rostl podíl bytů s jednou bydlící osobou. Ten se za dvacet let zvýšil z necelých 23 % na téměř 30 %. Rostl i podíl bytů se 2-3 osobami, ale podstatně pom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>leji, a naopak podíl bytů se 4 a více osobami se snižoval.</w:t>
      </w:r>
    </w:p>
    <w:tbl>
      <w:tblPr>
        <w:tblW w:w="91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907"/>
        <w:gridCol w:w="907"/>
        <w:gridCol w:w="907"/>
        <w:gridCol w:w="907"/>
        <w:gridCol w:w="907"/>
        <w:gridCol w:w="907"/>
        <w:gridCol w:w="344"/>
        <w:gridCol w:w="563"/>
      </w:tblGrid>
      <w:tr w:rsidR="00CC7477" w:rsidRPr="00C24253" w:rsidTr="00B7656D">
        <w:trPr>
          <w:gridAfter w:val="1"/>
          <w:wAfter w:w="563" w:type="dxa"/>
          <w:trHeight w:val="300"/>
          <w:jc w:val="center"/>
        </w:trPr>
        <w:tc>
          <w:tcPr>
            <w:tcW w:w="8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77" w:rsidRPr="00C24253" w:rsidRDefault="00CC7477" w:rsidP="00B7656D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>Počet bytů podle počtu hospodařících domácností a osob v bytě v letech 1991 – 2011</w:t>
            </w:r>
          </w:p>
        </w:tc>
      </w:tr>
      <w:tr w:rsidR="00974752" w:rsidRPr="00C24253" w:rsidTr="00974752">
        <w:trPr>
          <w:trHeight w:val="300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B7656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Hospodařící domácnost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752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Index</w:t>
            </w:r>
          </w:p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2011/1991</w:t>
            </w:r>
          </w:p>
        </w:tc>
      </w:tr>
      <w:tr w:rsidR="00974752" w:rsidRPr="00C24253" w:rsidTr="00974752">
        <w:trPr>
          <w:trHeight w:val="600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bytů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Struktura v 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bytů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Struktura v %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bytů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Struktura v %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52" w:rsidRPr="00C24253" w:rsidRDefault="00974752" w:rsidP="00CC74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C7477" w:rsidRPr="00C24253" w:rsidTr="00B7656D">
        <w:trPr>
          <w:trHeight w:val="34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hospodařící domácnost v bytě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3 451 488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3 505 383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3 914 144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95,4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113,4</w:t>
            </w:r>
          </w:p>
        </w:tc>
      </w:tr>
      <w:tr w:rsidR="00CC7477" w:rsidRPr="00C24253" w:rsidTr="00B7656D">
        <w:trPr>
          <w:trHeight w:val="227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B7656D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s počtem osob: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CC7477" w:rsidRPr="00C24253" w:rsidTr="00B7656D">
        <w:trPr>
          <w:trHeight w:val="283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842 443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957 757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1 214 201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144,1</w:t>
            </w:r>
          </w:p>
        </w:tc>
      </w:tr>
      <w:tr w:rsidR="00CC7477" w:rsidRPr="00C24253" w:rsidTr="00B7656D">
        <w:trPr>
          <w:trHeight w:val="283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1 572 427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42,4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1 677 014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43,8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1 881 138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45,8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119,6</w:t>
            </w:r>
          </w:p>
        </w:tc>
      </w:tr>
      <w:tr w:rsidR="00CC7477" w:rsidRPr="00C24253" w:rsidTr="00B7656D">
        <w:trPr>
          <w:trHeight w:val="283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ind w:left="22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a více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1 036 628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870 612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22,7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818 805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79,0</w:t>
            </w:r>
          </w:p>
        </w:tc>
      </w:tr>
      <w:tr w:rsidR="00CC7477" w:rsidRPr="00C24253" w:rsidTr="00B7656D">
        <w:trPr>
          <w:trHeight w:val="454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477" w:rsidRPr="00C24253" w:rsidRDefault="00CC7477" w:rsidP="00CC7477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a více hospodařících domácností v bytě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254 193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322 295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190 491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74,9</w:t>
            </w:r>
          </w:p>
        </w:tc>
      </w:tr>
      <w:tr w:rsidR="00CC7477" w:rsidRPr="00C24253" w:rsidTr="00B7656D">
        <w:trPr>
          <w:trHeight w:val="397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Celkem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3 705 681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3 827 678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4 104 635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77" w:rsidRPr="00C24253" w:rsidRDefault="00CC7477" w:rsidP="00CC747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110,8</w:t>
            </w:r>
          </w:p>
        </w:tc>
      </w:tr>
    </w:tbl>
    <w:p w:rsidR="00C731FB" w:rsidRPr="00C24253" w:rsidRDefault="00C731FB" w:rsidP="00616966">
      <w:pPr>
        <w:spacing w:after="120"/>
        <w:ind w:firstLine="170"/>
        <w:rPr>
          <w:rFonts w:cs="Arial"/>
          <w:b/>
          <w:sz w:val="20"/>
          <w:szCs w:val="20"/>
        </w:rPr>
      </w:pPr>
    </w:p>
    <w:p w:rsidR="00616966" w:rsidRPr="00C24253" w:rsidRDefault="00616966" w:rsidP="00C24208">
      <w:pPr>
        <w:spacing w:after="240"/>
        <w:rPr>
          <w:sz w:val="20"/>
        </w:rPr>
      </w:pPr>
      <w:r w:rsidRPr="00C24253">
        <w:rPr>
          <w:b/>
          <w:sz w:val="20"/>
        </w:rPr>
        <w:t>Nejvyšší úroveň bydlení mají</w:t>
      </w:r>
      <w:r w:rsidRPr="00C24253">
        <w:rPr>
          <w:sz w:val="20"/>
        </w:rPr>
        <w:t xml:space="preserve"> </w:t>
      </w:r>
      <w:r w:rsidRPr="00C24253">
        <w:rPr>
          <w:b/>
          <w:sz w:val="20"/>
        </w:rPr>
        <w:t>domácnosti jednotlivců</w:t>
      </w:r>
      <w:r w:rsidRPr="00C24253">
        <w:rPr>
          <w:sz w:val="20"/>
        </w:rPr>
        <w:t>. Přestože bydlí v nejmenších bytech jak z hlediska průměrné obytné plochy, tak počtu obytných místností na byt, mají nejpříznivější ukazatele průměrného p</w:t>
      </w:r>
      <w:r w:rsidRPr="00C24253">
        <w:rPr>
          <w:sz w:val="20"/>
        </w:rPr>
        <w:t>o</w:t>
      </w:r>
      <w:r w:rsidRPr="00C24253">
        <w:rPr>
          <w:sz w:val="20"/>
        </w:rPr>
        <w:t xml:space="preserve">čtu osob na byt i obytnou místnost. Bydlí totiž mnohdy v bytech, jež dříve sloužily pro bydlení celých rodin, ale jednotlivec v nich zůstal v bytě sám jako poslední člen původně rodinné domácnosti. V roce 2011 tak již bylo více než 1,2 milionu bytů, v nichž bydlela jen jedna osoba, jejich počet se za dvacet let zvýšil o 44 %. </w:t>
      </w: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31"/>
        <w:gridCol w:w="964"/>
        <w:gridCol w:w="964"/>
        <w:gridCol w:w="964"/>
        <w:gridCol w:w="964"/>
        <w:gridCol w:w="964"/>
        <w:gridCol w:w="681"/>
        <w:gridCol w:w="283"/>
      </w:tblGrid>
      <w:tr w:rsidR="00B7656D" w:rsidRPr="00C24253" w:rsidTr="00825D11">
        <w:trPr>
          <w:gridAfter w:val="1"/>
          <w:wAfter w:w="283" w:type="dxa"/>
          <w:trHeight w:val="283"/>
          <w:jc w:val="center"/>
        </w:trPr>
        <w:tc>
          <w:tcPr>
            <w:tcW w:w="873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974752">
            <w:pPr>
              <w:spacing w:after="120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sz w:val="20"/>
                <w:szCs w:val="20"/>
              </w:rPr>
              <w:t xml:space="preserve">Úroveň bydlení podle typu </w:t>
            </w:r>
            <w:r w:rsidR="00974752">
              <w:rPr>
                <w:rFonts w:cs="Arial"/>
                <w:b/>
                <w:sz w:val="20"/>
                <w:szCs w:val="20"/>
              </w:rPr>
              <w:t xml:space="preserve">bytové </w:t>
            </w:r>
            <w:r w:rsidRPr="00C24253">
              <w:rPr>
                <w:rFonts w:cs="Arial"/>
                <w:b/>
                <w:sz w:val="20"/>
                <w:szCs w:val="20"/>
              </w:rPr>
              <w:t>domácnost</w:t>
            </w:r>
            <w:r w:rsidR="00974752">
              <w:rPr>
                <w:rFonts w:cs="Arial"/>
                <w:b/>
                <w:sz w:val="20"/>
                <w:szCs w:val="20"/>
              </w:rPr>
              <w:t>i</w:t>
            </w:r>
            <w:r w:rsidRPr="00C24253">
              <w:rPr>
                <w:rFonts w:cs="Arial"/>
                <w:b/>
                <w:sz w:val="20"/>
                <w:szCs w:val="20"/>
              </w:rPr>
              <w:t xml:space="preserve"> k 26. 3. 2011</w:t>
            </w:r>
          </w:p>
        </w:tc>
      </w:tr>
      <w:tr w:rsidR="00FE7752" w:rsidRPr="00C24253" w:rsidTr="00825D11">
        <w:trPr>
          <w:trHeight w:val="567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2" w:rsidRPr="00C24253" w:rsidRDefault="00FE7752" w:rsidP="0097475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Typ </w:t>
            </w:r>
            <w:r w:rsidR="00825D11">
              <w:rPr>
                <w:rFonts w:cs="Arial"/>
                <w:sz w:val="16"/>
                <w:szCs w:val="16"/>
              </w:rPr>
              <w:t xml:space="preserve">bytové </w:t>
            </w:r>
            <w:r w:rsidRPr="00C24253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bytů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Struktura</w:t>
            </w:r>
          </w:p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%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Průměrný počet osob</w:t>
            </w:r>
          </w:p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Průměrná obytná plocha bytu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FE7752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Počet obytných místností na byt</w:t>
            </w:r>
          </w:p>
        </w:tc>
      </w:tr>
      <w:tr w:rsidR="00FE7752" w:rsidRPr="00C24253" w:rsidTr="00825D11">
        <w:trPr>
          <w:trHeight w:val="397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52" w:rsidRPr="00C24253" w:rsidRDefault="00FE7752" w:rsidP="00FE7752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byt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obytnou místnost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752" w:rsidRPr="00C24253" w:rsidRDefault="00FE7752" w:rsidP="00B765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7656D" w:rsidRPr="00C24253" w:rsidTr="00825D11">
        <w:trPr>
          <w:trHeight w:val="34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hospodařící domácnost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3 914 144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95,4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2,37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0,73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64,5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3,66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domácnosti: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jednotlivci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1 214 201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29,6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0,42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3,00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vícečlenné nerodinné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175 164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3,22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rodinné 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2 524 779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61,5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3,02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3,98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firstLineChars="200" w:firstLine="3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 1 rodinou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2 458 943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2,96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69,7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3,95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974752">
            <w:pPr>
              <w:ind w:left="39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úplné rodiny bez </w:t>
            </w:r>
            <w:r w:rsidR="00974752">
              <w:rPr>
                <w:rFonts w:cs="Arial"/>
                <w:sz w:val="16"/>
                <w:szCs w:val="16"/>
              </w:rPr>
              <w:t xml:space="preserve">závislých </w:t>
            </w:r>
            <w:r w:rsidRPr="00C24253">
              <w:rPr>
                <w:rFonts w:cs="Arial"/>
                <w:sz w:val="16"/>
                <w:szCs w:val="16"/>
              </w:rPr>
              <w:t>dětí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1 149 959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28,0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2,47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0,72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3,88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974752">
            <w:pPr>
              <w:ind w:left="39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úplné rodiny s</w:t>
            </w:r>
            <w:r w:rsidR="00974752">
              <w:rPr>
                <w:rFonts w:cs="Arial"/>
                <w:sz w:val="16"/>
                <w:szCs w:val="16"/>
              </w:rPr>
              <w:t>e závislými</w:t>
            </w:r>
            <w:r w:rsidRPr="00C24253">
              <w:rPr>
                <w:rFonts w:cs="Arial"/>
                <w:sz w:val="16"/>
                <w:szCs w:val="16"/>
              </w:rPr>
              <w:t xml:space="preserve"> dětmi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796 084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3,89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1,04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4,25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974752">
            <w:pPr>
              <w:ind w:left="39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neúplné rodiny bez </w:t>
            </w:r>
            <w:r w:rsidR="00974752">
              <w:rPr>
                <w:rFonts w:cs="Arial"/>
                <w:sz w:val="16"/>
                <w:szCs w:val="16"/>
              </w:rPr>
              <w:t xml:space="preserve">závislých </w:t>
            </w:r>
            <w:r w:rsidRPr="00C24253">
              <w:rPr>
                <w:rFonts w:cs="Arial"/>
                <w:sz w:val="16"/>
                <w:szCs w:val="16"/>
              </w:rPr>
              <w:t>dětí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250 413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2,38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0,76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3,68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974752">
            <w:pPr>
              <w:ind w:left="397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neúplné rodiny s</w:t>
            </w:r>
            <w:r w:rsidR="00974752">
              <w:rPr>
                <w:rFonts w:cs="Arial"/>
                <w:sz w:val="16"/>
                <w:szCs w:val="16"/>
              </w:rPr>
              <w:t>e</w:t>
            </w:r>
            <w:r w:rsidRPr="00C24253">
              <w:rPr>
                <w:rFonts w:cs="Arial"/>
                <w:sz w:val="16"/>
                <w:szCs w:val="16"/>
              </w:rPr>
              <w:t xml:space="preserve"> </w:t>
            </w:r>
            <w:r w:rsidR="00974752">
              <w:rPr>
                <w:rFonts w:cs="Arial"/>
                <w:sz w:val="16"/>
                <w:szCs w:val="16"/>
              </w:rPr>
              <w:t xml:space="preserve">závislými </w:t>
            </w:r>
            <w:r w:rsidRPr="00C24253">
              <w:rPr>
                <w:rFonts w:cs="Arial"/>
                <w:sz w:val="16"/>
                <w:szCs w:val="16"/>
              </w:rPr>
              <w:t>dětmi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262 487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63,4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3,55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ind w:firstLineChars="200" w:firstLine="3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se 2 a více rodinami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65 836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5,29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1,25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4,85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 hospodařící domácnosti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172 985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4,24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1,11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80,5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4,42</w:t>
            </w:r>
          </w:p>
        </w:tc>
      </w:tr>
      <w:tr w:rsidR="00B7656D" w:rsidRPr="00C24253" w:rsidTr="00825D11">
        <w:trPr>
          <w:trHeight w:val="283"/>
          <w:jc w:val="center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 a více hospodařících domácností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17 506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7,08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2,18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72,9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6D" w:rsidRPr="00C24253" w:rsidRDefault="00B7656D" w:rsidP="00FE775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3,94</w:t>
            </w:r>
          </w:p>
        </w:tc>
      </w:tr>
    </w:tbl>
    <w:p w:rsidR="00616966" w:rsidRPr="00C24253" w:rsidRDefault="00616966" w:rsidP="00DB7DD0">
      <w:pPr>
        <w:spacing w:before="360" w:after="120"/>
        <w:rPr>
          <w:sz w:val="20"/>
        </w:rPr>
      </w:pPr>
      <w:r w:rsidRPr="00C24253">
        <w:rPr>
          <w:sz w:val="20"/>
        </w:rPr>
        <w:t>Téměř třetina domácností jednotlivců žila v nájemních bytech, čtvrtina v bytech ve vlastním domě, další čtv</w:t>
      </w:r>
      <w:r w:rsidRPr="00C24253">
        <w:rPr>
          <w:sz w:val="20"/>
        </w:rPr>
        <w:t>r</w:t>
      </w:r>
      <w:r w:rsidRPr="00C24253">
        <w:rPr>
          <w:sz w:val="20"/>
        </w:rPr>
        <w:t>tina v bytech v osobním vlastnictví a zhruba každý devátý jednotlivec žil v družstevním bytě. V rodinných domech měly jejich byty v průměru přes 66 m</w:t>
      </w:r>
      <w:r w:rsidRPr="00C24253">
        <w:rPr>
          <w:sz w:val="20"/>
          <w:vertAlign w:val="superscript"/>
        </w:rPr>
        <w:t xml:space="preserve">2 </w:t>
      </w:r>
      <w:r w:rsidRPr="00C24253">
        <w:rPr>
          <w:sz w:val="20"/>
        </w:rPr>
        <w:t>obytné plochy, v bytových domech jen přes 45 m</w:t>
      </w:r>
      <w:r w:rsidRPr="00C24253">
        <w:rPr>
          <w:sz w:val="20"/>
          <w:vertAlign w:val="superscript"/>
        </w:rPr>
        <w:t>2</w:t>
      </w:r>
      <w:r w:rsidRPr="00C24253">
        <w:rPr>
          <w:sz w:val="20"/>
        </w:rPr>
        <w:t>. Téměř polovinu samostatně bydlících jednotlivců tvořily osoby ve věku 60 a více let, a naopak jen necelých 11 % představovaly osoby do 30 let.</w:t>
      </w:r>
    </w:p>
    <w:p w:rsidR="00DB7DD0" w:rsidRPr="00C24253" w:rsidRDefault="00616966" w:rsidP="005662A0">
      <w:pPr>
        <w:spacing w:after="120"/>
        <w:rPr>
          <w:sz w:val="20"/>
        </w:rPr>
      </w:pPr>
      <w:r w:rsidRPr="00C24253">
        <w:rPr>
          <w:b/>
          <w:sz w:val="20"/>
        </w:rPr>
        <w:t>Úroveň bydlení</w:t>
      </w:r>
      <w:r w:rsidRPr="00C24253">
        <w:rPr>
          <w:sz w:val="20"/>
        </w:rPr>
        <w:t xml:space="preserve"> </w:t>
      </w:r>
      <w:r w:rsidRPr="00C24253">
        <w:rPr>
          <w:b/>
          <w:sz w:val="20"/>
        </w:rPr>
        <w:t>rodinných domácností</w:t>
      </w:r>
      <w:r w:rsidRPr="00C24253">
        <w:rPr>
          <w:sz w:val="20"/>
        </w:rPr>
        <w:t xml:space="preserve"> </w:t>
      </w:r>
      <w:r w:rsidRPr="00C24253">
        <w:rPr>
          <w:b/>
          <w:sz w:val="20"/>
        </w:rPr>
        <w:t xml:space="preserve">byla </w:t>
      </w:r>
      <w:r w:rsidR="00DB7DD0" w:rsidRPr="00C24253">
        <w:rPr>
          <w:b/>
          <w:sz w:val="20"/>
        </w:rPr>
        <w:t>vyšší</w:t>
      </w:r>
      <w:r w:rsidRPr="00C24253">
        <w:rPr>
          <w:b/>
          <w:sz w:val="20"/>
        </w:rPr>
        <w:t xml:space="preserve"> u rodin bez </w:t>
      </w:r>
      <w:r w:rsidR="00825D11">
        <w:rPr>
          <w:b/>
          <w:sz w:val="20"/>
        </w:rPr>
        <w:t xml:space="preserve">závislých </w:t>
      </w:r>
      <w:r w:rsidRPr="00C24253">
        <w:rPr>
          <w:b/>
          <w:sz w:val="20"/>
        </w:rPr>
        <w:t>dětí</w:t>
      </w:r>
      <w:r w:rsidRPr="00C24253">
        <w:rPr>
          <w:sz w:val="20"/>
        </w:rPr>
        <w:t>, kde byla mírně nadpr</w:t>
      </w:r>
      <w:r w:rsidRPr="00C24253">
        <w:rPr>
          <w:sz w:val="20"/>
        </w:rPr>
        <w:t>ů</w:t>
      </w:r>
      <w:r w:rsidRPr="00C24253">
        <w:rPr>
          <w:sz w:val="20"/>
        </w:rPr>
        <w:t xml:space="preserve">měrná, a naopak výrazně pod průměrem byla úroveň bydlení rodin se závislými dětmi (především úplných rodin se závislými dětmi). S rostoucím počtem </w:t>
      </w:r>
      <w:r w:rsidR="00825D11">
        <w:rPr>
          <w:sz w:val="20"/>
        </w:rPr>
        <w:t xml:space="preserve">závislých </w:t>
      </w:r>
      <w:r w:rsidRPr="00C24253">
        <w:rPr>
          <w:sz w:val="20"/>
        </w:rPr>
        <w:t xml:space="preserve">dětí v rodinách se průměrná úroveň bydlení snižuje. Zatímco v úplných rodinách s 1 dítětem připadá na 1 obytnou místnost 0,95 osoby, tak v úplných rodinách se 3 a více dětmi připadá na 1 místnost v průměru už 1,35 osoby. Obdobné relace platí i u neúplných rodin. </w:t>
      </w:r>
      <w:r w:rsidR="002F175F" w:rsidRPr="00C24253">
        <w:rPr>
          <w:sz w:val="20"/>
        </w:rPr>
        <w:lastRenderedPageBreak/>
        <w:t xml:space="preserve">Přestože je úroveň bydlení v úplných i neúplných rodinách s jedním </w:t>
      </w:r>
      <w:r w:rsidR="00825D11">
        <w:rPr>
          <w:sz w:val="20"/>
        </w:rPr>
        <w:t xml:space="preserve">závislým </w:t>
      </w:r>
      <w:r w:rsidR="002F175F" w:rsidRPr="00C24253">
        <w:rPr>
          <w:sz w:val="20"/>
        </w:rPr>
        <w:t>dítětem výrazně nejvyšší ze všech rodin s</w:t>
      </w:r>
      <w:r w:rsidR="00825D11">
        <w:rPr>
          <w:sz w:val="20"/>
        </w:rPr>
        <w:t>e závislými</w:t>
      </w:r>
      <w:r w:rsidR="002F175F" w:rsidRPr="00C24253">
        <w:rPr>
          <w:sz w:val="20"/>
        </w:rPr>
        <w:t> dětmi, i tato jejich úroveň je podprůměrná.</w:t>
      </w:r>
    </w:p>
    <w:p w:rsidR="00616966" w:rsidRPr="00C24253" w:rsidRDefault="00616966" w:rsidP="005662A0">
      <w:pPr>
        <w:spacing w:after="120"/>
        <w:rPr>
          <w:sz w:val="20"/>
        </w:rPr>
      </w:pPr>
      <w:r w:rsidRPr="00C24253">
        <w:rPr>
          <w:sz w:val="20"/>
        </w:rPr>
        <w:t>Výše uvedené relace se proti předchozím sčítáním příliš nezměnily, což svědčí o pokračující „stabilitě“ by</w:t>
      </w:r>
      <w:r w:rsidRPr="00C24253">
        <w:rPr>
          <w:sz w:val="20"/>
        </w:rPr>
        <w:t>d</w:t>
      </w:r>
      <w:r w:rsidRPr="00C24253">
        <w:rPr>
          <w:sz w:val="20"/>
        </w:rPr>
        <w:t>lení našich domácností a rodin. Jakmile rodina získá svůj byt, často si jej ponechává bez ohledu na jednotl</w:t>
      </w:r>
      <w:r w:rsidRPr="00C24253">
        <w:rPr>
          <w:sz w:val="20"/>
        </w:rPr>
        <w:t>i</w:t>
      </w:r>
      <w:r w:rsidRPr="00C24253">
        <w:rPr>
          <w:sz w:val="20"/>
        </w:rPr>
        <w:t>vé fáze vývoje rodiny (tedy i tehdy, jestliže z domácnosti odešly dospělé děti nebo i v případě, že v bytě z</w:t>
      </w:r>
      <w:r w:rsidRPr="00C24253">
        <w:rPr>
          <w:sz w:val="20"/>
        </w:rPr>
        <w:t>ů</w:t>
      </w:r>
      <w:r w:rsidRPr="00C24253">
        <w:rPr>
          <w:sz w:val="20"/>
        </w:rPr>
        <w:t xml:space="preserve">stal pouze jednotlivec jako poslední člen původní rodiny). </w:t>
      </w:r>
    </w:p>
    <w:p w:rsidR="00616966" w:rsidRPr="00C24253" w:rsidRDefault="00616966" w:rsidP="005662A0">
      <w:pPr>
        <w:spacing w:after="360"/>
        <w:rPr>
          <w:sz w:val="20"/>
        </w:rPr>
      </w:pPr>
      <w:r w:rsidRPr="00C24253">
        <w:rPr>
          <w:sz w:val="20"/>
        </w:rPr>
        <w:t xml:space="preserve">V úrovni bydlení samostatně a společně bydlících domácností byly poměrně značné rozdíly. </w:t>
      </w:r>
      <w:r w:rsidRPr="00C24253">
        <w:rPr>
          <w:rFonts w:cs="Arial"/>
          <w:sz w:val="20"/>
          <w:szCs w:val="20"/>
        </w:rPr>
        <w:t>Zatímco ve více než polovině bytů se samostatně bydlící domácností přesah</w:t>
      </w:r>
      <w:r w:rsidR="00300889" w:rsidRPr="00C24253">
        <w:rPr>
          <w:rFonts w:cs="Arial"/>
          <w:sz w:val="20"/>
          <w:szCs w:val="20"/>
        </w:rPr>
        <w:t>ovala</w:t>
      </w:r>
      <w:r w:rsidRPr="00C24253">
        <w:rPr>
          <w:rFonts w:cs="Arial"/>
          <w:sz w:val="20"/>
          <w:szCs w:val="20"/>
        </w:rPr>
        <w:t xml:space="preserve"> obytná plocha na osobu 25 m</w:t>
      </w:r>
      <w:r w:rsidRPr="00C24253">
        <w:rPr>
          <w:rFonts w:cs="Arial"/>
          <w:sz w:val="20"/>
          <w:szCs w:val="20"/>
          <w:vertAlign w:val="superscript"/>
        </w:rPr>
        <w:t>2</w:t>
      </w:r>
      <w:r w:rsidRPr="00C24253">
        <w:rPr>
          <w:rFonts w:cs="Arial"/>
          <w:sz w:val="20"/>
          <w:szCs w:val="20"/>
        </w:rPr>
        <w:t>, v bytech se společně bydlícími domácnostmi téměř ve třech čtvrtinách bytů připad</w:t>
      </w:r>
      <w:r w:rsidR="00300889" w:rsidRPr="00C24253">
        <w:rPr>
          <w:rFonts w:cs="Arial"/>
          <w:sz w:val="20"/>
          <w:szCs w:val="20"/>
        </w:rPr>
        <w:t>alo</w:t>
      </w:r>
      <w:r w:rsidR="00231F90">
        <w:rPr>
          <w:rFonts w:cs="Arial"/>
          <w:sz w:val="20"/>
          <w:szCs w:val="20"/>
        </w:rPr>
        <w:t xml:space="preserve"> na jednu osobu méně než 25 </w:t>
      </w:r>
      <w:r w:rsidRPr="00C24253">
        <w:rPr>
          <w:rFonts w:cs="Arial"/>
          <w:sz w:val="20"/>
          <w:szCs w:val="20"/>
        </w:rPr>
        <w:t>m</w:t>
      </w:r>
      <w:r w:rsidRPr="00C24253">
        <w:rPr>
          <w:rFonts w:cs="Arial"/>
          <w:sz w:val="20"/>
          <w:szCs w:val="20"/>
          <w:vertAlign w:val="superscript"/>
        </w:rPr>
        <w:t>2</w:t>
      </w:r>
      <w:r w:rsidRPr="00C24253">
        <w:rPr>
          <w:rFonts w:cs="Arial"/>
          <w:sz w:val="20"/>
          <w:szCs w:val="20"/>
        </w:rPr>
        <w:t xml:space="preserve"> a v každém šestém bytě se společně bydlícími domácnostmi </w:t>
      </w:r>
      <w:r w:rsidR="00300889" w:rsidRPr="00C24253">
        <w:rPr>
          <w:rFonts w:cs="Arial"/>
          <w:sz w:val="20"/>
          <w:szCs w:val="20"/>
        </w:rPr>
        <w:t>byla</w:t>
      </w:r>
      <w:r w:rsidRPr="00C24253">
        <w:rPr>
          <w:rFonts w:cs="Arial"/>
          <w:sz w:val="20"/>
          <w:szCs w:val="20"/>
        </w:rPr>
        <w:t xml:space="preserve"> obytná plocha na osobu menší než 10</w:t>
      </w:r>
      <w:r w:rsidR="00300889"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m</w:t>
      </w:r>
      <w:r w:rsidRPr="00C24253">
        <w:rPr>
          <w:rFonts w:cs="Arial"/>
          <w:sz w:val="20"/>
          <w:szCs w:val="20"/>
          <w:vertAlign w:val="superscript"/>
        </w:rPr>
        <w:t>2</w:t>
      </w:r>
      <w:r w:rsidRPr="00C24253">
        <w:rPr>
          <w:rFonts w:cs="Arial"/>
          <w:sz w:val="20"/>
          <w:szCs w:val="20"/>
        </w:rPr>
        <w:t>.</w:t>
      </w:r>
    </w:p>
    <w:p w:rsidR="00616966" w:rsidRPr="00C24253" w:rsidRDefault="00616966" w:rsidP="00B05B62">
      <w:pPr>
        <w:pStyle w:val="Nadpis3"/>
      </w:pPr>
      <w:bookmarkStart w:id="6" w:name="_Toc371588190"/>
      <w:r w:rsidRPr="00C24253">
        <w:t>Územní rozdíly bytového fondu</w:t>
      </w:r>
      <w:bookmarkEnd w:id="6"/>
    </w:p>
    <w:p w:rsidR="00616966" w:rsidRPr="00C24253" w:rsidRDefault="00616966" w:rsidP="00C2420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Rozmístění bytů velmi úzce souvisí s územním rozložením obyvatelstva. N</w:t>
      </w:r>
      <w:r w:rsidR="00231F90">
        <w:rPr>
          <w:rFonts w:cs="Arial"/>
          <w:sz w:val="20"/>
          <w:szCs w:val="20"/>
        </w:rPr>
        <w:t>ejrozsáhlejší bytový fond byl v </w:t>
      </w:r>
      <w:r w:rsidRPr="00C24253">
        <w:rPr>
          <w:rFonts w:cs="Arial"/>
          <w:sz w:val="20"/>
          <w:szCs w:val="20"/>
        </w:rPr>
        <w:t xml:space="preserve">roce 2011 v hl. m. Praze (12,4 % všech bytů) a ve Středočeském kraji (12,2 %), které jsou ze všech krajů nejvíce zalidněny. Středočeský kraj díky masivní bytové výstavbě koncentrované zejména do okolí Prahy zaznamenal vůbec nejvyšší relativní přírůstek počtu bytů (16,9 %) ze všech krajů, zatímco Moravskoslezský kraj naopak nejnižší (4,7 %). </w:t>
      </w:r>
      <w:r w:rsidRPr="00C24253">
        <w:rPr>
          <w:rFonts w:cs="Arial"/>
          <w:b/>
          <w:sz w:val="20"/>
          <w:szCs w:val="20"/>
        </w:rPr>
        <w:t>Bytový fond se mezi roky 2001 a 2011 při</w:t>
      </w:r>
      <w:r w:rsidR="00231F90">
        <w:rPr>
          <w:rFonts w:cs="Arial"/>
          <w:b/>
          <w:sz w:val="20"/>
          <w:szCs w:val="20"/>
        </w:rPr>
        <w:t xml:space="preserve"> celorepublikovém nárůstu o 8,9 </w:t>
      </w:r>
      <w:r w:rsidRPr="00C24253">
        <w:rPr>
          <w:rFonts w:cs="Arial"/>
          <w:b/>
          <w:sz w:val="20"/>
          <w:szCs w:val="20"/>
        </w:rPr>
        <w:t>% rozšířil ve všech krajích.</w:t>
      </w:r>
      <w:r w:rsidRPr="00C24253">
        <w:rPr>
          <w:rFonts w:cs="Arial"/>
          <w:sz w:val="20"/>
          <w:szCs w:val="20"/>
        </w:rPr>
        <w:t xml:space="preserve"> </w:t>
      </w:r>
    </w:p>
    <w:p w:rsidR="00DB7DD0" w:rsidRPr="00C24253" w:rsidRDefault="00616966" w:rsidP="005F01B4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 hlediska obydlenosti bytového fondu zaujímaly přední pozice hl. m. Praha (92,2 % obydlených bytů z celkového bytového fondu v kraji) a Moravskoslezský kraj (90,2 %), nejnižší hodnoty měly Jihočeský kraj (80,2 %) a Kraj Vysočina (81,8 %). I nadále platilo, že podíl neobydlených bytů </w:t>
      </w:r>
      <w:r w:rsidR="00300889" w:rsidRPr="00C24253">
        <w:rPr>
          <w:rFonts w:cs="Arial"/>
          <w:sz w:val="20"/>
          <w:szCs w:val="20"/>
        </w:rPr>
        <w:t>byl</w:t>
      </w:r>
      <w:r w:rsidRPr="00C24253">
        <w:rPr>
          <w:rFonts w:cs="Arial"/>
          <w:sz w:val="20"/>
          <w:szCs w:val="20"/>
        </w:rPr>
        <w:t xml:space="preserve"> nejvyšší v regionech s převažujícím venkovským charakterem osídlení a významným rekreačn</w:t>
      </w:r>
      <w:r w:rsidR="00231F90">
        <w:rPr>
          <w:rFonts w:cs="Arial"/>
          <w:sz w:val="20"/>
          <w:szCs w:val="20"/>
        </w:rPr>
        <w:t>ím potenciálem, což dokládají i </w:t>
      </w:r>
      <w:r w:rsidRPr="00C24253">
        <w:rPr>
          <w:rFonts w:cs="Arial"/>
          <w:sz w:val="20"/>
          <w:szCs w:val="20"/>
        </w:rPr>
        <w:t xml:space="preserve">důvody neobydlenosti. </w:t>
      </w:r>
    </w:p>
    <w:p w:rsidR="00616966" w:rsidRDefault="00616966" w:rsidP="00434D35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Využití neobydlených bytů k rekreaci představovalo nejčastější důvod neobydlenosti v krajích Jihočeském (46,5 %), Vysočina (46,9 %) a Libereckém (48,5 %), ve kterých se týkalo téměř poloviny bytů se zjištěným důvodem neobydlenosti. U všech ostatních krajů převažoval tzv. jiný důvod s nejvyššími hodnotami v hl. m. Praze (79,6 %) a Karlovarském kraji (67,6 %). Absolutně se nejvíce neobydlených bytů nacházelo ve Stř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dočeském kraji (téměř 100 tisíc), kde byl zjištěn i největší počet bytů sloužících k rekreaci (téměř 33 tisíc). K vůbec nejvyššímu nárůstu </w:t>
      </w:r>
      <w:r w:rsidR="00300889" w:rsidRPr="00C24253">
        <w:rPr>
          <w:rFonts w:cs="Arial"/>
          <w:sz w:val="20"/>
          <w:szCs w:val="20"/>
        </w:rPr>
        <w:t xml:space="preserve">neobydlených bytů oproti předchozímu sčítání </w:t>
      </w:r>
      <w:r w:rsidR="00231F90">
        <w:rPr>
          <w:rFonts w:cs="Arial"/>
          <w:sz w:val="20"/>
          <w:szCs w:val="20"/>
        </w:rPr>
        <w:t>došlo v Karlovarském kraji (o </w:t>
      </w:r>
      <w:r w:rsidRPr="00C24253">
        <w:rPr>
          <w:rFonts w:cs="Arial"/>
          <w:sz w:val="20"/>
          <w:szCs w:val="20"/>
        </w:rPr>
        <w:t>63,9 %), naproti tomu jediný kraj, který zaznamenal úbytek neobydlených bytů, byla Praha (- 15,9 %).</w:t>
      </w:r>
    </w:p>
    <w:p w:rsidR="00462422" w:rsidRDefault="00183E9F" w:rsidP="00462422">
      <w:pPr>
        <w:spacing w:after="12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PD\\BYTY02_Obydlené byty podle druhu domu_kraje ČR.xlsx!List1![BYTY02_Obydlené byty podle druhu domu_kraje ČR.xlsx]List1 Graf 1" "" \a \p </w:instrText>
      </w:r>
      <w:r w:rsidRPr="00E946DF">
        <w:rPr>
          <w:rFonts w:cs="Arial"/>
          <w:sz w:val="20"/>
          <w:szCs w:val="20"/>
        </w:rPr>
        <w:fldChar w:fldCharType="separate"/>
      </w:r>
      <w:r w:rsidR="00FA739F" w:rsidRPr="00183E9F">
        <w:rPr>
          <w:rFonts w:cs="Arial"/>
          <w:sz w:val="20"/>
          <w:szCs w:val="20"/>
        </w:rPr>
        <w:object w:dxaOrig="7950" w:dyaOrig="4830">
          <v:shape id="_x0000_i1028" type="#_x0000_t75" style="width:397.5pt;height:241.5pt">
            <v:imagedata r:id="rId11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2F086B" w:rsidRPr="00C24253" w:rsidRDefault="00C24208" w:rsidP="00462422">
      <w:pPr>
        <w:spacing w:before="24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Územní rozložení obydlených bytů</w:t>
      </w:r>
      <w:r w:rsidRPr="00C24253">
        <w:rPr>
          <w:rFonts w:cs="Arial"/>
          <w:sz w:val="20"/>
          <w:szCs w:val="20"/>
        </w:rPr>
        <w:t xml:space="preserve"> podle druhu domu je primárně ovlivněno strukturou domovního fondu, kterou významně determinuje charakter osídlení a míra urbanizace</w:t>
      </w:r>
      <w:r w:rsidR="002F086B" w:rsidRPr="00C24253">
        <w:rPr>
          <w:rFonts w:cs="Arial"/>
          <w:sz w:val="20"/>
          <w:szCs w:val="20"/>
        </w:rPr>
        <w:t>:</w:t>
      </w:r>
    </w:p>
    <w:p w:rsidR="002F086B" w:rsidRPr="00C24253" w:rsidRDefault="002F086B" w:rsidP="002F086B">
      <w:pPr>
        <w:pStyle w:val="odrkybezmezer"/>
        <w:spacing w:after="120"/>
      </w:pPr>
      <w:r w:rsidRPr="00C24253">
        <w:t>N</w:t>
      </w:r>
      <w:r w:rsidR="00C24208" w:rsidRPr="00C24253">
        <w:t xml:space="preserve">ejvyšší podíly obydlených bytů v bytových domech </w:t>
      </w:r>
      <w:r w:rsidRPr="00C24253">
        <w:t xml:space="preserve">byly </w:t>
      </w:r>
      <w:r w:rsidR="00C24208" w:rsidRPr="00C24253">
        <w:t>v hl. m. Praze (85,7 %) a ve vysoce urbaniz</w:t>
      </w:r>
      <w:r w:rsidR="00C24208" w:rsidRPr="00C24253">
        <w:t>o</w:t>
      </w:r>
      <w:r w:rsidR="00C24208" w:rsidRPr="00C24253">
        <w:t xml:space="preserve">vaném Karlovarském (70,3 %) a Ústeckém kraji (66,7 %). </w:t>
      </w:r>
    </w:p>
    <w:p w:rsidR="002F086B" w:rsidRPr="00C24253" w:rsidRDefault="00C24208" w:rsidP="002F086B">
      <w:pPr>
        <w:pStyle w:val="odrkybezmezer"/>
        <w:spacing w:after="120"/>
        <w:rPr>
          <w:rFonts w:cs="Arial"/>
        </w:rPr>
      </w:pPr>
      <w:r w:rsidRPr="00C24253">
        <w:lastRenderedPageBreak/>
        <w:t xml:space="preserve">Naopak </w:t>
      </w:r>
      <w:r w:rsidRPr="00C24253">
        <w:rPr>
          <w:b/>
        </w:rPr>
        <w:t>nejvyšší zastoupení obydlených bytů v rodinných domech bylo v krajích s převládajícím venkovským typem zástavby</w:t>
      </w:r>
      <w:r w:rsidRPr="00C24253">
        <w:t xml:space="preserve"> – ve Středočeském (60,5 %) a v kraji Vysočina (59,8 %). </w:t>
      </w:r>
    </w:p>
    <w:p w:rsidR="002F086B" w:rsidRPr="00C24253" w:rsidRDefault="00616966" w:rsidP="002F086B">
      <w:pPr>
        <w:pStyle w:val="odrkybezmezer"/>
        <w:spacing w:after="120"/>
        <w:rPr>
          <w:rFonts w:cs="Arial"/>
        </w:rPr>
      </w:pPr>
      <w:r w:rsidRPr="00C24253">
        <w:rPr>
          <w:rFonts w:cs="Arial"/>
        </w:rPr>
        <w:t xml:space="preserve">Nejvyšší zastoupení nejstaršího bytového fondu </w:t>
      </w:r>
      <w:r w:rsidR="00300889" w:rsidRPr="00C24253">
        <w:rPr>
          <w:rFonts w:cs="Arial"/>
        </w:rPr>
        <w:t xml:space="preserve">postaveného před rokem 1946 </w:t>
      </w:r>
      <w:r w:rsidRPr="00C24253">
        <w:rPr>
          <w:rFonts w:cs="Arial"/>
        </w:rPr>
        <w:t>mělo hl. m. Praha a L</w:t>
      </w:r>
      <w:r w:rsidRPr="00C24253">
        <w:rPr>
          <w:rFonts w:cs="Arial"/>
        </w:rPr>
        <w:t>i</w:t>
      </w:r>
      <w:r w:rsidRPr="00C24253">
        <w:rPr>
          <w:rFonts w:cs="Arial"/>
        </w:rPr>
        <w:t xml:space="preserve">berecký kraj. </w:t>
      </w:r>
    </w:p>
    <w:p w:rsidR="002F086B" w:rsidRPr="00C24253" w:rsidRDefault="00616966" w:rsidP="002F086B">
      <w:pPr>
        <w:pStyle w:val="odrkybezmezer"/>
        <w:spacing w:after="120"/>
        <w:rPr>
          <w:rFonts w:cs="Arial"/>
        </w:rPr>
      </w:pPr>
      <w:r w:rsidRPr="00C24253">
        <w:rPr>
          <w:rFonts w:cs="Arial"/>
        </w:rPr>
        <w:t>V posledním desetiletí bylo absolutně</w:t>
      </w:r>
      <w:r w:rsidRPr="00C24253">
        <w:rPr>
          <w:rFonts w:cs="Arial"/>
          <w:b/>
        </w:rPr>
        <w:t xml:space="preserve"> nejvíce bytů postaveno nebo zásadně zrekonstruováno ve Středočeském kraji</w:t>
      </w:r>
      <w:r w:rsidRPr="00C24253">
        <w:rPr>
          <w:rFonts w:cs="Arial"/>
        </w:rPr>
        <w:t xml:space="preserve"> (přes 69 tisíc), což odpovídá přibližně každému sedmému obydlenému bytu v kraji. </w:t>
      </w:r>
    </w:p>
    <w:p w:rsidR="002F086B" w:rsidRPr="00C24253" w:rsidRDefault="00616966" w:rsidP="002F086B">
      <w:pPr>
        <w:pStyle w:val="odrkybezmezer"/>
        <w:spacing w:after="120"/>
        <w:rPr>
          <w:rFonts w:cs="Arial"/>
        </w:rPr>
      </w:pPr>
      <w:r w:rsidRPr="00C24253">
        <w:rPr>
          <w:rFonts w:cs="Arial"/>
        </w:rPr>
        <w:t xml:space="preserve">Naproti tomu </w:t>
      </w:r>
      <w:r w:rsidRPr="00C24253">
        <w:rPr>
          <w:rFonts w:cs="Arial"/>
          <w:b/>
        </w:rPr>
        <w:t>nejméně intenzivní bytová výstavba byla zaznamenána v Ústeckém a Moravskosle</w:t>
      </w:r>
      <w:r w:rsidRPr="00C24253">
        <w:rPr>
          <w:rFonts w:cs="Arial"/>
          <w:b/>
        </w:rPr>
        <w:t>z</w:t>
      </w:r>
      <w:r w:rsidRPr="00C24253">
        <w:rPr>
          <w:rFonts w:cs="Arial"/>
          <w:b/>
        </w:rPr>
        <w:t>ském kraji</w:t>
      </w:r>
      <w:r w:rsidRPr="00C24253">
        <w:rPr>
          <w:rFonts w:cs="Arial"/>
        </w:rPr>
        <w:t>, kde podíl obydlených bytů postavených či modernizovaných v posledním desetiletí předst</w:t>
      </w:r>
      <w:r w:rsidRPr="00C24253">
        <w:rPr>
          <w:rFonts w:cs="Arial"/>
        </w:rPr>
        <w:t>a</w:t>
      </w:r>
      <w:r w:rsidRPr="00C24253">
        <w:rPr>
          <w:rFonts w:cs="Arial"/>
        </w:rPr>
        <w:t xml:space="preserve">voval pouze 5,4 %, resp. 6,4 % tamního bytového fondu. </w:t>
      </w:r>
    </w:p>
    <w:p w:rsidR="00616966" w:rsidRDefault="00616966" w:rsidP="005F01B4">
      <w:pPr>
        <w:pStyle w:val="odrkybezmezer"/>
        <w:rPr>
          <w:rFonts w:cs="Arial"/>
        </w:rPr>
      </w:pPr>
      <w:r w:rsidRPr="00C24253">
        <w:rPr>
          <w:rFonts w:cs="Arial"/>
        </w:rPr>
        <w:t>Průměrné stáří obydlených bytů mělo nejvyšší hodnoty v Karlovarském kraji (51,8 let) a hl. m. Praze (51,6 let), naopak nejnižší měl kraj Zlínský (41,5 let) a kraj Vysočina (42,6 let).</w:t>
      </w:r>
    </w:p>
    <w:p w:rsidR="00FF33EB" w:rsidRDefault="00FA739F" w:rsidP="009909ED">
      <w:pPr>
        <w:pStyle w:val="odrkybezmezer"/>
        <w:numPr>
          <w:ilvl w:val="0"/>
          <w:numId w:val="0"/>
        </w:numPr>
        <w:jc w:val="center"/>
        <w:rPr>
          <w:rFonts w:cs="Arial"/>
        </w:rPr>
      </w:pPr>
      <w:r>
        <w:fldChar w:fldCharType="begin"/>
      </w:r>
      <w:r>
        <w:instrText xml:space="preserve"> LINK Excel.Sheet.8 "D:\\RŮŽKOVÁ\\ALLSČÍTÁNÍ LIDU - VŠE O sl\\PRAMENNÉ dílo\\A KOMPLETACE PD\\BYTY 03_Prum_obytna_plocha_byt_kraje_CR.xls!Graf![BYTY 03_Prum_obytna_plocha_byt_kraje_CR.xls]Graf Graf 2" "" \a \p  \* MERGEFORMAT </w:instrText>
      </w:r>
      <w:r>
        <w:fldChar w:fldCharType="separate"/>
      </w:r>
      <w:r>
        <w:object w:dxaOrig="7950" w:dyaOrig="7785">
          <v:shape id="_x0000_i1031" type="#_x0000_t75" style="width:397.5pt;height:389.25pt">
            <v:imagedata r:id="rId12" o:title=""/>
          </v:shape>
        </w:object>
      </w:r>
      <w:r>
        <w:fldChar w:fldCharType="end"/>
      </w:r>
    </w:p>
    <w:p w:rsidR="00616966" w:rsidRPr="00C24253" w:rsidRDefault="00616966" w:rsidP="00FF33EB">
      <w:pPr>
        <w:pStyle w:val="odrkybezmezer"/>
        <w:numPr>
          <w:ilvl w:val="0"/>
          <w:numId w:val="0"/>
        </w:numPr>
        <w:spacing w:after="120"/>
        <w:rPr>
          <w:rFonts w:cs="Arial"/>
        </w:rPr>
      </w:pPr>
      <w:r w:rsidRPr="00C24253">
        <w:rPr>
          <w:rFonts w:cs="Arial"/>
          <w:b/>
        </w:rPr>
        <w:t>Průměrná obytná plocha na 1 obydlený byt</w:t>
      </w:r>
      <w:r w:rsidRPr="00C24253">
        <w:rPr>
          <w:rFonts w:cs="Arial"/>
        </w:rPr>
        <w:t xml:space="preserve"> byla nejnižší v hl. m. Praze, a to i přesto, že zde byty v rodinných domech </w:t>
      </w:r>
      <w:r w:rsidR="00300889" w:rsidRPr="00C24253">
        <w:rPr>
          <w:rFonts w:cs="Arial"/>
        </w:rPr>
        <w:t xml:space="preserve">měly </w:t>
      </w:r>
      <w:r w:rsidRPr="00C24253">
        <w:rPr>
          <w:rFonts w:cs="Arial"/>
        </w:rPr>
        <w:t>nejvyšší průměrnou obytnou plochu v rámci republiky (87,8 m</w:t>
      </w:r>
      <w:r w:rsidRPr="00C24253">
        <w:rPr>
          <w:rFonts w:cs="Arial"/>
          <w:vertAlign w:val="superscript"/>
        </w:rPr>
        <w:t>2</w:t>
      </w:r>
      <w:r w:rsidRPr="00C24253">
        <w:rPr>
          <w:rFonts w:cs="Arial"/>
        </w:rPr>
        <w:t xml:space="preserve">). </w:t>
      </w:r>
      <w:r w:rsidR="00300889" w:rsidRPr="00C24253">
        <w:rPr>
          <w:rFonts w:cs="Arial"/>
        </w:rPr>
        <w:t>Bylo</w:t>
      </w:r>
      <w:r w:rsidRPr="00C24253">
        <w:rPr>
          <w:rFonts w:cs="Arial"/>
        </w:rPr>
        <w:t xml:space="preserve"> to způsob</w:t>
      </w:r>
      <w:r w:rsidRPr="00C24253">
        <w:rPr>
          <w:rFonts w:cs="Arial"/>
        </w:rPr>
        <w:t>e</w:t>
      </w:r>
      <w:r w:rsidRPr="00C24253">
        <w:rPr>
          <w:rFonts w:cs="Arial"/>
        </w:rPr>
        <w:t>no nejvyšším zastoupením bytů v bytových domech, které mají obytnou plochu podstatně nižší. Podprůmě</w:t>
      </w:r>
      <w:r w:rsidRPr="00C24253">
        <w:rPr>
          <w:rFonts w:cs="Arial"/>
        </w:rPr>
        <w:t>r</w:t>
      </w:r>
      <w:r w:rsidRPr="00C24253">
        <w:rPr>
          <w:rFonts w:cs="Arial"/>
        </w:rPr>
        <w:t xml:space="preserve">né hodnoty byly </w:t>
      </w:r>
      <w:r w:rsidR="00300889" w:rsidRPr="00C24253">
        <w:rPr>
          <w:rFonts w:cs="Arial"/>
        </w:rPr>
        <w:t>zjištěny</w:t>
      </w:r>
      <w:r w:rsidRPr="00C24253">
        <w:rPr>
          <w:rFonts w:cs="Arial"/>
        </w:rPr>
        <w:t xml:space="preserve"> </w:t>
      </w:r>
      <w:r w:rsidR="00300889" w:rsidRPr="00C24253">
        <w:rPr>
          <w:rFonts w:cs="Arial"/>
        </w:rPr>
        <w:t xml:space="preserve">i </w:t>
      </w:r>
      <w:r w:rsidRPr="00C24253">
        <w:rPr>
          <w:rFonts w:cs="Arial"/>
        </w:rPr>
        <w:t>v dalších krajích s výraznou převahou obydlených bytů v bytových domech</w:t>
      </w:r>
      <w:r w:rsidR="00300889" w:rsidRPr="00C24253">
        <w:rPr>
          <w:rFonts w:cs="Arial"/>
        </w:rPr>
        <w:t>.</w:t>
      </w:r>
      <w:r w:rsidRPr="00C24253">
        <w:rPr>
          <w:rFonts w:cs="Arial"/>
        </w:rPr>
        <w:t xml:space="preserve"> Ne</w:t>
      </w:r>
      <w:r w:rsidRPr="00C24253">
        <w:rPr>
          <w:rFonts w:cs="Arial"/>
        </w:rPr>
        <w:t>j</w:t>
      </w:r>
      <w:r w:rsidRPr="00C24253">
        <w:rPr>
          <w:rFonts w:cs="Arial"/>
        </w:rPr>
        <w:t xml:space="preserve">vyšší průměrnou obytnou plochou zaznamenaly obydlené byty ve Středočeském kraji </w:t>
      </w:r>
      <w:r w:rsidR="00300889" w:rsidRPr="00C24253">
        <w:rPr>
          <w:rFonts w:cs="Arial"/>
        </w:rPr>
        <w:t>(72,1 m</w:t>
      </w:r>
      <w:r w:rsidR="00300889" w:rsidRPr="00C24253">
        <w:rPr>
          <w:rFonts w:cs="Arial"/>
          <w:vertAlign w:val="superscript"/>
        </w:rPr>
        <w:t>2</w:t>
      </w:r>
      <w:r w:rsidR="00300889" w:rsidRPr="00C24253">
        <w:rPr>
          <w:rFonts w:cs="Arial"/>
        </w:rPr>
        <w:t>).</w:t>
      </w:r>
    </w:p>
    <w:p w:rsidR="00DB7DD0" w:rsidRPr="00C24253" w:rsidRDefault="00616966" w:rsidP="00070EC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Značné regionální disproporce </w:t>
      </w:r>
      <w:r w:rsidR="00300889" w:rsidRPr="00C24253">
        <w:rPr>
          <w:rFonts w:cs="Arial"/>
          <w:sz w:val="20"/>
          <w:szCs w:val="20"/>
        </w:rPr>
        <w:t>se vyskytovaly</w:t>
      </w:r>
      <w:r w:rsidRPr="00C24253">
        <w:rPr>
          <w:rFonts w:cs="Arial"/>
          <w:sz w:val="20"/>
          <w:szCs w:val="20"/>
        </w:rPr>
        <w:t xml:space="preserve"> ve </w:t>
      </w:r>
      <w:r w:rsidRPr="00C24253">
        <w:rPr>
          <w:rFonts w:cs="Arial"/>
          <w:b/>
          <w:sz w:val="20"/>
          <w:szCs w:val="20"/>
        </w:rPr>
        <w:t>struktuře obydlených bytů podle právního důvodu už</w:t>
      </w:r>
      <w:r w:rsidRPr="00C24253">
        <w:rPr>
          <w:rFonts w:cs="Arial"/>
          <w:b/>
          <w:sz w:val="20"/>
          <w:szCs w:val="20"/>
        </w:rPr>
        <w:t>í</w:t>
      </w:r>
      <w:r w:rsidRPr="00C24253">
        <w:rPr>
          <w:rFonts w:cs="Arial"/>
          <w:b/>
          <w:sz w:val="20"/>
          <w:szCs w:val="20"/>
        </w:rPr>
        <w:t xml:space="preserve">vání. </w:t>
      </w:r>
      <w:r w:rsidRPr="00C24253">
        <w:rPr>
          <w:rFonts w:cs="Arial"/>
          <w:sz w:val="20"/>
          <w:szCs w:val="20"/>
        </w:rPr>
        <w:t>Nejvyšší podíly bytů ve vlastním domě byly ve Středočeském kraji (54,2 % z celkového počtu obydl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ných bytů se zjištěným právním důvodem užívání) a kraji Vysočina (52,6 %), tedy v regionech s nejvýraznější převahou bytů v rodinných domech. </w:t>
      </w:r>
      <w:r w:rsidRPr="00C24253">
        <w:rPr>
          <w:rFonts w:cs="Arial"/>
          <w:b/>
          <w:sz w:val="20"/>
          <w:szCs w:val="20"/>
        </w:rPr>
        <w:t>S výjimkou dvou krajů</w:t>
      </w:r>
      <w:r w:rsidRPr="00C24253">
        <w:rPr>
          <w:rFonts w:cs="Arial"/>
          <w:sz w:val="20"/>
          <w:szCs w:val="20"/>
        </w:rPr>
        <w:t xml:space="preserve"> - hl. m. Prahy a Karlovarského kraje – </w:t>
      </w:r>
      <w:r w:rsidRPr="00C24253">
        <w:rPr>
          <w:rFonts w:cs="Arial"/>
          <w:b/>
          <w:sz w:val="20"/>
          <w:szCs w:val="20"/>
        </w:rPr>
        <w:t>bydlení ve vlastním domě představovalo nejčastější právní důvod užívání bytu i v ostatních krajích</w:t>
      </w:r>
      <w:r w:rsidRPr="00C24253">
        <w:rPr>
          <w:rFonts w:cs="Arial"/>
          <w:sz w:val="20"/>
          <w:szCs w:val="20"/>
        </w:rPr>
        <w:t xml:space="preserve">. </w:t>
      </w:r>
    </w:p>
    <w:p w:rsidR="00616966" w:rsidRPr="00C24253" w:rsidRDefault="00616966" w:rsidP="00070EC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případě hl. m. Prahy byly nejvíce zastoupeny nájemní byty (38,4 %) a byty v osobním vlastnictví (32,3 %); u Karlovarského kraje dominovaly obě kategorie pouze v obráceném pořadí (39,1 % bytů v osobním vlas</w:t>
      </w:r>
      <w:r w:rsidRPr="00C24253">
        <w:rPr>
          <w:rFonts w:cs="Arial"/>
          <w:sz w:val="20"/>
          <w:szCs w:val="20"/>
        </w:rPr>
        <w:t>t</w:t>
      </w:r>
      <w:r w:rsidRPr="00C24253">
        <w:rPr>
          <w:rFonts w:cs="Arial"/>
          <w:sz w:val="20"/>
          <w:szCs w:val="20"/>
        </w:rPr>
        <w:lastRenderedPageBreak/>
        <w:t>nictví a 27,5 % bytů nájemních). V Moravskoslezském kraji byl zjištěn v rámci všech krajů nejnižší podíl bytů v osobním vlastnictví (14,2 %) při současně nejvyšším zastoupení družstevních bytů (17,2 %).</w:t>
      </w:r>
    </w:p>
    <w:p w:rsidR="00DB7DD0" w:rsidRPr="00C24253" w:rsidRDefault="00300889" w:rsidP="00070EC3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U</w:t>
      </w:r>
      <w:r w:rsidR="00616966" w:rsidRPr="00C24253">
        <w:rPr>
          <w:rFonts w:cs="Arial"/>
          <w:sz w:val="20"/>
          <w:szCs w:val="20"/>
        </w:rPr>
        <w:t xml:space="preserve"> technické vybavenosti obydlených bytů </w:t>
      </w:r>
      <w:r w:rsidRPr="00C24253">
        <w:rPr>
          <w:rFonts w:cs="Arial"/>
          <w:sz w:val="20"/>
          <w:szCs w:val="20"/>
        </w:rPr>
        <w:t xml:space="preserve">byly </w:t>
      </w:r>
      <w:r w:rsidR="00616966" w:rsidRPr="00C24253">
        <w:rPr>
          <w:rFonts w:cs="Arial"/>
          <w:sz w:val="20"/>
          <w:szCs w:val="20"/>
        </w:rPr>
        <w:t xml:space="preserve">nejmenší rozdíly mezi kraji zaznamenány u vybavení bytů vodovodem, koupelnou či sprchovým koutem a splachovacím záchodem, které jsou u naprosté většiny bytů prakticky nepostradatelným standardem. </w:t>
      </w:r>
    </w:p>
    <w:p w:rsidR="00AB0B1B" w:rsidRPr="00C24253" w:rsidRDefault="00616966" w:rsidP="000E449D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Naopak největší regionální diference byly u připojení bytů na plyn a kanalizační síť, což je dáno zejména odlišnou mírou zavedení těchto sítí v obcích jednotlivých krajů. </w:t>
      </w:r>
    </w:p>
    <w:tbl>
      <w:tblPr>
        <w:tblW w:w="7320" w:type="dxa"/>
        <w:jc w:val="center"/>
        <w:tblCellMar>
          <w:left w:w="70" w:type="dxa"/>
          <w:right w:w="70" w:type="dxa"/>
        </w:tblCellMar>
        <w:tblLook w:val="04A0"/>
      </w:tblPr>
      <w:tblGrid>
        <w:gridCol w:w="1757"/>
        <w:gridCol w:w="1009"/>
        <w:gridCol w:w="1024"/>
        <w:gridCol w:w="1112"/>
        <w:gridCol w:w="1166"/>
        <w:gridCol w:w="1252"/>
      </w:tblGrid>
      <w:tr w:rsidR="00825D11" w:rsidRPr="00C24253" w:rsidTr="00825D11">
        <w:trPr>
          <w:trHeight w:val="283"/>
          <w:jc w:val="center"/>
        </w:trPr>
        <w:tc>
          <w:tcPr>
            <w:tcW w:w="7320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A80BEC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Technická vybavenost obydlených bytů v krajích ČR k 26. 3. 2011 v %</w:t>
            </w:r>
          </w:p>
        </w:tc>
      </w:tr>
      <w:tr w:rsidR="00825D11" w:rsidRPr="00C24253" w:rsidTr="00825D11">
        <w:trPr>
          <w:trHeight w:val="73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Kraj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Plyn zav</w:t>
            </w:r>
            <w:r w:rsidRPr="00C24253">
              <w:rPr>
                <w:rFonts w:cs="Arial"/>
                <w:sz w:val="16"/>
                <w:szCs w:val="16"/>
              </w:rPr>
              <w:t>e</w:t>
            </w:r>
            <w:r w:rsidRPr="00C24253">
              <w:rPr>
                <w:rFonts w:cs="Arial"/>
                <w:sz w:val="16"/>
                <w:szCs w:val="16"/>
              </w:rPr>
              <w:t>den do bytu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Vodovod v bytě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Přípoj na kanalizační síť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Splachovací záchod v bytě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5F01B4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Koupelna (sprchový kout) v bytě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95,6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99,1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F0C32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98,0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98,6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Plzeňský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68,7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98,0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98,2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Ústecký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98,0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Liberecký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94,2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96,3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72,0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97,4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Pardubický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96,7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98,0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98,4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Jihomoravský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98,4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98,3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Zlínský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78,0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98,3</w:t>
            </w:r>
          </w:p>
        </w:tc>
      </w:tr>
      <w:tr w:rsidR="00825D11" w:rsidRPr="00C24253" w:rsidTr="00825D11">
        <w:trPr>
          <w:trHeight w:val="283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Moravskoslezský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11" w:rsidRPr="00C24253" w:rsidRDefault="00825D11" w:rsidP="00E76164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98,8</w:t>
            </w:r>
          </w:p>
        </w:tc>
      </w:tr>
    </w:tbl>
    <w:p w:rsidR="00616966" w:rsidRPr="00C24253" w:rsidRDefault="00616966" w:rsidP="00434D35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Převládajícím způsobem vytápění obydlených bytů bylo ve všech krajích ústřední vytápění.</w:t>
      </w:r>
      <w:r w:rsidRPr="00C24253">
        <w:rPr>
          <w:rFonts w:cs="Arial"/>
          <w:sz w:val="20"/>
          <w:szCs w:val="20"/>
        </w:rPr>
        <w:t xml:space="preserve"> Nejvyšší zastoupení bytů s tímto způsobem vytápění měl Moravskoslezský kraj (90,3 % ze všech obydlených bytů se zjištěným způsobem vytápění) a Zlínský kraj (87,8 %). Nejméně byly ústřed</w:t>
      </w:r>
      <w:r w:rsidR="00B44D6C">
        <w:rPr>
          <w:rFonts w:cs="Arial"/>
          <w:sz w:val="20"/>
          <w:szCs w:val="20"/>
        </w:rPr>
        <w:t>ním topením vybaveny byty v H</w:t>
      </w:r>
      <w:r w:rsidR="00231F90">
        <w:rPr>
          <w:rFonts w:cs="Arial"/>
          <w:sz w:val="20"/>
          <w:szCs w:val="20"/>
        </w:rPr>
        <w:t>l. </w:t>
      </w:r>
      <w:r w:rsidRPr="00C24253">
        <w:rPr>
          <w:rFonts w:cs="Arial"/>
          <w:sz w:val="20"/>
          <w:szCs w:val="20"/>
        </w:rPr>
        <w:t>m. Praze (76,2 %) a v Královéhradeckém kraji (76,6 %).</w:t>
      </w:r>
    </w:p>
    <w:p w:rsidR="00135B2F" w:rsidRDefault="00616966" w:rsidP="00135B2F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Územní diference celkové kvality bytového fondu hodnocené prostřednictvím typu bytu</w:t>
      </w:r>
      <w:r w:rsidRPr="00C24253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b/>
          <w:sz w:val="20"/>
          <w:szCs w:val="20"/>
        </w:rPr>
        <w:t xml:space="preserve">nejsou na krajské úrovni nijak </w:t>
      </w:r>
      <w:r w:rsidR="00E72EB9" w:rsidRPr="00C24253">
        <w:rPr>
          <w:rFonts w:cs="Arial"/>
          <w:b/>
          <w:sz w:val="20"/>
          <w:szCs w:val="20"/>
        </w:rPr>
        <w:t>výrazné</w:t>
      </w:r>
      <w:r w:rsidRPr="00C24253">
        <w:rPr>
          <w:rFonts w:cs="Arial"/>
          <w:sz w:val="20"/>
          <w:szCs w:val="20"/>
        </w:rPr>
        <w:t xml:space="preserve">. Podíl standardních bytů se pohyboval v rozmezí od 92,5 % v Karlovarském kraji po 95,7 % v kraji Vysočina. </w:t>
      </w:r>
    </w:p>
    <w:p w:rsidR="00766F29" w:rsidRPr="00B05B62" w:rsidRDefault="00825D11" w:rsidP="00B05B62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Vybavenost bytových domácností osobním počítačem se v krajích pohybovala v intervalu 60 až 73 %. M</w:t>
      </w:r>
      <w:r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ximální hodnota byla v Praze, nejnižší podíly byly v krajích Karlovarském a Ústeckém.</w:t>
      </w:r>
    </w:p>
    <w:sectPr w:rsidR="00766F29" w:rsidRPr="00B05B62" w:rsidSect="00FC6FDC">
      <w:footerReference w:type="even" r:id="rId13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CD" w:rsidRDefault="00977ACD">
      <w:r>
        <w:separator/>
      </w:r>
    </w:p>
    <w:p w:rsidR="00977ACD" w:rsidRDefault="00977ACD"/>
  </w:endnote>
  <w:endnote w:type="continuationSeparator" w:id="0">
    <w:p w:rsidR="00977ACD" w:rsidRDefault="00977ACD">
      <w:r>
        <w:continuationSeparator/>
      </w:r>
    </w:p>
    <w:p w:rsidR="00977ACD" w:rsidRDefault="00977A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183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CD" w:rsidRDefault="00977ACD">
      <w:r>
        <w:separator/>
      </w:r>
    </w:p>
    <w:p w:rsidR="00977ACD" w:rsidRDefault="00977ACD"/>
  </w:footnote>
  <w:footnote w:type="continuationSeparator" w:id="0">
    <w:p w:rsidR="00977ACD" w:rsidRDefault="00977ACD">
      <w:r>
        <w:continuationSeparator/>
      </w:r>
    </w:p>
    <w:p w:rsidR="00977ACD" w:rsidRDefault="00977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8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BF27BD"/>
    <w:multiLevelType w:val="multilevel"/>
    <w:tmpl w:val="07E68252"/>
    <w:lvl w:ilvl="0">
      <w:start w:val="15"/>
      <w:numFmt w:val="decimal"/>
      <w:pStyle w:val="Dilonadpis1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1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8"/>
  </w:num>
  <w:num w:numId="18">
    <w:abstractNumId w:val="33"/>
  </w:num>
  <w:num w:numId="19">
    <w:abstractNumId w:val="35"/>
  </w:num>
  <w:num w:numId="20">
    <w:abstractNumId w:val="0"/>
  </w:num>
  <w:num w:numId="21">
    <w:abstractNumId w:val="27"/>
  </w:num>
  <w:num w:numId="22">
    <w:abstractNumId w:val="3"/>
  </w:num>
  <w:num w:numId="23">
    <w:abstractNumId w:val="24"/>
  </w:num>
  <w:num w:numId="24">
    <w:abstractNumId w:val="26"/>
  </w:num>
  <w:num w:numId="25">
    <w:abstractNumId w:val="10"/>
  </w:num>
  <w:num w:numId="26">
    <w:abstractNumId w:val="30"/>
  </w:num>
  <w:num w:numId="27">
    <w:abstractNumId w:val="15"/>
  </w:num>
  <w:num w:numId="28">
    <w:abstractNumId w:val="23"/>
  </w:num>
  <w:num w:numId="29">
    <w:abstractNumId w:val="21"/>
  </w:num>
  <w:num w:numId="30">
    <w:abstractNumId w:val="12"/>
  </w:num>
  <w:num w:numId="31">
    <w:abstractNumId w:val="4"/>
  </w:num>
  <w:num w:numId="32">
    <w:abstractNumId w:val="25"/>
  </w:num>
  <w:num w:numId="33">
    <w:abstractNumId w:val="30"/>
    <w:lvlOverride w:ilvl="0">
      <w:startOverride w:val="3"/>
    </w:lvlOverride>
    <w:lvlOverride w:ilvl="1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</w:num>
  <w:num w:numId="35">
    <w:abstractNumId w:val="30"/>
    <w:lvlOverride w:ilvl="0">
      <w:startOverride w:val="5"/>
    </w:lvlOverride>
    <w:lvlOverride w:ilvl="1">
      <w:startOverride w:val="1"/>
    </w:lvlOverride>
  </w:num>
  <w:num w:numId="36">
    <w:abstractNumId w:val="30"/>
    <w:lvlOverride w:ilvl="0">
      <w:startOverride w:val="6"/>
    </w:lvlOverride>
    <w:lvlOverride w:ilvl="1">
      <w:startOverride w:val="1"/>
    </w:lvlOverride>
  </w:num>
  <w:num w:numId="37">
    <w:abstractNumId w:val="30"/>
    <w:lvlOverride w:ilvl="0">
      <w:startOverride w:val="9"/>
    </w:lvlOverride>
    <w:lvlOverride w:ilvl="1">
      <w:startOverride w:val="1"/>
    </w:lvlOverride>
  </w:num>
  <w:num w:numId="38">
    <w:abstractNumId w:val="30"/>
    <w:lvlOverride w:ilvl="0">
      <w:startOverride w:val="13"/>
    </w:lvlOverride>
    <w:lvlOverride w:ilvl="1">
      <w:startOverride w:val="1"/>
    </w:lvlOverride>
  </w:num>
  <w:num w:numId="39">
    <w:abstractNumId w:val="30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29"/>
  </w:num>
  <w:num w:numId="42">
    <w:abstractNumId w:val="6"/>
  </w:num>
  <w:num w:numId="43">
    <w:abstractNumId w:val="30"/>
    <w:lvlOverride w:ilvl="0">
      <w:startOverride w:val="1"/>
    </w:lvlOverride>
    <w:lvlOverride w:ilvl="1">
      <w:startOverride w:val="1"/>
    </w:lvlOverride>
  </w:num>
  <w:num w:numId="44">
    <w:abstractNumId w:val="30"/>
    <w:lvlOverride w:ilvl="0">
      <w:startOverride w:val="10"/>
    </w:lvlOverride>
    <w:lvlOverride w:ilvl="1">
      <w:startOverride w:val="1"/>
    </w:lvlOverride>
  </w:num>
  <w:num w:numId="45">
    <w:abstractNumId w:val="30"/>
    <w:lvlOverride w:ilvl="0">
      <w:startOverride w:val="11"/>
    </w:lvlOverride>
    <w:lvlOverride w:ilvl="1">
      <w:startOverride w:val="1"/>
    </w:lvlOverride>
  </w:num>
  <w:num w:numId="46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3E9F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77ACD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5B62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B61B0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A739F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B05B62"/>
    <w:pPr>
      <w:numPr>
        <w:numId w:val="46"/>
      </w:numPr>
      <w:ind w:left="567" w:hanging="567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B05B62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B05B62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A70A-F435-461B-BAC6-6BF3291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7512</Words>
  <Characters>38722</Characters>
  <Application>Microsoft Office Word</Application>
  <DocSecurity>0</DocSecurity>
  <Lines>322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46142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4</cp:revision>
  <cp:lastPrinted>2013-11-12T07:39:00Z</cp:lastPrinted>
  <dcterms:created xsi:type="dcterms:W3CDTF">2013-11-14T09:34:00Z</dcterms:created>
  <dcterms:modified xsi:type="dcterms:W3CDTF">2013-11-18T11:50:00Z</dcterms:modified>
</cp:coreProperties>
</file>