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7C" w:rsidRPr="00C24253" w:rsidRDefault="00EE2C7C" w:rsidP="00B400F0">
      <w:pPr>
        <w:pStyle w:val="Dilonadpis1"/>
      </w:pPr>
      <w:bookmarkStart w:id="0" w:name="_Toc371588169"/>
      <w:r w:rsidRPr="00C24253">
        <w:t>EKONOMICKÁ AKTIVITA OBYVATEL</w:t>
      </w:r>
      <w:bookmarkEnd w:id="0"/>
    </w:p>
    <w:p w:rsidR="00A67766" w:rsidRPr="00C24253" w:rsidRDefault="00A67766" w:rsidP="007604F1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Ve druhé polovině 20. století průběžně rostl počet i podíl ekonomicky aktivního obyvatelstva, v 60. i 70. l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>tech o 6 – 8 %. Tento trend se téměř zastavil v 80. letech. V roce 1991 v porovnání s předchozím sčítáním počet ekonomicky aktivních v podstatě stagnoval (zvýšení pouze o 1 %), v následujících dvou dekádách klesl o necelých 7 %, přestože podíl osob ve věku 15 a více let na celkov</w:t>
      </w:r>
      <w:r w:rsidR="00BA621E">
        <w:rPr>
          <w:rFonts w:cs="Arial"/>
          <w:sz w:val="20"/>
          <w:szCs w:val="20"/>
        </w:rPr>
        <w:t>ém počtu obyvatel rostl. Údaj o </w:t>
      </w:r>
      <w:r w:rsidRPr="00C24253">
        <w:rPr>
          <w:rFonts w:cs="Arial"/>
          <w:sz w:val="20"/>
          <w:szCs w:val="20"/>
        </w:rPr>
        <w:t>celkovém počtu ekonomicky aktivních v roce 2011 je však ovlivněn do určité míry skutečností, že u 5,5 % obyvatel ekonomická aktivita nebyla zjištěna.</w:t>
      </w:r>
    </w:p>
    <w:p w:rsidR="00A67766" w:rsidRPr="00C24253" w:rsidRDefault="00A67766" w:rsidP="007604F1">
      <w:pPr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Ekonomicky neaktivní obyvatelstvo tvořili v roce 2011 téměř z poloviny (48 %) nepracující důchodci, jejichž počet v porovnání s rokem 2001 vzrostl o 3 %. Podíl žáků, studentů a učňů ve stejném období klesl o 6 pr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centních bodů na 30 %. </w:t>
      </w:r>
    </w:p>
    <w:p w:rsidR="00A67766" w:rsidRPr="00C24253" w:rsidRDefault="00A67766" w:rsidP="00B400F0">
      <w:pPr>
        <w:pStyle w:val="Nadpis3"/>
      </w:pPr>
      <w:bookmarkStart w:id="1" w:name="_Toc371588170"/>
      <w:r w:rsidRPr="006C5955">
        <w:t>Ekonomicky aktivní</w:t>
      </w:r>
      <w:bookmarkEnd w:id="1"/>
    </w:p>
    <w:p w:rsidR="00CC17F6" w:rsidRDefault="00DA6630" w:rsidP="00D5267A">
      <w:pPr>
        <w:spacing w:after="24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6" type="#_x0000_t75" style="position:absolute;left:0;text-align:left;margin-left:18.9pt;margin-top:99.25pt;width:222.05pt;height:312.75pt;z-index:1;mso-wrap-distance-bottom:11.35pt" wrapcoords="-73 52 -73 21496 21600 21496 21600 52 -73 52" o:allowoverlap="f">
            <v:imagedata r:id="rId8" o:title=""/>
            <w10:wrap type="topAndBottom"/>
          </v:shape>
        </w:pict>
      </w:r>
      <w:r>
        <w:rPr>
          <w:rFonts w:cs="Arial"/>
          <w:noProof/>
          <w:sz w:val="20"/>
          <w:szCs w:val="20"/>
        </w:rPr>
        <w:pict>
          <v:shape id="_x0000_s1543" type="#_x0000_t75" style="position:absolute;left:0;text-align:left;margin-left:252.45pt;margin-top:99.25pt;width:227.3pt;height:312.75pt;z-index:2;mso-wrap-distance-left:0" wrapcoords="-67 52 -67 21496 21600 21496 21600 52 -67 52">
            <v:imagedata r:id="rId9" o:title=""/>
            <w10:wrap type="tight"/>
          </v:shape>
        </w:pict>
      </w:r>
      <w:r w:rsidR="00A67766" w:rsidRPr="00C24253">
        <w:rPr>
          <w:rFonts w:cs="Arial"/>
          <w:sz w:val="20"/>
          <w:szCs w:val="20"/>
        </w:rPr>
        <w:t>Růst počtu ekonomicky aktivních osob až do 90. let byl zaznamenán u obou pohlaví, u žen však byl mn</w:t>
      </w:r>
      <w:r w:rsidR="00A67766" w:rsidRPr="00C24253">
        <w:rPr>
          <w:rFonts w:cs="Arial"/>
          <w:sz w:val="20"/>
          <w:szCs w:val="20"/>
        </w:rPr>
        <w:t>o</w:t>
      </w:r>
      <w:r w:rsidR="00A67766" w:rsidRPr="00C24253">
        <w:rPr>
          <w:rFonts w:cs="Arial"/>
          <w:sz w:val="20"/>
          <w:szCs w:val="20"/>
        </w:rPr>
        <w:t>hem intenzivnější. V roce 1950 se ženy podílely na počtu ekonomicky aktivních necelými 37 %, v 90. letech ženy tvořily téměř polovinu všech ekonomicky aktivních osob (47,6 %). V letech 1991 – 2001 došlo k poklesu celkového počtu ekonomicky aktivních o 168 tisíc osob díky výraznému snížení počtu ekonomicky aktivních žen, a to o 203 tisíc osob. Hlavní příčinou tohoto poklesu byla ale metodická změna přesunu žen na další mateřské dovolené (kolem 200 tis. osob) z ekonomicky aktivních me</w:t>
      </w:r>
      <w:r w:rsidR="00BA621E">
        <w:rPr>
          <w:rFonts w:cs="Arial"/>
          <w:sz w:val="20"/>
          <w:szCs w:val="20"/>
        </w:rPr>
        <w:t>zi neaktivní. K poklesu došlo i </w:t>
      </w:r>
      <w:r w:rsidR="00A67766" w:rsidRPr="00C24253">
        <w:rPr>
          <w:rFonts w:cs="Arial"/>
          <w:sz w:val="20"/>
          <w:szCs w:val="20"/>
        </w:rPr>
        <w:t xml:space="preserve">v další dekádě, celkem o 173 tisíc ekonomicky aktivních. </w:t>
      </w:r>
    </w:p>
    <w:p w:rsidR="00A67766" w:rsidRPr="00C24253" w:rsidRDefault="00A67766" w:rsidP="00CC17F6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Kromě toho ale byl zřejmý vliv i nepříznivé věkové struktury; podíl osob v poproduktivním věku se v roce 2011 přiblížil již k pětině z celkového </w:t>
      </w:r>
      <w:r w:rsidRPr="00CC17F6">
        <w:rPr>
          <w:rFonts w:cs="Arial"/>
          <w:sz w:val="20"/>
          <w:szCs w:val="20"/>
        </w:rPr>
        <w:t>počtu osob 15letých a starších.</w:t>
      </w:r>
    </w:p>
    <w:p w:rsidR="00EE0B09" w:rsidRPr="00C24253" w:rsidRDefault="00A67766" w:rsidP="00EE0B09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Vývoj počtu ekonomicky aktivních obyvatel v jednotlivých věkových skupinách úzce souvisí s vývojem celk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vého počtu obyvatel a jeho věkovou strukturou. Zatímco u mladších věkových skupin počty i podíly ekon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micky aktivních v důsledku delší přípravy do zaměstnání výrazně klesly (např. ve věku 15-19 let pokles ek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lastRenderedPageBreak/>
        <w:t>nomicky aktivních o 33 %, ve věku 20-24 o 40 %), nárůst počtu ekonomicky aktivních obyvatel sledujeme ve věkových skupinách 30-39 a 55 a více let.</w:t>
      </w:r>
      <w:r w:rsidRPr="00C24253">
        <w:rPr>
          <w:rStyle w:val="Znakapoznpodarou"/>
          <w:rFonts w:cs="Arial"/>
          <w:sz w:val="20"/>
          <w:szCs w:val="20"/>
        </w:rPr>
        <w:footnoteReference w:id="1"/>
      </w:r>
      <w:r w:rsidRPr="00C24253">
        <w:rPr>
          <w:rFonts w:cs="Arial"/>
          <w:sz w:val="20"/>
          <w:szCs w:val="20"/>
        </w:rPr>
        <w:t xml:space="preserve"> </w:t>
      </w:r>
    </w:p>
    <w:p w:rsidR="00A67766" w:rsidRPr="00C24253" w:rsidRDefault="00A67766" w:rsidP="00EE0B09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Nejvýraznější nárůst počtu ekonomicky aktivních od roku 2001 byl ve věku 60-64 let - o 120 tisíc ekonomicky aktivních, tj. o 38 % (v důsledku zvyšování hranice věku odchodu do důchodu) a dále u nejstarší věkové skupiny nad 75 let.</w:t>
      </w:r>
    </w:p>
    <w:p w:rsidR="00A67766" w:rsidRPr="00C24253" w:rsidRDefault="00A67766" w:rsidP="00EE0B09">
      <w:pPr>
        <w:spacing w:after="360"/>
      </w:pPr>
      <w:r w:rsidRPr="00C24253">
        <w:rPr>
          <w:sz w:val="20"/>
        </w:rPr>
        <w:t>V roce 2011 muži měli vysokou intenzitu ekonomické aktivity stejně jako v</w:t>
      </w:r>
      <w:r w:rsidR="00BA621E">
        <w:rPr>
          <w:sz w:val="20"/>
        </w:rPr>
        <w:t xml:space="preserve"> roce 2001 již od věku 25 let a </w:t>
      </w:r>
      <w:r w:rsidRPr="00C24253">
        <w:rPr>
          <w:sz w:val="20"/>
        </w:rPr>
        <w:t>mezi 30 - 39 let dosahovali maxima (přes 96 %). Pokles hodnot po 55. roce věku byl pozvolný až do dos</w:t>
      </w:r>
      <w:r w:rsidRPr="00C24253">
        <w:rPr>
          <w:sz w:val="20"/>
        </w:rPr>
        <w:t>a</w:t>
      </w:r>
      <w:r w:rsidRPr="00C24253">
        <w:rPr>
          <w:sz w:val="20"/>
        </w:rPr>
        <w:t>žení věku odchodu do důchodu. Ženy dosahovaly maximálních hodnot (93 % ekonomicky aktivních) ve věku 45-49 let, přičemž obecně platilo, že v jednotlivých věkových skupinách měly mírně nižší podíly než muži.</w:t>
      </w:r>
      <w:r w:rsidRPr="00C24253">
        <w:t xml:space="preserve"> </w:t>
      </w:r>
    </w:p>
    <w:p w:rsidR="00A67766" w:rsidRPr="00C24253" w:rsidRDefault="00A67766" w:rsidP="00EE0B09">
      <w:pPr>
        <w:pStyle w:val="Zkladntext"/>
        <w:ind w:left="567" w:firstLine="0"/>
        <w:rPr>
          <w:b/>
          <w:bCs/>
        </w:rPr>
      </w:pPr>
      <w:r w:rsidRPr="00C24253">
        <w:rPr>
          <w:b/>
          <w:bCs/>
        </w:rPr>
        <w:t>Základní ukazatele ekonomické aktivity obyvatelstva v letech 1980 – 2011</w:t>
      </w:r>
    </w:p>
    <w:tbl>
      <w:tblPr>
        <w:tblW w:w="8660" w:type="dxa"/>
        <w:jc w:val="center"/>
        <w:tblCellMar>
          <w:left w:w="70" w:type="dxa"/>
          <w:right w:w="70" w:type="dxa"/>
        </w:tblCellMar>
        <w:tblLook w:val="04A0"/>
      </w:tblPr>
      <w:tblGrid>
        <w:gridCol w:w="2740"/>
        <w:gridCol w:w="960"/>
        <w:gridCol w:w="1240"/>
        <w:gridCol w:w="1240"/>
        <w:gridCol w:w="1240"/>
        <w:gridCol w:w="1240"/>
      </w:tblGrid>
      <w:tr w:rsidR="00A67766" w:rsidRPr="00C24253" w:rsidTr="00EE0B09">
        <w:trPr>
          <w:trHeight w:val="340"/>
          <w:jc w:val="center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Ukazatel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 sčítání</w:t>
            </w:r>
          </w:p>
        </w:tc>
      </w:tr>
      <w:tr w:rsidR="00A67766" w:rsidRPr="00C24253" w:rsidTr="00EE0B09">
        <w:trPr>
          <w:trHeight w:val="340"/>
          <w:jc w:val="center"/>
        </w:trPr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C24253" w:rsidRDefault="00A67766" w:rsidP="00E243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obyvatel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4 988 095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4 999 935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4 982 071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5 109 766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5 303 832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5 302 280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5 247 989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5 326 794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10 291 927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10 302 215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10 230 060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10 436 560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ekonomicky aktivních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2 829 982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2 838 657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2 873 522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2 750 039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2 534 546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2 582 445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2 379 878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2 330 534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5 364 528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5 421 102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5 253 400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5 080 573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ekonomicky aktivních na celkovém počtu obyvatel (%) 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57,6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47,8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48,7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45,8</w:t>
            </w:r>
          </w:p>
        </w:tc>
      </w:tr>
      <w:tr w:rsidR="00A67766" w:rsidRPr="00C24253" w:rsidTr="00E24374">
        <w:trPr>
          <w:trHeight w:val="283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52,1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52,6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51,4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51,5</w:t>
            </w:r>
          </w:p>
        </w:tc>
      </w:tr>
      <w:tr w:rsidR="00A67766" w:rsidRPr="00C24253" w:rsidTr="00EE0B09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žen na celkovém počtu obyvatel (%)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E0B0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E0B0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E0B0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E0B0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51,0</w:t>
            </w:r>
          </w:p>
        </w:tc>
      </w:tr>
      <w:tr w:rsidR="00A67766" w:rsidRPr="00C24253" w:rsidTr="00EE0B09">
        <w:trPr>
          <w:trHeight w:val="340"/>
          <w:jc w:val="center"/>
        </w:trPr>
        <w:tc>
          <w:tcPr>
            <w:tcW w:w="3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2437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žen na počtu ekonomicky aktivních (%)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E0B0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47,2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E0B0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47,6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E0B0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45,3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66" w:rsidRPr="00C24253" w:rsidRDefault="00A67766" w:rsidP="00EE0B0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45,9</w:t>
            </w:r>
          </w:p>
        </w:tc>
      </w:tr>
    </w:tbl>
    <w:p w:rsidR="00A67766" w:rsidRPr="00C24253" w:rsidRDefault="00A67766" w:rsidP="00EE0B09">
      <w:pPr>
        <w:spacing w:before="60" w:after="360"/>
        <w:ind w:left="357"/>
        <w:rPr>
          <w:rFonts w:cs="Arial"/>
          <w:bCs/>
          <w:sz w:val="16"/>
          <w:szCs w:val="16"/>
        </w:rPr>
      </w:pPr>
      <w:r w:rsidRPr="00C24253">
        <w:rPr>
          <w:rFonts w:cs="Arial"/>
          <w:bCs/>
          <w:sz w:val="16"/>
          <w:szCs w:val="16"/>
        </w:rPr>
        <w:t>*V roce 2011 podíl na počtu obyvatel se zjištěnou ekonomickou aktivitou</w:t>
      </w:r>
    </w:p>
    <w:p w:rsidR="00EE0B09" w:rsidRPr="00C24253" w:rsidRDefault="00A67766" w:rsidP="00EE0B09">
      <w:pPr>
        <w:spacing w:before="240" w:after="120"/>
        <w:rPr>
          <w:rFonts w:cs="Arial"/>
          <w:bCs/>
          <w:sz w:val="20"/>
        </w:rPr>
      </w:pPr>
      <w:r w:rsidRPr="00C24253">
        <w:rPr>
          <w:rFonts w:cs="Arial"/>
          <w:b/>
          <w:bCs/>
          <w:sz w:val="20"/>
        </w:rPr>
        <w:t xml:space="preserve">Ve všech věkových skupinách ekonomicky aktivního obyvatelstva bylo mužů více než žen. </w:t>
      </w:r>
      <w:r w:rsidRPr="00C24253">
        <w:rPr>
          <w:rFonts w:cs="Arial"/>
          <w:bCs/>
          <w:sz w:val="20"/>
        </w:rPr>
        <w:t>Ve věku 45-54 let byla převaha jen mírná, ale v ostatních věkových kategoriích je výraznější. Ve věku 30-34 let dos</w:t>
      </w:r>
      <w:r w:rsidRPr="00C24253">
        <w:rPr>
          <w:rFonts w:cs="Arial"/>
          <w:bCs/>
          <w:sz w:val="20"/>
        </w:rPr>
        <w:t>a</w:t>
      </w:r>
      <w:r w:rsidRPr="00C24253">
        <w:rPr>
          <w:rFonts w:cs="Arial"/>
          <w:bCs/>
          <w:sz w:val="20"/>
        </w:rPr>
        <w:t>hovali muži vysoké míry ekonomické aktivity (téměř 97 %), u žen byl podíl ekonomicky aktivních podstatně nižší (77 %) – 26 tisíc žen v této věkové skupině bylo v domácnosti. Vzhledem ke zvyšujícímu se věku uzav</w:t>
      </w:r>
      <w:r w:rsidRPr="00C24253">
        <w:rPr>
          <w:rFonts w:cs="Arial"/>
          <w:bCs/>
          <w:sz w:val="20"/>
        </w:rPr>
        <w:t>í</w:t>
      </w:r>
      <w:r w:rsidRPr="00C24253">
        <w:rPr>
          <w:rFonts w:cs="Arial"/>
          <w:bCs/>
          <w:sz w:val="20"/>
        </w:rPr>
        <w:t>rání sňatků a posunu věku prvorodiček se stávala právě tato věková skupina</w:t>
      </w:r>
      <w:r w:rsidR="00EE0B09" w:rsidRPr="00C24253">
        <w:rPr>
          <w:rFonts w:cs="Arial"/>
          <w:bCs/>
          <w:sz w:val="20"/>
        </w:rPr>
        <w:t xml:space="preserve"> u žen klíčovou pro péči o děti.</w:t>
      </w:r>
    </w:p>
    <w:p w:rsidR="00A67766" w:rsidRPr="00C24253" w:rsidRDefault="00A67766" w:rsidP="00EE0B09">
      <w:pPr>
        <w:spacing w:after="240"/>
        <w:rPr>
          <w:rFonts w:cs="Arial"/>
          <w:bCs/>
          <w:sz w:val="20"/>
        </w:rPr>
      </w:pPr>
      <w:r w:rsidRPr="00C24253">
        <w:rPr>
          <w:rFonts w:cs="Arial"/>
          <w:bCs/>
          <w:sz w:val="20"/>
        </w:rPr>
        <w:t>Významnější rozdíl míry ekonomické aktivity byl ve věku 60-64 let</w:t>
      </w:r>
      <w:r w:rsidR="002A6B48" w:rsidRPr="00C24253">
        <w:rPr>
          <w:rFonts w:cs="Arial"/>
          <w:bCs/>
          <w:sz w:val="20"/>
          <w:lang w:val="en-US"/>
        </w:rPr>
        <w:t>. V</w:t>
      </w:r>
      <w:proofErr w:type="spellStart"/>
      <w:r w:rsidRPr="00C24253">
        <w:rPr>
          <w:rFonts w:cs="Arial"/>
          <w:bCs/>
          <w:sz w:val="20"/>
        </w:rPr>
        <w:t>elká</w:t>
      </w:r>
      <w:proofErr w:type="spellEnd"/>
      <w:r w:rsidRPr="00C24253">
        <w:rPr>
          <w:rFonts w:cs="Arial"/>
          <w:bCs/>
          <w:sz w:val="20"/>
        </w:rPr>
        <w:t xml:space="preserve"> část mužů v této věkové kategorii nedosáhla nároku </w:t>
      </w:r>
      <w:proofErr w:type="gramStart"/>
      <w:r w:rsidRPr="00C24253">
        <w:rPr>
          <w:rFonts w:cs="Arial"/>
          <w:bCs/>
          <w:sz w:val="20"/>
        </w:rPr>
        <w:t>na</w:t>
      </w:r>
      <w:proofErr w:type="gramEnd"/>
      <w:r w:rsidRPr="00C24253">
        <w:rPr>
          <w:rFonts w:cs="Arial"/>
          <w:bCs/>
          <w:sz w:val="20"/>
        </w:rPr>
        <w:t xml:space="preserve"> odchod do důchodu, zatímco většina žen v důchodovém věku již byla. </w:t>
      </w:r>
    </w:p>
    <w:p w:rsidR="002A6B48" w:rsidRPr="00C24253" w:rsidRDefault="00A67766" w:rsidP="00B400F0">
      <w:pPr>
        <w:pStyle w:val="Nadpis3"/>
      </w:pPr>
      <w:bookmarkStart w:id="2" w:name="_Toc371588171"/>
      <w:r w:rsidRPr="00C24253">
        <w:t>Zaměstnaní</w:t>
      </w:r>
      <w:bookmarkEnd w:id="2"/>
    </w:p>
    <w:p w:rsidR="00D5267A" w:rsidRDefault="00A67766" w:rsidP="00937C52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>Po roce 1991 se výrazně měnila proporce mezi zaměstnanými a nezaměstnanými. V  dekádě 2001 – 2011 tento trend pokračoval, i když ne už tak razantně, počet zaměstnaných klesl o 4 %. Nejvýznamnější byl p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>kles zaměstnaných ve věku do 30 let, obzvláště ve věkové skupině 20-24 let o 234 tisíc osob, tj. o 43 %. Tento pokles souvisel s delší přípravou na zaměstnání, ale zejména se změnou věkové struktury populace – v daném případě s poklesem absolutního počtu obyvatel v příslušném věku. Naopak počet zaměstnaných v nejstarší věkové kategorii nad 75 let vzrostl téměř pětkrát na 12 tisíc osob (relativně z 0,4 % v roce 2001 na 1,8 % v roce 2001). Zvyšování počtu zaměstnaných v poproduktivním věku mělo důvody převážně ek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>nomické.</w:t>
      </w:r>
    </w:p>
    <w:p w:rsidR="00D5267A" w:rsidRPr="00BA621E" w:rsidRDefault="00D5267A" w:rsidP="00D5267A">
      <w:pPr>
        <w:ind w:left="426"/>
        <w:rPr>
          <w:b/>
          <w:bCs/>
          <w:sz w:val="20"/>
        </w:rPr>
      </w:pPr>
      <w:r>
        <w:rPr>
          <w:sz w:val="20"/>
          <w:szCs w:val="20"/>
        </w:rPr>
        <w:br w:type="page"/>
      </w:r>
      <w:r w:rsidR="00A67766" w:rsidRPr="00BA621E">
        <w:rPr>
          <w:b/>
          <w:bCs/>
          <w:sz w:val="20"/>
        </w:rPr>
        <w:lastRenderedPageBreak/>
        <w:t xml:space="preserve">Zaměstnaní podle pohlaví, sektoru a vybraných odvětví ekonomické činnosti </w:t>
      </w:r>
    </w:p>
    <w:p w:rsidR="00A67766" w:rsidRPr="00BA621E" w:rsidRDefault="00A67766" w:rsidP="00BA621E">
      <w:pPr>
        <w:spacing w:after="120"/>
        <w:ind w:left="425"/>
        <w:rPr>
          <w:b/>
          <w:bCs/>
          <w:sz w:val="20"/>
        </w:rPr>
      </w:pPr>
      <w:r w:rsidRPr="00BA621E">
        <w:rPr>
          <w:b/>
          <w:bCs/>
          <w:sz w:val="20"/>
        </w:rPr>
        <w:t>k 26. 3. 2011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/>
      </w:tblPr>
      <w:tblGrid>
        <w:gridCol w:w="4000"/>
        <w:gridCol w:w="1012"/>
        <w:gridCol w:w="588"/>
        <w:gridCol w:w="940"/>
        <w:gridCol w:w="660"/>
        <w:gridCol w:w="940"/>
        <w:gridCol w:w="660"/>
      </w:tblGrid>
      <w:tr w:rsidR="00A67766" w:rsidRPr="00C24253" w:rsidTr="00937C52">
        <w:trPr>
          <w:trHeight w:val="283"/>
          <w:jc w:val="center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Sektor, </w:t>
            </w:r>
            <w:r w:rsidRPr="00C24253">
              <w:rPr>
                <w:rFonts w:cs="Arial"/>
                <w:sz w:val="16"/>
                <w:szCs w:val="16"/>
              </w:rPr>
              <w:br/>
              <w:t>odvětví ekonomické činnosti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</w:tr>
      <w:tr w:rsidR="00A67766" w:rsidRPr="00C24253" w:rsidTr="00937C52">
        <w:trPr>
          <w:trHeight w:val="283"/>
          <w:jc w:val="center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766" w:rsidRPr="00C24253" w:rsidRDefault="00A67766" w:rsidP="002A6B48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8472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  <w:r w:rsidR="00E84725" w:rsidRPr="00C24253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  <w:r w:rsidR="00E84725" w:rsidRPr="00C24253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  <w:r w:rsidR="00E84725" w:rsidRPr="00C24253">
              <w:rPr>
                <w:rFonts w:cs="Arial"/>
                <w:sz w:val="16"/>
                <w:szCs w:val="16"/>
              </w:rPr>
              <w:t>*</w:t>
            </w:r>
          </w:p>
        </w:tc>
      </w:tr>
      <w:tr w:rsidR="00A67766" w:rsidRPr="00C24253" w:rsidTr="00937C52">
        <w:trPr>
          <w:trHeight w:val="34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Zaměstnaní celkem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2 491 996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2 088 718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4 580 714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A67766" w:rsidRPr="00C24253" w:rsidTr="00937C52">
        <w:trPr>
          <w:trHeight w:val="22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937C5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A67766" w:rsidRPr="00C24253" w:rsidTr="00937C52">
        <w:trPr>
          <w:trHeight w:val="283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4F004E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Zemědělství, lesnictví, rybolov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87 639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36 645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124 284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</w:t>
            </w:r>
          </w:p>
        </w:tc>
      </w:tr>
      <w:tr w:rsidR="00A67766" w:rsidRPr="00C24253" w:rsidTr="00937C52">
        <w:trPr>
          <w:trHeight w:val="283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4F004E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Průmysl a stavebnictví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1 049 638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425 240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1 474 878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32,2</w:t>
            </w:r>
          </w:p>
        </w:tc>
      </w:tr>
      <w:tr w:rsidR="00A67766" w:rsidRPr="00C24253" w:rsidTr="00937C52">
        <w:trPr>
          <w:trHeight w:val="227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7766" w:rsidRPr="00C24253" w:rsidRDefault="00A67766" w:rsidP="00937C52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937C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937C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937C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937C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937C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937C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A67766" w:rsidRPr="00C24253" w:rsidTr="002A6B48">
        <w:trPr>
          <w:trHeight w:val="283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4F004E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zpracovatelský průmysl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676 764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367 292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1 044 056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25,7</w:t>
            </w:r>
          </w:p>
        </w:tc>
      </w:tr>
      <w:tr w:rsidR="00A67766" w:rsidRPr="00C24253" w:rsidTr="002A6B48">
        <w:trPr>
          <w:trHeight w:val="283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4F004E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stavebnictví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278 488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35 174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313 662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</w:t>
            </w:r>
          </w:p>
        </w:tc>
      </w:tr>
      <w:tr w:rsidR="00A67766" w:rsidRPr="00C24253" w:rsidTr="00937C52">
        <w:trPr>
          <w:trHeight w:val="283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4F004E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Služby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1 085 439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1 385 126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66,3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2 470 565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53,9</w:t>
            </w:r>
          </w:p>
        </w:tc>
      </w:tr>
      <w:tr w:rsidR="00A67766" w:rsidRPr="00C24253" w:rsidTr="00937C52">
        <w:trPr>
          <w:trHeight w:val="227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7766" w:rsidRPr="00C24253" w:rsidRDefault="00A67766" w:rsidP="00937C52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A67766" w:rsidRPr="00C24253" w:rsidTr="002A6B48">
        <w:trPr>
          <w:trHeight w:val="283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2A6B48" w:rsidP="004F004E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</w:t>
            </w:r>
            <w:r w:rsidR="00A67766" w:rsidRPr="00C24253">
              <w:rPr>
                <w:rFonts w:cs="Arial"/>
                <w:sz w:val="16"/>
                <w:szCs w:val="16"/>
              </w:rPr>
              <w:t>elkoobch</w:t>
            </w:r>
            <w:r w:rsidRPr="00C24253">
              <w:rPr>
                <w:rFonts w:cs="Arial"/>
                <w:sz w:val="16"/>
                <w:szCs w:val="16"/>
              </w:rPr>
              <w:t>od,</w:t>
            </w:r>
            <w:r w:rsidR="00A67766" w:rsidRPr="00C24253">
              <w:rPr>
                <w:rFonts w:cs="Arial"/>
                <w:sz w:val="16"/>
                <w:szCs w:val="16"/>
              </w:rPr>
              <w:t xml:space="preserve"> </w:t>
            </w:r>
            <w:r w:rsidRPr="00C24253">
              <w:rPr>
                <w:rFonts w:cs="Arial"/>
                <w:sz w:val="16"/>
                <w:szCs w:val="16"/>
              </w:rPr>
              <w:t>m</w:t>
            </w:r>
            <w:r w:rsidR="00A67766" w:rsidRPr="00C24253">
              <w:rPr>
                <w:rFonts w:cs="Arial"/>
                <w:sz w:val="16"/>
                <w:szCs w:val="16"/>
              </w:rPr>
              <w:t>aloobch</w:t>
            </w:r>
            <w:r w:rsidRPr="00C24253">
              <w:rPr>
                <w:rFonts w:cs="Arial"/>
                <w:sz w:val="16"/>
                <w:szCs w:val="16"/>
              </w:rPr>
              <w:t>od</w:t>
            </w:r>
            <w:r w:rsidR="00A67766" w:rsidRPr="00C24253">
              <w:rPr>
                <w:rFonts w:cs="Arial"/>
                <w:sz w:val="16"/>
                <w:szCs w:val="16"/>
              </w:rPr>
              <w:t>.</w:t>
            </w:r>
            <w:r w:rsidRPr="00C24253">
              <w:rPr>
                <w:rFonts w:cs="Arial"/>
                <w:sz w:val="16"/>
                <w:szCs w:val="16"/>
              </w:rPr>
              <w:t>,</w:t>
            </w:r>
            <w:r w:rsidR="00A67766" w:rsidRPr="00C24253">
              <w:rPr>
                <w:rFonts w:cs="Arial"/>
                <w:sz w:val="16"/>
                <w:szCs w:val="16"/>
              </w:rPr>
              <w:t xml:space="preserve"> opr</w:t>
            </w:r>
            <w:r w:rsidRPr="00C24253">
              <w:rPr>
                <w:rFonts w:cs="Arial"/>
                <w:sz w:val="16"/>
                <w:szCs w:val="16"/>
              </w:rPr>
              <w:t>avy</w:t>
            </w:r>
            <w:r w:rsidR="00A67766" w:rsidRPr="00C24253">
              <w:rPr>
                <w:rFonts w:cs="Arial"/>
                <w:sz w:val="16"/>
                <w:szCs w:val="16"/>
              </w:rPr>
              <w:t xml:space="preserve"> a údržba mot</w:t>
            </w:r>
            <w:r w:rsidR="00A67766" w:rsidRPr="00C24253">
              <w:rPr>
                <w:rFonts w:cs="Arial"/>
                <w:sz w:val="16"/>
                <w:szCs w:val="16"/>
              </w:rPr>
              <w:t>o</w:t>
            </w:r>
            <w:r w:rsidR="00A67766" w:rsidRPr="00C24253">
              <w:rPr>
                <w:rFonts w:cs="Arial"/>
                <w:sz w:val="16"/>
                <w:szCs w:val="16"/>
              </w:rPr>
              <w:t>r</w:t>
            </w:r>
            <w:r w:rsidR="00E84725" w:rsidRPr="00C24253">
              <w:rPr>
                <w:rFonts w:cs="Arial"/>
                <w:sz w:val="16"/>
                <w:szCs w:val="16"/>
              </w:rPr>
              <w:t xml:space="preserve">ových </w:t>
            </w:r>
            <w:r w:rsidR="00A67766" w:rsidRPr="00C24253">
              <w:rPr>
                <w:rFonts w:cs="Arial"/>
                <w:sz w:val="16"/>
                <w:szCs w:val="16"/>
              </w:rPr>
              <w:t>vozidel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214 948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251 376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466 324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</w:tr>
      <w:tr w:rsidR="00A67766" w:rsidRPr="00C24253" w:rsidTr="002A6B48">
        <w:trPr>
          <w:trHeight w:val="283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4F004E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vzdělávání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64 914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211 522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276 436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</w:tr>
      <w:tr w:rsidR="00A67766" w:rsidRPr="00C24253" w:rsidTr="002A6B48">
        <w:trPr>
          <w:trHeight w:val="283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4F004E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zdravotní a sociální péče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55 374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241 307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296 681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2A6B4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7,3</w:t>
            </w:r>
          </w:p>
        </w:tc>
      </w:tr>
      <w:tr w:rsidR="00A67766" w:rsidRPr="00C24253" w:rsidTr="002A6B48">
        <w:trPr>
          <w:trHeight w:val="24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66" w:rsidRPr="00C24253" w:rsidRDefault="00E84725" w:rsidP="00E84725">
            <w:pPr>
              <w:spacing w:before="60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*</w:t>
            </w:r>
            <w:r w:rsidR="00A67766" w:rsidRPr="00C24253">
              <w:rPr>
                <w:rFonts w:cs="Arial"/>
                <w:sz w:val="16"/>
                <w:szCs w:val="16"/>
              </w:rPr>
              <w:t xml:space="preserve"> ze zaměstnaných se zjištěným odvětvím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67766" w:rsidRPr="00C24253" w:rsidRDefault="00A67766" w:rsidP="005413B5">
      <w:pPr>
        <w:spacing w:before="240" w:after="120"/>
        <w:rPr>
          <w:rFonts w:cs="Arial"/>
          <w:sz w:val="20"/>
        </w:rPr>
      </w:pPr>
      <w:r w:rsidRPr="00C24253">
        <w:rPr>
          <w:rFonts w:cs="Arial"/>
          <w:sz w:val="20"/>
        </w:rPr>
        <w:t>Početně nejvýznamnějším sektorem národního hospodářství byl v roce 2011 terciér, kde pracovala více než polovina všech zaměstnaných osob (vztaženo k počtu zaměstnaných se zjištěným odvětvím ekonomické činnosti to bylo téměř 61</w:t>
      </w:r>
      <w:r w:rsidRPr="00C24253">
        <w:rPr>
          <w:rFonts w:cs="Arial"/>
          <w:sz w:val="20"/>
          <w:szCs w:val="20"/>
        </w:rPr>
        <w:t> </w:t>
      </w:r>
      <w:r w:rsidRPr="00C24253">
        <w:rPr>
          <w:rFonts w:cs="Arial"/>
          <w:sz w:val="20"/>
        </w:rPr>
        <w:t>%). V období 2001 – 2011 vzrostl podíl zaměstnaných v tomto sektoru o 7 procen</w:t>
      </w:r>
      <w:r w:rsidRPr="00C24253">
        <w:rPr>
          <w:rFonts w:cs="Arial"/>
          <w:sz w:val="20"/>
        </w:rPr>
        <w:t>t</w:t>
      </w:r>
      <w:r w:rsidRPr="00C24253">
        <w:rPr>
          <w:rFonts w:cs="Arial"/>
          <w:sz w:val="20"/>
        </w:rPr>
        <w:t>ních bodů. K poklesu podílu zaměstnaných došlo naopak v zemědělství a v průmyslu a stavebnictví. Dlo</w:t>
      </w:r>
      <w:r w:rsidRPr="00C24253">
        <w:rPr>
          <w:rFonts w:cs="Arial"/>
          <w:sz w:val="20"/>
        </w:rPr>
        <w:t>u</w:t>
      </w:r>
      <w:r w:rsidRPr="00C24253">
        <w:rPr>
          <w:rFonts w:cs="Arial"/>
          <w:sz w:val="20"/>
        </w:rPr>
        <w:t xml:space="preserve">hodobý trend posilování terciérního sektoru a oslabování </w:t>
      </w:r>
      <w:proofErr w:type="spellStart"/>
      <w:r w:rsidRPr="00C24253">
        <w:rPr>
          <w:rFonts w:cs="Arial"/>
          <w:sz w:val="20"/>
        </w:rPr>
        <w:t>sekundérního</w:t>
      </w:r>
      <w:proofErr w:type="spellEnd"/>
      <w:r w:rsidRPr="00C24253">
        <w:rPr>
          <w:rFonts w:cs="Arial"/>
          <w:sz w:val="20"/>
        </w:rPr>
        <w:t xml:space="preserve"> a primérního sektoru tedy pokrač</w:t>
      </w:r>
      <w:r w:rsidRPr="00C24253">
        <w:rPr>
          <w:rFonts w:cs="Arial"/>
          <w:sz w:val="20"/>
        </w:rPr>
        <w:t>o</w:t>
      </w:r>
      <w:r w:rsidRPr="00C24253">
        <w:rPr>
          <w:rFonts w:cs="Arial"/>
          <w:sz w:val="20"/>
        </w:rPr>
        <w:t xml:space="preserve">val, avšak nebyl tak výrazný jako v předchozí dekádě. </w:t>
      </w:r>
    </w:p>
    <w:p w:rsidR="00A67766" w:rsidRDefault="00A67766" w:rsidP="00E84725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>U jednotlivých odvětví se podíly zaměstnaných od roku 2001 výrazně nezměnily. Stále zůstávaly nejv</w:t>
      </w:r>
      <w:r w:rsidRPr="00C24253">
        <w:rPr>
          <w:rFonts w:cs="Arial"/>
          <w:sz w:val="20"/>
        </w:rPr>
        <w:t>ý</w:t>
      </w:r>
      <w:r w:rsidRPr="00C24253">
        <w:rPr>
          <w:rFonts w:cs="Arial"/>
          <w:sz w:val="20"/>
        </w:rPr>
        <w:t>znamnějšími odvětvími zpracovatelský průmysl, ve kterém v roce 2011 pracovala zhruba čtvrtina všech z</w:t>
      </w:r>
      <w:r w:rsidRPr="00C24253">
        <w:rPr>
          <w:rFonts w:cs="Arial"/>
          <w:sz w:val="20"/>
        </w:rPr>
        <w:t>a</w:t>
      </w:r>
      <w:r w:rsidRPr="00C24253">
        <w:rPr>
          <w:rFonts w:cs="Arial"/>
          <w:sz w:val="20"/>
        </w:rPr>
        <w:t xml:space="preserve">městnaných a velkoobchod, maloobchod a opravy motorových vozidel s více než desetinou zaměstnaných. </w:t>
      </w:r>
    </w:p>
    <w:p w:rsidR="004F004E" w:rsidRPr="00C24253" w:rsidRDefault="00DA6630" w:rsidP="004F004E">
      <w:pPr>
        <w:spacing w:after="120"/>
        <w:rPr>
          <w:rFonts w:cs="Arial"/>
          <w:sz w:val="20"/>
        </w:rPr>
      </w:pPr>
      <w:r w:rsidRPr="00E946DF">
        <w:rPr>
          <w:rFonts w:cs="Arial"/>
          <w:sz w:val="20"/>
        </w:rPr>
        <w:fldChar w:fldCharType="begin"/>
      </w:r>
      <w:r w:rsidR="00485FDE" w:rsidRPr="00E946DF">
        <w:rPr>
          <w:rFonts w:cs="Arial"/>
          <w:sz w:val="20"/>
        </w:rPr>
        <w:instrText xml:space="preserve"> LINK Excel.Sheet.8 "D:\\RŮŽKOVÁ\\ALLSČÍTÁNÍ LIDU - VŠE O sl\\PRAMENNÉ dílo\\A KOMPLETACE PD\\EAgraf3.xlsx!List1![EAgraf3.xlsx]List1 Graf 1" "" \a \p \* MERGEFORMAT </w:instrText>
      </w:r>
      <w:r w:rsidRPr="00E946DF">
        <w:rPr>
          <w:rFonts w:cs="Arial"/>
          <w:sz w:val="20"/>
        </w:rPr>
        <w:fldChar w:fldCharType="separate"/>
      </w:r>
      <w:r w:rsidR="00B04FD1" w:rsidRPr="00DA6630">
        <w:rPr>
          <w:rFonts w:cs="Arial"/>
          <w:sz w:val="20"/>
        </w:rPr>
        <w:object w:dxaOrig="8805" w:dyaOrig="4260">
          <v:shape id="_x0000_i1025" type="#_x0000_t75" style="width:440.25pt;height:213pt">
            <v:imagedata r:id="rId10" o:title=""/>
          </v:shape>
        </w:object>
      </w:r>
      <w:r w:rsidRPr="00E946DF">
        <w:rPr>
          <w:rFonts w:cs="Arial"/>
          <w:sz w:val="20"/>
        </w:rPr>
        <w:fldChar w:fldCharType="end"/>
      </w:r>
    </w:p>
    <w:p w:rsidR="00955ADD" w:rsidRPr="00C24253" w:rsidRDefault="00955ADD" w:rsidP="004F004E">
      <w:pPr>
        <w:spacing w:before="240"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Jednotlivá odvětví se od sebe značně lišila ve struktuře zaměstnaných podle pohlaví. </w:t>
      </w:r>
    </w:p>
    <w:p w:rsidR="00937C52" w:rsidRPr="00C24253" w:rsidRDefault="00937C52" w:rsidP="00937C52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Velkou převahu (86 - 89%) měli tradičně muži v odvětvích těžba a dobývání a stavebnictví. Naopak mezi odvětví s převahou žen patřily vzdělávání a zdravotní a sociální péče (76 - 81 %). </w:t>
      </w:r>
    </w:p>
    <w:p w:rsidR="00937C52" w:rsidRPr="00C24253" w:rsidRDefault="00937C52" w:rsidP="005413B5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>Různorodá byla i věková struktura odvětví. K „nejstarším“ odvětvím patřily zemědělství, lesnictví a rybářství a vzdělávání. Nejvyšší podíl mladých do 29 let byl naproti tomu zaznamenán v odvětvích informační a k</w:t>
      </w:r>
      <w:r w:rsidRPr="00C24253">
        <w:rPr>
          <w:rFonts w:cs="Arial"/>
          <w:sz w:val="20"/>
        </w:rPr>
        <w:t>o</w:t>
      </w:r>
      <w:r w:rsidRPr="00C24253">
        <w:rPr>
          <w:rFonts w:cs="Arial"/>
          <w:sz w:val="20"/>
        </w:rPr>
        <w:t>munikační činnosti a ubytování, stravování a pohostinství</w:t>
      </w:r>
      <w:r w:rsidRPr="00C24253">
        <w:rPr>
          <w:rFonts w:cs="Arial"/>
          <w:sz w:val="20"/>
          <w:lang w:val="en-US"/>
        </w:rPr>
        <w:t>.</w:t>
      </w:r>
    </w:p>
    <w:p w:rsidR="00A67766" w:rsidRPr="00C24253" w:rsidRDefault="00A67766" w:rsidP="005413B5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Se strukturou zaměstnaných osob podle odvětví úzce souvisí </w:t>
      </w:r>
      <w:r w:rsidRPr="00C24253">
        <w:rPr>
          <w:rFonts w:cs="Arial"/>
          <w:b/>
          <w:sz w:val="20"/>
        </w:rPr>
        <w:t>struktura podle zaměstnání</w:t>
      </w:r>
      <w:r w:rsidRPr="00C24253">
        <w:rPr>
          <w:rFonts w:cs="Arial"/>
          <w:sz w:val="20"/>
        </w:rPr>
        <w:t>. U mužů byly čtyři skupiny zaměstnání, které překročily hranici 110 tisíc osob. Nejpočetněji zastoupeni byli řidiči nákla</w:t>
      </w:r>
      <w:r w:rsidRPr="00C24253">
        <w:rPr>
          <w:rFonts w:cs="Arial"/>
          <w:sz w:val="20"/>
        </w:rPr>
        <w:t>d</w:t>
      </w:r>
      <w:r w:rsidRPr="00C24253">
        <w:rPr>
          <w:rFonts w:cs="Arial"/>
          <w:sz w:val="20"/>
        </w:rPr>
        <w:t>ních automobilů, autobusů a tramvají (146 tis. osob), dále technici v průmyslu (136 tis.), nástrojaři (122 tis.) a</w:t>
      </w:r>
      <w:r w:rsidR="00BA621E">
        <w:rPr>
          <w:rFonts w:cs="Arial"/>
          <w:sz w:val="20"/>
        </w:rPr>
        <w:t> </w:t>
      </w:r>
      <w:r w:rsidRPr="00C24253">
        <w:rPr>
          <w:rFonts w:cs="Arial"/>
          <w:sz w:val="20"/>
        </w:rPr>
        <w:t>kvalifikovaní pracovníci hlavní stavební výroby (115 tis.). U žen byla nejčastějším zaměstnáním prodava</w:t>
      </w:r>
      <w:r w:rsidRPr="00C24253">
        <w:rPr>
          <w:rFonts w:cs="Arial"/>
          <w:sz w:val="20"/>
        </w:rPr>
        <w:t>č</w:t>
      </w:r>
      <w:r w:rsidRPr="00C24253">
        <w:rPr>
          <w:rFonts w:cs="Arial"/>
          <w:sz w:val="20"/>
        </w:rPr>
        <w:lastRenderedPageBreak/>
        <w:t xml:space="preserve">ka či jiná činnost v prodejnách (170 tis. zaměstnaných žen), druhou nejpočetnější skupinou byly odborné pracovnice v ekonomických a příbuzných oborech (více než 131 tis.). Necelých 100 tisíc tvořily odborné administrativní pracovnice a asistentky. </w:t>
      </w:r>
    </w:p>
    <w:p w:rsidR="00A67766" w:rsidRPr="00C24253" w:rsidRDefault="00A67766" w:rsidP="005F1930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>Charakter vykonávané činnosti se odrážel ve vzdělanostní struktuře pracujících. Konkrétní profese předp</w:t>
      </w:r>
      <w:r w:rsidRPr="00C24253">
        <w:rPr>
          <w:rFonts w:cs="Arial"/>
          <w:sz w:val="20"/>
        </w:rPr>
        <w:t>o</w:t>
      </w:r>
      <w:r w:rsidRPr="00C24253">
        <w:rPr>
          <w:rFonts w:cs="Arial"/>
          <w:sz w:val="20"/>
        </w:rPr>
        <w:t xml:space="preserve">kládají určitou úroveň vzdělání, což data sčítání potvrdily. Nejvyšší podíly vysokoškolsky vzdělaných byly mezi specialisty (54,8 %) a zákonodárci a řídícími pracovníky (43,1 %). </w:t>
      </w:r>
      <w:r w:rsidR="00BA621E">
        <w:rPr>
          <w:rFonts w:cs="Arial"/>
          <w:sz w:val="20"/>
        </w:rPr>
        <w:t>Více než polovina technických a </w:t>
      </w:r>
      <w:r w:rsidRPr="00C24253">
        <w:rPr>
          <w:rFonts w:cs="Arial"/>
          <w:sz w:val="20"/>
        </w:rPr>
        <w:t>odborných pracovníků a úředníků měla úplné střední vzdělání s maturitou. U kvalifikovaných pracovní</w:t>
      </w:r>
      <w:r w:rsidR="00BA621E">
        <w:rPr>
          <w:rFonts w:cs="Arial"/>
          <w:sz w:val="20"/>
        </w:rPr>
        <w:t>ků v </w:t>
      </w:r>
      <w:r w:rsidRPr="00C24253">
        <w:rPr>
          <w:rFonts w:cs="Arial"/>
          <w:sz w:val="20"/>
        </w:rPr>
        <w:t>zemědělství, lesnictví a rybářství, pomocných a nekvalifikovaných pracovníků, řemeslníků a opravářů, obsluhy strojů a zařízení, montérů převažovalo střední vzdělání včetně vyučení bez maturity</w:t>
      </w:r>
      <w:r w:rsidRPr="00C24253">
        <w:rPr>
          <w:rFonts w:cs="Arial"/>
          <w:sz w:val="20"/>
          <w:lang w:val="en-US"/>
        </w:rPr>
        <w:t>;</w:t>
      </w:r>
      <w:r w:rsidR="00BA621E">
        <w:rPr>
          <w:rFonts w:cs="Arial"/>
          <w:sz w:val="20"/>
        </w:rPr>
        <w:t xml:space="preserve"> u řemeslníků a </w:t>
      </w:r>
      <w:r w:rsidRPr="00C24253">
        <w:rPr>
          <w:rFonts w:cs="Arial"/>
          <w:sz w:val="20"/>
        </w:rPr>
        <w:t xml:space="preserve">opravářů byl jejich podíl nejvyšší (69,9 %).  Pracovníci se základním, neukončeným základním vzděláním nebo bez vzdělání byli zastoupeni nejvíce ve třídě pomocných a nekvalifikovaných pracovníků, a to podílem 27,1 %. </w:t>
      </w:r>
    </w:p>
    <w:p w:rsidR="00A67766" w:rsidRPr="00C24253" w:rsidRDefault="00A67766" w:rsidP="005F1930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Druhý úhel pohledu – struktura osob s příslušným vzděláním podle jednotlivých zaměstnání - dokumentuje </w:t>
      </w:r>
      <w:r w:rsidRPr="00C24253">
        <w:rPr>
          <w:rFonts w:cs="Arial"/>
          <w:b/>
          <w:sz w:val="20"/>
        </w:rPr>
        <w:t>vztah úrovně vzdělání a možnosti uplatnění na pracovním trhu</w:t>
      </w:r>
      <w:r w:rsidRPr="00C24253">
        <w:rPr>
          <w:rFonts w:cs="Arial"/>
          <w:sz w:val="20"/>
        </w:rPr>
        <w:t>. Výsledky přinesly očekávaná i překvap</w:t>
      </w:r>
      <w:r w:rsidRPr="00C24253">
        <w:rPr>
          <w:rFonts w:cs="Arial"/>
          <w:sz w:val="20"/>
        </w:rPr>
        <w:t>i</w:t>
      </w:r>
      <w:r w:rsidRPr="00C24253">
        <w:rPr>
          <w:rFonts w:cs="Arial"/>
          <w:sz w:val="20"/>
        </w:rPr>
        <w:t>vá zjištění. Např. pouze 14 % zaměstnaných osob s nejnižším vzděláním (příp. zcela bez vzdělání) pracov</w:t>
      </w:r>
      <w:r w:rsidRPr="00C24253">
        <w:rPr>
          <w:rFonts w:cs="Arial"/>
          <w:sz w:val="20"/>
        </w:rPr>
        <w:t>a</w:t>
      </w:r>
      <w:r w:rsidRPr="00C24253">
        <w:rPr>
          <w:rFonts w:cs="Arial"/>
          <w:sz w:val="20"/>
        </w:rPr>
        <w:t>lo jako pomocní a nekvalifikovaní pracovníci. Bez ohledu na fakt, že u pětiny zaměstnaných se základním a nižším vzděláním nebylo konkrétní zaměstnání zjištěno, údaje doložily, že většina z těchto osob si určité dovednosti či kvalifikaci pro výkon zaměstnání v průběhu pracovního života osvojila.  Pětina pracovala jako obsluha strojů a zařízení a jako montéři – nejčastěji jako montážní dělníci a řidiči nákladních automobilů, autobusů a tramvají. Další více než desetina vykonávala profese řemeslníků a opravářů – nejčastěji jako pracovníci hlavní stavební výroby.  Osoby s nejvyšším dosaženým vzděláním - zaměstnaní vysokoškoláci - našli uplatnění v téměř 85 % jako řídící pracovníci a specialisté a techničtí a odborní pracovníci. Nejčastěji to bylo v profesích učitelů, lékařů a specialistů ve výrobě či ve stavebnictví. Desetina vysokoškoláků (absolutně 87 tisíc) zvolila úřednické profese nebo zaměstnání ve službách, obsluze strojů či řemeslo – tedy zaměstn</w:t>
      </w:r>
      <w:r w:rsidRPr="00C24253">
        <w:rPr>
          <w:rFonts w:cs="Arial"/>
          <w:sz w:val="20"/>
        </w:rPr>
        <w:t>á</w:t>
      </w:r>
      <w:r w:rsidRPr="00C24253">
        <w:rPr>
          <w:rFonts w:cs="Arial"/>
          <w:sz w:val="20"/>
        </w:rPr>
        <w:t>ní, pro které není vysokoškolské vzdělání nutnou podmínkou. Každý třetí z této skupiny vysokoškoláků pr</w:t>
      </w:r>
      <w:r w:rsidRPr="00C24253">
        <w:rPr>
          <w:rFonts w:cs="Arial"/>
          <w:sz w:val="20"/>
        </w:rPr>
        <w:t>a</w:t>
      </w:r>
      <w:r w:rsidRPr="00C24253">
        <w:rPr>
          <w:rFonts w:cs="Arial"/>
          <w:sz w:val="20"/>
        </w:rPr>
        <w:t>coval jako úředník, každý šestý v oblasti ochrany a ostrahy.</w:t>
      </w:r>
    </w:p>
    <w:p w:rsidR="00A67766" w:rsidRPr="00C24253" w:rsidRDefault="00A67766" w:rsidP="005F1930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Podle </w:t>
      </w:r>
      <w:r w:rsidRPr="00C24253">
        <w:rPr>
          <w:rFonts w:cs="Arial"/>
          <w:b/>
          <w:sz w:val="20"/>
        </w:rPr>
        <w:t>postavení v zaměstnání</w:t>
      </w:r>
      <w:r w:rsidRPr="00C24253">
        <w:rPr>
          <w:rFonts w:cs="Arial"/>
          <w:sz w:val="20"/>
        </w:rPr>
        <w:t xml:space="preserve"> téměř 78 % zaměstnaných osob pracovalo v postavení zaměstnance. Dr</w:t>
      </w:r>
      <w:r w:rsidRPr="00C24253">
        <w:rPr>
          <w:rFonts w:cs="Arial"/>
          <w:sz w:val="20"/>
        </w:rPr>
        <w:t>u</w:t>
      </w:r>
      <w:r w:rsidRPr="00C24253">
        <w:rPr>
          <w:rFonts w:cs="Arial"/>
          <w:sz w:val="20"/>
        </w:rPr>
        <w:t>hou nejpočetnější skupinou byly osoby pracující na vlastní účet (12,9 %), v postavení zaměstnavatele bylo stejně jako v předchozím sčítání 3,6 % pracujících. Členové produkčních družstev a pomáhající rodinní př</w:t>
      </w:r>
      <w:r w:rsidRPr="00C24253">
        <w:rPr>
          <w:rFonts w:cs="Arial"/>
          <w:sz w:val="20"/>
        </w:rPr>
        <w:t>í</w:t>
      </w:r>
      <w:r w:rsidRPr="00C24253">
        <w:rPr>
          <w:rFonts w:cs="Arial"/>
          <w:sz w:val="20"/>
        </w:rPr>
        <w:t xml:space="preserve">slušníci tvořili nepatrný podíl (do 1 %). Mezi zaměstnavateli bylo téměř třikrát více mužů než žen, podobný poměr byl i u osob pracujících na vlastní účet. </w:t>
      </w:r>
    </w:p>
    <w:p w:rsidR="00A67766" w:rsidRPr="00C24253" w:rsidRDefault="00A67766" w:rsidP="005F1930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Nejvíce zaměstnavatelů - mužů bylo aktivních v odvětví maloobchodu a ve stavebnictví; ženy byly nejčastěji v pozici zaměstnavatelek v odvětví zdravotní péče a maloobchodu. </w:t>
      </w:r>
    </w:p>
    <w:p w:rsidR="00A67766" w:rsidRPr="00C24253" w:rsidRDefault="00A67766" w:rsidP="005F1930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>I v kategorii osob pracujících na vlastní účet bylo nejvíce mužů pracujících v odvětvích stavební činnosti, výstavby budov a v odvětví maloobchodu. Z hlediska konkrétních zaměstnání pracovali muži na vlastní účet v uvedených odvětvích nejčastěji jako kvalifikovaní pracovníci hlavní stavební výroby a při dokončování st</w:t>
      </w:r>
      <w:r w:rsidRPr="00C24253">
        <w:rPr>
          <w:rFonts w:cs="Arial"/>
          <w:sz w:val="20"/>
        </w:rPr>
        <w:t>a</w:t>
      </w:r>
      <w:r w:rsidRPr="00C24253">
        <w:rPr>
          <w:rFonts w:cs="Arial"/>
          <w:sz w:val="20"/>
        </w:rPr>
        <w:t>veb resp. jako prodavači. Ženy pracující na vlastní účet volily nejčastěji odvětví maloobchodu, právní a úče</w:t>
      </w:r>
      <w:r w:rsidRPr="00C24253">
        <w:rPr>
          <w:rFonts w:cs="Arial"/>
          <w:sz w:val="20"/>
        </w:rPr>
        <w:t>t</w:t>
      </w:r>
      <w:r w:rsidRPr="00C24253">
        <w:rPr>
          <w:rFonts w:cs="Arial"/>
          <w:sz w:val="20"/>
        </w:rPr>
        <w:t>nické činnosti a poskytování ostatních osobních služeb. V konkrétních vykonávaných profesích to znamen</w:t>
      </w:r>
      <w:r w:rsidRPr="00C24253">
        <w:rPr>
          <w:rFonts w:cs="Arial"/>
          <w:sz w:val="20"/>
        </w:rPr>
        <w:t>a</w:t>
      </w:r>
      <w:r w:rsidRPr="00C24253">
        <w:rPr>
          <w:rFonts w:cs="Arial"/>
          <w:sz w:val="20"/>
        </w:rPr>
        <w:t>lo prodavačky, účetní a jiné odborné ekonomické činnosti; ve službách to byly zejména kadeřnice a kosm</w:t>
      </w:r>
      <w:r w:rsidRPr="00C24253">
        <w:rPr>
          <w:rFonts w:cs="Arial"/>
          <w:sz w:val="20"/>
        </w:rPr>
        <w:t>e</w:t>
      </w:r>
      <w:r w:rsidRPr="00C24253">
        <w:rPr>
          <w:rFonts w:cs="Arial"/>
          <w:sz w:val="20"/>
        </w:rPr>
        <w:t>tičky.</w:t>
      </w:r>
    </w:p>
    <w:p w:rsidR="00D93588" w:rsidRPr="00C24253" w:rsidRDefault="00A67766" w:rsidP="005F1930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>Specifickou skupinu zaměstnaných představují pracující důchodci. Maximální počet pracujících důchodců byl zaznamenán v roce 1980, téměř půl milionu, v následujících dvou dekádách jejich počet intenzivně klesal (i vlivem změny zákonných podmínek pro zaměstnávání důchodců). V roce 1991 náleželo do této kategorie 300 tisíc a v roce 2001 už je</w:t>
      </w:r>
      <w:r w:rsidR="00D5267A">
        <w:rPr>
          <w:rFonts w:cs="Arial"/>
          <w:sz w:val="20"/>
        </w:rPr>
        <w:t>n</w:t>
      </w:r>
      <w:r w:rsidRPr="00C24253">
        <w:rPr>
          <w:rFonts w:cs="Arial"/>
          <w:sz w:val="20"/>
        </w:rPr>
        <w:t xml:space="preserve"> 180 tisíc osob. Do roku 2011 počet pracujících důchodců opět vzrostl o více než čtvrtinu na 228 tisíc. Pracující důchodci představovali 5,0 % všech zaměstnaných osob, v roce 2001 to bylo pouze 3,8 %. </w:t>
      </w:r>
    </w:p>
    <w:p w:rsidR="00A67766" w:rsidRPr="00C24253" w:rsidRDefault="00A67766" w:rsidP="005F1930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>Mezi pracujícími důchodci mírně převažují ženy (51 %). Protože však žen důchodkyň je jeden a půl krát více než mužů důchodců, intenzita je vyšší u mužů - pracuje necelých 8 % všech důchodkyň a přes 11 % d</w:t>
      </w:r>
      <w:r w:rsidRPr="00C24253">
        <w:rPr>
          <w:rFonts w:cs="Arial"/>
          <w:sz w:val="20"/>
        </w:rPr>
        <w:t>ů</w:t>
      </w:r>
      <w:r w:rsidRPr="00C24253">
        <w:rPr>
          <w:rFonts w:cs="Arial"/>
          <w:sz w:val="20"/>
        </w:rPr>
        <w:t xml:space="preserve">chodců. </w:t>
      </w:r>
    </w:p>
    <w:p w:rsidR="00A67766" w:rsidRPr="00C24253" w:rsidRDefault="00A67766" w:rsidP="005413B5">
      <w:pPr>
        <w:spacing w:after="240"/>
        <w:rPr>
          <w:rFonts w:cs="Arial"/>
          <w:sz w:val="20"/>
        </w:rPr>
      </w:pPr>
      <w:r w:rsidRPr="00C24253">
        <w:rPr>
          <w:rFonts w:cs="Arial"/>
          <w:sz w:val="20"/>
        </w:rPr>
        <w:t>Více než třetina (37,8 %) pracujících důchodců byli důchodci starobní. Nejvýrazněji byla zastoupena věková kategorie 65-69 let. Vyšší ekonomickou aktivitu proti mužům vykazovaly ženy důchodkyně ve věku 75-79 let. V ostatních věkových kategoriích převažovali muži, nejvýrazněji ve věku 65</w:t>
      </w:r>
      <w:r w:rsidR="00BA621E">
        <w:rPr>
          <w:rFonts w:cs="Arial"/>
          <w:sz w:val="20"/>
        </w:rPr>
        <w:t>-69 let, tedy ve věku krátce po </w:t>
      </w:r>
      <w:r w:rsidRPr="00C24253">
        <w:rPr>
          <w:rFonts w:cs="Arial"/>
          <w:sz w:val="20"/>
        </w:rPr>
        <w:t xml:space="preserve">dosažení hranice odchodu do důchodu. </w:t>
      </w:r>
    </w:p>
    <w:p w:rsidR="00224BFA" w:rsidRPr="00C24253" w:rsidRDefault="00DA6630" w:rsidP="00224BFA">
      <w:pPr>
        <w:jc w:val="center"/>
        <w:rPr>
          <w:rFonts w:cs="Arial"/>
          <w:sz w:val="20"/>
        </w:rPr>
      </w:pPr>
      <w:r w:rsidRPr="00E946DF">
        <w:rPr>
          <w:rFonts w:cs="Arial"/>
          <w:sz w:val="20"/>
        </w:rPr>
        <w:lastRenderedPageBreak/>
        <w:fldChar w:fldCharType="begin"/>
      </w:r>
      <w:r w:rsidR="00485FDE" w:rsidRPr="00E946DF">
        <w:rPr>
          <w:rFonts w:cs="Arial"/>
          <w:sz w:val="20"/>
        </w:rPr>
        <w:instrText xml:space="preserve"> LINK Excel.Sheet.8 "D:\\RŮŽKOVÁ\\ALLSČÍTÁNÍ LIDU - VŠE O sl\\PRAMENNÉ dílo\\A KOMPLETACE PD\\EAgraf_důchodci_02 nový.xlsx!List1![EAgraf_důchodci_02 nový.xlsx]List1 Graf 2" "" \a \p </w:instrText>
      </w:r>
      <w:r w:rsidRPr="00E946DF">
        <w:rPr>
          <w:rFonts w:cs="Arial"/>
          <w:sz w:val="20"/>
        </w:rPr>
        <w:fldChar w:fldCharType="separate"/>
      </w:r>
      <w:r w:rsidR="00B04FD1" w:rsidRPr="00DA6630">
        <w:rPr>
          <w:rFonts w:cs="Arial"/>
          <w:sz w:val="20"/>
        </w:rPr>
        <w:object w:dxaOrig="8010" w:dyaOrig="5745">
          <v:shape id="_x0000_i1026" type="#_x0000_t75" style="width:400.5pt;height:287.25pt">
            <v:imagedata r:id="rId11" o:title=""/>
          </v:shape>
        </w:object>
      </w:r>
      <w:r w:rsidRPr="00E946DF">
        <w:rPr>
          <w:rFonts w:cs="Arial"/>
          <w:sz w:val="20"/>
        </w:rPr>
        <w:fldChar w:fldCharType="end"/>
      </w:r>
    </w:p>
    <w:p w:rsidR="00A67766" w:rsidRPr="00C24253" w:rsidRDefault="00C84497" w:rsidP="00E125AB">
      <w:pPr>
        <w:spacing w:before="60" w:after="360"/>
        <w:rPr>
          <w:rFonts w:cs="Arial"/>
          <w:sz w:val="16"/>
          <w:szCs w:val="16"/>
        </w:rPr>
      </w:pPr>
      <w:r w:rsidRPr="00C24253">
        <w:rPr>
          <w:rFonts w:cs="Arial"/>
          <w:sz w:val="16"/>
          <w:szCs w:val="16"/>
        </w:rPr>
        <w:t>*</w:t>
      </w:r>
      <w:r w:rsidR="00A67766" w:rsidRPr="00C24253">
        <w:rPr>
          <w:rFonts w:cs="Arial"/>
          <w:sz w:val="16"/>
          <w:szCs w:val="16"/>
        </w:rPr>
        <w:t>A - zemědělství, lesnictví a rybářství, B - těžba a dobývání, C -  zpracovatelský průmysl, D - výroba a r</w:t>
      </w:r>
      <w:r w:rsidR="00BA621E">
        <w:rPr>
          <w:rFonts w:cs="Arial"/>
          <w:sz w:val="16"/>
          <w:szCs w:val="16"/>
        </w:rPr>
        <w:t>ozvod elektřiny, plynu, tepla a </w:t>
      </w:r>
      <w:r w:rsidR="00A67766" w:rsidRPr="00C24253">
        <w:rPr>
          <w:rFonts w:cs="Arial"/>
          <w:sz w:val="16"/>
          <w:szCs w:val="16"/>
        </w:rPr>
        <w:t xml:space="preserve">klimatizovaného vzduchu, E - zásobování vodou; činnosti související s odpadními vodami, odpady a </w:t>
      </w:r>
      <w:r w:rsidR="00BA621E">
        <w:rPr>
          <w:rFonts w:cs="Arial"/>
          <w:sz w:val="16"/>
          <w:szCs w:val="16"/>
        </w:rPr>
        <w:t>sanacemi, F – stavebnictví,       G - </w:t>
      </w:r>
      <w:r w:rsidR="00A67766" w:rsidRPr="00C24253">
        <w:rPr>
          <w:rFonts w:cs="Arial"/>
          <w:sz w:val="16"/>
          <w:szCs w:val="16"/>
        </w:rPr>
        <w:t>velkoobchod a maloobchod; opravy a údržba motorových vozidel, H – doprava a skladování, I - ubytování, stravování a pohosti</w:t>
      </w:r>
      <w:r w:rsidR="00A67766" w:rsidRPr="00C24253">
        <w:rPr>
          <w:rFonts w:cs="Arial"/>
          <w:sz w:val="16"/>
          <w:szCs w:val="16"/>
        </w:rPr>
        <w:t>n</w:t>
      </w:r>
      <w:r w:rsidR="00A67766" w:rsidRPr="00C24253">
        <w:rPr>
          <w:rFonts w:cs="Arial"/>
          <w:sz w:val="16"/>
          <w:szCs w:val="16"/>
        </w:rPr>
        <w:t>ství, J - informační a komunikační činnosti, K – peněžnictví a pojišťovnictví, L – činnosti v oblasti nemov</w:t>
      </w:r>
      <w:r w:rsidR="00BA621E">
        <w:rPr>
          <w:rFonts w:cs="Arial"/>
          <w:sz w:val="16"/>
          <w:szCs w:val="16"/>
        </w:rPr>
        <w:t>itostí, M - profesní, vědecké a </w:t>
      </w:r>
      <w:r w:rsidR="00A67766" w:rsidRPr="00C24253">
        <w:rPr>
          <w:rFonts w:cs="Arial"/>
          <w:sz w:val="16"/>
          <w:szCs w:val="16"/>
        </w:rPr>
        <w:t>technické činnosti, O - veřejná správa a obrana; povinné sociální zabezpečení, P – vzdělávání, Q - zdravotní a sociální péče, R - kulturní, zábavní a rekreační činnosti</w:t>
      </w:r>
      <w:r w:rsidR="00224BFA" w:rsidRPr="00C24253">
        <w:rPr>
          <w:rFonts w:cs="Arial"/>
          <w:sz w:val="16"/>
          <w:szCs w:val="16"/>
        </w:rPr>
        <w:t>.</w:t>
      </w:r>
    </w:p>
    <w:p w:rsidR="00A67766" w:rsidRPr="00C24253" w:rsidRDefault="00A67766" w:rsidP="00CC17F6">
      <w:pPr>
        <w:spacing w:before="240" w:after="240"/>
        <w:rPr>
          <w:rFonts w:cs="Arial"/>
          <w:sz w:val="20"/>
        </w:rPr>
      </w:pPr>
      <w:r w:rsidRPr="00C24253">
        <w:rPr>
          <w:rFonts w:cs="Arial"/>
          <w:sz w:val="20"/>
        </w:rPr>
        <w:t>Polovina pracujících důchodců ve věku 65 let a starších (50,2 %) byli zaměstnanci. V porovnání se zaměstnanými celkem mezi pracujícími důchodci byly častěji zastoupeny osoby pracující na vlastní účet  - byla jich téměř čtvrtina, zatímco v celkovém počtu zaměstnaných to bylo jen 12,9 %. Starobní důchodci ne</w:t>
      </w:r>
      <w:r w:rsidRPr="00C24253">
        <w:rPr>
          <w:rFonts w:cs="Arial"/>
          <w:sz w:val="20"/>
        </w:rPr>
        <w:t>j</w:t>
      </w:r>
      <w:r w:rsidRPr="00C24253">
        <w:rPr>
          <w:rFonts w:cs="Arial"/>
          <w:sz w:val="20"/>
        </w:rPr>
        <w:t>častěji pracovali v odvětví vzdělávání (10,7 %) a zpracovatelském průmyslu (9,7 %), kde téměř polovina z nich byli zaměstnavatelé nebo osoby pracující na vlastní účet. Téměř čtvrtina (23,9 %) byla zaměstnána jako specialisté a 14,9 % bylo technických a odborných pracovníků, tedy zaměstnání, pro jejichž výkon se předpokládá vysokoškolské vzdělání</w:t>
      </w:r>
      <w:r w:rsidR="00224BFA" w:rsidRPr="00C24253">
        <w:rPr>
          <w:rFonts w:cs="Arial"/>
          <w:sz w:val="20"/>
        </w:rPr>
        <w:t>.</w:t>
      </w:r>
    </w:p>
    <w:p w:rsidR="002F5448" w:rsidRDefault="00A67766" w:rsidP="00B400F0">
      <w:pPr>
        <w:pStyle w:val="Nadpis3"/>
      </w:pPr>
      <w:bookmarkStart w:id="3" w:name="_Toc371588172"/>
      <w:r w:rsidRPr="00C24253">
        <w:t>Nezaměstnaní</w:t>
      </w:r>
      <w:bookmarkEnd w:id="3"/>
    </w:p>
    <w:p w:rsidR="00D93588" w:rsidRPr="005364DB" w:rsidRDefault="00A67766" w:rsidP="005364DB">
      <w:pPr>
        <w:spacing w:after="120"/>
        <w:rPr>
          <w:sz w:val="20"/>
          <w:szCs w:val="20"/>
        </w:rPr>
      </w:pPr>
      <w:r w:rsidRPr="005364DB">
        <w:rPr>
          <w:sz w:val="20"/>
          <w:szCs w:val="20"/>
        </w:rPr>
        <w:t>Do roku 1989 v České republice v podstatě neexistovala nezaměstnanost. Při sčítání v roce 1991 byla zji</w:t>
      </w:r>
      <w:r w:rsidRPr="005364DB">
        <w:rPr>
          <w:sz w:val="20"/>
          <w:szCs w:val="20"/>
        </w:rPr>
        <w:t>š</w:t>
      </w:r>
      <w:r w:rsidRPr="005364DB">
        <w:rPr>
          <w:sz w:val="20"/>
          <w:szCs w:val="20"/>
        </w:rPr>
        <w:t>těna míra nezaměstnanosti</w:t>
      </w:r>
      <w:r w:rsidR="00B0586D" w:rsidRPr="005364DB">
        <w:rPr>
          <w:sz w:val="20"/>
          <w:szCs w:val="20"/>
        </w:rPr>
        <w:footnoteReference w:id="2"/>
      </w:r>
      <w:r w:rsidRPr="005364DB">
        <w:rPr>
          <w:sz w:val="20"/>
          <w:szCs w:val="20"/>
        </w:rPr>
        <w:t xml:space="preserve"> pouze 2,3 %. Do roku 2001 vzrostl počet n</w:t>
      </w:r>
      <w:r w:rsidR="00231F90">
        <w:rPr>
          <w:sz w:val="20"/>
          <w:szCs w:val="20"/>
        </w:rPr>
        <w:t>ezaměstnaných na 487 tisíc (9,3 </w:t>
      </w:r>
      <w:r w:rsidRPr="005364DB">
        <w:rPr>
          <w:sz w:val="20"/>
          <w:szCs w:val="20"/>
        </w:rPr>
        <w:t xml:space="preserve">%) a v roce 2011 bylo nezaměstnaných bezmála půl milionu osob. </w:t>
      </w:r>
    </w:p>
    <w:p w:rsidR="00A67766" w:rsidRDefault="00A67766" w:rsidP="002F5448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Míra obecné nezaměstnanosti dosáhla 9,8 %. Míra nezaměstnanosti byla vyšší u žen (10,4 %) než u mužů (9,4 %). Nejvyšší podíl nezaměstnaných byl v nejmladší věkové skupině 15-19 let, a to 32,3 %. V absolutním vyjádření jde ale o necelých 22 tisíc osob, protože téměř čtyři pětiny osob v této věkové skupině tvoří ještě žáci a studenti. S rostoucím věkem podíl nezaměstnaných klesal na 7,9 % ve věku 35-44 let. S výjimkou nejmladších a nejstarších věkových skupin byla vyšší míra nezaměstnanosti </w:t>
      </w:r>
      <w:r w:rsidR="002F4E29" w:rsidRPr="00C24253">
        <w:rPr>
          <w:rFonts w:cs="Arial"/>
          <w:sz w:val="20"/>
        </w:rPr>
        <w:t>u žen.</w:t>
      </w:r>
    </w:p>
    <w:p w:rsidR="002F5448" w:rsidRPr="00C24253" w:rsidRDefault="002F5448" w:rsidP="00C30910">
      <w:pPr>
        <w:rPr>
          <w:rFonts w:cs="Arial"/>
          <w:sz w:val="20"/>
        </w:rPr>
      </w:pPr>
      <w:r w:rsidRPr="00C24253">
        <w:rPr>
          <w:rFonts w:cs="Arial"/>
          <w:sz w:val="20"/>
        </w:rPr>
        <w:t xml:space="preserve">V absolutním vyjádření byl </w:t>
      </w:r>
      <w:r w:rsidRPr="00C24253">
        <w:rPr>
          <w:rFonts w:cs="Arial"/>
          <w:b/>
          <w:sz w:val="20"/>
        </w:rPr>
        <w:t>nejvyšší počet nezaměstnaných ve věku 20-24 let</w:t>
      </w:r>
      <w:r w:rsidRPr="00C24253">
        <w:rPr>
          <w:rFonts w:cs="Arial"/>
          <w:sz w:val="20"/>
        </w:rPr>
        <w:t>, kdy téměř polovinu jejich počtu tvořili absolventi škol hledající své první zaměstnání. Teprve ve věkových skupinách od 30 let výše vliv nezaměstnaných absolventů slábl.  Vývoj počtů nezaměstnaných mužů a žen v závislosti na věku byl čá</w:t>
      </w:r>
      <w:r w:rsidRPr="00C24253">
        <w:rPr>
          <w:rFonts w:cs="Arial"/>
          <w:sz w:val="20"/>
        </w:rPr>
        <w:t>s</w:t>
      </w:r>
      <w:r w:rsidRPr="00C24253">
        <w:rPr>
          <w:rFonts w:cs="Arial"/>
          <w:sz w:val="20"/>
        </w:rPr>
        <w:t>tečně odlišný. Zatímco u mužů počet nezaměstnaných s věkem plynule klesá až do minima ve věkové sk</w:t>
      </w:r>
      <w:r w:rsidRPr="00C24253">
        <w:rPr>
          <w:rFonts w:cs="Arial"/>
          <w:sz w:val="20"/>
        </w:rPr>
        <w:t>u</w:t>
      </w:r>
      <w:r w:rsidRPr="00C24253">
        <w:rPr>
          <w:rFonts w:cs="Arial"/>
          <w:sz w:val="20"/>
        </w:rPr>
        <w:t>pině 40 - 44 let, a poté stejně plynule stoupá, u žen jsou křivky vzestupu dvě. Stejně jako u mužů je to po dosažení minima ve věku 40 – 44 let, ale rovněž mezi 30 – 39 lety věku ženy, tedy v životním období, kdy se žena vrací (zpravidla po rodičovské dovolené) zpět do práce a hledá obtížněji zaměstnání</w:t>
      </w:r>
      <w:r>
        <w:rPr>
          <w:rFonts w:cs="Arial"/>
          <w:sz w:val="20"/>
        </w:rPr>
        <w:t>.</w:t>
      </w:r>
    </w:p>
    <w:p w:rsidR="00A67766" w:rsidRPr="00C24253" w:rsidRDefault="00DA6630" w:rsidP="00B0586D">
      <w:pPr>
        <w:jc w:val="center"/>
      </w:pPr>
      <w:r>
        <w:lastRenderedPageBreak/>
        <w:fldChar w:fldCharType="begin"/>
      </w:r>
      <w:r w:rsidR="00485FDE">
        <w:instrText xml:space="preserve"> LINK Excel.Sheet.8 "D:\\RŮŽKOVÁ\\ALLSČÍTÁNÍ LIDU - VŠE O sl\\PRAMENNÉ dílo\\A KOMPLETACE PD\\EAgraf_nezam_odvětví.xlsx!List1![EAgraf_nezam_odvětví.xlsx]List1 Graf 1" "" \a \p \* MERGEFORMAT </w:instrText>
      </w:r>
      <w:r>
        <w:fldChar w:fldCharType="separate"/>
      </w:r>
      <w:r>
        <w:object w:dxaOrig="4320" w:dyaOrig="4320">
          <v:shape id="_x0000_i1027" type="#_x0000_t75" style="width:393pt;height:227.25pt">
            <v:imagedata r:id="rId12" o:title=""/>
          </v:shape>
        </w:object>
      </w:r>
      <w:r>
        <w:fldChar w:fldCharType="end"/>
      </w:r>
    </w:p>
    <w:p w:rsidR="00C84497" w:rsidRPr="00C24253" w:rsidRDefault="00C84497" w:rsidP="00940248">
      <w:pPr>
        <w:spacing w:after="360"/>
      </w:pPr>
      <w:r w:rsidRPr="00C24253">
        <w:t>*</w:t>
      </w:r>
      <w:r w:rsidRPr="00C24253">
        <w:rPr>
          <w:rFonts w:cs="Arial"/>
          <w:sz w:val="16"/>
          <w:szCs w:val="16"/>
        </w:rPr>
        <w:t>A - zemědělství, lesnictví a rybářství, B - těžba a dobývání, C -  zpracovatelský průmysl, D - výroba a r</w:t>
      </w:r>
      <w:r w:rsidR="00231F90">
        <w:rPr>
          <w:rFonts w:cs="Arial"/>
          <w:sz w:val="16"/>
          <w:szCs w:val="16"/>
        </w:rPr>
        <w:t>ozvod elektřiny, plynu, tepla a </w:t>
      </w:r>
      <w:r w:rsidRPr="00C24253">
        <w:rPr>
          <w:rFonts w:cs="Arial"/>
          <w:sz w:val="16"/>
          <w:szCs w:val="16"/>
        </w:rPr>
        <w:t>klimatizovaného vzduchu, E - zásobování vodou; činnosti související s odpadními vodami, odpady a sanacemi, F – stavebnictví, G - velkoobchod a maloobchod; opravy a údržba motorových vozidel, H – doprava a skladování, I - ubytování, stravování a pohostinství, J - informační a komunikační činnosti, K – peněžnictví a pojišťovnictví, L – činnosti v oblasti nemovitostí, M - profesní, vědecké a technické činnosti, O - veřejná správa a obrana; povinné sociální zabezpečení, P – vzdělávání, Q - zdravotní a sociální péče, R - kulturní, zábavní a rekreační činnosti</w:t>
      </w:r>
    </w:p>
    <w:p w:rsidR="00CC17F6" w:rsidRDefault="00A67766" w:rsidP="00940248">
      <w:pPr>
        <w:spacing w:before="120" w:after="120"/>
        <w:rPr>
          <w:rFonts w:cs="Arial"/>
          <w:sz w:val="20"/>
        </w:rPr>
      </w:pPr>
      <w:r w:rsidRPr="00C24253">
        <w:rPr>
          <w:rFonts w:cs="Arial"/>
          <w:sz w:val="20"/>
        </w:rPr>
        <w:t>Téměř polovina nezaměstnaných (bez osob hledajících první zaměstnání) neuvedla, jaké bylo jejich pře</w:t>
      </w:r>
      <w:r w:rsidRPr="00C24253">
        <w:rPr>
          <w:rFonts w:cs="Arial"/>
          <w:sz w:val="20"/>
        </w:rPr>
        <w:t>d</w:t>
      </w:r>
      <w:r w:rsidRPr="00C24253">
        <w:rPr>
          <w:rFonts w:cs="Arial"/>
          <w:sz w:val="20"/>
        </w:rPr>
        <w:t>chozí zaměstnání. Jednoznačně nejvíce mužů i žen pracovalo před ztrátou zaměstnání ve zpracovatelském průmyslu (15,9 %, resp. 14,5 % nezaměstnaných). Muži pak dále pracovali před ztrátou zaměstnání ve st</w:t>
      </w:r>
      <w:r w:rsidRPr="00C24253">
        <w:rPr>
          <w:rFonts w:cs="Arial"/>
          <w:sz w:val="20"/>
        </w:rPr>
        <w:t>a</w:t>
      </w:r>
      <w:r w:rsidRPr="00C24253">
        <w:rPr>
          <w:rFonts w:cs="Arial"/>
          <w:sz w:val="20"/>
        </w:rPr>
        <w:t xml:space="preserve">vebnictví a ženy v odvětví velkoobchod a maloobchod; opravy a údržba motorových vozidel (obě skupiny po cca 11 %). </w:t>
      </w:r>
    </w:p>
    <w:p w:rsidR="00A67766" w:rsidRPr="00C24253" w:rsidRDefault="00A67766" w:rsidP="00361943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>Nejstabilnější vzhledem k riziku ztráty zaměstnání byla odvětví výroby a rozvodu elektřiny, plynu, tepla a klimatizovaného vzduchu, činnosti v oblasti nemovitostí a zásobování vodou; činnosti související s odpadními vodami, odpady a sanacemi. Nejvíce nezaměstnaných mužů pracovalo původně jako řemesln</w:t>
      </w:r>
      <w:r w:rsidRPr="00C24253">
        <w:rPr>
          <w:rFonts w:cs="Arial"/>
          <w:sz w:val="20"/>
        </w:rPr>
        <w:t>í</w:t>
      </w:r>
      <w:r w:rsidRPr="00C24253">
        <w:rPr>
          <w:rFonts w:cs="Arial"/>
          <w:sz w:val="20"/>
        </w:rPr>
        <w:t>ci a opraváři a jako obsluha strojů a zařízení, montéři. Nezaměstnané ženy pak byly nejčastěji původně pr</w:t>
      </w:r>
      <w:r w:rsidRPr="00C24253">
        <w:rPr>
          <w:rFonts w:cs="Arial"/>
          <w:sz w:val="20"/>
        </w:rPr>
        <w:t>a</w:t>
      </w:r>
      <w:r w:rsidRPr="00C24253">
        <w:rPr>
          <w:rFonts w:cs="Arial"/>
          <w:sz w:val="20"/>
        </w:rPr>
        <w:t xml:space="preserve">covnicemi ve službách a prodeji. </w:t>
      </w:r>
    </w:p>
    <w:p w:rsidR="00C62D58" w:rsidRPr="00C24253" w:rsidRDefault="00C30910" w:rsidP="00361943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Velký vliv na míru nezaměstnanosti má </w:t>
      </w:r>
      <w:r w:rsidRPr="00C24253">
        <w:rPr>
          <w:rFonts w:cs="Arial"/>
          <w:b/>
          <w:sz w:val="20"/>
        </w:rPr>
        <w:t>dosažený stupeň vzdělání</w:t>
      </w:r>
      <w:r w:rsidRPr="00C24253">
        <w:rPr>
          <w:rFonts w:cs="Arial"/>
          <w:sz w:val="20"/>
        </w:rPr>
        <w:t xml:space="preserve">. Dvě pětiny ekonomicky aktivních osob bez vzdělání a více než čtvrtina se základním vzděláním včetně neukončeného byly bez práce. </w:t>
      </w:r>
      <w:r w:rsidR="002F4E29" w:rsidRPr="00C24253">
        <w:rPr>
          <w:rFonts w:cs="Arial"/>
          <w:sz w:val="20"/>
        </w:rPr>
        <w:t>Naopak n</w:t>
      </w:r>
      <w:r w:rsidR="002F4E29" w:rsidRPr="00C24253">
        <w:rPr>
          <w:rFonts w:cs="Arial"/>
          <w:sz w:val="20"/>
        </w:rPr>
        <w:t>e</w:t>
      </w:r>
      <w:r w:rsidR="002F4E29" w:rsidRPr="00C24253">
        <w:rPr>
          <w:rFonts w:cs="Arial"/>
          <w:sz w:val="20"/>
        </w:rPr>
        <w:t>zaměstnaných vysokoškoláků bylo pouze 3,6 % z celkového počtu ekonomicky aktivních osob s tímto stu</w:t>
      </w:r>
      <w:r w:rsidR="002F4E29" w:rsidRPr="00C24253">
        <w:rPr>
          <w:rFonts w:cs="Arial"/>
          <w:sz w:val="20"/>
        </w:rPr>
        <w:t>p</w:t>
      </w:r>
      <w:r w:rsidR="002F4E29" w:rsidRPr="00C24253">
        <w:rPr>
          <w:rFonts w:cs="Arial"/>
          <w:sz w:val="20"/>
        </w:rPr>
        <w:t xml:space="preserve">něm vzdělání. Nebyly zaznamenány významné odlišnosti v míře nezaměstnanosti mužů a žen v jednotlivých vzdělanostních kategoriích. </w:t>
      </w:r>
    </w:p>
    <w:p w:rsidR="002F4E29" w:rsidRPr="00C24253" w:rsidRDefault="002F4E29" w:rsidP="00CC17F6">
      <w:pPr>
        <w:spacing w:after="360"/>
        <w:rPr>
          <w:rFonts w:cs="Arial"/>
          <w:sz w:val="20"/>
        </w:rPr>
      </w:pPr>
      <w:r w:rsidRPr="00C24253">
        <w:rPr>
          <w:rFonts w:cs="Arial"/>
          <w:sz w:val="20"/>
        </w:rPr>
        <w:t>Nejobtížněji hledali práci osoby s nejnižším vzděláním. Více než dvě pětiny z počtu nezaměstnaných tvořili vyučení bez maturity (42 %) a zhruba pětinu osoby se základním vzděláním včetně neukončeného (22 %).</w:t>
      </w:r>
    </w:p>
    <w:p w:rsidR="00A67766" w:rsidRPr="002F5448" w:rsidRDefault="00A67766" w:rsidP="00B400F0">
      <w:pPr>
        <w:pStyle w:val="Nadpis3"/>
      </w:pPr>
      <w:bookmarkStart w:id="4" w:name="_Toc371066252"/>
      <w:bookmarkStart w:id="5" w:name="_Toc371588173"/>
      <w:r w:rsidRPr="002F5448">
        <w:t>Územní rozdíly</w:t>
      </w:r>
      <w:bookmarkEnd w:id="4"/>
      <w:bookmarkEnd w:id="5"/>
    </w:p>
    <w:p w:rsidR="00A67766" w:rsidRPr="00C24253" w:rsidRDefault="00A67766" w:rsidP="00A67766">
      <w:pPr>
        <w:spacing w:after="120"/>
      </w:pPr>
      <w:r w:rsidRPr="00C24253">
        <w:rPr>
          <w:rFonts w:cs="Arial"/>
          <w:bCs/>
          <w:sz w:val="20"/>
        </w:rPr>
        <w:t>Ekonomicky aktivní obyvatelstvo bylo v jednotlivých krajích v roce 2011 zastoupeno poměrně rovnoměrně. Mírně nadprůměrné hodnoty vykazovaly hlavní město Praha a Středočeský, Jihomoravský, Jihočeský a P</w:t>
      </w:r>
      <w:r w:rsidRPr="00C24253">
        <w:rPr>
          <w:rFonts w:cs="Arial"/>
          <w:bCs/>
          <w:sz w:val="20"/>
        </w:rPr>
        <w:t>l</w:t>
      </w:r>
      <w:r w:rsidRPr="00C24253">
        <w:rPr>
          <w:rFonts w:cs="Arial"/>
          <w:bCs/>
          <w:sz w:val="20"/>
        </w:rPr>
        <w:t>zeňský kraj. Naopak nejvyšší podíly ekonomicky neaktivního obyvatelstva byly zaznamenány ve Zlínském kraji (48,2 %) a kraji Vysočina (48,6 %).</w:t>
      </w:r>
    </w:p>
    <w:p w:rsidR="00783360" w:rsidRDefault="00A67766" w:rsidP="00C62D58">
      <w:pPr>
        <w:spacing w:after="360"/>
        <w:rPr>
          <w:rFonts w:cs="Arial"/>
          <w:sz w:val="20"/>
        </w:rPr>
      </w:pPr>
      <w:r w:rsidRPr="00C24253">
        <w:rPr>
          <w:rFonts w:cs="Arial"/>
          <w:sz w:val="20"/>
        </w:rPr>
        <w:t>Nejvyšší podíl ekonomicky aktivních důchodců byl zjištěn, stejně jako před desíti lety, v Praze. Nad republ</w:t>
      </w:r>
      <w:r w:rsidRPr="00C24253">
        <w:rPr>
          <w:rFonts w:cs="Arial"/>
          <w:sz w:val="20"/>
        </w:rPr>
        <w:t>i</w:t>
      </w:r>
      <w:r w:rsidRPr="00C24253">
        <w:rPr>
          <w:rFonts w:cs="Arial"/>
          <w:sz w:val="20"/>
        </w:rPr>
        <w:t>kový průměr dosáhly pouze čtyři další kraje: Liberecký, Karlovarský, Středočeský a Královéhradecký. Rel</w:t>
      </w:r>
      <w:r w:rsidRPr="00C24253">
        <w:rPr>
          <w:rFonts w:cs="Arial"/>
          <w:sz w:val="20"/>
        </w:rPr>
        <w:t>a</w:t>
      </w:r>
      <w:r w:rsidRPr="00C24253">
        <w:rPr>
          <w:rFonts w:cs="Arial"/>
          <w:sz w:val="20"/>
        </w:rPr>
        <w:t>tivně nejméně důchodců bylo zaměstnáno v kraji Vysočina.</w:t>
      </w:r>
    </w:p>
    <w:p w:rsidR="00A67766" w:rsidRPr="00C24253" w:rsidRDefault="00783360" w:rsidP="00FC1412">
      <w:pPr>
        <w:spacing w:after="120"/>
        <w:ind w:left="709" w:firstLine="142"/>
        <w:rPr>
          <w:rFonts w:cs="Arial"/>
          <w:b/>
          <w:sz w:val="20"/>
        </w:rPr>
      </w:pPr>
      <w:r>
        <w:rPr>
          <w:rFonts w:cs="Arial"/>
          <w:sz w:val="20"/>
        </w:rPr>
        <w:br w:type="page"/>
      </w:r>
      <w:r w:rsidR="00A67766" w:rsidRPr="00C24253">
        <w:rPr>
          <w:rFonts w:cs="Arial"/>
          <w:b/>
          <w:sz w:val="20"/>
        </w:rPr>
        <w:lastRenderedPageBreak/>
        <w:t>Základní ukazatele ekonomické aktivity v krajích ČR k 26. 3. 2011</w:t>
      </w:r>
    </w:p>
    <w:tbl>
      <w:tblPr>
        <w:tblW w:w="7818" w:type="dxa"/>
        <w:jc w:val="center"/>
        <w:tblCellMar>
          <w:left w:w="70" w:type="dxa"/>
          <w:right w:w="70" w:type="dxa"/>
        </w:tblCellMar>
        <w:tblLook w:val="04A0"/>
      </w:tblPr>
      <w:tblGrid>
        <w:gridCol w:w="2516"/>
        <w:gridCol w:w="1304"/>
        <w:gridCol w:w="1319"/>
        <w:gridCol w:w="1267"/>
        <w:gridCol w:w="1412"/>
      </w:tblGrid>
      <w:tr w:rsidR="00E76F7D" w:rsidRPr="00C24253" w:rsidTr="002D7A4E">
        <w:trPr>
          <w:trHeight w:val="907"/>
          <w:jc w:val="center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F7D" w:rsidRPr="00C24253" w:rsidRDefault="00E76F7D" w:rsidP="00E76F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Kraj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7D" w:rsidRPr="00C24253" w:rsidRDefault="002F5448" w:rsidP="002F54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E76F7D" w:rsidRPr="00C24253">
              <w:rPr>
                <w:rFonts w:cs="Arial"/>
                <w:sz w:val="16"/>
                <w:szCs w:val="16"/>
              </w:rPr>
              <w:t>odíl ekon</w:t>
            </w:r>
            <w:r w:rsidR="00E76F7D" w:rsidRPr="00C24253">
              <w:rPr>
                <w:rFonts w:cs="Arial"/>
                <w:sz w:val="16"/>
                <w:szCs w:val="16"/>
              </w:rPr>
              <w:t>o</w:t>
            </w:r>
            <w:r w:rsidR="00E76F7D" w:rsidRPr="00C24253">
              <w:rPr>
                <w:rFonts w:cs="Arial"/>
                <w:sz w:val="16"/>
                <w:szCs w:val="16"/>
              </w:rPr>
              <w:t xml:space="preserve">micky aktivních na celkovém počtu obyvatel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7D" w:rsidRPr="00C24253" w:rsidRDefault="002F5448" w:rsidP="002F54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E76F7D" w:rsidRPr="00C24253">
              <w:rPr>
                <w:rFonts w:cs="Arial"/>
                <w:sz w:val="16"/>
                <w:szCs w:val="16"/>
              </w:rPr>
              <w:t>odíl zaměs</w:t>
            </w:r>
            <w:r w:rsidR="00E76F7D" w:rsidRPr="00C24253">
              <w:rPr>
                <w:rFonts w:cs="Arial"/>
                <w:sz w:val="16"/>
                <w:szCs w:val="16"/>
              </w:rPr>
              <w:t>t</w:t>
            </w:r>
            <w:r w:rsidR="00E76F7D" w:rsidRPr="00C24253">
              <w:rPr>
                <w:rFonts w:cs="Arial"/>
                <w:sz w:val="16"/>
                <w:szCs w:val="16"/>
              </w:rPr>
              <w:t xml:space="preserve">naných na počtu ekonomicky aktivních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7D" w:rsidRPr="00C24253" w:rsidRDefault="002F5448" w:rsidP="002F54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E76F7D" w:rsidRPr="00C24253">
              <w:rPr>
                <w:rFonts w:cs="Arial"/>
                <w:sz w:val="16"/>
                <w:szCs w:val="16"/>
              </w:rPr>
              <w:t>odíl pracuj</w:t>
            </w:r>
            <w:r w:rsidR="00E76F7D" w:rsidRPr="00C24253">
              <w:rPr>
                <w:rFonts w:cs="Arial"/>
                <w:sz w:val="16"/>
                <w:szCs w:val="16"/>
              </w:rPr>
              <w:t>í</w:t>
            </w:r>
            <w:r w:rsidR="00E76F7D" w:rsidRPr="00C24253">
              <w:rPr>
                <w:rFonts w:cs="Arial"/>
                <w:sz w:val="16"/>
                <w:szCs w:val="16"/>
              </w:rPr>
              <w:t xml:space="preserve">cích důchodců na ekonomicky aktivních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7D" w:rsidRPr="00C24253" w:rsidRDefault="002F5448" w:rsidP="002F5448">
            <w:pPr>
              <w:jc w:val="center"/>
              <w:rPr>
                <w:rFonts w:cs="Arial"/>
                <w:sz w:val="16"/>
                <w:szCs w:val="16"/>
              </w:rPr>
            </w:pPr>
            <w:r w:rsidRPr="003A6A00">
              <w:rPr>
                <w:rFonts w:cs="Arial"/>
                <w:sz w:val="16"/>
                <w:szCs w:val="16"/>
              </w:rPr>
              <w:t>O</w:t>
            </w:r>
            <w:r w:rsidR="00E76F7D" w:rsidRPr="003A6A00">
              <w:rPr>
                <w:rFonts w:cs="Arial"/>
                <w:sz w:val="16"/>
                <w:szCs w:val="16"/>
              </w:rPr>
              <w:t>becná míra nezaměstnanosti</w:t>
            </w:r>
            <w:r w:rsidR="00E76F7D" w:rsidRPr="00C24253">
              <w:rPr>
                <w:rFonts w:cs="Arial"/>
                <w:sz w:val="16"/>
                <w:szCs w:val="16"/>
              </w:rPr>
              <w:t xml:space="preserve">* </w:t>
            </w:r>
          </w:p>
        </w:tc>
      </w:tr>
      <w:tr w:rsidR="00E76F7D" w:rsidRPr="00C24253" w:rsidTr="00963F1A">
        <w:trPr>
          <w:trHeight w:val="340"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F7D" w:rsidRPr="00C24253" w:rsidRDefault="00E76F7D" w:rsidP="00A677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F7D" w:rsidRPr="00C24253" w:rsidRDefault="00E76F7D" w:rsidP="00E76F7D">
            <w:pPr>
              <w:ind w:right="113"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Hlavní město Praha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Jihočeský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8,6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Plzeňský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Karlovarský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88,0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12,0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Ústecký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46,6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86,4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13,6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Liberecký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89,2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10,8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Královéhradecký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Pardubický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9,0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 Vysočina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90,6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9,4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89,5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10,5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88,2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Zlínský kraj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89,8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10,2</w:t>
            </w:r>
          </w:p>
        </w:tc>
      </w:tr>
      <w:tr w:rsidR="00A67766" w:rsidRPr="00C24253" w:rsidTr="00963F1A">
        <w:trPr>
          <w:trHeight w:val="283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A67766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 kraj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12,4</w:t>
            </w:r>
          </w:p>
        </w:tc>
      </w:tr>
      <w:tr w:rsidR="00A67766" w:rsidRPr="00C24253" w:rsidTr="00FC1412">
        <w:trPr>
          <w:trHeight w:val="397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66" w:rsidRPr="00C24253" w:rsidRDefault="00A67766" w:rsidP="00E76F7D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ČR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48,7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90,2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66" w:rsidRPr="00C24253" w:rsidRDefault="00A67766" w:rsidP="00E76F7D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9,8</w:t>
            </w:r>
          </w:p>
        </w:tc>
      </w:tr>
      <w:tr w:rsidR="00FC1412" w:rsidRPr="00C24253" w:rsidTr="00FC1412">
        <w:trPr>
          <w:trHeight w:val="397"/>
          <w:jc w:val="center"/>
        </w:trPr>
        <w:tc>
          <w:tcPr>
            <w:tcW w:w="7818" w:type="dxa"/>
            <w:gridSpan w:val="5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FC1412" w:rsidRPr="00C24253" w:rsidRDefault="002B4390" w:rsidP="00FC1412">
            <w:pPr>
              <w:ind w:right="113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  <w:r w:rsidR="00FC1412" w:rsidRPr="00C24253">
              <w:rPr>
                <w:rFonts w:cs="Arial"/>
                <w:sz w:val="16"/>
                <w:szCs w:val="16"/>
              </w:rPr>
              <w:t> </w:t>
            </w:r>
            <w:r w:rsidR="00FC1412" w:rsidRPr="003A6A00">
              <w:rPr>
                <w:rFonts w:cs="Arial"/>
                <w:bCs/>
                <w:sz w:val="16"/>
                <w:szCs w:val="16"/>
              </w:rPr>
              <w:t>podíl nezaměstnaných na celkovém počtu ekonomicky aktivních</w:t>
            </w:r>
          </w:p>
        </w:tc>
      </w:tr>
    </w:tbl>
    <w:p w:rsidR="00A67766" w:rsidRPr="00C24253" w:rsidRDefault="00A67766" w:rsidP="00FC1412">
      <w:pPr>
        <w:spacing w:before="360" w:after="120"/>
        <w:rPr>
          <w:rFonts w:cs="Arial"/>
          <w:sz w:val="20"/>
        </w:rPr>
      </w:pPr>
      <w:r w:rsidRPr="00C24253">
        <w:rPr>
          <w:rFonts w:cs="Arial"/>
          <w:sz w:val="20"/>
        </w:rPr>
        <w:t>Nejvyšší podíl zaměstnavatelů a osob pracujících na vlastní účet na zaměstnaném obyvatelstvu jednozna</w:t>
      </w:r>
      <w:r w:rsidRPr="00C24253">
        <w:rPr>
          <w:rFonts w:cs="Arial"/>
          <w:sz w:val="20"/>
        </w:rPr>
        <w:t>č</w:t>
      </w:r>
      <w:r w:rsidRPr="00C24253">
        <w:rPr>
          <w:rFonts w:cs="Arial"/>
          <w:sz w:val="20"/>
        </w:rPr>
        <w:t xml:space="preserve">ně vykazovalo hlavní město Praha. Podíl zaměstnavatelů v ostatních krajích byl téměř shodný, pohyboval se kolem 1 %. Osob pracujících na vlastní účet ve všech krajích (s výjimkou Prahy) bylo 10 – 14 % (10,0 % v Moravskoslezském kraji a 14,1 % ve Středočeském kraji). </w:t>
      </w:r>
    </w:p>
    <w:p w:rsidR="00E76F7D" w:rsidRPr="00C24253" w:rsidRDefault="00A67766" w:rsidP="00E76F7D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 xml:space="preserve">Větší regionální rozdíly byly zaznamenány v obecné míře nezaměstnanosti, hodnoty se pohybovaly v rozmezí bezmála šesti procentních bodů. </w:t>
      </w:r>
    </w:p>
    <w:p w:rsidR="00A67766" w:rsidRPr="00C24253" w:rsidRDefault="00A67766" w:rsidP="00E76F7D">
      <w:pPr>
        <w:spacing w:after="120"/>
        <w:rPr>
          <w:rFonts w:cs="Arial"/>
          <w:sz w:val="20"/>
        </w:rPr>
      </w:pPr>
      <w:r w:rsidRPr="00C24253">
        <w:rPr>
          <w:rFonts w:cs="Arial"/>
          <w:sz w:val="20"/>
        </w:rPr>
        <w:t>Nejnižší podíl nezaměstnaných byl zjištěn v Praze, nejvyšší v Ústeckém kraji. S výjimkou zmíněného Úste</w:t>
      </w:r>
      <w:r w:rsidRPr="00C24253">
        <w:rPr>
          <w:rFonts w:cs="Arial"/>
          <w:sz w:val="20"/>
        </w:rPr>
        <w:t>c</w:t>
      </w:r>
      <w:r w:rsidRPr="00C24253">
        <w:rPr>
          <w:rFonts w:cs="Arial"/>
          <w:sz w:val="20"/>
        </w:rPr>
        <w:t xml:space="preserve">kého kraje a dvou nejmenších (Karlovarského a Libereckého), české kraje vykazovaly podprůměrnou míru nezaměstnanosti. Naopak všechny moravské kraje se dostaly nad republikový průměr.   </w:t>
      </w:r>
    </w:p>
    <w:p w:rsidR="00D341A3" w:rsidRPr="00C24253" w:rsidRDefault="00A67766" w:rsidP="00D341A3">
      <w:pPr>
        <w:pStyle w:val="Zkladntext"/>
        <w:ind w:firstLine="0"/>
      </w:pPr>
      <w:r w:rsidRPr="00C24253">
        <w:t>Zaměstnanost v jednotlivých odvětvích se v krajích také lišila, i když ne výrazně. Nejvyšší podíly zaměstn</w:t>
      </w:r>
      <w:r w:rsidRPr="00C24253">
        <w:t>a</w:t>
      </w:r>
      <w:r w:rsidRPr="00C24253">
        <w:t xml:space="preserve">ných v zemědělství, lesnictví a rybářství (6,3 %) a průmyslu (32,9 %) byly zjištěny v kraji Vysočina (celkem v ČR 2,7 % resp. 25,4 %). V ostatních odvětvích se podíly zaměstnaných v daném odvětví mezi jednotlivými kraji výrazně nelišily. V odvětví vzdělávání bylo regionální </w:t>
      </w:r>
      <w:r w:rsidR="00D341A3" w:rsidRPr="00C24253">
        <w:t>rozmístění nejrovnoměrnější a podíl tohoto odvě</w:t>
      </w:r>
      <w:r w:rsidR="00D341A3" w:rsidRPr="00C24253">
        <w:t>t</w:t>
      </w:r>
      <w:r w:rsidR="00D341A3" w:rsidRPr="00C24253">
        <w:t xml:space="preserve">ví se pohyboval napříč kraji v intervalu  5,2 -  6,7 %. </w:t>
      </w:r>
    </w:p>
    <w:sectPr w:rsidR="00D341A3" w:rsidRPr="00C24253" w:rsidSect="00FC6FDC">
      <w:footerReference w:type="even" r:id="rId13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25" w:rsidRDefault="00491E25">
      <w:r>
        <w:separator/>
      </w:r>
    </w:p>
    <w:p w:rsidR="00491E25" w:rsidRDefault="00491E25"/>
  </w:endnote>
  <w:endnote w:type="continuationSeparator" w:id="0">
    <w:p w:rsidR="00491E25" w:rsidRDefault="00491E25">
      <w:r>
        <w:continuationSeparator/>
      </w:r>
    </w:p>
    <w:p w:rsidR="00491E25" w:rsidRDefault="00491E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D1" w:rsidRDefault="00B04F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4FD1" w:rsidRDefault="00B04FD1">
    <w:pPr>
      <w:pStyle w:val="Zpat"/>
    </w:pPr>
  </w:p>
  <w:p w:rsidR="00B04FD1" w:rsidRDefault="00B04F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25" w:rsidRDefault="00491E25">
      <w:r>
        <w:separator/>
      </w:r>
    </w:p>
    <w:p w:rsidR="00491E25" w:rsidRDefault="00491E25"/>
  </w:footnote>
  <w:footnote w:type="continuationSeparator" w:id="0">
    <w:p w:rsidR="00491E25" w:rsidRDefault="00491E25">
      <w:r>
        <w:continuationSeparator/>
      </w:r>
    </w:p>
    <w:p w:rsidR="00491E25" w:rsidRDefault="00491E25"/>
  </w:footnote>
  <w:footnote w:id="1">
    <w:p w:rsidR="00B04FD1" w:rsidRPr="007722B6" w:rsidRDefault="00B04FD1" w:rsidP="00A67766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Pr="007722B6">
        <w:rPr>
          <w:rFonts w:cs="Arial"/>
          <w:sz w:val="16"/>
          <w:szCs w:val="16"/>
        </w:rPr>
        <w:t xml:space="preserve">Vzhledem k vysokému počtu osob s nezjištěnou ekonomickou aktivitou – 335 tisíc u mužů a 236 tisíc u žen – </w:t>
      </w:r>
      <w:r>
        <w:rPr>
          <w:rFonts w:cs="Arial"/>
          <w:sz w:val="16"/>
          <w:szCs w:val="16"/>
        </w:rPr>
        <w:t>je</w:t>
      </w:r>
      <w:r w:rsidRPr="007722B6">
        <w:rPr>
          <w:rFonts w:cs="Arial"/>
          <w:sz w:val="16"/>
          <w:szCs w:val="16"/>
        </w:rPr>
        <w:t xml:space="preserve"> podíl ekonomicky aktivních </w:t>
      </w:r>
      <w:r>
        <w:rPr>
          <w:rFonts w:cs="Arial"/>
          <w:sz w:val="16"/>
          <w:szCs w:val="16"/>
        </w:rPr>
        <w:t xml:space="preserve">vztažen k </w:t>
      </w:r>
      <w:r w:rsidRPr="007722B6">
        <w:rPr>
          <w:rFonts w:cs="Arial"/>
          <w:sz w:val="16"/>
          <w:szCs w:val="16"/>
        </w:rPr>
        <w:t>počtu obyvatel se zjištěnou ekonomickou aktivitou.</w:t>
      </w:r>
    </w:p>
  </w:footnote>
  <w:footnote w:id="2">
    <w:p w:rsidR="00B04FD1" w:rsidRDefault="00B04FD1" w:rsidP="00B0586D">
      <w:pPr>
        <w:ind w:left="360"/>
      </w:pPr>
      <w:r>
        <w:rPr>
          <w:rStyle w:val="Znakapoznpodarou"/>
        </w:rPr>
        <w:footnoteRef/>
      </w:r>
      <w:r>
        <w:t xml:space="preserve"> </w:t>
      </w:r>
      <w:r w:rsidRPr="00B0586D">
        <w:rPr>
          <w:i/>
          <w:sz w:val="18"/>
          <w:szCs w:val="18"/>
        </w:rPr>
        <w:t>M</w:t>
      </w:r>
      <w:r w:rsidRPr="00B0586D">
        <w:rPr>
          <w:rFonts w:cs="Arial"/>
          <w:i/>
          <w:sz w:val="18"/>
          <w:szCs w:val="18"/>
        </w:rPr>
        <w:t>íra nezaměstnanosti = podíl nezaměstnaných na ekonomicky aktivních v %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0512EF"/>
    <w:multiLevelType w:val="multilevel"/>
    <w:tmpl w:val="03BA44B4"/>
    <w:lvl w:ilvl="0">
      <w:start w:val="11"/>
      <w:numFmt w:val="decimal"/>
      <w:pStyle w:val="Dilonadpis1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E1A6B"/>
    <w:multiLevelType w:val="multilevel"/>
    <w:tmpl w:val="2C401CCC"/>
    <w:numStyleLink w:val="Styl8"/>
  </w:abstractNum>
  <w:abstractNum w:abstractNumId="4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9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7"/>
  </w:num>
  <w:num w:numId="5">
    <w:abstractNumId w:val="18"/>
  </w:num>
  <w:num w:numId="6">
    <w:abstractNumId w:val="10"/>
  </w:num>
  <w:num w:numId="7">
    <w:abstractNumId w:val="32"/>
  </w:num>
  <w:num w:numId="8">
    <w:abstractNumId w:val="6"/>
  </w:num>
  <w:num w:numId="9">
    <w:abstractNumId w:val="12"/>
  </w:num>
  <w:num w:numId="10">
    <w:abstractNumId w:val="2"/>
  </w:num>
  <w:num w:numId="11">
    <w:abstractNumId w:val="21"/>
  </w:num>
  <w:num w:numId="12">
    <w:abstractNumId w:val="15"/>
  </w:num>
  <w:num w:numId="13">
    <w:abstractNumId w:val="19"/>
  </w:num>
  <w:num w:numId="14">
    <w:abstractNumId w:val="3"/>
  </w:num>
  <w:num w:numId="15">
    <w:abstractNumId w:val="9"/>
  </w:num>
  <w:num w:numId="16">
    <w:abstractNumId w:val="20"/>
  </w:num>
  <w:num w:numId="17">
    <w:abstractNumId w:val="29"/>
  </w:num>
  <w:num w:numId="18">
    <w:abstractNumId w:val="33"/>
  </w:num>
  <w:num w:numId="19">
    <w:abstractNumId w:val="35"/>
  </w:num>
  <w:num w:numId="20">
    <w:abstractNumId w:val="0"/>
  </w:num>
  <w:num w:numId="21">
    <w:abstractNumId w:val="28"/>
  </w:num>
  <w:num w:numId="22">
    <w:abstractNumId w:val="4"/>
  </w:num>
  <w:num w:numId="23">
    <w:abstractNumId w:val="25"/>
  </w:num>
  <w:num w:numId="24">
    <w:abstractNumId w:val="27"/>
  </w:num>
  <w:num w:numId="25">
    <w:abstractNumId w:val="11"/>
  </w:num>
  <w:num w:numId="26">
    <w:abstractNumId w:val="31"/>
  </w:num>
  <w:num w:numId="27">
    <w:abstractNumId w:val="16"/>
  </w:num>
  <w:num w:numId="28">
    <w:abstractNumId w:val="24"/>
  </w:num>
  <w:num w:numId="29">
    <w:abstractNumId w:val="22"/>
  </w:num>
  <w:num w:numId="30">
    <w:abstractNumId w:val="13"/>
  </w:num>
  <w:num w:numId="31">
    <w:abstractNumId w:val="5"/>
  </w:num>
  <w:num w:numId="32">
    <w:abstractNumId w:val="26"/>
  </w:num>
  <w:num w:numId="33">
    <w:abstractNumId w:val="31"/>
    <w:lvlOverride w:ilvl="0">
      <w:startOverride w:val="3"/>
    </w:lvlOverride>
    <w:lvlOverride w:ilvl="1">
      <w:startOverride w:val="1"/>
    </w:lvlOverride>
  </w:num>
  <w:num w:numId="34">
    <w:abstractNumId w:val="31"/>
    <w:lvlOverride w:ilvl="0">
      <w:startOverride w:val="4"/>
    </w:lvlOverride>
    <w:lvlOverride w:ilvl="1">
      <w:startOverride w:val="1"/>
    </w:lvlOverride>
  </w:num>
  <w:num w:numId="35">
    <w:abstractNumId w:val="31"/>
    <w:lvlOverride w:ilvl="0">
      <w:startOverride w:val="5"/>
    </w:lvlOverride>
    <w:lvlOverride w:ilvl="1">
      <w:startOverride w:val="1"/>
    </w:lvlOverride>
  </w:num>
  <w:num w:numId="36">
    <w:abstractNumId w:val="31"/>
    <w:lvlOverride w:ilvl="0">
      <w:startOverride w:val="6"/>
    </w:lvlOverride>
    <w:lvlOverride w:ilvl="1">
      <w:startOverride w:val="1"/>
    </w:lvlOverride>
  </w:num>
  <w:num w:numId="37">
    <w:abstractNumId w:val="31"/>
    <w:lvlOverride w:ilvl="0">
      <w:startOverride w:val="9"/>
    </w:lvlOverride>
    <w:lvlOverride w:ilvl="1">
      <w:startOverride w:val="1"/>
    </w:lvlOverride>
  </w:num>
  <w:num w:numId="38">
    <w:abstractNumId w:val="31"/>
    <w:lvlOverride w:ilvl="0">
      <w:startOverride w:val="13"/>
    </w:lvlOverride>
    <w:lvlOverride w:ilvl="1">
      <w:startOverride w:val="1"/>
    </w:lvlOverride>
  </w:num>
  <w:num w:numId="39">
    <w:abstractNumId w:val="31"/>
    <w:lvlOverride w:ilvl="0">
      <w:startOverride w:val="15"/>
    </w:lvlOverride>
    <w:lvlOverride w:ilvl="1">
      <w:startOverride w:val="1"/>
    </w:lvlOverride>
  </w:num>
  <w:num w:numId="40">
    <w:abstractNumId w:val="23"/>
  </w:num>
  <w:num w:numId="41">
    <w:abstractNumId w:val="30"/>
  </w:num>
  <w:num w:numId="42">
    <w:abstractNumId w:val="7"/>
  </w:num>
  <w:num w:numId="43">
    <w:abstractNumId w:val="31"/>
    <w:lvlOverride w:ilvl="0">
      <w:startOverride w:val="1"/>
    </w:lvlOverride>
    <w:lvlOverride w:ilvl="1">
      <w:startOverride w:val="1"/>
    </w:lvlOverride>
  </w:num>
  <w:num w:numId="44">
    <w:abstractNumId w:val="31"/>
    <w:lvlOverride w:ilvl="0">
      <w:startOverride w:val="10"/>
    </w:lvlOverride>
    <w:lvlOverride w:ilvl="1">
      <w:startOverride w:val="1"/>
    </w:lvlOverride>
  </w:num>
  <w:num w:numId="45">
    <w:abstractNumId w:val="31"/>
    <w:lvlOverride w:ilvl="0">
      <w:startOverride w:val="11"/>
    </w:lvlOverride>
    <w:lvlOverride w:ilvl="1">
      <w:startOverride w:val="1"/>
    </w:lvlOverride>
  </w:num>
  <w:num w:numId="46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1E25"/>
    <w:rsid w:val="00492B70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4FD1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00F0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6630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B400F0"/>
    <w:pPr>
      <w:numPr>
        <w:numId w:val="46"/>
      </w:numPr>
      <w:ind w:left="567" w:hanging="567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B400F0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B400F0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A668-2F59-49E3-8F25-94422A63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3054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21034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2</cp:revision>
  <cp:lastPrinted>2013-11-12T07:39:00Z</cp:lastPrinted>
  <dcterms:created xsi:type="dcterms:W3CDTF">2013-11-14T09:24:00Z</dcterms:created>
  <dcterms:modified xsi:type="dcterms:W3CDTF">2013-11-14T09:24:00Z</dcterms:modified>
</cp:coreProperties>
</file>