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28" w:rsidRPr="009E2909" w:rsidRDefault="009D0488" w:rsidP="00522B2A">
      <w:pPr>
        <w:pStyle w:val="Dilonadpis1"/>
        <w:rPr>
          <w:rFonts w:eastAsia="Calibri"/>
        </w:rPr>
      </w:pPr>
      <w:bookmarkStart w:id="0" w:name="_Toc371588140"/>
      <w:r w:rsidRPr="009E2909">
        <w:rPr>
          <w:rFonts w:eastAsia="Calibri"/>
        </w:rPr>
        <w:t>ROZMÍSTĚNÍ A KONCENTRACE OBYVATEL</w:t>
      </w:r>
      <w:bookmarkEnd w:id="0"/>
      <w:r w:rsidRPr="009E2909">
        <w:rPr>
          <w:rFonts w:eastAsia="Calibri"/>
        </w:rPr>
        <w:t xml:space="preserve">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Změny v rozmístění obyvatelstva probíhají ve srovnání se sociálními či ekonomickými procesy jen pozvolně. Současný stav je tak výsledkem dlouhodobého vývoje. Nejvýraznější rysy současného rozmístění byly dány především vývojem v období industrializace. Ta je spojena s intenzivní fází koncentračního procesu, který probíhal nejdynamičtěji na přelomu 19. a 20. století. Období industrializace bylo charakteristické značným růstem velkých měst a zvyšováním počtu obyvatel v oblastech lokalizace průmyslové výroby (nejprve texti</w:t>
      </w:r>
      <w:r w:rsidRPr="00C24253">
        <w:rPr>
          <w:rFonts w:cs="Arial"/>
          <w:sz w:val="20"/>
          <w:szCs w:val="20"/>
        </w:rPr>
        <w:t>l</w:t>
      </w:r>
      <w:r w:rsidRPr="00C24253">
        <w:rPr>
          <w:rFonts w:cs="Arial"/>
          <w:sz w:val="20"/>
          <w:szCs w:val="20"/>
        </w:rPr>
        <w:t>ního průmyslu, později dalších odvětví), resp. surovinových zdrojů. Významný vliv měl v 19. století i rozvoj železniční sítě, v jehož důsledku řada měst nabyla na významu, zatímco jiná města, která zůstala mimo významné železniční trasy, stagnovala (např. Pardubice vs. Chrudim). Zhruba</w:t>
      </w:r>
      <w:r w:rsidR="00BA621E">
        <w:rPr>
          <w:rFonts w:cs="Arial"/>
          <w:sz w:val="20"/>
          <w:szCs w:val="20"/>
        </w:rPr>
        <w:t xml:space="preserve"> od poloviny 19. století do 30. </w:t>
      </w:r>
      <w:r w:rsidRPr="00C24253">
        <w:rPr>
          <w:rFonts w:cs="Arial"/>
          <w:sz w:val="20"/>
          <w:szCs w:val="20"/>
        </w:rPr>
        <w:t>let 20. století (s výjimkou období 1. světové války) narůstalo především obyvatelstvo severní poloviny území republiky a východní části Moravy a Slezska, naopak počet obyvatel jihozápadních Čech stagnoval či klesal. Tomuto vývoji odpovídá i současná diferenciace hustoty zalidnění – t</w:t>
      </w:r>
      <w:r w:rsidR="00A96EA8">
        <w:rPr>
          <w:rFonts w:cs="Arial"/>
          <w:sz w:val="20"/>
          <w:szCs w:val="20"/>
        </w:rPr>
        <w:t>a je vysoká zejména na Moravě a </w:t>
      </w:r>
      <w:r w:rsidRPr="00C24253">
        <w:rPr>
          <w:rFonts w:cs="Arial"/>
          <w:sz w:val="20"/>
          <w:szCs w:val="20"/>
        </w:rPr>
        <w:t xml:space="preserve">v severní části Čech.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Podstatným způsobem zasáhl do vývoje obyvatelstva poválečný odsun obyvatel německé národnosti z příhraničí. Odsunem se dramaticky snížil celkový počet obyvatel, ale zároveň se tato událost projevila ve zvýšení koncentrace (nerovnoměrnosti rozmístění), zejména v nárůstu podílu Prahy na obyvatelstvu Česka (z 8,9 % na 11,9 % v období 1930 – 1950). I následné </w:t>
      </w:r>
      <w:proofErr w:type="spellStart"/>
      <w:r w:rsidRPr="00C24253">
        <w:rPr>
          <w:rFonts w:cs="Arial"/>
          <w:sz w:val="20"/>
          <w:szCs w:val="20"/>
        </w:rPr>
        <w:t>dosídlování</w:t>
      </w:r>
      <w:proofErr w:type="spellEnd"/>
      <w:r w:rsidRPr="00C24253">
        <w:rPr>
          <w:rFonts w:cs="Arial"/>
          <w:sz w:val="20"/>
          <w:szCs w:val="20"/>
        </w:rPr>
        <w:t xml:space="preserve"> pohraničí koncentraci zvýšilo, protože nebylo rovnoměrné, preferována byla města a pánevní oblasti.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V 50. a 60. letech byl růst obyvatelstva soustředěn hlavně do oblastí těžkého průmyslu, tj. zejména </w:t>
      </w:r>
      <w:proofErr w:type="spellStart"/>
      <w:r w:rsidRPr="00C24253">
        <w:rPr>
          <w:rFonts w:cs="Arial"/>
          <w:sz w:val="20"/>
          <w:szCs w:val="20"/>
        </w:rPr>
        <w:t>Po</w:t>
      </w:r>
      <w:r w:rsidRPr="00C24253">
        <w:rPr>
          <w:rFonts w:cs="Arial"/>
          <w:sz w:val="20"/>
          <w:szCs w:val="20"/>
        </w:rPr>
        <w:t>d</w:t>
      </w:r>
      <w:r w:rsidRPr="00C24253">
        <w:rPr>
          <w:rFonts w:cs="Arial"/>
          <w:sz w:val="20"/>
          <w:szCs w:val="20"/>
        </w:rPr>
        <w:t>krušnohoří</w:t>
      </w:r>
      <w:proofErr w:type="spellEnd"/>
      <w:r w:rsidRPr="00C24253">
        <w:rPr>
          <w:rFonts w:cs="Arial"/>
          <w:sz w:val="20"/>
          <w:szCs w:val="20"/>
        </w:rPr>
        <w:t xml:space="preserve"> a ostravsko-karvinské oblasti. Zintenzivnilo také zvyšování počtu obyvatel při slovenských hran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 xml:space="preserve">cích. Naopak zpomalovalo tempo růstu Prahy. </w:t>
      </w:r>
      <w:proofErr w:type="spellStart"/>
      <w:r w:rsidRPr="00C24253">
        <w:rPr>
          <w:rFonts w:cs="Arial"/>
          <w:sz w:val="20"/>
          <w:szCs w:val="20"/>
        </w:rPr>
        <w:t>Suburbanizační</w:t>
      </w:r>
      <w:proofErr w:type="spellEnd"/>
      <w:r w:rsidRPr="00C24253">
        <w:rPr>
          <w:rFonts w:cs="Arial"/>
          <w:sz w:val="20"/>
          <w:szCs w:val="20"/>
        </w:rPr>
        <w:t xml:space="preserve"> tendence, které byly v předválečném období patrné na růstu pražského zázemí, byly v 50. letech výrazně utlumeny, v 60. letech se dokonce počet obyv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tel v zázemí snížil (zázemím je myšleno území okolních obvodů obcí s rozšířenou působností, dále ORP).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 70. i 80. letech se změny odehrávaly především uvnitř krajských hranic. Intenzivněji rostla menší a střední města, prosazování střediskové soustavy sídel od 2. poloviny 60. let totiž výrazně posilovalo jejich pozici. Jen slabě rostla velká města, v malých obcích (zhruba do 2000 obyvatel) obyvatelstvo ubývalo.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90. letech došlo vlivem snížení úrovně porodnosti k úbytku obyvatelstva přirozenou měnou (poprvé od konce 1. světové války). Kladné saldo zahraniční migrace nemohlo přirozený úbytek vyrovnat, a tak se v roce 1994 zastavil dlouhodobý nárůst celkového počtu obyvatel</w:t>
      </w:r>
      <w:r w:rsidR="004637CB">
        <w:rPr>
          <w:rFonts w:cs="Arial"/>
          <w:sz w:val="20"/>
          <w:szCs w:val="20"/>
        </w:rPr>
        <w:t xml:space="preserve">. </w:t>
      </w:r>
      <w:r w:rsidRPr="00C24253">
        <w:rPr>
          <w:rFonts w:cs="Arial"/>
          <w:sz w:val="20"/>
          <w:szCs w:val="20"/>
        </w:rPr>
        <w:t xml:space="preserve">Zásadní změny, které 90. léta přinesla, se projevily v řadě socioekonomických charakteristik značným prohloubením regionálních rozdílů. Změny v rozmístění obyvatelstva však byly spíše nepodstatné a měly opačný charakter. Koncentrace obyvatelstva </w:t>
      </w:r>
      <w:proofErr w:type="gramStart"/>
      <w:r w:rsidRPr="00C24253">
        <w:rPr>
          <w:rFonts w:cs="Arial"/>
          <w:sz w:val="20"/>
          <w:szCs w:val="20"/>
        </w:rPr>
        <w:t>se</w:t>
      </w:r>
      <w:proofErr w:type="gramEnd"/>
      <w:r w:rsidRPr="00C24253">
        <w:rPr>
          <w:rFonts w:cs="Arial"/>
          <w:sz w:val="20"/>
          <w:szCs w:val="20"/>
        </w:rPr>
        <w:t xml:space="preserve"> mírně </w:t>
      </w:r>
      <w:proofErr w:type="gramStart"/>
      <w:r w:rsidRPr="00C24253">
        <w:rPr>
          <w:rFonts w:cs="Arial"/>
          <w:sz w:val="20"/>
          <w:szCs w:val="20"/>
        </w:rPr>
        <w:t>snížila</w:t>
      </w:r>
      <w:proofErr w:type="gramEnd"/>
      <w:r w:rsidRPr="00C24253">
        <w:rPr>
          <w:rFonts w:cs="Arial"/>
          <w:sz w:val="20"/>
          <w:szCs w:val="20"/>
        </w:rPr>
        <w:t xml:space="preserve">, a to jak na sídelní úrovni – především kvůli poklesu relativních počtů obyvatel největších měst – tak na úrovni regionální, kdy došlo k poklesu počtů obyvatel hustě zalidněných regionů (středočeský prostor včetně Prahy, Moravskoslezský kraj) a naopak k mírnému nárůstu obyvatelstva řídce zalidněného Jihočeského kraje.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Za jednu z hlavních příčin relativní stability rozmístění obyvatelstva v 90. letech s tendencí k dekoncentraci lze označit (vedle přirozeně vysoké stability) obecně nízk</w:t>
      </w:r>
      <w:r w:rsidR="004637CB">
        <w:rPr>
          <w:rFonts w:cs="Arial"/>
          <w:sz w:val="20"/>
          <w:szCs w:val="20"/>
        </w:rPr>
        <w:t>ou</w:t>
      </w:r>
      <w:r w:rsidRPr="00C24253">
        <w:rPr>
          <w:rFonts w:cs="Arial"/>
          <w:sz w:val="20"/>
          <w:szCs w:val="20"/>
        </w:rPr>
        <w:t xml:space="preserve"> migrační aktivit</w:t>
      </w:r>
      <w:r w:rsidR="004637CB">
        <w:rPr>
          <w:rFonts w:cs="Arial"/>
          <w:sz w:val="20"/>
          <w:szCs w:val="20"/>
        </w:rPr>
        <w:t>u</w:t>
      </w:r>
      <w:r w:rsidRPr="00C24253">
        <w:rPr>
          <w:rFonts w:cs="Arial"/>
          <w:sz w:val="20"/>
          <w:szCs w:val="20"/>
        </w:rPr>
        <w:t xml:space="preserve"> českého obyvatelstva. Ta je způsobena i velmi rozšířeným bydlením ve vlastním bytě. Dalším důvodem byly problémy na trhu s byty (nízká koupěschopnost obyvatel, omezená dosažitelnost hypoték, regulované nájemné). Po většinu 90. let z těchto důvodů pokračoval dlouhodobý pokles migrační mobility obyvatelstva.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Finanční nedostupnost bytů ve velkých městech přispěla k vyšší atraktivitě malých obcí. Klesl podíl všech kategorií obcí nad 20 tisíc obyvatel (podle počtu v roce 1991 na obyvatelstvu ČR). Absolutní pokles byl ve všech kategoriích od 5 tisíc obyvatel výše. Zvyšoval se hlavně podíl obcí se stovkami až jednotkami tisíc obyvatel. Obrátil se tak vývoj ze 70. a 80. let, kdy malé obce obyvatelstvo z</w:t>
      </w:r>
      <w:r w:rsidR="00A96EA8">
        <w:rPr>
          <w:rFonts w:cs="Arial"/>
          <w:sz w:val="20"/>
          <w:szCs w:val="20"/>
        </w:rPr>
        <w:t>trácely a rostla hlavně menší a </w:t>
      </w:r>
      <w:r w:rsidRPr="00C24253">
        <w:rPr>
          <w:rFonts w:cs="Arial"/>
          <w:sz w:val="20"/>
          <w:szCs w:val="20"/>
        </w:rPr>
        <w:t>střední města.</w:t>
      </w:r>
    </w:p>
    <w:p w:rsidR="00D07D61" w:rsidRPr="00C24253" w:rsidRDefault="00D07D61" w:rsidP="00522B2A">
      <w:pPr>
        <w:pStyle w:val="Nadpis3"/>
      </w:pPr>
      <w:bookmarkStart w:id="1" w:name="_Toc371588141"/>
      <w:r w:rsidRPr="00C24253">
        <w:t>Vývoj rozmístění obyvatelstva po roce 2000</w:t>
      </w:r>
      <w:bookmarkEnd w:id="1"/>
    </w:p>
    <w:p w:rsidR="00052602" w:rsidRPr="00C24253" w:rsidRDefault="00D07D61" w:rsidP="00D07D61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Před charakteristikou vývoje obyvatelstva po roce 2000 je nutné zmínit se o hlavní metodické změně sčítání 2011 – v tomto sčítání bylo sledováno obvykle bydlící obyvatelstvo, zatímco v předchozích populačních ce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>zech (od roku 1961) obyvatelstvo trvale bydlící. Podrobně o problematice obvyklého pobytu pojednává kap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 xml:space="preserve">tola </w:t>
      </w:r>
      <w:r w:rsidR="00316FAF">
        <w:rPr>
          <w:rFonts w:cs="Arial"/>
          <w:sz w:val="20"/>
          <w:szCs w:val="20"/>
        </w:rPr>
        <w:t>„Obyvatelstvo obvykle bydlící“.</w:t>
      </w:r>
      <w:r w:rsidR="00052602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 xml:space="preserve">Velikost a charakter rozdílů mezi obvyklým a trvalým pobytem totiž velmi úzce souvisí s velikostí a směrem migračních toků v předchozích letech. </w:t>
      </w:r>
    </w:p>
    <w:p w:rsidR="00D07D61" w:rsidRPr="00C24253" w:rsidRDefault="00D07D61" w:rsidP="00D07D61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Mobilita obyvatelstva se po roce 2000 výrazně zvýšila, zatímco v 90. letech byla nejnižší za několik posle</w:t>
      </w:r>
      <w:r w:rsidRPr="00C24253">
        <w:rPr>
          <w:rFonts w:cs="Arial"/>
          <w:sz w:val="20"/>
          <w:szCs w:val="20"/>
        </w:rPr>
        <w:t>d</w:t>
      </w:r>
      <w:r w:rsidRPr="00C24253">
        <w:rPr>
          <w:rFonts w:cs="Arial"/>
          <w:sz w:val="20"/>
          <w:szCs w:val="20"/>
        </w:rPr>
        <w:t xml:space="preserve">ních dekád (i když v závěru období se již zvyšovala). Lze tedy předpokládat, že v roce 2001 rozmístění podle trvalého pobytu relativně dobře korespondovalo s obvyklým pobytem, zatímco v roce 2011 již trvalý </w:t>
      </w:r>
      <w:r w:rsidRPr="00C24253">
        <w:rPr>
          <w:rFonts w:cs="Arial"/>
          <w:sz w:val="20"/>
          <w:szCs w:val="20"/>
        </w:rPr>
        <w:lastRenderedPageBreak/>
        <w:t>pobyt v některých oblastech neodpovídal „fyzickému“ stavu. Použít pro srovnání data o trvalém pobytu v roce 2011 by tedy znamenalo použít údaje, jejichž vypovídací schopnost je prokazatelně významně sníž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>ná.</w:t>
      </w:r>
    </w:p>
    <w:p w:rsidR="00D07D61" w:rsidRPr="00C24253" w:rsidRDefault="00D07D61" w:rsidP="00F16BDF">
      <w:pPr>
        <w:spacing w:before="120" w:after="120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Obyvatelstvo krajů v období 1991 - 2011</w:t>
      </w: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9"/>
        <w:gridCol w:w="1036"/>
        <w:gridCol w:w="1037"/>
        <w:gridCol w:w="1037"/>
        <w:gridCol w:w="1037"/>
        <w:gridCol w:w="1036"/>
        <w:gridCol w:w="1037"/>
        <w:gridCol w:w="1037"/>
        <w:gridCol w:w="1037"/>
      </w:tblGrid>
      <w:tr w:rsidR="00D07D61" w:rsidRPr="00C24253" w:rsidTr="00F16BDF">
        <w:trPr>
          <w:trHeight w:val="283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Změna (%)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61" w:rsidRPr="00C24253" w:rsidRDefault="00D07D61" w:rsidP="00D07D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1991 - 2001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2001 - 2011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052602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Hl. m. </w:t>
            </w:r>
            <w:r w:rsidR="00D07D61" w:rsidRPr="00C24253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1 214 174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1 169 106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1 268 796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96,3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108,5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1 112 882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1 122 473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1 289 211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100,9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114,9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622 889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625 267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628 336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100,4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100,5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558 307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550 688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570 401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98,6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103,6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301 985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304 343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295 595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100,8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97,1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824 461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820 219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808 961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99,5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98,6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425 120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428 184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432 439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100,7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101,0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552 809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550 724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547 916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99,6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99,5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508 718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508 281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511 627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99,9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100,7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513 740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512 143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505 565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99,7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98,7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1 144 160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1 134 786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1 163 508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99,2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102,5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647 341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643 817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628 427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99,5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97,6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596 903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595 010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579 944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99,7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97,5</w:t>
            </w:r>
          </w:p>
        </w:tc>
      </w:tr>
      <w:tr w:rsidR="00D07D61" w:rsidRPr="00C24253" w:rsidTr="00052602">
        <w:trPr>
          <w:trHeight w:val="283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1 278 726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1 265 019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1 205 834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95,3</w:t>
            </w:r>
          </w:p>
        </w:tc>
      </w:tr>
      <w:tr w:rsidR="00D07D61" w:rsidRPr="00C24253" w:rsidTr="00F16BDF">
        <w:trPr>
          <w:trHeight w:val="45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2" w:rsidRPr="00C24253" w:rsidRDefault="00D07D61" w:rsidP="00052602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 xml:space="preserve">Česká </w:t>
            </w:r>
          </w:p>
          <w:p w:rsidR="00D07D61" w:rsidRPr="00C24253" w:rsidRDefault="00D07D61" w:rsidP="00052602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republika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10 302 215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10 230 060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10 436 560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102,0</w:t>
            </w:r>
          </w:p>
        </w:tc>
      </w:tr>
    </w:tbl>
    <w:p w:rsidR="00D07D61" w:rsidRPr="00C24253" w:rsidRDefault="00D07D61" w:rsidP="00D07D61">
      <w:pPr>
        <w:rPr>
          <w:rFonts w:cs="Arial"/>
          <w:sz w:val="20"/>
          <w:szCs w:val="20"/>
        </w:rPr>
      </w:pPr>
    </w:p>
    <w:p w:rsidR="00D07D61" w:rsidRPr="00C24253" w:rsidRDefault="00D07D61" w:rsidP="00316FAF">
      <w:pPr>
        <w:spacing w:before="120"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 první dekádě 21. století (zde vymezené sčítáními 2001 a 2011) došlo k obnovení populačního růstu</w:t>
      </w:r>
      <w:r w:rsidRPr="00C24253">
        <w:rPr>
          <w:rStyle w:val="Znakapoznpodarou"/>
          <w:rFonts w:cs="Arial"/>
          <w:sz w:val="20"/>
          <w:szCs w:val="20"/>
        </w:rPr>
        <w:footnoteReference w:id="1"/>
      </w:r>
      <w:r w:rsidRPr="00C24253">
        <w:rPr>
          <w:rFonts w:cs="Arial"/>
          <w:sz w:val="20"/>
          <w:szCs w:val="20"/>
        </w:rPr>
        <w:t xml:space="preserve"> Če</w:t>
      </w:r>
      <w:r w:rsidRPr="00C24253">
        <w:rPr>
          <w:rFonts w:cs="Arial"/>
          <w:sz w:val="20"/>
          <w:szCs w:val="20"/>
        </w:rPr>
        <w:t>s</w:t>
      </w:r>
      <w:r w:rsidRPr="00C24253">
        <w:rPr>
          <w:rFonts w:cs="Arial"/>
          <w:sz w:val="20"/>
          <w:szCs w:val="20"/>
        </w:rPr>
        <w:t>ka, když od roku 2003 kladné migrační saldo převážilo přirozený úbytek. Od roku 2006 již přibývalo obyv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telstvo i přirozenou měnou. Znatelně se také zvýšila dynamika změn v rozmístění obyvatelstva, zejména zrychlily </w:t>
      </w:r>
      <w:proofErr w:type="spellStart"/>
      <w:r w:rsidRPr="00C24253">
        <w:rPr>
          <w:rFonts w:cs="Arial"/>
          <w:sz w:val="20"/>
          <w:szCs w:val="20"/>
        </w:rPr>
        <w:t>suburbanizační</w:t>
      </w:r>
      <w:proofErr w:type="spellEnd"/>
      <w:r w:rsidRPr="00C24253">
        <w:rPr>
          <w:rFonts w:cs="Arial"/>
          <w:sz w:val="20"/>
          <w:szCs w:val="20"/>
        </w:rPr>
        <w:t xml:space="preserve"> procesy. Za hlavní příčiny lze označit opožděnou reakci obyvatelstva na vývoj reg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onálních rozdílů v ekonomice v 90. letech, dále zlepšení situace na trhu s byty a také zvyšování počtu cizi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 xml:space="preserve">ců, kteří po příchodu do země představovali migračně aktivní složku i z pohledu vnitřního stěhování. </w:t>
      </w:r>
    </w:p>
    <w:p w:rsidR="00D07D61" w:rsidRPr="00C24253" w:rsidRDefault="00D07D61" w:rsidP="00052602">
      <w:pPr>
        <w:spacing w:after="120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Vývoj obyvatelstva podle velikostních skupin obcí (obce k roku 2011) v období 1991 - 2011</w:t>
      </w: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5"/>
        <w:gridCol w:w="567"/>
        <w:gridCol w:w="992"/>
        <w:gridCol w:w="992"/>
        <w:gridCol w:w="993"/>
        <w:gridCol w:w="1063"/>
        <w:gridCol w:w="1063"/>
        <w:gridCol w:w="756"/>
        <w:gridCol w:w="756"/>
        <w:gridCol w:w="756"/>
      </w:tblGrid>
      <w:tr w:rsidR="00D07D61" w:rsidRPr="00C24253" w:rsidTr="00F16BDF">
        <w:trPr>
          <w:trHeight w:val="283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61" w:rsidRPr="00C24253" w:rsidRDefault="00D07D61" w:rsidP="00F16BDF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Velikostní skupina (podle počtu obyvatel v roce 1991)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obcí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obyvatel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Změna (%)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F16BDF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na obyvatelstvu Č</w:t>
            </w:r>
            <w:r w:rsidR="00F16BDF" w:rsidRPr="00C24253">
              <w:rPr>
                <w:rFonts w:cs="Arial"/>
                <w:sz w:val="16"/>
                <w:szCs w:val="16"/>
              </w:rPr>
              <w:t>R</w:t>
            </w:r>
          </w:p>
        </w:tc>
      </w:tr>
      <w:tr w:rsidR="00D07D61" w:rsidRPr="00C24253" w:rsidTr="00052602">
        <w:trPr>
          <w:trHeight w:val="34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61" w:rsidRPr="00C24253" w:rsidRDefault="00D07D61" w:rsidP="00D07D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61" w:rsidRPr="00C24253" w:rsidRDefault="00D07D61" w:rsidP="00D07D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61" w:rsidRPr="00C24253" w:rsidRDefault="00D07D61" w:rsidP="00D07D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61" w:rsidRPr="00C24253" w:rsidRDefault="00D07D61" w:rsidP="00D07D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61" w:rsidRPr="00C24253" w:rsidRDefault="00D07D61" w:rsidP="00D07D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61" w:rsidRPr="00C24253" w:rsidRDefault="00D07D61" w:rsidP="00D07D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1991 - 2001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61" w:rsidRPr="00C24253" w:rsidRDefault="00D07D61" w:rsidP="00D07D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2001 - 2011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61" w:rsidRPr="00C24253" w:rsidRDefault="00D07D61" w:rsidP="00D07D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61" w:rsidRPr="00C24253" w:rsidRDefault="00D07D61" w:rsidP="00D07D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61" w:rsidRPr="00C24253" w:rsidRDefault="00D07D61" w:rsidP="00D07D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 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202 292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199 538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224 280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112,4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2,1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200 - 499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2 120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688 036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692 453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757 107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100,6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109,3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7,3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500 - 999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1 260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879 400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894 505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972 467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101,7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108,7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9,3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1 000 - 1 999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900 627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924 308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993 738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102,6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107,5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9,5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2 000 - 4 999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1 055 171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1 073 960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1 101 370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101,8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102,6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10,6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5 000 - 9 999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895 366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892 857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881 807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99,7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98,8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8,4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10 000 - 19 999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941 362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937 062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917 744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8,8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20 000 - 49 999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1 218 344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1 205 735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1 144 178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99,0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94,9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11,0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50 000 - 99 999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1 214 037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1 179 793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1 118 857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97,2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94,8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10,7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100 000 - 399 999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1 093 406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1 060 743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1 056 216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97,0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99,6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10,1</w:t>
            </w:r>
          </w:p>
        </w:tc>
      </w:tr>
      <w:tr w:rsidR="00D07D61" w:rsidRPr="00C24253" w:rsidTr="00052602">
        <w:trPr>
          <w:trHeight w:val="28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1 214 174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1 169 106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1 268 796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12,2</w:t>
            </w:r>
          </w:p>
        </w:tc>
      </w:tr>
      <w:tr w:rsidR="00D07D61" w:rsidRPr="00C24253" w:rsidTr="00052602">
        <w:trPr>
          <w:trHeight w:val="39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Česká republika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10 302 215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10 230 060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10 436 560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05260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</w:tbl>
    <w:p w:rsidR="00316FAF" w:rsidRDefault="00316FAF" w:rsidP="00316FAF">
      <w:pPr>
        <w:spacing w:after="120"/>
        <w:rPr>
          <w:rFonts w:cs="Arial"/>
          <w:sz w:val="20"/>
          <w:szCs w:val="20"/>
        </w:rPr>
      </w:pPr>
    </w:p>
    <w:p w:rsidR="00052602" w:rsidRPr="00C24253" w:rsidRDefault="00316FAF" w:rsidP="00316FAF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52602" w:rsidRPr="00C24253">
        <w:rPr>
          <w:rFonts w:cs="Arial"/>
          <w:sz w:val="20"/>
          <w:szCs w:val="20"/>
        </w:rPr>
        <w:lastRenderedPageBreak/>
        <w:t>V </w:t>
      </w:r>
      <w:proofErr w:type="spellStart"/>
      <w:r w:rsidR="00052602" w:rsidRPr="00C24253">
        <w:rPr>
          <w:rFonts w:cs="Arial"/>
          <w:sz w:val="20"/>
          <w:szCs w:val="20"/>
        </w:rPr>
        <w:t>intercenzálním</w:t>
      </w:r>
      <w:proofErr w:type="spellEnd"/>
      <w:r w:rsidR="00052602" w:rsidRPr="00C24253">
        <w:rPr>
          <w:rFonts w:cs="Arial"/>
          <w:sz w:val="20"/>
          <w:szCs w:val="20"/>
        </w:rPr>
        <w:t xml:space="preserve"> období 2001 – 2011 se nejvýrazněji zvýšil počet obyvatel Středočeského kraje a Prahy, přičemž v první polovině (do roku 2005) byl tento nárůst zapříčiněn kladnou migrační bilancí, v následujících letech i přirozenou měnou. Nárůst počtu obyvatel byl zjištěn ještě v dalších pěti krajích, ovšem ve srovnání s vývojem ve středočeském prostoru byl o poznání méně intenzivní. Ve zbylých krajích se počet obyvatel snížil, zdaleka nejvýrazněji v kraji Moravskoslezském, který měl po celé </w:t>
      </w:r>
      <w:r w:rsidR="00A96EA8">
        <w:rPr>
          <w:rFonts w:cs="Arial"/>
          <w:sz w:val="20"/>
          <w:szCs w:val="20"/>
        </w:rPr>
        <w:t>období záporné migrační saldo a </w:t>
      </w:r>
      <w:r w:rsidR="00052602" w:rsidRPr="00C24253">
        <w:rPr>
          <w:rFonts w:cs="Arial"/>
          <w:sz w:val="20"/>
          <w:szCs w:val="20"/>
        </w:rPr>
        <w:t>s výjimkou let 2007 a 2008 zde byl vždy zaznamenán i přirozený úbytek obyvatel (ten se ale na celkovém úbytku podílel menší měrou než migrace).</w:t>
      </w:r>
    </w:p>
    <w:p w:rsidR="00D07D61" w:rsidRDefault="00D07D61" w:rsidP="00316FAF">
      <w:pPr>
        <w:spacing w:before="12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Ve srovnání s 90. léty zrychlil nárůst obyvatelstva obcí do 2 tisíc obyvatel i p</w:t>
      </w:r>
      <w:r w:rsidR="00A96EA8">
        <w:rPr>
          <w:rFonts w:cs="Arial"/>
          <w:sz w:val="20"/>
          <w:szCs w:val="20"/>
        </w:rPr>
        <w:t>okles ve městech od 10 do 99 </w:t>
      </w:r>
      <w:r w:rsidRPr="00C24253">
        <w:rPr>
          <w:rFonts w:cs="Arial"/>
          <w:sz w:val="20"/>
          <w:szCs w:val="20"/>
        </w:rPr>
        <w:t xml:space="preserve">tisíc obyvatel. Z největších měst (nad 100 tisíc obyvatel v roce 2011) se populačně výrazně zmenšila Ostrava (o 20 tisíc) a slabě Olomouc. Ostatní největší města absolutně i relativně (podíl na celé populaci) vzrostla, došlo tedy k obratu po poklesu v 90. letech. Ten byl zřetelný zejména v případě Prahy, jejíž počet obyvatel v 90. letech klesl o 4 % a po roce 2000 vzrostl o 9 %.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Počet obyvatel se mezi sčítáními 2001 a 2011 zvýšil v 87 ORP (a v Praze), z toho u 53 ORP (a Prahy) se zvýšil i podíl na obyvatelstvu Česka. Především se zvýšil význam pražského metropolitního areálu, v jehož důsledku ve sledovaném období rostl (absolutně i relativně) počet obyvatel téměř všech ORP Středočesk</w:t>
      </w:r>
      <w:r w:rsidRPr="00C24253">
        <w:rPr>
          <w:rFonts w:cs="Arial"/>
          <w:sz w:val="20"/>
          <w:szCs w:val="20"/>
        </w:rPr>
        <w:t>é</w:t>
      </w:r>
      <w:r w:rsidRPr="00C24253">
        <w:rPr>
          <w:rFonts w:cs="Arial"/>
          <w:sz w:val="20"/>
          <w:szCs w:val="20"/>
        </w:rPr>
        <w:t>ho kraje, resp. širšího okolí osy Plzeň – Praha – Liberec. Další významnou oblast populačního růstu pře</w:t>
      </w:r>
      <w:r w:rsidRPr="00C24253">
        <w:rPr>
          <w:rFonts w:cs="Arial"/>
          <w:sz w:val="20"/>
          <w:szCs w:val="20"/>
        </w:rPr>
        <w:t>d</w:t>
      </w:r>
      <w:r w:rsidRPr="00C24253">
        <w:rPr>
          <w:rFonts w:cs="Arial"/>
          <w:sz w:val="20"/>
          <w:szCs w:val="20"/>
        </w:rPr>
        <w:t xml:space="preserve">stavovalo Brno se zázemím, zvyšoval se také počet obyvatel Českobudějovicka a Pardubicka. Absolutně početně vzrostly i regiony většiny ostatních krajských měst (kromě Ostravy a Karlových Varů), jejich podíl na obyvatelstvu Česka se však snížil.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Pokles počtu obyvatel v období 2001 – 2011 byl zjištěn celkem </w:t>
      </w:r>
      <w:proofErr w:type="gramStart"/>
      <w:r w:rsidRPr="00C24253">
        <w:rPr>
          <w:rFonts w:cs="Arial"/>
          <w:sz w:val="20"/>
          <w:szCs w:val="20"/>
        </w:rPr>
        <w:t>ve 118</w:t>
      </w:r>
      <w:proofErr w:type="gramEnd"/>
      <w:r w:rsidRPr="00C24253">
        <w:rPr>
          <w:rFonts w:cs="Arial"/>
          <w:sz w:val="20"/>
          <w:szCs w:val="20"/>
        </w:rPr>
        <w:t xml:space="preserve"> ORP, v dalších 34 ORP absolutní počty sice mírně vzrostly, ale snížil se jejich podíl na obyvatelstvu Česka. Výrazný pokles počtu obyvatel nastal na východě území. Ve srovnání s 90. lety zrychlil úbytek obyvatelstva na </w:t>
      </w:r>
      <w:proofErr w:type="spellStart"/>
      <w:r w:rsidRPr="00C24253">
        <w:rPr>
          <w:rFonts w:cs="Arial"/>
          <w:sz w:val="20"/>
          <w:szCs w:val="20"/>
        </w:rPr>
        <w:t>Ostravsku</w:t>
      </w:r>
      <w:proofErr w:type="spellEnd"/>
      <w:r w:rsidRPr="00C24253">
        <w:rPr>
          <w:rFonts w:cs="Arial"/>
          <w:sz w:val="20"/>
          <w:szCs w:val="20"/>
        </w:rPr>
        <w:t>-Karvinsku a na severozápadě území, zejména na Litvínovsku a Mostecku a na většině území Karlovarského kraje. Intenzi</w:t>
      </w:r>
      <w:r w:rsidRPr="00C24253">
        <w:rPr>
          <w:rFonts w:cs="Arial"/>
          <w:sz w:val="20"/>
          <w:szCs w:val="20"/>
        </w:rPr>
        <w:t>v</w:t>
      </w:r>
      <w:r w:rsidRPr="00C24253">
        <w:rPr>
          <w:rFonts w:cs="Arial"/>
          <w:sz w:val="20"/>
          <w:szCs w:val="20"/>
        </w:rPr>
        <w:t xml:space="preserve">ně ubylo obyvatelstvo v rozsáhlé oblasti Jeseníků. K velkému úbytku došlo </w:t>
      </w:r>
      <w:r w:rsidR="00A96EA8">
        <w:rPr>
          <w:rFonts w:cs="Arial"/>
          <w:sz w:val="20"/>
          <w:szCs w:val="20"/>
        </w:rPr>
        <w:t>i při hranicích se Slovenskem a </w:t>
      </w:r>
      <w:r w:rsidRPr="00C24253">
        <w:rPr>
          <w:rFonts w:cs="Arial"/>
          <w:sz w:val="20"/>
          <w:szCs w:val="20"/>
        </w:rPr>
        <w:t xml:space="preserve">v některých regionech na hranicích krajů, resp. v nevýhodné poloze vůči centrům (např. ORP </w:t>
      </w:r>
      <w:proofErr w:type="spellStart"/>
      <w:r w:rsidRPr="00C24253">
        <w:rPr>
          <w:rFonts w:cs="Arial"/>
          <w:sz w:val="20"/>
          <w:szCs w:val="20"/>
        </w:rPr>
        <w:t>Dačice</w:t>
      </w:r>
      <w:proofErr w:type="spellEnd"/>
      <w:r w:rsidRPr="00C24253">
        <w:rPr>
          <w:rFonts w:cs="Arial"/>
          <w:sz w:val="20"/>
          <w:szCs w:val="20"/>
        </w:rPr>
        <w:t>, S</w:t>
      </w:r>
      <w:r w:rsidRPr="00C24253">
        <w:rPr>
          <w:rFonts w:cs="Arial"/>
          <w:sz w:val="20"/>
          <w:szCs w:val="20"/>
        </w:rPr>
        <w:t>u</w:t>
      </w:r>
      <w:r w:rsidRPr="00C24253">
        <w:rPr>
          <w:rFonts w:cs="Arial"/>
          <w:sz w:val="20"/>
          <w:szCs w:val="20"/>
        </w:rPr>
        <w:t>šice, Horažďovice), včetně většiny hlavních výběžků území ČR (hlavně Šluknovský, Broumovský, Osobla</w:t>
      </w:r>
      <w:r w:rsidRPr="00C24253">
        <w:rPr>
          <w:rFonts w:cs="Arial"/>
          <w:sz w:val="20"/>
          <w:szCs w:val="20"/>
        </w:rPr>
        <w:t>ž</w:t>
      </w:r>
      <w:r w:rsidRPr="00C24253">
        <w:rPr>
          <w:rFonts w:cs="Arial"/>
          <w:sz w:val="20"/>
          <w:szCs w:val="20"/>
        </w:rPr>
        <w:t xml:space="preserve">ský). </w:t>
      </w:r>
    </w:p>
    <w:p w:rsidR="00F16BDF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Jedním z významných rysů populačního vývoje v první dekádě 21. století byl zhruba trojnásobný nárůst 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čtu cizinců. Těch přibylo téměř ve všech ORP (s výjimkou Orlové a Bohumína) a ve všech kategoriích obcí, zejména v nejvyšších (v Praze se počet cizinců zvýšil skoro pětinásobně, v ostatních městech nad 100 tisíc obyvatel čtyřnásobně, v padesáti až stotisícových městech trojnásobně). Zhruba trojnásobně se počty cizi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 xml:space="preserve">ců zvýšily i v obcích do 1000 obyvatel, nárůst ve středních kategoriích byl nepatrně nižší.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Cizinci se poměrně výrazně podíleli na zvýšení objemu vnitřní migrace (po několik předchozích desetiletí objem vnitřní migrace klesal). V první polovině </w:t>
      </w:r>
      <w:proofErr w:type="spellStart"/>
      <w:r w:rsidRPr="00C24253">
        <w:rPr>
          <w:rFonts w:cs="Arial"/>
          <w:sz w:val="20"/>
          <w:szCs w:val="20"/>
        </w:rPr>
        <w:t>intercenzálního</w:t>
      </w:r>
      <w:proofErr w:type="spellEnd"/>
      <w:r w:rsidRPr="00C24253">
        <w:rPr>
          <w:rFonts w:cs="Arial"/>
          <w:sz w:val="20"/>
          <w:szCs w:val="20"/>
        </w:rPr>
        <w:t xml:space="preserve"> období měla výraznější kladné saldo vnitřní migrace cizinců Praha a ORP Plzeň, méně výrazné, ale stále kladné bylo např. v oblastech při hranicích se Slovenskem, Rakouskem a Bavorskem. V následujících letech se pro cizince zvýšila atraktivita regionálních center, začaly se u nich také projevovat </w:t>
      </w:r>
      <w:proofErr w:type="spellStart"/>
      <w:r w:rsidRPr="00C24253">
        <w:rPr>
          <w:rFonts w:cs="Arial"/>
          <w:sz w:val="20"/>
          <w:szCs w:val="20"/>
        </w:rPr>
        <w:t>suburbanizační</w:t>
      </w:r>
      <w:proofErr w:type="spellEnd"/>
      <w:r w:rsidRPr="00C24253">
        <w:rPr>
          <w:rFonts w:cs="Arial"/>
          <w:sz w:val="20"/>
          <w:szCs w:val="20"/>
        </w:rPr>
        <w:t xml:space="preserve"> tendence, kdy se stěhovali zejména do zázemí Pr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hy. </w:t>
      </w:r>
    </w:p>
    <w:p w:rsidR="00D07D61" w:rsidRPr="00C24253" w:rsidRDefault="00D07D61" w:rsidP="00AD07A7">
      <w:pPr>
        <w:spacing w:after="120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Správní obvody ORP s největšími přírůstky, resp. úbytky obyvatelstva v období 2001 - 2011</w:t>
      </w:r>
    </w:p>
    <w:tbl>
      <w:tblPr>
        <w:tblW w:w="946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46"/>
        <w:gridCol w:w="1134"/>
        <w:gridCol w:w="709"/>
        <w:gridCol w:w="851"/>
        <w:gridCol w:w="839"/>
        <w:gridCol w:w="1378"/>
        <w:gridCol w:w="1136"/>
        <w:gridCol w:w="709"/>
        <w:gridCol w:w="709"/>
        <w:gridCol w:w="850"/>
      </w:tblGrid>
      <w:tr w:rsidR="000B4A54" w:rsidRPr="00C24253" w:rsidTr="000B4A54">
        <w:trPr>
          <w:trHeight w:val="300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ORP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Počet obyvatel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ORP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obyvatel</w:t>
            </w:r>
          </w:p>
        </w:tc>
      </w:tr>
      <w:tr w:rsidR="000B4A54" w:rsidRPr="00C24253" w:rsidTr="000B4A54">
        <w:trPr>
          <w:trHeight w:val="450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Přírůstek </w:t>
            </w:r>
            <w:r w:rsidRPr="00C24253">
              <w:rPr>
                <w:rFonts w:cs="Arial"/>
                <w:sz w:val="16"/>
                <w:szCs w:val="16"/>
              </w:rPr>
              <w:br/>
              <w:t>(%)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Úbytek (%)</w:t>
            </w:r>
          </w:p>
        </w:tc>
      </w:tr>
      <w:tr w:rsidR="000B4A54" w:rsidRPr="00C24253" w:rsidTr="000B4A54">
        <w:trPr>
          <w:trHeight w:val="34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Černošice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82 404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131 231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Orlová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48 249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43 020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-10,8</w:t>
            </w:r>
          </w:p>
        </w:tc>
      </w:tr>
      <w:tr w:rsidR="000B4A54" w:rsidRPr="00C24253" w:rsidTr="000B4A54">
        <w:trPr>
          <w:trHeight w:val="34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Říčany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40 107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60 107</w:t>
            </w:r>
          </w:p>
        </w:tc>
        <w:tc>
          <w:tcPr>
            <w:tcW w:w="83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49,9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Rýmařov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17 330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15 500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-10,6</w:t>
            </w:r>
          </w:p>
        </w:tc>
      </w:tr>
      <w:tr w:rsidR="000B4A54" w:rsidRPr="00C24253" w:rsidTr="000B4A54">
        <w:trPr>
          <w:trHeight w:val="34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Brandýs n. L. </w:t>
            </w:r>
            <w:r w:rsidRPr="00C24253">
              <w:rPr>
                <w:rFonts w:cs="Arial"/>
                <w:sz w:val="16"/>
                <w:szCs w:val="16"/>
              </w:rPr>
              <w:br/>
              <w:t>- St. Boleslav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65 434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97 039</w:t>
            </w:r>
          </w:p>
        </w:tc>
        <w:tc>
          <w:tcPr>
            <w:tcW w:w="83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48,3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75 250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68 024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-9,6</w:t>
            </w:r>
          </w:p>
        </w:tc>
      </w:tr>
      <w:tr w:rsidR="000B4A54" w:rsidRPr="00C24253" w:rsidTr="000B4A54">
        <w:trPr>
          <w:trHeight w:val="34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Lysá n. L.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15 889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23 555</w:t>
            </w:r>
          </w:p>
        </w:tc>
        <w:tc>
          <w:tcPr>
            <w:tcW w:w="83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48,2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Havířov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99 986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91 092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-8,9</w:t>
            </w:r>
          </w:p>
        </w:tc>
      </w:tr>
      <w:tr w:rsidR="000B4A54" w:rsidRPr="00C24253" w:rsidTr="000B4A54">
        <w:trPr>
          <w:trHeight w:val="34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Kuřim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18 024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22 522</w:t>
            </w:r>
          </w:p>
        </w:tc>
        <w:tc>
          <w:tcPr>
            <w:tcW w:w="83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Jeseník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42 413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38 779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-8,6</w:t>
            </w:r>
          </w:p>
        </w:tc>
      </w:tr>
      <w:tr w:rsidR="000B4A54" w:rsidRPr="00C24253" w:rsidTr="000B4A54">
        <w:trPr>
          <w:trHeight w:val="34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Šlapanice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51 197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63 070</w:t>
            </w:r>
          </w:p>
        </w:tc>
        <w:tc>
          <w:tcPr>
            <w:tcW w:w="83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23,2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Králíky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9 500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8 712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-8,3</w:t>
            </w:r>
          </w:p>
        </w:tc>
      </w:tr>
      <w:tr w:rsidR="000B4A54" w:rsidRPr="00C24253" w:rsidTr="000B4A54">
        <w:trPr>
          <w:trHeight w:val="34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Beroun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49 145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57 228</w:t>
            </w:r>
          </w:p>
        </w:tc>
        <w:tc>
          <w:tcPr>
            <w:tcW w:w="83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Konice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11 720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10 773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-8,1</w:t>
            </w:r>
          </w:p>
        </w:tc>
      </w:tr>
      <w:tr w:rsidR="000B4A54" w:rsidRPr="00C24253" w:rsidTr="000B4A54">
        <w:trPr>
          <w:trHeight w:val="34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Český Brod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16 597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19 303</w:t>
            </w:r>
          </w:p>
        </w:tc>
        <w:tc>
          <w:tcPr>
            <w:tcW w:w="83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Broumov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17 684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16 312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-7,8</w:t>
            </w:r>
          </w:p>
        </w:tc>
      </w:tr>
      <w:tr w:rsidR="000B4A54" w:rsidRPr="00C24253" w:rsidTr="000B4A54">
        <w:trPr>
          <w:trHeight w:val="34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Kralupy n. Vltavou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26 863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31 187</w:t>
            </w:r>
          </w:p>
        </w:tc>
        <w:tc>
          <w:tcPr>
            <w:tcW w:w="83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Český Těšín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27 462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25 516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-7,1</w:t>
            </w:r>
          </w:p>
        </w:tc>
      </w:tr>
      <w:tr w:rsidR="000B4A54" w:rsidRPr="00C24253" w:rsidTr="000B4A54">
        <w:trPr>
          <w:trHeight w:val="34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Dobříš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18 648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21 360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Krnov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43 299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40 269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54" w:rsidRPr="00C24253" w:rsidRDefault="000B4A54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-7,0</w:t>
            </w:r>
          </w:p>
        </w:tc>
      </w:tr>
    </w:tbl>
    <w:p w:rsidR="00D07D61" w:rsidRPr="00C24253" w:rsidRDefault="00D07D61" w:rsidP="00522B2A">
      <w:pPr>
        <w:pStyle w:val="Nadpis3"/>
      </w:pPr>
      <w:bookmarkStart w:id="2" w:name="_Toc371588142"/>
      <w:r w:rsidRPr="00C24253">
        <w:lastRenderedPageBreak/>
        <w:t>Nejvýznamnější oblasti populačního růstu</w:t>
      </w:r>
      <w:bookmarkEnd w:id="2"/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Za hlavní centra populačního růstu po roce 2000 lze označit </w:t>
      </w:r>
      <w:r w:rsidRPr="00C24253">
        <w:rPr>
          <w:rFonts w:cs="Arial"/>
          <w:b/>
          <w:sz w:val="20"/>
          <w:szCs w:val="20"/>
        </w:rPr>
        <w:t>tři metropolitních areály</w:t>
      </w:r>
      <w:r w:rsidRPr="00C24253">
        <w:rPr>
          <w:rFonts w:cs="Arial"/>
          <w:sz w:val="20"/>
          <w:szCs w:val="20"/>
        </w:rPr>
        <w:t xml:space="preserve">: </w:t>
      </w:r>
      <w:r w:rsidRPr="00C24253">
        <w:rPr>
          <w:rFonts w:cs="Arial"/>
          <w:b/>
          <w:sz w:val="20"/>
          <w:szCs w:val="20"/>
        </w:rPr>
        <w:t>pražský, brněnský a plzeňský</w:t>
      </w:r>
      <w:r w:rsidRPr="00C24253">
        <w:rPr>
          <w:rFonts w:cs="Arial"/>
          <w:sz w:val="20"/>
          <w:szCs w:val="20"/>
        </w:rPr>
        <w:t xml:space="preserve"> (vymezené jako centrální město a ORP v jejich nejbližším okolí). Dominantním procesem byla </w:t>
      </w:r>
      <w:proofErr w:type="spellStart"/>
      <w:r w:rsidRPr="00C24253">
        <w:rPr>
          <w:rFonts w:cs="Arial"/>
          <w:sz w:val="20"/>
          <w:szCs w:val="20"/>
        </w:rPr>
        <w:t>suburbanizace</w:t>
      </w:r>
      <w:proofErr w:type="spellEnd"/>
      <w:r w:rsidRPr="00C24253">
        <w:rPr>
          <w:rFonts w:cs="Arial"/>
          <w:sz w:val="20"/>
          <w:szCs w:val="20"/>
        </w:rPr>
        <w:t>, postupně oživovaná již od 2. poloviny 90. let, která po většinu první dekády 21. století nab</w:t>
      </w:r>
      <w:r w:rsidRPr="00C24253">
        <w:rPr>
          <w:rFonts w:cs="Arial"/>
          <w:sz w:val="20"/>
          <w:szCs w:val="20"/>
        </w:rPr>
        <w:t>í</w:t>
      </w:r>
      <w:r w:rsidRPr="00C24253">
        <w:rPr>
          <w:rFonts w:cs="Arial"/>
          <w:sz w:val="20"/>
          <w:szCs w:val="20"/>
        </w:rPr>
        <w:t xml:space="preserve">rala na intenzitě (zejména v případě Prahy). Samotná </w:t>
      </w:r>
      <w:proofErr w:type="spellStart"/>
      <w:r w:rsidRPr="00C24253">
        <w:rPr>
          <w:rFonts w:cs="Arial"/>
          <w:sz w:val="20"/>
          <w:szCs w:val="20"/>
        </w:rPr>
        <w:t>suburbanizace</w:t>
      </w:r>
      <w:proofErr w:type="spellEnd"/>
      <w:r w:rsidRPr="00C24253">
        <w:rPr>
          <w:rFonts w:cs="Arial"/>
          <w:sz w:val="20"/>
          <w:szCs w:val="20"/>
        </w:rPr>
        <w:t xml:space="preserve"> však byla zprvu doprovázena úbytkem obyvatelstva centrálních měst (jednalo se především o stěhování z těchto měst do zázemí), přičemž úbytek ve městech byl větší než přírůstek v  zázemích. V průběhu </w:t>
      </w:r>
      <w:proofErr w:type="spellStart"/>
      <w:r w:rsidRPr="00C24253">
        <w:rPr>
          <w:rFonts w:cs="Arial"/>
          <w:sz w:val="20"/>
          <w:szCs w:val="20"/>
        </w:rPr>
        <w:t>intercenzálního</w:t>
      </w:r>
      <w:proofErr w:type="spellEnd"/>
      <w:r w:rsidRPr="00C24253">
        <w:rPr>
          <w:rFonts w:cs="Arial"/>
          <w:sz w:val="20"/>
          <w:szCs w:val="20"/>
        </w:rPr>
        <w:t xml:space="preserve"> období 2001 – 2011 však 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stupně došlo k již zmíněnému obratu ve vývoji největších měst a postupně tak začalo růst obyvatelstvo c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lých areálů, nejprve pražského, s odstupem několika let plzeňského a následně brněnského.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Počet obyvatel v zázemí Prahy se zvyšoval s výrazně největší intenzitou. V ORP </w:t>
      </w:r>
      <w:proofErr w:type="spellStart"/>
      <w:r w:rsidRPr="00C24253">
        <w:rPr>
          <w:rFonts w:cs="Arial"/>
          <w:sz w:val="20"/>
          <w:szCs w:val="20"/>
        </w:rPr>
        <w:t>Černošice</w:t>
      </w:r>
      <w:proofErr w:type="spellEnd"/>
      <w:r w:rsidRPr="00C24253">
        <w:rPr>
          <w:rFonts w:cs="Arial"/>
          <w:sz w:val="20"/>
          <w:szCs w:val="20"/>
        </w:rPr>
        <w:t xml:space="preserve"> došlo k nárůstu o 59 %, v ORP Říčany o polovinu a jen nepatrně menší nárůst byl v ORP Brandýs a Lysá nad Labem. V zázemí ostatních měst nebyl nárůst zdaleka tak vysoký (dalším ORP v pořadí byla </w:t>
      </w:r>
      <w:proofErr w:type="spellStart"/>
      <w:r w:rsidRPr="00C24253">
        <w:rPr>
          <w:rFonts w:cs="Arial"/>
          <w:sz w:val="20"/>
          <w:szCs w:val="20"/>
        </w:rPr>
        <w:t>Kuřim</w:t>
      </w:r>
      <w:proofErr w:type="spellEnd"/>
      <w:r w:rsidRPr="00C24253">
        <w:rPr>
          <w:rFonts w:cs="Arial"/>
          <w:sz w:val="20"/>
          <w:szCs w:val="20"/>
        </w:rPr>
        <w:t xml:space="preserve"> v zázemí Brna s nárůstem zhruba </w:t>
      </w:r>
      <w:r w:rsidR="00F1639C">
        <w:rPr>
          <w:rFonts w:cs="Arial"/>
          <w:sz w:val="20"/>
          <w:szCs w:val="20"/>
        </w:rPr>
        <w:t>25 %</w:t>
      </w:r>
      <w:r w:rsidRPr="00C24253">
        <w:rPr>
          <w:rFonts w:cs="Arial"/>
          <w:sz w:val="20"/>
          <w:szCs w:val="20"/>
        </w:rPr>
        <w:t>). Výsledky za trvale bydlící obyvatelstvo poskytují stejná zjištění, pouze intenzita změn by byla u uvedených ORP o 5 – 10 procentních bodů nižší (to odpovídá zjištěním</w:t>
      </w:r>
      <w:r w:rsidR="00316FAF">
        <w:rPr>
          <w:rFonts w:cs="Arial"/>
          <w:sz w:val="20"/>
          <w:szCs w:val="20"/>
        </w:rPr>
        <w:t>,</w:t>
      </w:r>
      <w:r w:rsidRPr="00C24253">
        <w:rPr>
          <w:rFonts w:cs="Arial"/>
          <w:sz w:val="20"/>
          <w:szCs w:val="20"/>
        </w:rPr>
        <w:t xml:space="preserve"> že evidované zm</w:t>
      </w:r>
      <w:r w:rsidRPr="00C24253">
        <w:rPr>
          <w:rFonts w:cs="Arial"/>
          <w:sz w:val="20"/>
          <w:szCs w:val="20"/>
        </w:rPr>
        <w:t>ě</w:t>
      </w:r>
      <w:r w:rsidRPr="00C24253">
        <w:rPr>
          <w:rFonts w:cs="Arial"/>
          <w:sz w:val="20"/>
          <w:szCs w:val="20"/>
        </w:rPr>
        <w:t>ny pobytu sice zachycují trend ve změnách distribuce obyvatelstva, ale podhodnocují intenzitu těchto změn).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Zmíněný růst samotných měst byl způsoben migrací cizinců, zejména zintenzivňující imigrací ze zahraničí. Saldo migrace českých občanů měla všechna tři výše zmíněná města po celé období 2001 – 2010 záporné. Naopak zázemí měst populačně rostla především migrací občanů ČR (většinou právě z daného města). Menší měrou přispívali k růstu zázemí cizinci přistěhovalí ze zahraničí, vnitřní migrace cizinců přispěla pouze k růstu pražského zázemí ve druhé polovině </w:t>
      </w:r>
      <w:proofErr w:type="spellStart"/>
      <w:r w:rsidRPr="00C24253">
        <w:rPr>
          <w:rFonts w:cs="Arial"/>
          <w:sz w:val="20"/>
          <w:szCs w:val="20"/>
        </w:rPr>
        <w:t>intercenzálního</w:t>
      </w:r>
      <w:proofErr w:type="spellEnd"/>
      <w:r w:rsidRPr="00C24253">
        <w:rPr>
          <w:rFonts w:cs="Arial"/>
          <w:sz w:val="20"/>
          <w:szCs w:val="20"/>
        </w:rPr>
        <w:t xml:space="preserve"> období. Hlavními trendy ve vývoji uvedených oblastí byly tedy odchod českých občanů z centrálních měst do zázemí a příchod cizinců do center. </w:t>
      </w:r>
    </w:p>
    <w:p w:rsidR="00D07D61" w:rsidRPr="00C24253" w:rsidRDefault="00D07D61" w:rsidP="00316FA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Přirozený přírůstek obyvatelstva sledovaných metropolitních oblastí byl ve shodě s vývojem celé české 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pulace. V první polovině </w:t>
      </w:r>
      <w:proofErr w:type="spellStart"/>
      <w:r w:rsidRPr="00C24253">
        <w:rPr>
          <w:rFonts w:cs="Arial"/>
          <w:sz w:val="20"/>
          <w:szCs w:val="20"/>
        </w:rPr>
        <w:t>intercenzálního</w:t>
      </w:r>
      <w:proofErr w:type="spellEnd"/>
      <w:r w:rsidRPr="00C24253">
        <w:rPr>
          <w:rFonts w:cs="Arial"/>
          <w:sz w:val="20"/>
          <w:szCs w:val="20"/>
        </w:rPr>
        <w:t xml:space="preserve"> období byl záporný a poměrně výrazně tlumil růst areálů migrací. V letech 2006 – 2010 byly přirozené i migrační přírůstky kladné, ovšem migrace měla dominantní vliv. V</w:t>
      </w:r>
      <w:r w:rsidRPr="00C24253">
        <w:rPr>
          <w:rFonts w:cs="Arial"/>
          <w:sz w:val="20"/>
          <w:szCs w:val="20"/>
        </w:rPr>
        <w:t>ý</w:t>
      </w:r>
      <w:r w:rsidRPr="00C24253">
        <w:rPr>
          <w:rFonts w:cs="Arial"/>
          <w:sz w:val="20"/>
          <w:szCs w:val="20"/>
        </w:rPr>
        <w:t>sledky sčítání lidu 2011 potvrdily, že růst samotných center v období 2001 – 2011 byl zapříčiněn pouze zv</w:t>
      </w:r>
      <w:r w:rsidRPr="00C24253">
        <w:rPr>
          <w:rFonts w:cs="Arial"/>
          <w:sz w:val="20"/>
          <w:szCs w:val="20"/>
        </w:rPr>
        <w:t>ý</w:t>
      </w:r>
      <w:r w:rsidRPr="00C24253">
        <w:rPr>
          <w:rFonts w:cs="Arial"/>
          <w:sz w:val="20"/>
          <w:szCs w:val="20"/>
        </w:rPr>
        <w:t>šením počtu cizinců. Českých občanů v největších městech ubylo (v Praze o 4 %, v Brně a Plzni o 3 %).</w:t>
      </w:r>
    </w:p>
    <w:p w:rsidR="00D07D61" w:rsidRPr="00C24253" w:rsidRDefault="00D07D61" w:rsidP="00522B2A">
      <w:pPr>
        <w:pStyle w:val="Nadpis3"/>
      </w:pPr>
      <w:bookmarkStart w:id="3" w:name="_Toc371588143"/>
      <w:r w:rsidRPr="00C24253">
        <w:t>Hlavní depopulační oblasti</w:t>
      </w:r>
      <w:bookmarkEnd w:id="3"/>
    </w:p>
    <w:p w:rsidR="006C6892" w:rsidRPr="00C24253" w:rsidRDefault="00D07D61" w:rsidP="00AD07A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Nejmarkantnější úbytek obyvatelstva mezi roky 2001 a 2011 nastal v oblasti Jeseníků (ORP při severoz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>padní hranici Olomouckého a Moravskoslezského kraje), která v 90. letech populačně rostla. Obyvatelstvo v Jeseníkách ubývalo zejména vnitřní migrací. Lidé se stěhovali především do Prahy a do regionálních ce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>ter (Olomouc, Ostrava, Brno), ale také do blízkých oblastí v relativně lepší poloze vůči významnějším cen</w:t>
      </w:r>
      <w:r w:rsidRPr="00C24253">
        <w:rPr>
          <w:rFonts w:cs="Arial"/>
          <w:sz w:val="20"/>
          <w:szCs w:val="20"/>
        </w:rPr>
        <w:t>t</w:t>
      </w:r>
      <w:r w:rsidRPr="00C24253">
        <w:rPr>
          <w:rFonts w:cs="Arial"/>
          <w:sz w:val="20"/>
          <w:szCs w:val="20"/>
        </w:rPr>
        <w:t xml:space="preserve">rům (např. na Opavsko či do ORP Zábřeh). Přirozený úbytek přispíval ke snižování počtu obyvatel menší měrou (v ORP Bruntál byl dokonce kladný). </w:t>
      </w:r>
    </w:p>
    <w:p w:rsidR="00D07D61" w:rsidRPr="00C24253" w:rsidRDefault="00D07D61" w:rsidP="00AD07A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Saldo zahraniční migrace v </w:t>
      </w:r>
      <w:proofErr w:type="spellStart"/>
      <w:r w:rsidRPr="00C24253">
        <w:rPr>
          <w:rFonts w:cs="Arial"/>
          <w:sz w:val="20"/>
          <w:szCs w:val="20"/>
        </w:rPr>
        <w:t>intercenzálním</w:t>
      </w:r>
      <w:proofErr w:type="spellEnd"/>
      <w:r w:rsidRPr="00C24253">
        <w:rPr>
          <w:rFonts w:cs="Arial"/>
          <w:sz w:val="20"/>
          <w:szCs w:val="20"/>
        </w:rPr>
        <w:t xml:space="preserve"> období bylo podle dat průběžné evidence kladné, ovšem zde je nutno upozornit na neúplnost dat o vystěhovalých do zahraničí. Podstatnou měrou se na úbytku obyvatel podílely i neoficiální přesuny obyvatel, kteří nezměnili místo trvalého bydliště, ale obvykle žili jinde – nečast</w:t>
      </w:r>
      <w:r w:rsidRPr="00C24253">
        <w:rPr>
          <w:rFonts w:cs="Arial"/>
          <w:sz w:val="20"/>
          <w:szCs w:val="20"/>
        </w:rPr>
        <w:t>ě</w:t>
      </w:r>
      <w:r w:rsidRPr="00C24253">
        <w:rPr>
          <w:rFonts w:cs="Arial"/>
          <w:sz w:val="20"/>
          <w:szCs w:val="20"/>
        </w:rPr>
        <w:t>ji v Praze, resp. neměli obvyklý pobyt na našem území. Tyto neevidované přesuny nejsou zachyceny ve statistice pohybu obyvatelstva, projevily se až v údajích ze sčítání.</w:t>
      </w:r>
    </w:p>
    <w:p w:rsidR="00D07D61" w:rsidRPr="001B7ED8" w:rsidRDefault="00D07D61" w:rsidP="00AD07A7">
      <w:pPr>
        <w:spacing w:after="120"/>
        <w:rPr>
          <w:rFonts w:cs="Arial"/>
          <w:sz w:val="20"/>
          <w:szCs w:val="20"/>
        </w:rPr>
      </w:pPr>
      <w:r w:rsidRPr="001B7ED8">
        <w:rPr>
          <w:rFonts w:cs="Arial"/>
          <w:sz w:val="20"/>
          <w:szCs w:val="20"/>
        </w:rPr>
        <w:t>V základních rysech byla podobná situace i v ostravsko-karvinské oblasti. I zde se počty obyvatel snižovaly zejména vnitřní migrací, v menší míře přirozenou měnou. Mezi nejvýznamnější cíle emigrace patřila opět Praha</w:t>
      </w:r>
      <w:r w:rsidR="001B7ED8" w:rsidRPr="001B7ED8">
        <w:rPr>
          <w:rFonts w:cs="Arial"/>
          <w:sz w:val="20"/>
          <w:szCs w:val="20"/>
        </w:rPr>
        <w:t xml:space="preserve"> a dále některé regiony </w:t>
      </w:r>
      <w:r w:rsidR="001B7ED8" w:rsidRPr="001B7ED8">
        <w:rPr>
          <w:rFonts w:cs="Arial"/>
          <w:iCs/>
          <w:sz w:val="20"/>
          <w:szCs w:val="20"/>
        </w:rPr>
        <w:t xml:space="preserve">v </w:t>
      </w:r>
      <w:proofErr w:type="spellStart"/>
      <w:r w:rsidR="001B7ED8" w:rsidRPr="001B7ED8">
        <w:rPr>
          <w:rFonts w:cs="Arial"/>
          <w:iCs/>
          <w:sz w:val="20"/>
          <w:szCs w:val="20"/>
        </w:rPr>
        <w:t>dojížďkové</w:t>
      </w:r>
      <w:proofErr w:type="spellEnd"/>
      <w:r w:rsidR="001B7ED8" w:rsidRPr="001B7ED8">
        <w:rPr>
          <w:rFonts w:cs="Arial"/>
          <w:iCs/>
          <w:sz w:val="20"/>
          <w:szCs w:val="20"/>
        </w:rPr>
        <w:t xml:space="preserve"> vzdálenosti od Ostravy</w:t>
      </w:r>
      <w:r w:rsidRPr="001B7ED8">
        <w:rPr>
          <w:rFonts w:cs="Arial"/>
          <w:sz w:val="20"/>
          <w:szCs w:val="20"/>
        </w:rPr>
        <w:t xml:space="preserve">, jako např. ORP Opava či Frýdlant nad Ostravicí (měřeno hrubou mírou migračního salda se </w:t>
      </w:r>
      <w:proofErr w:type="spellStart"/>
      <w:r w:rsidRPr="001B7ED8">
        <w:rPr>
          <w:rFonts w:cs="Arial"/>
          <w:sz w:val="20"/>
          <w:szCs w:val="20"/>
        </w:rPr>
        <w:t>Frýdlantsko</w:t>
      </w:r>
      <w:proofErr w:type="spellEnd"/>
      <w:r w:rsidRPr="001B7ED8">
        <w:rPr>
          <w:rFonts w:cs="Arial"/>
          <w:sz w:val="20"/>
          <w:szCs w:val="20"/>
        </w:rPr>
        <w:t xml:space="preserve"> řadilo k migračně nejatraktivnějším </w:t>
      </w:r>
      <w:proofErr w:type="spellStart"/>
      <w:r w:rsidRPr="001B7ED8">
        <w:rPr>
          <w:rFonts w:cs="Arial"/>
          <w:sz w:val="20"/>
          <w:szCs w:val="20"/>
        </w:rPr>
        <w:t>mikr</w:t>
      </w:r>
      <w:r w:rsidRPr="001B7ED8">
        <w:rPr>
          <w:rFonts w:cs="Arial"/>
          <w:sz w:val="20"/>
          <w:szCs w:val="20"/>
        </w:rPr>
        <w:t>o</w:t>
      </w:r>
      <w:r w:rsidRPr="001B7ED8">
        <w:rPr>
          <w:rFonts w:cs="Arial"/>
          <w:sz w:val="20"/>
          <w:szCs w:val="20"/>
        </w:rPr>
        <w:t>regionům</w:t>
      </w:r>
      <w:proofErr w:type="spellEnd"/>
      <w:r w:rsidRPr="001B7ED8">
        <w:rPr>
          <w:rFonts w:cs="Arial"/>
          <w:sz w:val="20"/>
          <w:szCs w:val="20"/>
        </w:rPr>
        <w:t xml:space="preserve"> v zemi). Rovněž zde se projevily nenahlášené změny pobytu, opět se jednalo zejména o osoby obvykle bydlící v Praze či bez obvyklého pobytu na našem území.</w:t>
      </w:r>
      <w:r w:rsidR="006C6892" w:rsidRPr="001B7ED8">
        <w:rPr>
          <w:rFonts w:cs="Arial"/>
          <w:sz w:val="20"/>
          <w:szCs w:val="20"/>
        </w:rPr>
        <w:t xml:space="preserve"> </w:t>
      </w:r>
      <w:r w:rsidRPr="001B7ED8">
        <w:rPr>
          <w:rFonts w:cs="Arial"/>
          <w:sz w:val="20"/>
          <w:szCs w:val="20"/>
        </w:rPr>
        <w:t>Podobně tomu bylo i v další výrazně d</w:t>
      </w:r>
      <w:r w:rsidRPr="001B7ED8">
        <w:rPr>
          <w:rFonts w:cs="Arial"/>
          <w:sz w:val="20"/>
          <w:szCs w:val="20"/>
        </w:rPr>
        <w:t>e</w:t>
      </w:r>
      <w:r w:rsidRPr="001B7ED8">
        <w:rPr>
          <w:rFonts w:cs="Arial"/>
          <w:sz w:val="20"/>
          <w:szCs w:val="20"/>
        </w:rPr>
        <w:t>populační oblasti, kterou představoval souvislý pás ORP při hranicích se Slovenskem (od Vsetína po Hod</w:t>
      </w:r>
      <w:r w:rsidRPr="001B7ED8">
        <w:rPr>
          <w:rFonts w:cs="Arial"/>
          <w:sz w:val="20"/>
          <w:szCs w:val="20"/>
        </w:rPr>
        <w:t>o</w:t>
      </w:r>
      <w:r w:rsidRPr="001B7ED8">
        <w:rPr>
          <w:rFonts w:cs="Arial"/>
          <w:sz w:val="20"/>
          <w:szCs w:val="20"/>
        </w:rPr>
        <w:t>nín). Ze slovenského příhraničí odcházeli (oficiálně či bez ohlášení) lidé hlavně do Prahy, Brna, na Zlínsko či Uherskohradišťsko.</w:t>
      </w:r>
    </w:p>
    <w:p w:rsidR="00D07D61" w:rsidRPr="00C24253" w:rsidRDefault="00D07D61" w:rsidP="00AD07A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Oblast Karlovarska (značný úbytek byl téměř v celém Karlovarském kraji s </w:t>
      </w:r>
      <w:r w:rsidR="00A96EA8">
        <w:rPr>
          <w:rFonts w:cs="Arial"/>
          <w:sz w:val="20"/>
          <w:szCs w:val="20"/>
        </w:rPr>
        <w:t>výjimkou stagnujícího Chebska a </w:t>
      </w:r>
      <w:r w:rsidRPr="00C24253">
        <w:rPr>
          <w:rFonts w:cs="Arial"/>
          <w:sz w:val="20"/>
          <w:szCs w:val="20"/>
        </w:rPr>
        <w:t>mírně rostoucího ORP Ostrov) měla vysoké saldo zahraniční migrace. Příliv cizinců ze zahraničí většinou (s výjimkou ORP Sokolov) podstatně zmírňoval hluboce záporné saldo evidované vnitřní migrace. Ve sk</w:t>
      </w:r>
      <w:r w:rsidRPr="00C24253">
        <w:rPr>
          <w:rFonts w:cs="Arial"/>
          <w:sz w:val="20"/>
          <w:szCs w:val="20"/>
        </w:rPr>
        <w:t>u</w:t>
      </w:r>
      <w:r w:rsidRPr="00C24253">
        <w:rPr>
          <w:rFonts w:cs="Arial"/>
          <w:sz w:val="20"/>
          <w:szCs w:val="20"/>
        </w:rPr>
        <w:t>tečnosti však tato oblast ztrácela vnitřní migrací výrazně více – značné množství lidí mělo sice trvalé bydliště v uvedené oblasti, ovšem obvykle žili jinde (mimo ČR, v Praze, na Plzeňsku, v ORP Ostrov).</w:t>
      </w:r>
    </w:p>
    <w:p w:rsidR="00D07D61" w:rsidRPr="00C24253" w:rsidRDefault="00D07D61" w:rsidP="00AD07A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Stejně jako v oblasti Karlových Varů, i na Mostecku (ORP Most a Litvínov) byl prohlubující se úbytek obyv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telstva dán hlavně neevidovanými změnami faktického pobytu (opět obvyklý pobyt mimo ČR a v Praze), v případě ORP Most i registrovanou migrací do Prahy a do okolních ORP (Chomutov, Louny). </w:t>
      </w:r>
    </w:p>
    <w:p w:rsidR="00D07D61" w:rsidRPr="00C24253" w:rsidRDefault="00D07D61" w:rsidP="00522B2A">
      <w:pPr>
        <w:pStyle w:val="Nadpis3"/>
      </w:pPr>
      <w:bookmarkStart w:id="4" w:name="_Toc371588144"/>
      <w:r w:rsidRPr="00C24253">
        <w:lastRenderedPageBreak/>
        <w:t>Sídelní struktura</w:t>
      </w:r>
      <w:bookmarkEnd w:id="4"/>
    </w:p>
    <w:p w:rsidR="004D05AC" w:rsidRPr="00C24253" w:rsidRDefault="00D07D61" w:rsidP="00AD07A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Sídelní síť České republiky je dlouhodobě relativně stabilní, ale administrativními zásahy se v posledních desetiletích 20. století výrazně měnil počet obcí. </w:t>
      </w:r>
    </w:p>
    <w:p w:rsidR="00D07D61" w:rsidRPr="00C24253" w:rsidRDefault="00D07D61" w:rsidP="00AD07A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60. až 80. letech docházelo k jejich integraci (např. v průběhu 70. let se počet obcí snížil více než o třet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nu), po obnovení obecní samosprávy se v 90. letech obce opětovně rozdrobovaly. Vznikaly tehdy zejména malé obce s řádově stovkami obyvatel. Stabilitu do územně-správní struktury vnesl zákon o obcích z roku 2000, který mimo jiné zamezil vzniku obcí s méně než tisícem obyvatel. Od roku 2000 tak již dochází pouze ke sporadickým změnám v počtu obcí.</w:t>
      </w:r>
    </w:p>
    <w:p w:rsidR="00D07D61" w:rsidRPr="00C24253" w:rsidRDefault="00D07D61" w:rsidP="00AD07A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Při sčítání 2011 bylo území Česka rozděleno do 6 251 obcí (včetně pěti vojenských újezdů). Průměrná 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pulační velikost obcí činila 1670 obyvatel, ale 87 % obcí mělo počet obyvatel podprůměrný. Mediánová vel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kost (tj. hodnota, která dělí na poloviny soubor obcí seřazených podle velikosti) byla pouhých 415 obyvatel (zhruba každá čtvrtá obec měla dokonce méně než 200 obyvatel), V „dolní“ polovině, tj. v obcích pod medi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>novou velikostí, žilo pouze 6 % obyvatel. Města nad 10 tisíc obyvatel pře</w:t>
      </w:r>
      <w:r w:rsidR="00A96EA8">
        <w:rPr>
          <w:rFonts w:cs="Arial"/>
          <w:sz w:val="20"/>
          <w:szCs w:val="20"/>
        </w:rPr>
        <w:t>dstavovala jen 2 % obcí Česka a </w:t>
      </w:r>
      <w:r w:rsidRPr="00C24253">
        <w:rPr>
          <w:rFonts w:cs="Arial"/>
          <w:sz w:val="20"/>
          <w:szCs w:val="20"/>
        </w:rPr>
        <w:t>žila v nich zhruba polovina obyvatelstva</w:t>
      </w:r>
      <w:r w:rsidR="00AD07A7" w:rsidRPr="00C24253">
        <w:rPr>
          <w:rFonts w:cs="Arial"/>
          <w:sz w:val="20"/>
          <w:szCs w:val="20"/>
        </w:rPr>
        <w:t>.</w:t>
      </w:r>
      <w:r w:rsidRPr="00C24253">
        <w:rPr>
          <w:rFonts w:cs="Arial"/>
          <w:sz w:val="20"/>
          <w:szCs w:val="20"/>
        </w:rPr>
        <w:t xml:space="preserve"> </w:t>
      </w:r>
    </w:p>
    <w:p w:rsidR="008B0FB0" w:rsidRPr="00C24253" w:rsidRDefault="00D07D61" w:rsidP="008B0FB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Velikostní struktura obcí není po celém území jednotná, existují v ní významné regionální rozdíly. Na vých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dě (především ve Zlínském a Moravskoslezském kraji) a také na severozápadě území (Karlovarský, Ústecký a Liberecký kraj) jsou obce větší než v ostatních částech republiky. </w:t>
      </w:r>
    </w:p>
    <w:p w:rsidR="008B0FB0" w:rsidRPr="00C24253" w:rsidRDefault="00D07D61" w:rsidP="008B0FB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Výjimečná je zejména struktura Moravskoslezského kraje, kde bylo jen velmi malé procento nejmenších obcí do 200 obyvatel (představovaly pouze 5 % obcí kraje, v ČR to bylo 25 %) a téměř polovina obcí měla více než tisíc obyvatel (v celé republice to bylo jen 22 %). Mediánová velikost byla 979 obyvatel, což byla hodn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ta vysoko přesahující všechny ostatní kraje. </w:t>
      </w:r>
    </w:p>
    <w:p w:rsidR="00D07D61" w:rsidRPr="00C24253" w:rsidRDefault="00D07D61" w:rsidP="00F16BDF">
      <w:pPr>
        <w:spacing w:after="240"/>
        <w:rPr>
          <w:rFonts w:cs="Arial"/>
          <w:b/>
          <w:sz w:val="20"/>
          <w:szCs w:val="20"/>
        </w:rPr>
      </w:pPr>
      <w:r w:rsidRPr="00C24253">
        <w:rPr>
          <w:rFonts w:cs="Arial"/>
          <w:sz w:val="20"/>
          <w:szCs w:val="20"/>
        </w:rPr>
        <w:t>Zlínský kraj vynikal především vysokým podílem větších venkovských obcí kolem tisíce obyvatel, Karlova</w:t>
      </w:r>
      <w:r w:rsidRPr="00C24253">
        <w:rPr>
          <w:rFonts w:cs="Arial"/>
          <w:sz w:val="20"/>
          <w:szCs w:val="20"/>
        </w:rPr>
        <w:t>r</w:t>
      </w:r>
      <w:r w:rsidRPr="00C24253">
        <w:rPr>
          <w:rFonts w:cs="Arial"/>
          <w:sz w:val="20"/>
          <w:szCs w:val="20"/>
        </w:rPr>
        <w:t>ský a Ústecký kraj vysokým podílem středních měst (10 – 20 tisíc obyvatel).</w:t>
      </w:r>
      <w:r w:rsidR="004A5521" w:rsidRPr="00C24253">
        <w:rPr>
          <w:rFonts w:cs="Arial"/>
          <w:sz w:val="20"/>
          <w:szCs w:val="20"/>
        </w:rPr>
        <w:t xml:space="preserve"> </w:t>
      </w:r>
    </w:p>
    <w:p w:rsidR="00D07D61" w:rsidRPr="00C24253" w:rsidRDefault="00D07D61" w:rsidP="0043341E">
      <w:pPr>
        <w:spacing w:after="120"/>
        <w:ind w:left="708"/>
        <w:rPr>
          <w:rFonts w:cs="Arial"/>
          <w:b/>
          <w:smallCaps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 xml:space="preserve">Velikost obcí v krajích České republiky </w:t>
      </w:r>
      <w:r w:rsidR="00F16BDF" w:rsidRPr="00C24253">
        <w:rPr>
          <w:rFonts w:cs="Arial"/>
          <w:b/>
          <w:sz w:val="20"/>
          <w:szCs w:val="20"/>
        </w:rPr>
        <w:t>k 26. 3. 2011</w:t>
      </w:r>
    </w:p>
    <w:tbl>
      <w:tblPr>
        <w:tblW w:w="86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60"/>
        <w:gridCol w:w="1020"/>
        <w:gridCol w:w="1020"/>
        <w:gridCol w:w="1020"/>
        <w:gridCol w:w="1020"/>
        <w:gridCol w:w="1020"/>
        <w:gridCol w:w="1020"/>
        <w:gridCol w:w="1020"/>
      </w:tblGrid>
      <w:tr w:rsidR="00480A20" w:rsidRPr="00C24253" w:rsidTr="00480A20">
        <w:trPr>
          <w:trHeight w:val="51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obcí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Mediánová velikost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Průměrná velikost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obcí do 1000</w:t>
            </w:r>
          </w:p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obcí nad 10 000 obyvatel</w:t>
            </w:r>
          </w:p>
        </w:tc>
      </w:tr>
      <w:tr w:rsidR="00480A20" w:rsidRPr="00C24253" w:rsidTr="00480A20">
        <w:trPr>
          <w:trHeight w:val="454"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AD07A7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počtu obcí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počtu obyvatel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počtu obcí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480A2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počtu obyvatel</w:t>
            </w:r>
          </w:p>
        </w:tc>
      </w:tr>
      <w:tr w:rsidR="00452700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00" w:rsidRPr="00C24253" w:rsidRDefault="00452700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00" w:rsidRPr="00C24253" w:rsidRDefault="006C5F63" w:rsidP="006C5F6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00" w:rsidRDefault="00452700" w:rsidP="00452700">
            <w:pPr>
              <w:jc w:val="right"/>
            </w:pPr>
            <w:r w:rsidRPr="00304109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00" w:rsidRDefault="00452700" w:rsidP="00452700">
            <w:pPr>
              <w:jc w:val="right"/>
            </w:pPr>
            <w:r w:rsidRPr="00304109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00" w:rsidRDefault="006C5F63" w:rsidP="00452700">
            <w:pPr>
              <w:jc w:val="right"/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00" w:rsidRDefault="006C5F63" w:rsidP="00452700">
            <w:pPr>
              <w:jc w:val="right"/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00" w:rsidRPr="00C24253" w:rsidRDefault="00452700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00" w:rsidRPr="00C24253" w:rsidRDefault="00452700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1 145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1 126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79,3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32,8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1 009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83,8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23,4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36,1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1 139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82,2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42,3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557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2 239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68,2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54,7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354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488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2 285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63,1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563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2 011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48,5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1 223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82,6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39,0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1 134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83,1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39,9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704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718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90,9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33,7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34,0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546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1 729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73,0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47,9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563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1 575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70,2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45,5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708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1 902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66,9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42,6</w:t>
            </w:r>
          </w:p>
        </w:tc>
      </w:tr>
      <w:tr w:rsidR="00F657A1" w:rsidRPr="00C24253" w:rsidTr="00452700">
        <w:trPr>
          <w:trHeight w:val="2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731B1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A1" w:rsidRPr="00C24253" w:rsidRDefault="00F657A1" w:rsidP="00AD07A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63,7</w:t>
            </w:r>
          </w:p>
        </w:tc>
      </w:tr>
      <w:tr w:rsidR="00480A20" w:rsidRPr="00C24253" w:rsidTr="00452700">
        <w:trPr>
          <w:trHeight w:val="397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AD07A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Česká republika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AD07A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6 251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F657A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>
            <w:pPr>
              <w:ind w:hanging="357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AD07A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AD07A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AD07A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20" w:rsidRPr="00C24253" w:rsidRDefault="00480A20" w:rsidP="00AD07A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52,6</w:t>
            </w:r>
          </w:p>
        </w:tc>
      </w:tr>
    </w:tbl>
    <w:p w:rsidR="006C6892" w:rsidRPr="00C24253" w:rsidRDefault="00F0565F" w:rsidP="004D05AC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Relativně v</w:t>
      </w:r>
      <w:r w:rsidR="00D07D61" w:rsidRPr="00C24253">
        <w:rPr>
          <w:rFonts w:cs="Arial"/>
          <w:sz w:val="20"/>
          <w:szCs w:val="20"/>
        </w:rPr>
        <w:t>elmi malé obce jsou na Vysočině, kde mediánová velikost obcí byla pouze 208 obyvatel. Přes 90</w:t>
      </w:r>
      <w:r w:rsidR="00A96EA8">
        <w:rPr>
          <w:rFonts w:cs="Arial"/>
          <w:sz w:val="20"/>
          <w:szCs w:val="20"/>
        </w:rPr>
        <w:t> </w:t>
      </w:r>
      <w:r w:rsidR="00D07D61" w:rsidRPr="00C24253">
        <w:rPr>
          <w:rFonts w:cs="Arial"/>
          <w:sz w:val="20"/>
          <w:szCs w:val="20"/>
        </w:rPr>
        <w:t>% obcí (ze 704) zde mělo méně než 1000 obyvatel a žila v nich více než pětina obyvatelstva kraje (v celé</w:t>
      </w:r>
      <w:r w:rsidR="0043341E" w:rsidRPr="00C24253">
        <w:rPr>
          <w:rFonts w:cs="Arial"/>
          <w:sz w:val="20"/>
          <w:szCs w:val="20"/>
        </w:rPr>
        <w:t xml:space="preserve"> ČR</w:t>
      </w:r>
      <w:r w:rsidR="00D07D61" w:rsidRPr="00C24253">
        <w:rPr>
          <w:rFonts w:cs="Arial"/>
          <w:sz w:val="20"/>
          <w:szCs w:val="20"/>
        </w:rPr>
        <w:t xml:space="preserve"> to byla necelá desetina). Ve srovnání se strukturou celé</w:t>
      </w:r>
      <w:r w:rsidR="004D05AC" w:rsidRPr="00C24253">
        <w:rPr>
          <w:rFonts w:cs="Arial"/>
          <w:sz w:val="20"/>
          <w:szCs w:val="20"/>
        </w:rPr>
        <w:t xml:space="preserve"> </w:t>
      </w:r>
      <w:r w:rsidR="006C6892" w:rsidRPr="00C24253">
        <w:rPr>
          <w:rFonts w:cs="Arial"/>
          <w:sz w:val="20"/>
          <w:szCs w:val="20"/>
        </w:rPr>
        <w:t>Č</w:t>
      </w:r>
      <w:r w:rsidR="004D05AC" w:rsidRPr="00C24253">
        <w:rPr>
          <w:rFonts w:cs="Arial"/>
          <w:sz w:val="20"/>
          <w:szCs w:val="20"/>
        </w:rPr>
        <w:t>eské republiky</w:t>
      </w:r>
      <w:r w:rsidR="00D07D61" w:rsidRPr="00C24253">
        <w:rPr>
          <w:rFonts w:cs="Arial"/>
          <w:sz w:val="20"/>
          <w:szCs w:val="20"/>
        </w:rPr>
        <w:t xml:space="preserve"> byly na Vysočině málo zasto</w:t>
      </w:r>
      <w:r w:rsidR="00D07D61" w:rsidRPr="00C24253">
        <w:rPr>
          <w:rFonts w:cs="Arial"/>
          <w:sz w:val="20"/>
          <w:szCs w:val="20"/>
        </w:rPr>
        <w:t>u</w:t>
      </w:r>
      <w:r w:rsidR="00D07D61" w:rsidRPr="00C24253">
        <w:rPr>
          <w:rFonts w:cs="Arial"/>
          <w:sz w:val="20"/>
          <w:szCs w:val="20"/>
        </w:rPr>
        <w:t xml:space="preserve">peny především obce ve skupině 2000 – 4999 obyvatel. </w:t>
      </w:r>
    </w:p>
    <w:p w:rsidR="00D07D61" w:rsidRPr="00C24253" w:rsidRDefault="00D07D61" w:rsidP="0043341E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Značně rozdrobenou strukturou jsou charakteristické i Jihočeský a Plzeňský kraj, rovněž s vysokým zasto</w:t>
      </w:r>
      <w:r w:rsidRPr="00C24253">
        <w:rPr>
          <w:rFonts w:cs="Arial"/>
          <w:sz w:val="20"/>
          <w:szCs w:val="20"/>
        </w:rPr>
        <w:t>u</w:t>
      </w:r>
      <w:r w:rsidRPr="00C24253">
        <w:rPr>
          <w:rFonts w:cs="Arial"/>
          <w:sz w:val="20"/>
          <w:szCs w:val="20"/>
        </w:rPr>
        <w:t>pením nejmenších obcí. Zejména Jihočeský kraj vynikal velmi malým podílem středních měst, v Plzeňském kraji bylo jen velmi málo měst nad 20 tisíc obyvatel.</w:t>
      </w:r>
    </w:p>
    <w:p w:rsidR="008B0FB0" w:rsidRPr="00C24253" w:rsidRDefault="00F0565F" w:rsidP="008B0FB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lastRenderedPageBreak/>
        <w:t>Výrazně rozdílné</w:t>
      </w:r>
      <w:r w:rsidR="00D07D61" w:rsidRPr="00C24253">
        <w:rPr>
          <w:rFonts w:cs="Arial"/>
          <w:sz w:val="20"/>
          <w:szCs w:val="20"/>
        </w:rPr>
        <w:t xml:space="preserve"> z hlediska územní struktury jsou správní obvody ORP. Některé obvody se skládají z velkého množství obcí (Znojmo – 111 obcí, Mladá Boleslav a Třebíč přes 90 obcí, Rakovník a Hradec Kr</w:t>
      </w:r>
      <w:r w:rsidR="00D07D61" w:rsidRPr="00C24253">
        <w:rPr>
          <w:rFonts w:cs="Arial"/>
          <w:sz w:val="20"/>
          <w:szCs w:val="20"/>
        </w:rPr>
        <w:t>á</w:t>
      </w:r>
      <w:r w:rsidR="00D07D61" w:rsidRPr="00C24253">
        <w:rPr>
          <w:rFonts w:cs="Arial"/>
          <w:sz w:val="20"/>
          <w:szCs w:val="20"/>
        </w:rPr>
        <w:t xml:space="preserve">lové přes 80), jiné – zejména ve vysoce urbanizovaných oblastech – jsou tvořeny jen několika málo obcemi (Bohumín a Český Těšín po dvou obcích, Orlová a Karviná po čtyřech, extrémem je „městský“ ORP Brno tvořený jen samotným městem). </w:t>
      </w:r>
    </w:p>
    <w:p w:rsidR="00D07D61" w:rsidRPr="00C24253" w:rsidRDefault="00D07D61" w:rsidP="008B0FB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Specifické jsou také ORP tvořené relativně významným centrem a několika populačně mnohem menšími obcemi (ORP Plzeň, Ostrava, Havířov, Most, ale i Česká Třebová)</w:t>
      </w:r>
      <w:r w:rsidR="008B0FB0" w:rsidRPr="00C24253">
        <w:rPr>
          <w:rFonts w:cs="Arial"/>
          <w:sz w:val="20"/>
          <w:szCs w:val="20"/>
        </w:rPr>
        <w:t>.</w:t>
      </w:r>
      <w:r w:rsidRPr="00C24253">
        <w:rPr>
          <w:rFonts w:cs="Arial"/>
          <w:sz w:val="20"/>
          <w:szCs w:val="20"/>
        </w:rPr>
        <w:t xml:space="preserve">  </w:t>
      </w:r>
    </w:p>
    <w:p w:rsidR="00D07D61" w:rsidRPr="00C24253" w:rsidRDefault="00D07D61" w:rsidP="00F16BD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81 ORP nebyla zastoupena žádná obec nad 10 tisíc obyvatel, z toho ve 13 dokonce ani obec nad 5 tisíc obyvatel. V sedmi ORP žila více než polovina obyvatelstva v obcích do 1000 obyvatel (extrémem byl ORP Konice v Olomouckém kraji, kde v těchto obcích žily bezmála tři čtvrtiny obyvatelstva). Naopak existují vys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ce urbanizované ORP (zejména v Moravskoslezském kraji), kde drtivá většina obyvatelstva žije v centrálním městě. Jsou to např. ORP Most, Český Těšín, Plzeň, Ostrava, samozřejmě Brno.</w:t>
      </w:r>
    </w:p>
    <w:p w:rsidR="00D07D61" w:rsidRPr="00C24253" w:rsidRDefault="00D07D61" w:rsidP="008B0FB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Vzhledem k výše popsanému mimořádnému populačnímu nárůstu pražského zázemí stojí alespoň za stru</w:t>
      </w:r>
      <w:r w:rsidRPr="00C24253">
        <w:rPr>
          <w:rFonts w:cs="Arial"/>
          <w:sz w:val="20"/>
          <w:szCs w:val="20"/>
        </w:rPr>
        <w:t>č</w:t>
      </w:r>
      <w:r w:rsidRPr="00C24253">
        <w:rPr>
          <w:rFonts w:cs="Arial"/>
          <w:sz w:val="20"/>
          <w:szCs w:val="20"/>
        </w:rPr>
        <w:t xml:space="preserve">nou zmínku změny ve velikostní struktuře obcí v tomto regionu (zázemím jsou myšleny okolní ORP </w:t>
      </w:r>
      <w:proofErr w:type="spellStart"/>
      <w:r w:rsidRPr="00C24253">
        <w:rPr>
          <w:rFonts w:cs="Arial"/>
          <w:sz w:val="20"/>
          <w:szCs w:val="20"/>
        </w:rPr>
        <w:t>Černoš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ce</w:t>
      </w:r>
      <w:proofErr w:type="spellEnd"/>
      <w:r w:rsidRPr="00C24253">
        <w:rPr>
          <w:rFonts w:cs="Arial"/>
          <w:sz w:val="20"/>
          <w:szCs w:val="20"/>
        </w:rPr>
        <w:t>, Říčany a Brandýs nad Labem – Stará Boleslav). V takto vymezen</w:t>
      </w:r>
      <w:r w:rsidR="00A96EA8">
        <w:rPr>
          <w:rFonts w:cs="Arial"/>
          <w:sz w:val="20"/>
          <w:szCs w:val="20"/>
        </w:rPr>
        <w:t>ém zázemí se nachází celkem 189 </w:t>
      </w:r>
      <w:r w:rsidRPr="00C24253">
        <w:rPr>
          <w:rFonts w:cs="Arial"/>
          <w:sz w:val="20"/>
          <w:szCs w:val="20"/>
        </w:rPr>
        <w:t>obcí a bylo zde sečteno 288 tisíc obyvatel (to je o 53 % více než v roce 2001). Nejvíce obcí spadalo do kategorie 500 – 999 obyvatel, následovaly okolní kategorie (200 – 499 a 1000 – 1999 obyvatel). V roce 2001 patřilo 110 obcí (58 %) do nižší kategorie než v roce 2011, pět obcí se dokonc</w:t>
      </w:r>
      <w:r w:rsidR="00A96EA8">
        <w:rPr>
          <w:rFonts w:cs="Arial"/>
          <w:sz w:val="20"/>
          <w:szCs w:val="20"/>
        </w:rPr>
        <w:t>e řadilo o dvě kategorie níže a </w:t>
      </w:r>
      <w:r w:rsidRPr="00C24253">
        <w:rPr>
          <w:rFonts w:cs="Arial"/>
          <w:sz w:val="20"/>
          <w:szCs w:val="20"/>
        </w:rPr>
        <w:t xml:space="preserve">dvě obce o tři kategorie níže. </w:t>
      </w:r>
    </w:p>
    <w:p w:rsidR="008B0FB0" w:rsidRPr="00C24253" w:rsidRDefault="00D07D61" w:rsidP="008B0FB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roce 2001 bylo v zázemí Prahy 28 obcí v nejmenší kategorii do 200 obyvatel. Do roku 2011 se počet ob</w:t>
      </w:r>
      <w:r w:rsidRPr="00C24253">
        <w:rPr>
          <w:rFonts w:cs="Arial"/>
          <w:sz w:val="20"/>
          <w:szCs w:val="20"/>
        </w:rPr>
        <w:t>y</w:t>
      </w:r>
      <w:r w:rsidRPr="00C24253">
        <w:rPr>
          <w:rFonts w:cs="Arial"/>
          <w:sz w:val="20"/>
          <w:szCs w:val="20"/>
        </w:rPr>
        <w:t xml:space="preserve">vatel v těchto obcích zvýšil 2,6 násobně a v původní kategorii zůstalo pouze 8 obcí (dvě obce překročily hranici 1000 obyvatel). </w:t>
      </w:r>
    </w:p>
    <w:p w:rsidR="008B0FB0" w:rsidRPr="00C24253" w:rsidRDefault="00D07D61" w:rsidP="008B0FB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Druhý nejintenzivnější nárůst (o 73 %) byl v 56 obcích tvořících v roce 2001 kategorii obcí 500 – 999 obyv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>tel - v původní skupině zůstalo do roku 2011 pouze 20 z těchto obcí (pět obc</w:t>
      </w:r>
      <w:r w:rsidR="00BA621E">
        <w:rPr>
          <w:rFonts w:cs="Arial"/>
          <w:sz w:val="20"/>
          <w:szCs w:val="20"/>
        </w:rPr>
        <w:t>í se dostalo až do skupiny 2000 </w:t>
      </w:r>
      <w:r w:rsidRPr="00C24253">
        <w:rPr>
          <w:rFonts w:cs="Arial"/>
          <w:sz w:val="20"/>
          <w:szCs w:val="20"/>
        </w:rPr>
        <w:t xml:space="preserve">– 4999 obyvatel. </w:t>
      </w:r>
    </w:p>
    <w:p w:rsidR="00D07D61" w:rsidRPr="00C24253" w:rsidRDefault="00D07D61" w:rsidP="008B0FB0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Relativně nejméně vzrostla populace měst nad 10 tisíc obyvatel (tři sídla ORP), ovšem i zde byl nárůst v</w:t>
      </w:r>
      <w:r w:rsidRPr="00C24253">
        <w:rPr>
          <w:rFonts w:cs="Arial"/>
          <w:sz w:val="20"/>
          <w:szCs w:val="20"/>
        </w:rPr>
        <w:t>ý</w:t>
      </w:r>
      <w:r w:rsidRPr="00C24253">
        <w:rPr>
          <w:rFonts w:cs="Arial"/>
          <w:sz w:val="20"/>
          <w:szCs w:val="20"/>
        </w:rPr>
        <w:t xml:space="preserve">razný – bezmála o pětinu. </w:t>
      </w:r>
    </w:p>
    <w:p w:rsidR="00480A20" w:rsidRPr="00C24253" w:rsidRDefault="00480A20" w:rsidP="00480A20">
      <w:pPr>
        <w:spacing w:after="120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Změny ve velikostní struktuře obcí v zázemí Prahy v období 2001 – 2011 (počty obcí podle příslu</w:t>
      </w:r>
      <w:r w:rsidRPr="00C24253">
        <w:rPr>
          <w:rFonts w:cs="Arial"/>
          <w:b/>
          <w:sz w:val="20"/>
          <w:szCs w:val="20"/>
        </w:rPr>
        <w:t>š</w:t>
      </w:r>
      <w:r w:rsidRPr="00C24253">
        <w:rPr>
          <w:rFonts w:cs="Arial"/>
          <w:b/>
          <w:sz w:val="20"/>
          <w:szCs w:val="20"/>
        </w:rPr>
        <w:t>nosti k velikostní skupině)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D07D61" w:rsidRPr="00C24253" w:rsidTr="008B0FB0">
        <w:trPr>
          <w:trHeight w:val="34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61" w:rsidRPr="00C24253" w:rsidRDefault="00D07D61" w:rsidP="008B0F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Velikostní skupina obcí podle počtu obyvatel v roce 2001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Velikostní skupina obcí v roce 2011</w:t>
            </w:r>
          </w:p>
        </w:tc>
      </w:tr>
      <w:tr w:rsidR="00D07D61" w:rsidRPr="00C24253" w:rsidTr="008B0FB0">
        <w:trPr>
          <w:trHeight w:val="56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61" w:rsidRPr="00C24253" w:rsidRDefault="00D07D61" w:rsidP="008B0FB0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61" w:rsidRPr="00C24253" w:rsidRDefault="00D07D61" w:rsidP="008B0FB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 199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61" w:rsidRPr="00C24253" w:rsidRDefault="00D07D61" w:rsidP="008B0FB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200 - 499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61" w:rsidRPr="00C24253" w:rsidRDefault="00D07D61" w:rsidP="008B0FB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500 - 999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61" w:rsidRPr="00C24253" w:rsidRDefault="00D07D61" w:rsidP="008B0FB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1 000 </w:t>
            </w:r>
            <w:r w:rsidRPr="00C24253">
              <w:rPr>
                <w:rFonts w:cs="Arial"/>
                <w:sz w:val="16"/>
                <w:szCs w:val="16"/>
              </w:rPr>
              <w:br/>
              <w:t>- 1 999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61" w:rsidRPr="00C24253" w:rsidRDefault="00D07D61" w:rsidP="008B0FB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2 000 </w:t>
            </w:r>
            <w:r w:rsidRPr="00C24253">
              <w:rPr>
                <w:rFonts w:cs="Arial"/>
                <w:sz w:val="16"/>
                <w:szCs w:val="16"/>
              </w:rPr>
              <w:br/>
              <w:t>- 4 999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61" w:rsidRPr="00C24253" w:rsidRDefault="00D07D61" w:rsidP="008B0FB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5 000 </w:t>
            </w:r>
            <w:r w:rsidRPr="00C24253">
              <w:rPr>
                <w:rFonts w:cs="Arial"/>
                <w:sz w:val="16"/>
                <w:szCs w:val="16"/>
              </w:rPr>
              <w:br/>
              <w:t>- 9 999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61" w:rsidRPr="00C24253" w:rsidRDefault="00D07D61" w:rsidP="008B0FB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10 000 </w:t>
            </w:r>
            <w:r w:rsidRPr="00C24253">
              <w:rPr>
                <w:rFonts w:cs="Arial"/>
                <w:sz w:val="16"/>
                <w:szCs w:val="16"/>
              </w:rPr>
              <w:br/>
              <w:t>- 19 999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</w:tr>
      <w:tr w:rsidR="00D07D61" w:rsidRPr="00C24253" w:rsidTr="008B0FB0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 199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</w:tr>
      <w:tr w:rsidR="00D07D61" w:rsidRPr="00C24253" w:rsidTr="008B0FB0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200 - 499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65</w:t>
            </w:r>
          </w:p>
        </w:tc>
      </w:tr>
      <w:tr w:rsidR="00D07D61" w:rsidRPr="00C24253" w:rsidTr="008B0FB0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500 - 999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56</w:t>
            </w:r>
          </w:p>
        </w:tc>
      </w:tr>
      <w:tr w:rsidR="00D07D61" w:rsidRPr="00C24253" w:rsidTr="008B0FB0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1 000 - 1 999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</w:tr>
      <w:tr w:rsidR="00D07D61" w:rsidRPr="00C24253" w:rsidTr="008B0FB0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2 000 - 4 999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</w:tr>
      <w:tr w:rsidR="00D07D61" w:rsidRPr="00C24253" w:rsidTr="008B0FB0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5 000 - 9 999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tr w:rsidR="00D07D61" w:rsidRPr="00C24253" w:rsidTr="008B0FB0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10 000 - 19 999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D07D61" w:rsidRPr="00C24253" w:rsidTr="008B0FB0">
        <w:trPr>
          <w:trHeight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61" w:rsidRPr="00C24253" w:rsidRDefault="00D07D61" w:rsidP="008B0FB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189</w:t>
            </w:r>
          </w:p>
        </w:tc>
      </w:tr>
    </w:tbl>
    <w:p w:rsidR="00D07D61" w:rsidRPr="00C24253" w:rsidRDefault="00D07D61" w:rsidP="00D07D61">
      <w:pPr>
        <w:rPr>
          <w:rFonts w:cs="Arial"/>
          <w:sz w:val="20"/>
          <w:szCs w:val="20"/>
        </w:rPr>
      </w:pPr>
    </w:p>
    <w:sectPr w:rsidR="00D07D61" w:rsidRPr="00C24253" w:rsidSect="00FC6FDC">
      <w:footerReference w:type="even" r:id="rId8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34" w:rsidRDefault="00C92934">
      <w:r>
        <w:separator/>
      </w:r>
    </w:p>
    <w:p w:rsidR="00C92934" w:rsidRDefault="00C92934"/>
  </w:endnote>
  <w:endnote w:type="continuationSeparator" w:id="0">
    <w:p w:rsidR="00C92934" w:rsidRDefault="00C92934">
      <w:r>
        <w:continuationSeparator/>
      </w:r>
    </w:p>
    <w:p w:rsidR="00C92934" w:rsidRDefault="00C929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D52B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5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5C3" w:rsidRDefault="00D055C3">
    <w:pPr>
      <w:pStyle w:val="Zpat"/>
    </w:pPr>
  </w:p>
  <w:p w:rsidR="00D055C3" w:rsidRDefault="00D05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34" w:rsidRDefault="00C92934">
      <w:r>
        <w:separator/>
      </w:r>
    </w:p>
    <w:p w:rsidR="00C92934" w:rsidRDefault="00C92934"/>
  </w:footnote>
  <w:footnote w:type="continuationSeparator" w:id="0">
    <w:p w:rsidR="00C92934" w:rsidRDefault="00C92934">
      <w:r>
        <w:continuationSeparator/>
      </w:r>
    </w:p>
    <w:p w:rsidR="00C92934" w:rsidRDefault="00C92934"/>
  </w:footnote>
  <w:footnote w:id="1">
    <w:p w:rsidR="00D055C3" w:rsidRDefault="00D055C3" w:rsidP="00052602">
      <w:pPr>
        <w:pStyle w:val="Textpoznpodarou"/>
      </w:pPr>
      <w:r>
        <w:rPr>
          <w:rStyle w:val="Znakapoznpodarou"/>
        </w:rPr>
        <w:footnoteRef/>
      </w:r>
      <w:r>
        <w:t xml:space="preserve"> Data o vývoji obyvatelstva však nejsou plně srovnatelná s předchozím obdobím, protože od roku 2001 jsou do obyv</w:t>
      </w:r>
      <w:r>
        <w:t>a</w:t>
      </w:r>
      <w:r>
        <w:t>telstva zahrnováni i cizinci s dlouhodobým pobytem (resp. občané EU s přechodným pobytem) a azylanti. Do roku 2001 byli zahrnování pouze trvale bydlící cizinci.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AE1A6B"/>
    <w:multiLevelType w:val="multilevel"/>
    <w:tmpl w:val="2C401CCC"/>
    <w:numStyleLink w:val="Styl8"/>
  </w:abstractNum>
  <w:abstractNum w:abstractNumId="3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373F82"/>
    <w:multiLevelType w:val="multilevel"/>
    <w:tmpl w:val="045A347C"/>
    <w:lvl w:ilvl="0">
      <w:start w:val="5"/>
      <w:numFmt w:val="decimal"/>
      <w:pStyle w:val="Dilonadpis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Nadpis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5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9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7"/>
  </w:num>
  <w:num w:numId="5">
    <w:abstractNumId w:val="18"/>
  </w:num>
  <w:num w:numId="6">
    <w:abstractNumId w:val="10"/>
  </w:num>
  <w:num w:numId="7">
    <w:abstractNumId w:val="32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5"/>
  </w:num>
  <w:num w:numId="13">
    <w:abstractNumId w:val="19"/>
  </w:num>
  <w:num w:numId="14">
    <w:abstractNumId w:val="2"/>
  </w:num>
  <w:num w:numId="15">
    <w:abstractNumId w:val="9"/>
  </w:num>
  <w:num w:numId="16">
    <w:abstractNumId w:val="20"/>
  </w:num>
  <w:num w:numId="17">
    <w:abstractNumId w:val="29"/>
  </w:num>
  <w:num w:numId="18">
    <w:abstractNumId w:val="33"/>
  </w:num>
  <w:num w:numId="19">
    <w:abstractNumId w:val="35"/>
  </w:num>
  <w:num w:numId="20">
    <w:abstractNumId w:val="0"/>
  </w:num>
  <w:num w:numId="21">
    <w:abstractNumId w:val="28"/>
  </w:num>
  <w:num w:numId="22">
    <w:abstractNumId w:val="3"/>
  </w:num>
  <w:num w:numId="23">
    <w:abstractNumId w:val="25"/>
  </w:num>
  <w:num w:numId="24">
    <w:abstractNumId w:val="27"/>
  </w:num>
  <w:num w:numId="25">
    <w:abstractNumId w:val="11"/>
  </w:num>
  <w:num w:numId="26">
    <w:abstractNumId w:val="31"/>
  </w:num>
  <w:num w:numId="27">
    <w:abstractNumId w:val="16"/>
  </w:num>
  <w:num w:numId="28">
    <w:abstractNumId w:val="24"/>
  </w:num>
  <w:num w:numId="29">
    <w:abstractNumId w:val="22"/>
  </w:num>
  <w:num w:numId="30">
    <w:abstractNumId w:val="13"/>
  </w:num>
  <w:num w:numId="31">
    <w:abstractNumId w:val="5"/>
  </w:num>
  <w:num w:numId="32">
    <w:abstractNumId w:val="26"/>
  </w:num>
  <w:num w:numId="33">
    <w:abstractNumId w:val="31"/>
    <w:lvlOverride w:ilvl="0">
      <w:startOverride w:val="3"/>
    </w:lvlOverride>
    <w:lvlOverride w:ilvl="1">
      <w:startOverride w:val="1"/>
    </w:lvlOverride>
  </w:num>
  <w:num w:numId="34">
    <w:abstractNumId w:val="31"/>
    <w:lvlOverride w:ilvl="0">
      <w:startOverride w:val="4"/>
    </w:lvlOverride>
    <w:lvlOverride w:ilvl="1">
      <w:startOverride w:val="1"/>
    </w:lvlOverride>
  </w:num>
  <w:num w:numId="35">
    <w:abstractNumId w:val="31"/>
    <w:lvlOverride w:ilvl="0">
      <w:startOverride w:val="5"/>
    </w:lvlOverride>
    <w:lvlOverride w:ilvl="1">
      <w:startOverride w:val="1"/>
    </w:lvlOverride>
  </w:num>
  <w:num w:numId="36">
    <w:abstractNumId w:val="31"/>
    <w:lvlOverride w:ilvl="0">
      <w:startOverride w:val="6"/>
    </w:lvlOverride>
    <w:lvlOverride w:ilvl="1">
      <w:startOverride w:val="1"/>
    </w:lvlOverride>
  </w:num>
  <w:num w:numId="37">
    <w:abstractNumId w:val="31"/>
    <w:lvlOverride w:ilvl="0">
      <w:startOverride w:val="9"/>
    </w:lvlOverride>
    <w:lvlOverride w:ilvl="1">
      <w:startOverride w:val="1"/>
    </w:lvlOverride>
  </w:num>
  <w:num w:numId="38">
    <w:abstractNumId w:val="31"/>
    <w:lvlOverride w:ilvl="0">
      <w:startOverride w:val="13"/>
    </w:lvlOverride>
    <w:lvlOverride w:ilvl="1">
      <w:startOverride w:val="1"/>
    </w:lvlOverride>
  </w:num>
  <w:num w:numId="39">
    <w:abstractNumId w:val="31"/>
    <w:lvlOverride w:ilvl="0">
      <w:startOverride w:val="15"/>
    </w:lvlOverride>
    <w:lvlOverride w:ilvl="1">
      <w:startOverride w:val="1"/>
    </w:lvlOverride>
  </w:num>
  <w:num w:numId="40">
    <w:abstractNumId w:val="23"/>
  </w:num>
  <w:num w:numId="41">
    <w:abstractNumId w:val="30"/>
  </w:num>
  <w:num w:numId="42">
    <w:abstractNumId w:val="7"/>
  </w:num>
  <w:num w:numId="43">
    <w:abstractNumId w:val="31"/>
    <w:lvlOverride w:ilvl="0">
      <w:startOverride w:val="1"/>
    </w:lvlOverride>
    <w:lvlOverride w:ilvl="1">
      <w:startOverride w:val="1"/>
    </w:lvlOverride>
  </w:num>
  <w:num w:numId="44">
    <w:abstractNumId w:val="31"/>
    <w:lvlOverride w:ilvl="0">
      <w:startOverride w:val="10"/>
    </w:lvlOverride>
    <w:lvlOverride w:ilvl="1">
      <w:startOverride w:val="1"/>
    </w:lvlOverride>
  </w:num>
  <w:num w:numId="45">
    <w:abstractNumId w:val="31"/>
    <w:lvlOverride w:ilvl="0">
      <w:startOverride w:val="11"/>
    </w:lvlOverride>
    <w:lvlOverride w:ilvl="1">
      <w:startOverride w:val="1"/>
    </w:lvlOverride>
  </w:num>
  <w:num w:numId="46">
    <w:abstractNumId w:val="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EB9"/>
    <w:rsid w:val="00167F78"/>
    <w:rsid w:val="00170D18"/>
    <w:rsid w:val="001719E5"/>
    <w:rsid w:val="00175702"/>
    <w:rsid w:val="00176EDB"/>
    <w:rsid w:val="0018038C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1700"/>
    <w:rsid w:val="00361943"/>
    <w:rsid w:val="00363508"/>
    <w:rsid w:val="00363C27"/>
    <w:rsid w:val="003647DC"/>
    <w:rsid w:val="0037087B"/>
    <w:rsid w:val="0037144F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2B70"/>
    <w:rsid w:val="00496DB9"/>
    <w:rsid w:val="004A0179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2B2A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60E0"/>
    <w:rsid w:val="005B0568"/>
    <w:rsid w:val="005B0955"/>
    <w:rsid w:val="005B1745"/>
    <w:rsid w:val="005B4223"/>
    <w:rsid w:val="005B60E8"/>
    <w:rsid w:val="005C1D3A"/>
    <w:rsid w:val="005C26B7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7020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81D62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D0E"/>
    <w:rsid w:val="009B638F"/>
    <w:rsid w:val="009C0C50"/>
    <w:rsid w:val="009C1C31"/>
    <w:rsid w:val="009C2268"/>
    <w:rsid w:val="009C373D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6863"/>
    <w:rsid w:val="00AC74BF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53B4"/>
    <w:rsid w:val="00B0586D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2934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B7B"/>
    <w:rsid w:val="00D52E59"/>
    <w:rsid w:val="00D54C6F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C1C"/>
    <w:rsid w:val="00DF6785"/>
    <w:rsid w:val="00DF6C16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C2823"/>
    <w:rsid w:val="00EC4A7D"/>
    <w:rsid w:val="00EC4ECE"/>
    <w:rsid w:val="00EC7BFD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522B2A"/>
    <w:pPr>
      <w:numPr>
        <w:numId w:val="46"/>
      </w:numPr>
      <w:ind w:left="567" w:hanging="567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522B2A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522B2A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7A91-D641-41B7-B2F2-C0E8DF2E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3572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24602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2</cp:revision>
  <cp:lastPrinted>2013-11-12T07:39:00Z</cp:lastPrinted>
  <dcterms:created xsi:type="dcterms:W3CDTF">2013-11-13T12:33:00Z</dcterms:created>
  <dcterms:modified xsi:type="dcterms:W3CDTF">2013-11-13T12:33:00Z</dcterms:modified>
</cp:coreProperties>
</file>